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E505C7">
      <w:pPr>
        <w:spacing w:before="165" w:beforeLines="50" w:line="360" w:lineRule="auto"/>
        <w:jc w:val="center"/>
        <w:rPr>
          <w:rFonts w:ascii="宋体" w:hAnsi="宋体" w:eastAsia="宋体" w:cs="Times New Roman"/>
          <w:color w:val="auto"/>
          <w:sz w:val="52"/>
          <w:szCs w:val="52"/>
          <w:highlight w:val="none"/>
        </w:rPr>
      </w:pPr>
    </w:p>
    <w:p w14:paraId="2F748D1E">
      <w:pPr>
        <w:spacing w:before="165" w:beforeLines="50" w:line="360" w:lineRule="auto"/>
        <w:jc w:val="center"/>
        <w:rPr>
          <w:rFonts w:hint="eastAsia" w:ascii="宋体" w:hAnsi="宋体" w:eastAsia="宋体" w:cs="Times New Roman"/>
          <w:color w:val="auto"/>
          <w:sz w:val="44"/>
          <w:szCs w:val="44"/>
          <w:highlight w:val="none"/>
        </w:rPr>
      </w:pPr>
      <w:r>
        <w:rPr>
          <w:rFonts w:hint="eastAsia" w:ascii="宋体" w:hAnsi="宋体" w:eastAsia="宋体" w:cs="Times New Roman"/>
          <w:color w:val="auto"/>
          <w:sz w:val="44"/>
          <w:szCs w:val="44"/>
          <w:highlight w:val="none"/>
        </w:rPr>
        <w:t>公开招标文件（服务类）</w:t>
      </w:r>
    </w:p>
    <w:p w14:paraId="31989BAF">
      <w:pPr>
        <w:spacing w:before="0" w:beforeLines="0" w:line="240" w:lineRule="auto"/>
        <w:jc w:val="left"/>
        <w:rPr>
          <w:rFonts w:hint="default" w:ascii="Times New Roman" w:hAnsi="Times New Roman" w:eastAsia="宋体" w:cs="Times New Roman"/>
          <w:b w:val="0"/>
          <w:color w:val="auto"/>
          <w:sz w:val="48"/>
          <w:szCs w:val="56"/>
          <w:highlight w:val="none"/>
        </w:rPr>
      </w:pPr>
    </w:p>
    <w:p w14:paraId="26FC204B">
      <w:pPr>
        <w:snapToGrid w:val="0"/>
        <w:spacing w:before="165" w:beforeLines="50" w:line="360" w:lineRule="auto"/>
        <w:jc w:val="center"/>
        <w:rPr>
          <w:rFonts w:hint="eastAsia" w:ascii="宋体" w:hAnsi="宋体" w:eastAsia="宋体" w:cs="宋体"/>
          <w:color w:val="auto"/>
          <w:sz w:val="72"/>
          <w:szCs w:val="72"/>
          <w:highlight w:val="none"/>
        </w:rPr>
      </w:pPr>
      <w:r>
        <w:rPr>
          <w:rFonts w:hint="eastAsia" w:ascii="宋体" w:hAnsi="宋体" w:eastAsia="宋体" w:cs="宋体"/>
          <w:color w:val="auto"/>
          <w:sz w:val="72"/>
          <w:szCs w:val="72"/>
          <w:highlight w:val="none"/>
        </w:rPr>
        <w:t>招 标 文 件</w:t>
      </w:r>
    </w:p>
    <w:p w14:paraId="338B7E8F">
      <w:pPr>
        <w:snapToGrid w:val="0"/>
        <w:spacing w:before="165" w:beforeLines="50" w:line="360" w:lineRule="auto"/>
        <w:jc w:val="center"/>
        <w:rPr>
          <w:rFonts w:hint="eastAsia" w:ascii="仿宋_GB2312" w:hAnsi="宋体" w:eastAsia="仿宋_GB2312" w:cs="Times New Roman"/>
          <w:color w:val="auto"/>
          <w:sz w:val="30"/>
          <w:szCs w:val="72"/>
          <w:highlight w:val="none"/>
        </w:rPr>
      </w:pPr>
      <w:r>
        <w:rPr>
          <w:rFonts w:hint="eastAsia" w:ascii="仿宋_GB2312" w:hAnsi="宋体" w:eastAsia="仿宋_GB2312" w:cs="Times New Roman"/>
          <w:color w:val="auto"/>
          <w:sz w:val="30"/>
          <w:szCs w:val="72"/>
          <w:highlight w:val="none"/>
        </w:rPr>
        <w:t>（全流程电子化评标）</w:t>
      </w:r>
    </w:p>
    <w:p w14:paraId="3B3A2C32">
      <w:pPr>
        <w:pStyle w:val="16"/>
        <w:snapToGrid w:val="0"/>
        <w:spacing w:before="50" w:after="120" w:line="360" w:lineRule="auto"/>
        <w:ind w:firstLine="2711" w:firstLineChars="900"/>
        <w:jc w:val="both"/>
        <w:rPr>
          <w:rFonts w:hint="eastAsia" w:ascii="宋体" w:hAnsi="宋体" w:eastAsia="宋体" w:cs="宋体"/>
          <w:b/>
          <w:bCs/>
          <w:color w:val="auto"/>
          <w:sz w:val="30"/>
          <w:szCs w:val="30"/>
          <w:highlight w:val="none"/>
        </w:rPr>
      </w:pPr>
    </w:p>
    <w:p w14:paraId="1415E2B7">
      <w:pPr>
        <w:rPr>
          <w:rFonts w:hint="eastAsia" w:ascii="宋体" w:hAnsi="宋体" w:eastAsia="宋体" w:cs="宋体"/>
          <w:b/>
          <w:bCs/>
          <w:color w:val="auto"/>
          <w:sz w:val="30"/>
          <w:szCs w:val="30"/>
          <w:highlight w:val="none"/>
        </w:rPr>
      </w:pPr>
    </w:p>
    <w:p w14:paraId="53674D1D">
      <w:pPr>
        <w:pStyle w:val="18"/>
        <w:rPr>
          <w:rFonts w:hint="eastAsia" w:ascii="宋体" w:hAnsi="宋体" w:eastAsia="宋体" w:cs="宋体"/>
          <w:b/>
          <w:bCs/>
          <w:color w:val="auto"/>
          <w:sz w:val="30"/>
          <w:szCs w:val="30"/>
          <w:highlight w:val="none"/>
        </w:rPr>
      </w:pPr>
    </w:p>
    <w:p w14:paraId="2879F439">
      <w:pPr>
        <w:pStyle w:val="18"/>
        <w:rPr>
          <w:rFonts w:hint="eastAsia" w:ascii="宋体" w:hAnsi="宋体" w:eastAsia="宋体" w:cs="宋体"/>
          <w:b/>
          <w:bCs/>
          <w:color w:val="auto"/>
          <w:sz w:val="30"/>
          <w:szCs w:val="30"/>
          <w:highlight w:val="none"/>
        </w:rPr>
      </w:pPr>
    </w:p>
    <w:p w14:paraId="73F9D7EB">
      <w:pPr>
        <w:pStyle w:val="18"/>
        <w:rPr>
          <w:rFonts w:hint="eastAsia" w:ascii="宋体" w:hAnsi="宋体" w:eastAsia="宋体" w:cs="宋体"/>
          <w:b/>
          <w:bCs/>
          <w:color w:val="auto"/>
          <w:sz w:val="30"/>
          <w:szCs w:val="30"/>
          <w:highlight w:val="none"/>
        </w:rPr>
      </w:pPr>
    </w:p>
    <w:p w14:paraId="1B803F67">
      <w:pPr>
        <w:rPr>
          <w:rFonts w:hint="eastAsia"/>
          <w:color w:val="auto"/>
          <w:highlight w:val="none"/>
        </w:rPr>
      </w:pPr>
    </w:p>
    <w:p w14:paraId="23EFAEAE">
      <w:pPr>
        <w:pStyle w:val="16"/>
        <w:snapToGrid w:val="0"/>
        <w:spacing w:before="50" w:after="120" w:line="360" w:lineRule="auto"/>
        <w:ind w:firstLine="904" w:firstLineChars="300"/>
        <w:jc w:val="both"/>
        <w:rPr>
          <w:rFonts w:hint="eastAsia" w:ascii="宋体" w:hAnsi="宋体" w:eastAsia="宋体" w:cs="宋体"/>
          <w:b w:val="0"/>
          <w:bCs w:val="0"/>
          <w:color w:val="auto"/>
          <w:sz w:val="30"/>
          <w:szCs w:val="30"/>
          <w:highlight w:val="none"/>
          <w:lang w:eastAsia="zh-CN"/>
        </w:rPr>
      </w:pPr>
      <w:r>
        <w:rPr>
          <w:rFonts w:hint="eastAsia" w:ascii="宋体" w:hAnsi="宋体" w:eastAsia="宋体" w:cs="宋体"/>
          <w:b/>
          <w:bCs/>
          <w:color w:val="auto"/>
          <w:sz w:val="30"/>
          <w:szCs w:val="30"/>
          <w:highlight w:val="none"/>
        </w:rPr>
        <w:t>项目</w:t>
      </w:r>
      <w:r>
        <w:rPr>
          <w:rFonts w:hint="eastAsia" w:ascii="宋体" w:hAnsi="宋体" w:eastAsia="宋体" w:cs="宋体"/>
          <w:b/>
          <w:bCs/>
          <w:color w:val="auto"/>
          <w:w w:val="95"/>
          <w:sz w:val="30"/>
          <w:szCs w:val="30"/>
          <w:highlight w:val="none"/>
        </w:rPr>
        <w:t>名称</w:t>
      </w:r>
      <w:r>
        <w:rPr>
          <w:rFonts w:hint="eastAsia" w:ascii="宋体" w:hAnsi="宋体" w:eastAsia="宋体" w:cs="宋体"/>
          <w:b/>
          <w:bCs/>
          <w:color w:val="auto"/>
          <w:sz w:val="30"/>
          <w:szCs w:val="30"/>
          <w:highlight w:val="none"/>
        </w:rPr>
        <w:t>：</w:t>
      </w:r>
      <w:r>
        <w:rPr>
          <w:rFonts w:hint="eastAsia" w:hAnsi="宋体" w:cs="宋体"/>
          <w:b/>
          <w:bCs/>
          <w:color w:val="auto"/>
          <w:sz w:val="30"/>
          <w:szCs w:val="30"/>
          <w:highlight w:val="none"/>
          <w:lang w:eastAsia="zh-CN"/>
        </w:rPr>
        <w:t>桂平市西山镇中心小学等18个学校食堂普通餐食品原材料联合采购配送服务项目</w:t>
      </w:r>
    </w:p>
    <w:p w14:paraId="6E32677C">
      <w:pPr>
        <w:pStyle w:val="16"/>
        <w:snapToGrid w:val="0"/>
        <w:spacing w:before="50" w:after="120" w:line="360" w:lineRule="auto"/>
        <w:ind w:firstLine="904" w:firstLineChars="300"/>
        <w:jc w:val="both"/>
        <w:rPr>
          <w:rFonts w:hint="default" w:ascii="宋体" w:hAnsi="宋体" w:eastAsia="宋体" w:cs="宋体"/>
          <w:b/>
          <w:bCs/>
          <w:color w:val="auto"/>
          <w:w w:val="95"/>
          <w:sz w:val="30"/>
          <w:szCs w:val="30"/>
          <w:highlight w:val="none"/>
          <w:lang w:val="en-US" w:eastAsia="zh-CN"/>
        </w:rPr>
      </w:pPr>
      <w:r>
        <w:rPr>
          <w:rFonts w:hint="eastAsia" w:ascii="宋体" w:hAnsi="宋体" w:eastAsia="宋体" w:cs="宋体"/>
          <w:b/>
          <w:bCs/>
          <w:color w:val="auto"/>
          <w:w w:val="100"/>
          <w:sz w:val="30"/>
          <w:szCs w:val="30"/>
          <w:highlight w:val="none"/>
          <w:lang w:eastAsia="zh-CN"/>
        </w:rPr>
        <w:t>项目编号：</w:t>
      </w:r>
      <w:r>
        <w:rPr>
          <w:rFonts w:hint="eastAsia" w:hAnsi="宋体" w:cs="宋体"/>
          <w:b/>
          <w:bCs/>
          <w:color w:val="auto"/>
          <w:w w:val="100"/>
          <w:sz w:val="30"/>
          <w:szCs w:val="30"/>
          <w:highlight w:val="none"/>
          <w:lang w:eastAsia="zh-CN"/>
        </w:rPr>
        <w:t>GGZC2025-G3-810033-JGJD</w:t>
      </w:r>
    </w:p>
    <w:p w14:paraId="14C839E2">
      <w:pPr>
        <w:widowControl w:val="0"/>
        <w:snapToGrid w:val="0"/>
        <w:spacing w:before="50" w:after="120" w:line="360" w:lineRule="auto"/>
        <w:ind w:firstLine="2576" w:firstLineChars="900"/>
        <w:jc w:val="both"/>
        <w:rPr>
          <w:rFonts w:hint="eastAsia" w:ascii="宋体" w:hAnsi="宋体" w:eastAsia="宋体" w:cs="宋体"/>
          <w:b/>
          <w:bCs/>
          <w:color w:val="auto"/>
          <w:w w:val="95"/>
          <w:kern w:val="2"/>
          <w:sz w:val="30"/>
          <w:szCs w:val="30"/>
          <w:highlight w:val="none"/>
          <w:lang w:val="en-US" w:eastAsia="zh-CN" w:bidi="ar-SA"/>
        </w:rPr>
      </w:pPr>
    </w:p>
    <w:p w14:paraId="142ED5AE">
      <w:pPr>
        <w:pStyle w:val="18"/>
        <w:rPr>
          <w:rFonts w:hint="eastAsia" w:ascii="宋体" w:hAnsi="宋体" w:eastAsia="宋体" w:cs="宋体"/>
          <w:b/>
          <w:bCs/>
          <w:color w:val="auto"/>
          <w:w w:val="95"/>
          <w:kern w:val="2"/>
          <w:sz w:val="30"/>
          <w:szCs w:val="30"/>
          <w:highlight w:val="none"/>
          <w:lang w:val="en-US" w:eastAsia="zh-CN" w:bidi="ar-SA"/>
        </w:rPr>
      </w:pPr>
    </w:p>
    <w:p w14:paraId="3146FD2E">
      <w:pPr>
        <w:rPr>
          <w:rFonts w:hint="eastAsia" w:ascii="宋体" w:hAnsi="宋体" w:eastAsia="宋体" w:cs="宋体"/>
          <w:b/>
          <w:bCs/>
          <w:color w:val="auto"/>
          <w:w w:val="95"/>
          <w:kern w:val="2"/>
          <w:sz w:val="30"/>
          <w:szCs w:val="30"/>
          <w:highlight w:val="none"/>
          <w:lang w:val="en-US" w:eastAsia="zh-CN" w:bidi="ar-SA"/>
        </w:rPr>
      </w:pPr>
    </w:p>
    <w:p w14:paraId="454D18FD">
      <w:pPr>
        <w:pStyle w:val="18"/>
        <w:rPr>
          <w:rFonts w:hint="eastAsia" w:ascii="宋体" w:hAnsi="宋体" w:eastAsia="宋体" w:cs="宋体"/>
          <w:b/>
          <w:bCs/>
          <w:color w:val="auto"/>
          <w:w w:val="95"/>
          <w:kern w:val="2"/>
          <w:sz w:val="30"/>
          <w:szCs w:val="30"/>
          <w:highlight w:val="none"/>
          <w:lang w:val="en-US" w:eastAsia="zh-CN" w:bidi="ar-SA"/>
        </w:rPr>
      </w:pPr>
    </w:p>
    <w:p w14:paraId="192B3205">
      <w:pPr>
        <w:rPr>
          <w:rFonts w:hint="eastAsia"/>
          <w:color w:val="auto"/>
          <w:highlight w:val="none"/>
          <w:lang w:val="en-US" w:eastAsia="zh-CN"/>
        </w:rPr>
      </w:pPr>
    </w:p>
    <w:p w14:paraId="6641AAD5">
      <w:pPr>
        <w:widowControl w:val="0"/>
        <w:snapToGrid w:val="0"/>
        <w:spacing w:before="50" w:after="120" w:line="360" w:lineRule="auto"/>
        <w:ind w:firstLine="1717" w:firstLineChars="600"/>
        <w:jc w:val="both"/>
        <w:rPr>
          <w:rFonts w:hint="eastAsia" w:ascii="宋体" w:hAnsi="宋体" w:eastAsia="宋体" w:cs="宋体"/>
          <w:b/>
          <w:bCs/>
          <w:color w:val="auto"/>
          <w:w w:val="95"/>
          <w:kern w:val="2"/>
          <w:sz w:val="30"/>
          <w:szCs w:val="30"/>
          <w:highlight w:val="none"/>
          <w:lang w:val="en-US" w:eastAsia="zh-CN" w:bidi="ar-SA"/>
        </w:rPr>
      </w:pPr>
      <w:r>
        <w:rPr>
          <w:rFonts w:hint="eastAsia" w:ascii="宋体" w:hAnsi="宋体" w:eastAsia="宋体" w:cs="宋体"/>
          <w:b/>
          <w:bCs/>
          <w:color w:val="auto"/>
          <w:w w:val="95"/>
          <w:kern w:val="2"/>
          <w:sz w:val="30"/>
          <w:szCs w:val="30"/>
          <w:highlight w:val="none"/>
          <w:lang w:val="en-US" w:eastAsia="zh-CN" w:bidi="ar-SA"/>
        </w:rPr>
        <w:t>采</w:t>
      </w:r>
      <w:r>
        <w:rPr>
          <w:rFonts w:hint="eastAsia" w:ascii="宋体" w:hAnsi="宋体" w:cs="宋体"/>
          <w:b/>
          <w:bCs/>
          <w:color w:val="auto"/>
          <w:w w:val="95"/>
          <w:kern w:val="2"/>
          <w:sz w:val="30"/>
          <w:szCs w:val="30"/>
          <w:highlight w:val="none"/>
          <w:lang w:val="en-US" w:eastAsia="zh-CN" w:bidi="ar-SA"/>
        </w:rPr>
        <w:t xml:space="preserve">   </w:t>
      </w:r>
      <w:r>
        <w:rPr>
          <w:rFonts w:hint="eastAsia" w:ascii="宋体" w:hAnsi="宋体" w:eastAsia="宋体" w:cs="宋体"/>
          <w:b/>
          <w:bCs/>
          <w:color w:val="auto"/>
          <w:w w:val="95"/>
          <w:kern w:val="2"/>
          <w:sz w:val="30"/>
          <w:szCs w:val="30"/>
          <w:highlight w:val="none"/>
          <w:lang w:val="en-US" w:eastAsia="zh-CN" w:bidi="ar-SA"/>
        </w:rPr>
        <w:t>购</w:t>
      </w:r>
      <w:r>
        <w:rPr>
          <w:rFonts w:hint="eastAsia" w:ascii="宋体" w:hAnsi="宋体" w:cs="宋体"/>
          <w:b/>
          <w:bCs/>
          <w:color w:val="auto"/>
          <w:w w:val="95"/>
          <w:kern w:val="2"/>
          <w:sz w:val="30"/>
          <w:szCs w:val="30"/>
          <w:highlight w:val="none"/>
          <w:lang w:val="en-US" w:eastAsia="zh-CN" w:bidi="ar-SA"/>
        </w:rPr>
        <w:t xml:space="preserve">   </w:t>
      </w:r>
      <w:r>
        <w:rPr>
          <w:rFonts w:hint="eastAsia" w:ascii="宋体" w:hAnsi="宋体" w:eastAsia="宋体" w:cs="宋体"/>
          <w:b/>
          <w:bCs/>
          <w:color w:val="auto"/>
          <w:w w:val="95"/>
          <w:kern w:val="2"/>
          <w:sz w:val="30"/>
          <w:szCs w:val="30"/>
          <w:highlight w:val="none"/>
          <w:lang w:val="en-US" w:eastAsia="zh-CN" w:bidi="ar-SA"/>
        </w:rPr>
        <w:t>人：</w:t>
      </w:r>
      <w:r>
        <w:rPr>
          <w:rFonts w:hint="eastAsia" w:cs="宋体"/>
          <w:b/>
          <w:color w:val="auto"/>
          <w:sz w:val="32"/>
          <w:szCs w:val="32"/>
          <w:highlight w:val="none"/>
          <w:lang w:eastAsia="zh-CN"/>
        </w:rPr>
        <w:t>桂平市西山镇中心小学</w:t>
      </w:r>
    </w:p>
    <w:p w14:paraId="04D1F12A">
      <w:pPr>
        <w:widowControl w:val="0"/>
        <w:snapToGrid w:val="0"/>
        <w:spacing w:before="50" w:after="120" w:line="360" w:lineRule="auto"/>
        <w:ind w:firstLine="1717" w:firstLineChars="600"/>
        <w:jc w:val="both"/>
        <w:rPr>
          <w:rFonts w:hint="eastAsia" w:ascii="宋体" w:hAnsi="宋体" w:eastAsia="宋体" w:cs="宋体"/>
          <w:b/>
          <w:bCs/>
          <w:color w:val="auto"/>
          <w:w w:val="95"/>
          <w:kern w:val="2"/>
          <w:sz w:val="30"/>
          <w:szCs w:val="30"/>
          <w:highlight w:val="none"/>
          <w:lang w:val="en-US" w:eastAsia="zh-CN" w:bidi="ar-SA"/>
        </w:rPr>
      </w:pPr>
      <w:r>
        <w:rPr>
          <w:rFonts w:hint="eastAsia" w:ascii="宋体" w:hAnsi="宋体" w:eastAsia="宋体" w:cs="宋体"/>
          <w:b/>
          <w:bCs/>
          <w:color w:val="auto"/>
          <w:w w:val="95"/>
          <w:kern w:val="2"/>
          <w:sz w:val="30"/>
          <w:szCs w:val="30"/>
          <w:highlight w:val="none"/>
          <w:lang w:val="en-US" w:eastAsia="zh-CN" w:bidi="ar-SA"/>
        </w:rPr>
        <w:t>采购代理机构：</w:t>
      </w:r>
      <w:r>
        <w:rPr>
          <w:rFonts w:hint="eastAsia" w:ascii="宋体" w:hAnsi="宋体" w:cs="宋体"/>
          <w:b/>
          <w:bCs/>
          <w:color w:val="auto"/>
          <w:w w:val="95"/>
          <w:kern w:val="2"/>
          <w:sz w:val="30"/>
          <w:szCs w:val="30"/>
          <w:highlight w:val="none"/>
          <w:lang w:val="en-US" w:eastAsia="zh-CN" w:bidi="ar-SA"/>
        </w:rPr>
        <w:t>广西建设工程机电设备招标中心有限公司</w:t>
      </w:r>
    </w:p>
    <w:p w14:paraId="7D895623">
      <w:pPr>
        <w:rPr>
          <w:rFonts w:hint="default" w:ascii="宋体" w:hAnsi="Courier New" w:eastAsia="宋体" w:cs="Times New Roman"/>
          <w:b w:val="0"/>
          <w:bCs w:val="0"/>
          <w:color w:val="auto"/>
          <w:w w:val="100"/>
          <w:kern w:val="2"/>
          <w:sz w:val="21"/>
          <w:szCs w:val="20"/>
          <w:highlight w:val="none"/>
          <w:lang w:val="en-US" w:eastAsia="zh-CN" w:bidi="ar-SA"/>
        </w:rPr>
      </w:pPr>
    </w:p>
    <w:p w14:paraId="2B1868F8">
      <w:pPr>
        <w:pStyle w:val="16"/>
        <w:snapToGrid w:val="0"/>
        <w:spacing w:before="50" w:after="120" w:line="360" w:lineRule="auto"/>
        <w:ind w:firstLine="4006" w:firstLineChars="1400"/>
        <w:jc w:val="both"/>
        <w:rPr>
          <w:rFonts w:hint="eastAsia" w:ascii="宋体" w:hAnsi="宋体" w:eastAsia="宋体" w:cs="宋体"/>
          <w:b/>
          <w:bCs/>
          <w:color w:val="auto"/>
          <w:w w:val="95"/>
          <w:sz w:val="30"/>
          <w:szCs w:val="30"/>
          <w:highlight w:val="none"/>
        </w:rPr>
      </w:pPr>
      <w:r>
        <w:rPr>
          <w:rFonts w:hint="eastAsia" w:hAnsi="宋体" w:cs="宋体"/>
          <w:b/>
          <w:bCs/>
          <w:color w:val="auto"/>
          <w:w w:val="95"/>
          <w:kern w:val="2"/>
          <w:sz w:val="30"/>
          <w:szCs w:val="30"/>
          <w:highlight w:val="none"/>
          <w:lang w:val="en-US" w:eastAsia="zh-CN" w:bidi="ar-SA"/>
        </w:rPr>
        <w:t>2025</w:t>
      </w:r>
      <w:r>
        <w:rPr>
          <w:rFonts w:hint="eastAsia" w:ascii="宋体" w:hAnsi="宋体" w:eastAsia="宋体" w:cs="宋体"/>
          <w:b/>
          <w:bCs/>
          <w:color w:val="auto"/>
          <w:w w:val="95"/>
          <w:kern w:val="2"/>
          <w:sz w:val="30"/>
          <w:szCs w:val="30"/>
          <w:highlight w:val="none"/>
          <w:lang w:val="en-US" w:eastAsia="zh-CN" w:bidi="ar-SA"/>
        </w:rPr>
        <w:t>年</w:t>
      </w:r>
      <w:r>
        <w:rPr>
          <w:rFonts w:hint="eastAsia" w:hAnsi="宋体" w:cs="宋体"/>
          <w:b/>
          <w:bCs/>
          <w:color w:val="auto"/>
          <w:w w:val="95"/>
          <w:kern w:val="2"/>
          <w:sz w:val="30"/>
          <w:szCs w:val="30"/>
          <w:highlight w:val="none"/>
          <w:lang w:val="en-US" w:eastAsia="zh-CN" w:bidi="ar-SA"/>
        </w:rPr>
        <w:t>4</w:t>
      </w:r>
      <w:r>
        <w:rPr>
          <w:rFonts w:hint="eastAsia" w:ascii="宋体" w:hAnsi="宋体" w:eastAsia="宋体" w:cs="宋体"/>
          <w:b/>
          <w:bCs/>
          <w:color w:val="auto"/>
          <w:w w:val="95"/>
          <w:kern w:val="2"/>
          <w:sz w:val="30"/>
          <w:szCs w:val="30"/>
          <w:highlight w:val="none"/>
          <w:lang w:val="en-US" w:eastAsia="zh-CN" w:bidi="ar-SA"/>
        </w:rPr>
        <w:t>月</w:t>
      </w:r>
    </w:p>
    <w:p w14:paraId="5DF418D0">
      <w:pPr>
        <w:widowControl/>
        <w:spacing w:line="360" w:lineRule="auto"/>
        <w:jc w:val="both"/>
        <w:rPr>
          <w:rFonts w:hint="eastAsia" w:ascii="宋体" w:hAnsi="宋体" w:eastAsia="宋体" w:cs="宋体"/>
          <w:b/>
          <w:bCs/>
          <w:color w:val="auto"/>
          <w:w w:val="95"/>
          <w:sz w:val="30"/>
          <w:szCs w:val="30"/>
          <w:highlight w:val="none"/>
        </w:rPr>
      </w:pPr>
    </w:p>
    <w:p w14:paraId="72E18799">
      <w:pPr>
        <w:pStyle w:val="18"/>
        <w:rPr>
          <w:rFonts w:hint="eastAsia"/>
          <w:color w:val="auto"/>
          <w:highlight w:val="none"/>
        </w:rPr>
        <w:sectPr>
          <w:headerReference r:id="rId3" w:type="default"/>
          <w:pgSz w:w="11905" w:h="16838"/>
          <w:pgMar w:top="1134" w:right="1134" w:bottom="1134" w:left="1134" w:header="850" w:footer="850" w:gutter="0"/>
          <w:pgNumType w:fmt="decimal" w:start="1"/>
          <w:cols w:space="720" w:num="1"/>
          <w:titlePg/>
          <w:rtlGutter w:val="0"/>
          <w:docGrid w:linePitch="331" w:charSpace="0"/>
        </w:sectPr>
      </w:pPr>
    </w:p>
    <w:p w14:paraId="17A176D0">
      <w:pPr>
        <w:pStyle w:val="16"/>
        <w:jc w:val="center"/>
        <w:rPr>
          <w:rFonts w:ascii="Times New Roman" w:hAnsi="Times New Roman" w:eastAsia="宋体" w:cs="Times New Roman"/>
          <w:b/>
          <w:color w:val="auto"/>
          <w:sz w:val="48"/>
          <w:szCs w:val="48"/>
          <w:highlight w:val="none"/>
        </w:rPr>
      </w:pPr>
      <w:r>
        <w:rPr>
          <w:rFonts w:hint="eastAsia" w:ascii="Times New Roman" w:hAnsi="Times New Roman" w:eastAsia="宋体" w:cs="Times New Roman"/>
          <w:b/>
          <w:color w:val="auto"/>
          <w:sz w:val="48"/>
          <w:szCs w:val="48"/>
          <w:highlight w:val="none"/>
        </w:rPr>
        <w:t>目</w:t>
      </w:r>
      <w:r>
        <w:rPr>
          <w:rFonts w:ascii="Times New Roman" w:hAnsi="Times New Roman" w:eastAsia="宋体" w:cs="Times New Roman"/>
          <w:b/>
          <w:color w:val="auto"/>
          <w:sz w:val="48"/>
          <w:szCs w:val="48"/>
          <w:highlight w:val="none"/>
        </w:rPr>
        <w:t xml:space="preserve">   </w:t>
      </w:r>
      <w:r>
        <w:rPr>
          <w:rFonts w:hint="eastAsia" w:ascii="Times New Roman" w:hAnsi="Times New Roman" w:eastAsia="宋体" w:cs="Times New Roman"/>
          <w:b/>
          <w:color w:val="auto"/>
          <w:sz w:val="48"/>
          <w:szCs w:val="48"/>
          <w:highlight w:val="none"/>
        </w:rPr>
        <w:t>录</w:t>
      </w:r>
    </w:p>
    <w:p w14:paraId="531988AE">
      <w:pPr>
        <w:pStyle w:val="20"/>
        <w:tabs>
          <w:tab w:val="right" w:leader="dot" w:pos="9637"/>
        </w:tabs>
        <w:rPr>
          <w:color w:val="auto"/>
          <w:highlight w:val="none"/>
        </w:rPr>
      </w:pPr>
    </w:p>
    <w:p w14:paraId="00229B44">
      <w:pPr>
        <w:pStyle w:val="20"/>
        <w:tabs>
          <w:tab w:val="right" w:leader="dot" w:pos="9637"/>
        </w:tabs>
        <w:rPr>
          <w:rFonts w:hint="eastAsia" w:ascii="宋体" w:hAnsi="宋体" w:eastAsia="宋体" w:cs="宋体"/>
          <w:color w:val="auto"/>
          <w:sz w:val="24"/>
          <w:szCs w:val="24"/>
          <w:highlight w:val="none"/>
        </w:rPr>
      </w:pPr>
      <w:r>
        <w:rPr>
          <w:color w:val="auto"/>
          <w:highlight w:val="none"/>
        </w:rPr>
        <w:fldChar w:fldCharType="begin"/>
      </w:r>
      <w:r>
        <w:rPr>
          <w:color w:val="auto"/>
          <w:highlight w:val="none"/>
        </w:rPr>
        <w:instrText xml:space="preserve">TOC \o "1-1" \h \u </w:instrText>
      </w:r>
      <w:r>
        <w:rPr>
          <w:color w:val="auto"/>
          <w:highlight w:val="none"/>
        </w:rPr>
        <w:fldChar w:fldCharType="separate"/>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_Toc16222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第一章  招标公告</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_Toc16222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5E11A081">
      <w:pPr>
        <w:pStyle w:val="20"/>
        <w:tabs>
          <w:tab w:val="right" w:leader="dot" w:pos="9637"/>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_Toc8382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第二章  采购需求</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_Toc8382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1D6FEB2E">
      <w:pPr>
        <w:pStyle w:val="20"/>
        <w:tabs>
          <w:tab w:val="right" w:leader="dot" w:pos="9637"/>
        </w:tabs>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_Toc15364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第三章  投标人须知</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fldChar w:fldCharType="end"/>
      </w:r>
      <w:r>
        <w:rPr>
          <w:rFonts w:hint="eastAsia" w:ascii="宋体" w:hAnsi="宋体" w:cs="宋体"/>
          <w:color w:val="auto"/>
          <w:sz w:val="24"/>
          <w:szCs w:val="24"/>
          <w:highlight w:val="none"/>
          <w:lang w:val="en-US" w:eastAsia="zh-CN"/>
        </w:rPr>
        <w:t>0</w:t>
      </w:r>
    </w:p>
    <w:p w14:paraId="16693EDC">
      <w:pPr>
        <w:pStyle w:val="20"/>
        <w:tabs>
          <w:tab w:val="right" w:leader="dot" w:pos="9637"/>
        </w:tabs>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_Toc10034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xml:space="preserve">第四章  </w:t>
      </w:r>
      <w:r>
        <w:rPr>
          <w:rFonts w:hint="eastAsia" w:ascii="宋体" w:hAnsi="宋体" w:eastAsia="宋体" w:cs="宋体"/>
          <w:color w:val="auto"/>
          <w:sz w:val="24"/>
          <w:szCs w:val="24"/>
          <w:highlight w:val="none"/>
          <w:lang w:eastAsia="zh-CN"/>
        </w:rPr>
        <w:t>评标方法和评标标准</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fldChar w:fldCharType="end"/>
      </w:r>
      <w:r>
        <w:rPr>
          <w:rFonts w:hint="eastAsia" w:ascii="宋体" w:hAnsi="宋体" w:cs="宋体"/>
          <w:color w:val="auto"/>
          <w:sz w:val="24"/>
          <w:szCs w:val="24"/>
          <w:highlight w:val="none"/>
          <w:lang w:val="en-US" w:eastAsia="zh-CN"/>
        </w:rPr>
        <w:t>1</w:t>
      </w:r>
    </w:p>
    <w:p w14:paraId="5690BA72">
      <w:pPr>
        <w:pStyle w:val="20"/>
        <w:tabs>
          <w:tab w:val="right" w:leader="dot" w:pos="9637"/>
        </w:tabs>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_Toc32021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第五章 拟签订的合同文本</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fldChar w:fldCharType="end"/>
      </w:r>
      <w:r>
        <w:rPr>
          <w:rFonts w:hint="eastAsia" w:ascii="宋体" w:hAnsi="宋体" w:cs="宋体"/>
          <w:color w:val="auto"/>
          <w:sz w:val="24"/>
          <w:szCs w:val="24"/>
          <w:highlight w:val="none"/>
          <w:lang w:val="en-US" w:eastAsia="zh-CN"/>
        </w:rPr>
        <w:t>0</w:t>
      </w:r>
    </w:p>
    <w:p w14:paraId="3514B22E">
      <w:pPr>
        <w:pStyle w:val="20"/>
        <w:tabs>
          <w:tab w:val="right" w:leader="dot" w:pos="9637"/>
        </w:tabs>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_Toc2517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第六章 投标文件格式</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fldChar w:fldCharType="end"/>
      </w:r>
      <w:r>
        <w:rPr>
          <w:rFonts w:hint="eastAsia" w:ascii="宋体" w:hAnsi="宋体" w:cs="宋体"/>
          <w:color w:val="auto"/>
          <w:sz w:val="24"/>
          <w:szCs w:val="24"/>
          <w:highlight w:val="none"/>
          <w:lang w:val="en-US" w:eastAsia="zh-CN"/>
        </w:rPr>
        <w:t>9</w:t>
      </w:r>
    </w:p>
    <w:p w14:paraId="145F0D94">
      <w:pPr>
        <w:pStyle w:val="20"/>
        <w:tabs>
          <w:tab w:val="right" w:leader="dot" w:pos="9637"/>
        </w:tabs>
        <w:rPr>
          <w:rFonts w:hint="eastAsia" w:eastAsia="宋体"/>
          <w:color w:val="auto"/>
          <w:highlight w:val="none"/>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_Toc31310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第七章 质疑、投诉材料格式</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fldChar w:fldCharType="end"/>
      </w:r>
      <w:r>
        <w:rPr>
          <w:rFonts w:hint="eastAsia" w:ascii="宋体" w:hAnsi="宋体" w:cs="宋体"/>
          <w:color w:val="auto"/>
          <w:sz w:val="24"/>
          <w:szCs w:val="24"/>
          <w:highlight w:val="none"/>
          <w:lang w:val="en-US" w:eastAsia="zh-CN"/>
        </w:rPr>
        <w:t>8</w:t>
      </w:r>
    </w:p>
    <w:p w14:paraId="17BF190E">
      <w:pPr>
        <w:pStyle w:val="16"/>
        <w:jc w:val="center"/>
        <w:rPr>
          <w:rFonts w:hint="eastAsia" w:eastAsia="宋体" w:cs="Times New Roman"/>
          <w:color w:val="auto"/>
          <w:highlight w:val="none"/>
        </w:rPr>
      </w:pPr>
      <w:r>
        <w:rPr>
          <w:color w:val="auto"/>
          <w:highlight w:val="none"/>
        </w:rPr>
        <w:fldChar w:fldCharType="end"/>
      </w:r>
      <w:bookmarkStart w:id="0" w:name="_Toc532545041"/>
    </w:p>
    <w:p w14:paraId="39C87961">
      <w:pPr>
        <w:rPr>
          <w:rFonts w:hint="eastAsia" w:eastAsia="宋体" w:cs="Times New Roman"/>
          <w:color w:val="auto"/>
          <w:highlight w:val="none"/>
        </w:rPr>
      </w:pPr>
      <w:r>
        <w:rPr>
          <w:rFonts w:hint="eastAsia" w:eastAsia="宋体" w:cs="Times New Roman"/>
          <w:color w:val="auto"/>
          <w:highlight w:val="none"/>
        </w:rPr>
        <w:br w:type="page"/>
      </w:r>
    </w:p>
    <w:p w14:paraId="76F0185F">
      <w:pPr>
        <w:pStyle w:val="16"/>
        <w:jc w:val="center"/>
        <w:outlineLvl w:val="0"/>
        <w:rPr>
          <w:rFonts w:hint="eastAsia" w:ascii="Times New Roman" w:hAnsi="Times New Roman" w:eastAsia="宋体" w:cs="Times New Roman"/>
          <w:b/>
          <w:color w:val="auto"/>
          <w:sz w:val="36"/>
          <w:szCs w:val="20"/>
          <w:highlight w:val="none"/>
        </w:rPr>
      </w:pPr>
      <w:bookmarkStart w:id="1" w:name="_Toc16222"/>
      <w:bookmarkStart w:id="2" w:name="_Toc20258"/>
      <w:bookmarkStart w:id="3" w:name="_Toc184"/>
      <w:bookmarkStart w:id="4" w:name="_Toc9949"/>
      <w:bookmarkStart w:id="5" w:name="_Toc18459"/>
      <w:bookmarkStart w:id="6" w:name="_Toc18707"/>
      <w:bookmarkStart w:id="7" w:name="_Toc8345"/>
      <w:bookmarkStart w:id="8" w:name="_Toc11500"/>
      <w:bookmarkStart w:id="9" w:name="_Toc12228"/>
      <w:bookmarkStart w:id="10" w:name="_Toc19537"/>
      <w:bookmarkStart w:id="11" w:name="_Toc16576"/>
      <w:r>
        <w:rPr>
          <w:rFonts w:hint="eastAsia" w:ascii="Times New Roman" w:hAnsi="Times New Roman" w:eastAsia="宋体" w:cs="Times New Roman"/>
          <w:b/>
          <w:color w:val="auto"/>
          <w:sz w:val="36"/>
          <w:highlight w:val="none"/>
        </w:rPr>
        <w:t>第一章</w:t>
      </w:r>
      <w:r>
        <w:rPr>
          <w:rFonts w:ascii="Times New Roman" w:hAnsi="Times New Roman" w:eastAsia="宋体" w:cs="Times New Roman"/>
          <w:b/>
          <w:color w:val="auto"/>
          <w:sz w:val="36"/>
          <w:highlight w:val="none"/>
        </w:rPr>
        <w:t xml:space="preserve">  </w:t>
      </w:r>
      <w:r>
        <w:rPr>
          <w:rFonts w:hint="eastAsia" w:ascii="Times New Roman" w:hAnsi="Times New Roman" w:eastAsia="宋体" w:cs="Times New Roman"/>
          <w:b/>
          <w:color w:val="auto"/>
          <w:sz w:val="36"/>
          <w:highlight w:val="none"/>
        </w:rPr>
        <w:t>招标公告</w:t>
      </w:r>
      <w:bookmarkEnd w:id="0"/>
      <w:bookmarkEnd w:id="1"/>
      <w:bookmarkEnd w:id="2"/>
      <w:bookmarkEnd w:id="3"/>
      <w:bookmarkEnd w:id="4"/>
      <w:bookmarkEnd w:id="5"/>
      <w:bookmarkEnd w:id="6"/>
      <w:bookmarkEnd w:id="7"/>
      <w:bookmarkEnd w:id="8"/>
      <w:bookmarkEnd w:id="9"/>
      <w:bookmarkEnd w:id="10"/>
      <w:bookmarkEnd w:id="11"/>
    </w:p>
    <w:p w14:paraId="0A0431EC">
      <w:pPr>
        <w:pStyle w:val="16"/>
        <w:jc w:val="center"/>
        <w:rPr>
          <w:rFonts w:hint="eastAsia" w:ascii="Times New Roman" w:hAnsi="Times New Roman" w:eastAsia="宋体" w:cs="Times New Roman"/>
          <w:b/>
          <w:color w:val="auto"/>
          <w:sz w:val="30"/>
          <w:szCs w:val="30"/>
          <w:highlight w:val="none"/>
        </w:rPr>
      </w:pPr>
    </w:p>
    <w:p w14:paraId="141DA622">
      <w:pPr>
        <w:pStyle w:val="16"/>
        <w:jc w:val="center"/>
        <w:rPr>
          <w:rFonts w:hint="eastAsia" w:ascii="Times New Roman" w:hAnsi="Times New Roman" w:eastAsia="宋体" w:cs="Times New Roman"/>
          <w:b/>
          <w:color w:val="auto"/>
          <w:sz w:val="30"/>
          <w:szCs w:val="30"/>
          <w:highlight w:val="none"/>
        </w:rPr>
      </w:pPr>
      <w:r>
        <w:rPr>
          <w:rFonts w:hint="eastAsia" w:ascii="Times New Roman" w:hAnsi="Times New Roman" w:cs="Times New Roman"/>
          <w:b/>
          <w:color w:val="auto"/>
          <w:sz w:val="30"/>
          <w:szCs w:val="30"/>
          <w:highlight w:val="none"/>
          <w:lang w:eastAsia="zh-CN"/>
        </w:rPr>
        <w:t>桂平市西山镇中心小学等18个学校食堂普通餐食品原材料联合采购配送服务项目公开</w:t>
      </w:r>
      <w:r>
        <w:rPr>
          <w:rFonts w:hint="eastAsia" w:ascii="Times New Roman" w:hAnsi="Times New Roman" w:eastAsia="宋体" w:cs="Times New Roman"/>
          <w:b/>
          <w:color w:val="auto"/>
          <w:sz w:val="30"/>
          <w:szCs w:val="30"/>
          <w:highlight w:val="none"/>
        </w:rPr>
        <w:t>招标公告</w:t>
      </w:r>
    </w:p>
    <w:p w14:paraId="72D6FEDF">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项目概况</w:t>
      </w:r>
    </w:p>
    <w:p w14:paraId="2B08C73F">
      <w:pPr>
        <w:pBdr>
          <w:top w:val="single" w:color="auto" w:sz="4" w:space="1"/>
          <w:left w:val="single" w:color="auto" w:sz="4" w:space="4"/>
          <w:bottom w:val="single" w:color="auto" w:sz="4" w:space="1"/>
          <w:right w:val="single" w:color="auto" w:sz="4" w:space="4"/>
        </w:pBdr>
        <w:spacing w:line="360" w:lineRule="auto"/>
        <w:ind w:firstLine="525" w:firstLineChars="250"/>
        <w:rPr>
          <w:rFonts w:hint="eastAsia" w:ascii="宋体" w:hAnsi="宋体" w:eastAsia="宋体" w:cs="宋体"/>
          <w:color w:val="auto"/>
          <w:sz w:val="21"/>
          <w:szCs w:val="21"/>
          <w:highlight w:val="none"/>
          <w:u w:val="single"/>
        </w:rPr>
      </w:pPr>
      <w:r>
        <w:rPr>
          <w:rFonts w:hint="eastAsia" w:ascii="宋体" w:hAnsi="宋体" w:cs="宋体"/>
          <w:color w:val="auto"/>
          <w:kern w:val="0"/>
          <w:szCs w:val="21"/>
          <w:highlight w:val="none"/>
          <w:u w:val="single"/>
          <w:lang w:eastAsia="zh-CN"/>
        </w:rPr>
        <w:t>桂平市西山镇中心小学等18个学校食堂普通餐食品原材料联合采购配送服务项目</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招标项目的潜在投标人应在</w:t>
      </w:r>
      <w:r>
        <w:rPr>
          <w:rFonts w:hint="eastAsia" w:ascii="宋体" w:hAnsi="宋体" w:cs="宋体"/>
          <w:color w:val="auto"/>
          <w:kern w:val="0"/>
          <w:szCs w:val="21"/>
          <w:highlight w:val="none"/>
          <w:u w:val="single"/>
          <w:lang w:val="en-US" w:eastAsia="zh-CN"/>
        </w:rPr>
        <w:t>广西政府采购云平台</w:t>
      </w:r>
      <w:r>
        <w:rPr>
          <w:rFonts w:hint="eastAsia" w:ascii="宋体" w:hAnsi="宋体" w:cs="宋体"/>
          <w:color w:val="auto"/>
          <w:kern w:val="0"/>
          <w:szCs w:val="21"/>
          <w:highlight w:val="none"/>
          <w:u w:val="single"/>
          <w:lang w:eastAsia="zh-CN"/>
        </w:rPr>
        <w:t>（https://www.gcy.zfcg.gxzf.gov.cn/）</w:t>
      </w:r>
      <w:r>
        <w:rPr>
          <w:rFonts w:hint="eastAsia" w:ascii="宋体" w:hAnsi="宋体" w:eastAsia="宋体" w:cs="宋体"/>
          <w:color w:val="auto"/>
          <w:sz w:val="21"/>
          <w:szCs w:val="21"/>
          <w:highlight w:val="none"/>
        </w:rPr>
        <w:t>获取招标文件，并于</w:t>
      </w:r>
      <w:bookmarkStart w:id="12" w:name="PO_3000001867_PM015"/>
      <w:bookmarkStart w:id="13" w:name="PO_3000001866_PM015"/>
      <w:r>
        <w:rPr>
          <w:rFonts w:hint="eastAsia" w:ascii="宋体" w:hAnsi="宋体" w:cs="宋体"/>
          <w:color w:val="auto"/>
          <w:szCs w:val="21"/>
          <w:highlight w:val="none"/>
          <w:u w:val="single"/>
          <w:lang w:val="en-US" w:eastAsia="zh-CN"/>
        </w:rPr>
        <w:t>2025</w:t>
      </w:r>
      <w:r>
        <w:rPr>
          <w:rFonts w:hint="eastAsia" w:ascii="宋体" w:hAnsi="宋体" w:cs="宋体"/>
          <w:color w:val="auto"/>
          <w:szCs w:val="21"/>
          <w:highlight w:val="none"/>
          <w:u w:val="single"/>
        </w:rPr>
        <w:t>年</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12</w:t>
      </w:r>
      <w:r>
        <w:rPr>
          <w:rFonts w:hint="eastAsia" w:ascii="宋体" w:hAnsi="宋体" w:cs="宋体"/>
          <w:color w:val="auto"/>
          <w:szCs w:val="21"/>
          <w:highlight w:val="none"/>
          <w:u w:val="single"/>
        </w:rPr>
        <w:t>日</w:t>
      </w:r>
      <w:r>
        <w:rPr>
          <w:rFonts w:hint="eastAsia" w:ascii="宋体" w:hAnsi="宋体" w:cs="宋体"/>
          <w:color w:val="auto"/>
          <w:szCs w:val="21"/>
          <w:highlight w:val="none"/>
          <w:u w:val="single"/>
          <w:lang w:val="en-US" w:eastAsia="zh-CN"/>
        </w:rPr>
        <w:t>09</w:t>
      </w:r>
      <w:r>
        <w:rPr>
          <w:rFonts w:hint="eastAsia" w:ascii="宋体" w:hAnsi="宋体" w:cs="宋体"/>
          <w:color w:val="auto"/>
          <w:szCs w:val="21"/>
          <w:highlight w:val="none"/>
          <w:u w:val="single"/>
          <w:lang w:eastAsia="zh-CN"/>
        </w:rPr>
        <w:t>点</w:t>
      </w:r>
      <w:r>
        <w:rPr>
          <w:rFonts w:hint="eastAsia" w:ascii="宋体" w:hAnsi="宋体" w:cs="宋体"/>
          <w:color w:val="auto"/>
          <w:szCs w:val="21"/>
          <w:highlight w:val="none"/>
          <w:u w:val="single"/>
          <w:lang w:val="en-US" w:eastAsia="zh-CN"/>
        </w:rPr>
        <w:t>00分</w:t>
      </w:r>
      <w:bookmarkEnd w:id="12"/>
      <w:bookmarkEnd w:id="13"/>
      <w:r>
        <w:rPr>
          <w:rFonts w:hint="eastAsia" w:ascii="宋体" w:hAnsi="宋体" w:eastAsia="宋体" w:cs="宋体"/>
          <w:bCs/>
          <w:color w:val="auto"/>
          <w:sz w:val="21"/>
          <w:szCs w:val="21"/>
          <w:highlight w:val="none"/>
        </w:rPr>
        <w:t>（北京时间）前</w:t>
      </w:r>
      <w:r>
        <w:rPr>
          <w:rFonts w:hint="eastAsia" w:ascii="宋体" w:hAnsi="宋体" w:eastAsia="宋体" w:cs="宋体"/>
          <w:color w:val="auto"/>
          <w:sz w:val="21"/>
          <w:szCs w:val="21"/>
          <w:highlight w:val="none"/>
        </w:rPr>
        <w:t>递交投标文件。</w:t>
      </w:r>
    </w:p>
    <w:p w14:paraId="1543A064">
      <w:pPr>
        <w:spacing w:line="360" w:lineRule="auto"/>
        <w:rPr>
          <w:rFonts w:hint="eastAsia" w:ascii="黑体" w:hAnsi="黑体" w:eastAsia="黑体" w:cs="Times New Roman"/>
          <w:b/>
          <w:bCs/>
          <w:color w:val="auto"/>
          <w:sz w:val="24"/>
          <w:highlight w:val="none"/>
        </w:rPr>
      </w:pPr>
      <w:bookmarkStart w:id="14" w:name="_Toc28359079"/>
      <w:bookmarkStart w:id="15" w:name="_Toc35393790"/>
      <w:bookmarkStart w:id="16" w:name="_Toc35393621"/>
      <w:bookmarkStart w:id="17" w:name="_Toc28359002"/>
      <w:bookmarkStart w:id="18" w:name="_Hlk24379207"/>
      <w:r>
        <w:rPr>
          <w:rFonts w:hint="eastAsia" w:ascii="黑体" w:hAnsi="黑体" w:eastAsia="黑体" w:cs="Times New Roman"/>
          <w:b/>
          <w:bCs/>
          <w:color w:val="auto"/>
          <w:sz w:val="24"/>
          <w:highlight w:val="none"/>
        </w:rPr>
        <w:t>一、项目基本情况</w:t>
      </w:r>
      <w:bookmarkEnd w:id="14"/>
      <w:bookmarkEnd w:id="15"/>
      <w:bookmarkEnd w:id="16"/>
      <w:bookmarkEnd w:id="17"/>
    </w:p>
    <w:p w14:paraId="6BA72A34">
      <w:pPr>
        <w:spacing w:line="360" w:lineRule="auto"/>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b w:val="0"/>
          <w:bCs w:val="0"/>
          <w:color w:val="auto"/>
          <w:szCs w:val="21"/>
          <w:highlight w:val="none"/>
        </w:rPr>
        <w:t>项目编号：</w:t>
      </w:r>
      <w:r>
        <w:rPr>
          <w:rFonts w:hint="eastAsia" w:ascii="宋体" w:hAnsi="宋体" w:cs="Times New Roman"/>
          <w:b w:val="0"/>
          <w:bCs w:val="0"/>
          <w:color w:val="auto"/>
          <w:szCs w:val="21"/>
          <w:highlight w:val="none"/>
          <w:lang w:eastAsia="zh-CN"/>
        </w:rPr>
        <w:t>GGZC2025-G3-810033-JGJD</w:t>
      </w:r>
    </w:p>
    <w:p w14:paraId="22911306">
      <w:pPr>
        <w:spacing w:line="360" w:lineRule="auto"/>
        <w:ind w:firstLine="420" w:firstLineChars="200"/>
        <w:rPr>
          <w:rFonts w:hint="eastAsia" w:ascii="宋体" w:hAnsi="宋体" w:cs="Times New Roman"/>
          <w:color w:val="auto"/>
          <w:szCs w:val="21"/>
          <w:highlight w:val="none"/>
          <w:u w:val="none"/>
          <w:lang w:val="en-US" w:eastAsia="zh-CN"/>
        </w:rPr>
      </w:pPr>
      <w:r>
        <w:rPr>
          <w:rFonts w:hint="eastAsia" w:ascii="宋体" w:hAnsi="宋体" w:eastAsia="宋体" w:cs="Times New Roman"/>
          <w:b w:val="0"/>
          <w:bCs w:val="0"/>
          <w:color w:val="auto"/>
          <w:szCs w:val="21"/>
          <w:highlight w:val="none"/>
        </w:rPr>
        <w:t>项目名称：</w:t>
      </w:r>
      <w:bookmarkEnd w:id="18"/>
      <w:r>
        <w:rPr>
          <w:rFonts w:hint="eastAsia" w:ascii="宋体" w:hAnsi="宋体" w:cs="宋体"/>
          <w:color w:val="auto"/>
          <w:kern w:val="0"/>
          <w:szCs w:val="21"/>
          <w:highlight w:val="none"/>
          <w:u w:val="none"/>
          <w:lang w:eastAsia="zh-CN"/>
        </w:rPr>
        <w:t>桂平市西山镇中心小学等18个学校食堂普通餐食品原材料联合采购配送服务项目</w:t>
      </w:r>
    </w:p>
    <w:p w14:paraId="27E8503A">
      <w:pPr>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eastAsia="宋体" w:cs="Times New Roman"/>
          <w:b w:val="0"/>
          <w:bCs w:val="0"/>
          <w:color w:val="auto"/>
          <w:szCs w:val="21"/>
          <w:highlight w:val="none"/>
        </w:rPr>
        <w:t>预算金额：人民币</w:t>
      </w:r>
      <w:r>
        <w:rPr>
          <w:rFonts w:hint="eastAsia" w:ascii="宋体" w:hAnsi="宋体" w:cs="Times New Roman"/>
          <w:b w:val="0"/>
          <w:bCs w:val="0"/>
          <w:color w:val="auto"/>
          <w:szCs w:val="21"/>
          <w:highlight w:val="none"/>
          <w:lang w:val="en-US" w:eastAsia="zh-CN"/>
        </w:rPr>
        <w:t>叁仟陆佰肆拾万元整（¥36400000.00）</w:t>
      </w:r>
    </w:p>
    <w:p w14:paraId="789EDEEA">
      <w:pPr>
        <w:spacing w:line="360" w:lineRule="auto"/>
        <w:ind w:firstLine="420" w:firstLineChars="200"/>
        <w:rPr>
          <w:rFonts w:hint="default" w:ascii="宋体" w:hAnsi="宋体" w:eastAsia="宋体" w:cs="Times New Roman"/>
          <w:color w:val="auto"/>
          <w:szCs w:val="21"/>
          <w:highlight w:val="none"/>
          <w:u w:val="single"/>
          <w:lang w:val="en-US" w:eastAsia="zh-CN"/>
        </w:rPr>
      </w:pPr>
      <w:r>
        <w:rPr>
          <w:rFonts w:hint="eastAsia" w:ascii="宋体" w:hAnsi="宋体" w:eastAsia="宋体" w:cs="Times New Roman"/>
          <w:b w:val="0"/>
          <w:bCs w:val="0"/>
          <w:color w:val="auto"/>
          <w:szCs w:val="21"/>
          <w:highlight w:val="none"/>
          <w:lang w:eastAsia="zh-CN"/>
        </w:rPr>
        <w:t>最高限价（如有）：</w:t>
      </w:r>
      <w:r>
        <w:rPr>
          <w:rFonts w:hint="eastAsia" w:ascii="宋体" w:hAnsi="宋体" w:cs="Times New Roman"/>
          <w:b w:val="0"/>
          <w:bCs w:val="0"/>
          <w:color w:val="auto"/>
          <w:szCs w:val="21"/>
          <w:highlight w:val="none"/>
          <w:lang w:val="en-US" w:eastAsia="zh-CN"/>
        </w:rPr>
        <w:t>/</w:t>
      </w:r>
    </w:p>
    <w:p w14:paraId="1505B291">
      <w:pPr>
        <w:spacing w:line="360" w:lineRule="auto"/>
        <w:ind w:firstLine="420" w:firstLineChars="200"/>
        <w:rPr>
          <w:rFonts w:hint="eastAsia" w:ascii="宋体" w:hAnsi="宋体" w:cs="宋体"/>
          <w:color w:val="auto"/>
          <w:kern w:val="0"/>
          <w:szCs w:val="21"/>
          <w:highlight w:val="none"/>
          <w:u w:val="none"/>
          <w:lang w:val="en-US" w:eastAsia="zh-CN"/>
        </w:rPr>
      </w:pPr>
      <w:r>
        <w:rPr>
          <w:rFonts w:hint="eastAsia" w:ascii="宋体" w:hAnsi="宋体" w:cs="Times New Roman"/>
          <w:color w:val="auto"/>
          <w:szCs w:val="21"/>
          <w:highlight w:val="none"/>
          <w:lang w:val="en-US" w:eastAsia="zh-CN"/>
        </w:rPr>
        <w:t>采购需求：学校食堂普通餐食品原材料联合采购配送服务项目主要包括（包括但不限于以下品种）：大米，花生油，猪肉、牛肉，鸡肉、鸭肉等生鲜肉类，</w:t>
      </w:r>
      <w:r>
        <w:rPr>
          <w:rFonts w:hint="eastAsia"/>
          <w:color w:val="auto"/>
          <w:spacing w:val="-3"/>
          <w:szCs w:val="21"/>
          <w:highlight w:val="none"/>
        </w:rPr>
        <w:t>鲜活水产类</w:t>
      </w:r>
      <w:r>
        <w:rPr>
          <w:rFonts w:hint="eastAsia" w:ascii="宋体" w:hAnsi="宋体" w:cs="Times New Roman"/>
          <w:color w:val="auto"/>
          <w:szCs w:val="21"/>
          <w:highlight w:val="none"/>
          <w:lang w:val="en-US" w:eastAsia="zh-CN"/>
        </w:rPr>
        <w:t>，禽蛋类，调味品、干杂货食品，豆制品，奶制品，蔬菜类，面包、糕点类，粉类，水果类等。每种食品原材料均按学校要求提供六种以上质优价廉的产品供学校选购（花生油要求提供三种以上品牌供学校选购）。招标采用统招分签方式进行采购，</w:t>
      </w:r>
      <w:r>
        <w:rPr>
          <w:rFonts w:hint="eastAsia" w:ascii="宋体" w:hAnsi="宋体" w:cs="Times New Roman"/>
          <w:b w:val="0"/>
          <w:bCs w:val="0"/>
          <w:color w:val="auto"/>
          <w:szCs w:val="21"/>
          <w:highlight w:val="none"/>
          <w:lang w:val="en-US" w:eastAsia="zh-CN"/>
        </w:rPr>
        <w:t>桂平市西山镇厢东小学、桂平市西山镇城南小学、桂平市西山镇城西小学、桂平市西山镇思灵小学、桂平市西山镇新岗小学、桂平市西山镇岭头中心小学、桂平市西山镇岭头中心小学莲塘分校、桂平市西山镇大起小学、桂平市西山镇大起小学施村分校、桂平市西山镇白兰小学、桂平市西山镇永培小学、桂平市西山镇永培小学全村分校、桂平市西山镇永培小学永江分校、桂平市西山镇永培小学永扬分校、桂平市西山镇中心幼儿园、桂平市西山镇中心幼儿园思灵分园、桂平市西山镇中心幼儿园城西分园</w:t>
      </w:r>
      <w:r>
        <w:rPr>
          <w:rFonts w:hint="eastAsia" w:ascii="宋体" w:hAnsi="宋体" w:cs="Times New Roman"/>
          <w:color w:val="auto"/>
          <w:szCs w:val="21"/>
          <w:highlight w:val="none"/>
          <w:lang w:val="en-US" w:eastAsia="zh-CN"/>
        </w:rPr>
        <w:t>委托</w:t>
      </w:r>
      <w:r>
        <w:rPr>
          <w:rFonts w:hint="eastAsia" w:ascii="宋体" w:hAnsi="宋体" w:cs="Times New Roman"/>
          <w:b w:val="0"/>
          <w:bCs w:val="0"/>
          <w:color w:val="auto"/>
          <w:szCs w:val="21"/>
          <w:highlight w:val="none"/>
          <w:lang w:val="en-US" w:eastAsia="zh-CN"/>
        </w:rPr>
        <w:t>桂平市西山镇中心小学</w:t>
      </w:r>
      <w:r>
        <w:rPr>
          <w:rFonts w:hint="eastAsia" w:ascii="宋体" w:hAnsi="宋体" w:cs="Times New Roman"/>
          <w:color w:val="auto"/>
          <w:szCs w:val="21"/>
          <w:highlight w:val="none"/>
          <w:lang w:val="en-US" w:eastAsia="zh-CN"/>
        </w:rPr>
        <w:t>办理本项目招标程序，</w:t>
      </w:r>
      <w:r>
        <w:rPr>
          <w:rFonts w:hint="eastAsia" w:ascii="宋体" w:hAnsi="宋体" w:cs="Times New Roman"/>
          <w:b w:val="0"/>
          <w:bCs w:val="0"/>
          <w:color w:val="auto"/>
          <w:szCs w:val="21"/>
          <w:highlight w:val="none"/>
          <w:lang w:val="en-US" w:eastAsia="zh-CN"/>
        </w:rPr>
        <w:t>18所学校</w:t>
      </w:r>
      <w:r>
        <w:rPr>
          <w:rFonts w:hint="eastAsia" w:ascii="宋体" w:hAnsi="宋体" w:cs="Times New Roman"/>
          <w:color w:val="auto"/>
          <w:szCs w:val="21"/>
          <w:highlight w:val="none"/>
          <w:lang w:val="en-US" w:eastAsia="zh-CN"/>
        </w:rPr>
        <w:t>分别与中标人签订合同、付款。如需进一步了解详细内容，详见招标文件。</w:t>
      </w:r>
    </w:p>
    <w:p w14:paraId="1F0E7DCE">
      <w:pPr>
        <w:spacing w:line="360" w:lineRule="auto"/>
        <w:ind w:firstLine="420" w:firstLineChars="200"/>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合同履</w:t>
      </w:r>
      <w:r>
        <w:rPr>
          <w:rFonts w:hint="eastAsia" w:ascii="宋体" w:hAnsi="宋体" w:cs="Times New Roman"/>
          <w:color w:val="auto"/>
          <w:szCs w:val="21"/>
          <w:highlight w:val="none"/>
          <w:lang w:eastAsia="zh-CN"/>
        </w:rPr>
        <w:t>行</w:t>
      </w:r>
      <w:r>
        <w:rPr>
          <w:rFonts w:hint="eastAsia" w:ascii="宋体" w:hAnsi="宋体" w:eastAsia="宋体" w:cs="Times New Roman"/>
          <w:color w:val="auto"/>
          <w:szCs w:val="21"/>
          <w:highlight w:val="none"/>
          <w:lang w:eastAsia="zh-CN"/>
        </w:rPr>
        <w:t>期限：</w:t>
      </w:r>
      <w:r>
        <w:rPr>
          <w:rFonts w:hint="eastAsia" w:ascii="宋体" w:hAnsi="宋体" w:cs="宋体"/>
          <w:bCs/>
          <w:color w:val="auto"/>
          <w:szCs w:val="21"/>
          <w:highlight w:val="none"/>
          <w:lang w:eastAsia="zh-CN"/>
        </w:rPr>
        <w:t>自合同签订之日起2年（具体起止时间以签订合同为准）</w:t>
      </w:r>
      <w:r>
        <w:rPr>
          <w:rFonts w:hint="eastAsia" w:ascii="宋体" w:hAnsi="宋体" w:cs="宋体"/>
          <w:bCs/>
          <w:color w:val="auto"/>
          <w:szCs w:val="21"/>
          <w:highlight w:val="none"/>
        </w:rPr>
        <w:t>。</w:t>
      </w:r>
    </w:p>
    <w:p w14:paraId="2AF78B0E">
      <w:pPr>
        <w:spacing w:line="360" w:lineRule="auto"/>
        <w:ind w:firstLine="420" w:firstLineChars="200"/>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本</w:t>
      </w:r>
      <w:r>
        <w:rPr>
          <w:rFonts w:hint="eastAsia" w:ascii="宋体" w:hAnsi="宋体" w:cs="Times New Roman"/>
          <w:color w:val="auto"/>
          <w:szCs w:val="21"/>
          <w:highlight w:val="none"/>
          <w:lang w:eastAsia="zh-CN"/>
        </w:rPr>
        <w:t>项目不接受联合体</w:t>
      </w:r>
      <w:r>
        <w:rPr>
          <w:rFonts w:hint="eastAsia" w:ascii="宋体" w:hAnsi="宋体" w:eastAsia="宋体" w:cs="Times New Roman"/>
          <w:color w:val="auto"/>
          <w:szCs w:val="21"/>
          <w:highlight w:val="none"/>
          <w:lang w:eastAsia="zh-CN"/>
        </w:rPr>
        <w:t>投标</w:t>
      </w:r>
      <w:r>
        <w:rPr>
          <w:rFonts w:hint="eastAsia" w:ascii="宋体" w:hAnsi="宋体" w:cs="宋体"/>
          <w:color w:val="auto"/>
          <w:szCs w:val="21"/>
          <w:highlight w:val="none"/>
        </w:rPr>
        <w:t>。</w:t>
      </w:r>
    </w:p>
    <w:p w14:paraId="5E82A990">
      <w:pPr>
        <w:spacing w:line="360" w:lineRule="auto"/>
        <w:rPr>
          <w:rFonts w:hint="eastAsia" w:ascii="黑体" w:hAnsi="黑体" w:eastAsia="黑体" w:cs="Times New Roman"/>
          <w:b/>
          <w:bCs/>
          <w:color w:val="auto"/>
          <w:sz w:val="24"/>
          <w:highlight w:val="none"/>
        </w:rPr>
      </w:pPr>
      <w:bookmarkStart w:id="19" w:name="_Toc28359080"/>
      <w:bookmarkStart w:id="20" w:name="_Toc28359003"/>
      <w:bookmarkStart w:id="21" w:name="_Toc35393622"/>
      <w:bookmarkStart w:id="22" w:name="_Toc35393791"/>
      <w:r>
        <w:rPr>
          <w:rFonts w:hint="eastAsia" w:ascii="黑体" w:hAnsi="黑体" w:eastAsia="黑体" w:cs="Times New Roman"/>
          <w:b/>
          <w:bCs/>
          <w:color w:val="auto"/>
          <w:sz w:val="24"/>
          <w:highlight w:val="none"/>
        </w:rPr>
        <w:t>二、</w:t>
      </w:r>
      <w:r>
        <w:rPr>
          <w:rFonts w:hint="eastAsia" w:ascii="黑体" w:hAnsi="黑体" w:eastAsia="黑体" w:cs="Times New Roman"/>
          <w:b/>
          <w:bCs/>
          <w:color w:val="auto"/>
          <w:sz w:val="24"/>
          <w:highlight w:val="none"/>
          <w:lang w:eastAsia="zh-CN"/>
        </w:rPr>
        <w:t>申请</w:t>
      </w:r>
      <w:r>
        <w:rPr>
          <w:rFonts w:hint="eastAsia" w:ascii="黑体" w:hAnsi="黑体" w:eastAsia="黑体" w:cs="Times New Roman"/>
          <w:b/>
          <w:bCs/>
          <w:color w:val="auto"/>
          <w:sz w:val="24"/>
          <w:highlight w:val="none"/>
        </w:rPr>
        <w:t>人的资格要求：</w:t>
      </w:r>
      <w:bookmarkEnd w:id="19"/>
      <w:bookmarkEnd w:id="20"/>
      <w:bookmarkEnd w:id="21"/>
      <w:bookmarkEnd w:id="22"/>
    </w:p>
    <w:p w14:paraId="222497DB">
      <w:pPr>
        <w:spacing w:line="360" w:lineRule="auto"/>
        <w:ind w:firstLine="420" w:firstLineChars="200"/>
        <w:rPr>
          <w:rFonts w:hint="eastAsia" w:ascii="宋体" w:hAnsi="宋体" w:eastAsia="宋体" w:cs="Times New Roman"/>
          <w:color w:val="auto"/>
          <w:szCs w:val="21"/>
          <w:highlight w:val="none"/>
          <w:lang w:eastAsia="zh-CN"/>
        </w:rPr>
      </w:pPr>
      <w:bookmarkStart w:id="23" w:name="_Toc28359081"/>
      <w:bookmarkStart w:id="24" w:name="_Toc28359004"/>
      <w:r>
        <w:rPr>
          <w:rFonts w:hint="eastAsia" w:ascii="宋体" w:hAnsi="宋体" w:eastAsia="宋体" w:cs="Times New Roman"/>
          <w:color w:val="auto"/>
          <w:szCs w:val="21"/>
          <w:highlight w:val="none"/>
        </w:rPr>
        <w:t>1.满足《中华人民共和国政府采购法》第二十二条规定</w:t>
      </w:r>
      <w:r>
        <w:rPr>
          <w:rFonts w:hint="eastAsia" w:ascii="宋体" w:hAnsi="宋体" w:cs="Times New Roman"/>
          <w:color w:val="auto"/>
          <w:szCs w:val="21"/>
          <w:highlight w:val="none"/>
          <w:lang w:eastAsia="zh-CN"/>
        </w:rPr>
        <w:t>；</w:t>
      </w:r>
    </w:p>
    <w:p w14:paraId="118DF768">
      <w:pPr>
        <w:spacing w:line="360" w:lineRule="auto"/>
        <w:ind w:firstLine="420" w:firstLineChars="200"/>
        <w:rPr>
          <w:rFonts w:hint="eastAsia" w:ascii="宋体" w:hAnsi="宋体" w:eastAsia="宋体" w:cs="宋体"/>
          <w:i w:val="0"/>
          <w:iCs w:val="0"/>
          <w:color w:val="auto"/>
          <w:szCs w:val="21"/>
          <w:highlight w:val="none"/>
          <w:u w:val="single"/>
        </w:rPr>
      </w:pPr>
      <w:r>
        <w:rPr>
          <w:rFonts w:hint="eastAsia" w:ascii="宋体" w:hAnsi="宋体" w:eastAsia="宋体" w:cs="Times New Roman"/>
          <w:color w:val="auto"/>
          <w:szCs w:val="21"/>
          <w:highlight w:val="none"/>
        </w:rPr>
        <w:t>2.落实政府采购政策需满足的资格要求：</w:t>
      </w:r>
      <w:r>
        <w:rPr>
          <w:rFonts w:hint="eastAsia" w:ascii="宋体" w:hAnsi="宋体" w:cs="宋体"/>
          <w:i w:val="0"/>
          <w:iCs w:val="0"/>
          <w:color w:val="auto"/>
          <w:szCs w:val="21"/>
          <w:highlight w:val="none"/>
          <w:u w:val="single"/>
          <w:lang w:val="en-US" w:eastAsia="zh-CN"/>
        </w:rPr>
        <w:t>本项目为专门面向中小企业采购的项目。投标人必须提供中小企业声明函或者残疾人福利性单位声明函（格式后附）或者供应商属于监狱企业的需提供由省级以上监狱管理局、戒毒管理局（含新疆生产建设兵团）出具的属于监狱企业的证明文件。</w:t>
      </w:r>
      <w:r>
        <w:rPr>
          <w:rFonts w:hint="eastAsia" w:ascii="宋体" w:hAnsi="宋体" w:eastAsia="宋体" w:cs="宋体"/>
          <w:i w:val="0"/>
          <w:iCs w:val="0"/>
          <w:color w:val="auto"/>
          <w:szCs w:val="21"/>
          <w:highlight w:val="none"/>
          <w:u w:val="single"/>
        </w:rPr>
        <w:t>)</w:t>
      </w:r>
    </w:p>
    <w:p w14:paraId="31641E84">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3.本项目的特定资格要求：</w:t>
      </w:r>
      <w:r>
        <w:rPr>
          <w:rFonts w:hint="eastAsia" w:ascii="宋体" w:hAnsi="宋体" w:cs="宋体"/>
          <w:color w:val="auto"/>
          <w:szCs w:val="21"/>
          <w:highlight w:val="none"/>
        </w:rPr>
        <w:t>具备</w:t>
      </w:r>
      <w:r>
        <w:rPr>
          <w:rFonts w:hint="eastAsia" w:ascii="宋体" w:hAnsi="宋体" w:cs="宋体"/>
          <w:color w:val="auto"/>
          <w:szCs w:val="21"/>
          <w:highlight w:val="none"/>
          <w:lang w:eastAsia="zh-CN"/>
        </w:rPr>
        <w:t>相应有效</w:t>
      </w:r>
      <w:r>
        <w:rPr>
          <w:rFonts w:hint="eastAsia" w:ascii="宋体" w:hAnsi="宋体" w:cs="宋体"/>
          <w:color w:val="auto"/>
          <w:szCs w:val="21"/>
          <w:highlight w:val="none"/>
        </w:rPr>
        <w:t>的</w:t>
      </w:r>
      <w:r>
        <w:rPr>
          <w:rFonts w:hint="eastAsia" w:ascii="宋体" w:hAnsi="宋体" w:cs="宋体"/>
          <w:color w:val="auto"/>
          <w:szCs w:val="21"/>
          <w:highlight w:val="none"/>
          <w:lang w:val="en-US" w:eastAsia="zh-CN"/>
        </w:rPr>
        <w:t>《食品经营许可证》</w:t>
      </w:r>
      <w:r>
        <w:rPr>
          <w:rFonts w:hint="eastAsia" w:ascii="宋体" w:hAnsi="宋体" w:cs="宋体"/>
          <w:color w:val="auto"/>
          <w:szCs w:val="21"/>
          <w:highlight w:val="none"/>
          <w:lang w:eastAsia="zh-CN"/>
        </w:rPr>
        <w:t>。</w:t>
      </w:r>
    </w:p>
    <w:p w14:paraId="036464B1">
      <w:pPr>
        <w:spacing w:line="360" w:lineRule="auto"/>
        <w:rPr>
          <w:rFonts w:hint="eastAsia" w:ascii="黑体" w:hAnsi="黑体" w:eastAsia="黑体" w:cs="Times New Roman"/>
          <w:b/>
          <w:bCs/>
          <w:color w:val="auto"/>
          <w:sz w:val="24"/>
          <w:highlight w:val="none"/>
        </w:rPr>
      </w:pPr>
      <w:bookmarkStart w:id="25" w:name="_Toc35393623"/>
      <w:bookmarkStart w:id="26" w:name="_Toc35393792"/>
      <w:r>
        <w:rPr>
          <w:rFonts w:hint="eastAsia" w:ascii="黑体" w:hAnsi="黑体" w:eastAsia="黑体" w:cs="Times New Roman"/>
          <w:b/>
          <w:bCs/>
          <w:color w:val="auto"/>
          <w:sz w:val="24"/>
          <w:highlight w:val="none"/>
        </w:rPr>
        <w:t>三、获取招标文件</w:t>
      </w:r>
      <w:bookmarkEnd w:id="23"/>
      <w:bookmarkEnd w:id="24"/>
      <w:bookmarkEnd w:id="25"/>
      <w:bookmarkEnd w:id="26"/>
    </w:p>
    <w:p w14:paraId="6C5EEEE3">
      <w:pPr>
        <w:snapToGrid w:val="0"/>
        <w:spacing w:line="360" w:lineRule="auto"/>
        <w:ind w:firstLine="472" w:firstLineChars="225"/>
        <w:rPr>
          <w:rFonts w:hint="eastAsia" w:ascii="宋体" w:hAnsi="宋体" w:eastAsia="宋体" w:cs="Times New Roman"/>
          <w:color w:val="auto"/>
          <w:szCs w:val="21"/>
          <w:highlight w:val="none"/>
        </w:rPr>
      </w:pPr>
      <w:bookmarkStart w:id="27" w:name="_Toc28359082"/>
      <w:bookmarkStart w:id="28" w:name="_Toc28359005"/>
      <w:bookmarkStart w:id="29" w:name="_Toc35393793"/>
      <w:bookmarkStart w:id="30" w:name="_Toc35393624"/>
      <w:r>
        <w:rPr>
          <w:rFonts w:hint="eastAsia" w:ascii="宋体" w:hAnsi="宋体" w:eastAsia="宋体" w:cs="Times New Roman"/>
          <w:color w:val="auto"/>
          <w:szCs w:val="21"/>
          <w:highlight w:val="none"/>
        </w:rPr>
        <w:t>时间：</w:t>
      </w:r>
      <w:r>
        <w:rPr>
          <w:rFonts w:hint="eastAsia" w:ascii="宋体" w:hAnsi="宋体" w:cs="宋体"/>
          <w:bCs/>
          <w:color w:val="auto"/>
          <w:kern w:val="0"/>
          <w:szCs w:val="21"/>
          <w:highlight w:val="none"/>
          <w:u w:val="single"/>
          <w:lang w:val="en-US" w:eastAsia="zh-CN"/>
        </w:rPr>
        <w:t>2025</w:t>
      </w:r>
      <w:r>
        <w:rPr>
          <w:rFonts w:hint="eastAsia" w:ascii="宋体" w:hAnsi="宋体" w:cs="宋体"/>
          <w:bCs/>
          <w:color w:val="auto"/>
          <w:kern w:val="0"/>
          <w:szCs w:val="21"/>
          <w:highlight w:val="none"/>
          <w:u w:val="single"/>
        </w:rPr>
        <w:t>年</w:t>
      </w:r>
      <w:r>
        <w:rPr>
          <w:rFonts w:hint="eastAsia" w:ascii="宋体" w:hAnsi="宋体" w:cs="宋体"/>
          <w:bCs/>
          <w:color w:val="auto"/>
          <w:kern w:val="0"/>
          <w:szCs w:val="21"/>
          <w:highlight w:val="none"/>
          <w:u w:val="single"/>
          <w:lang w:val="en-US" w:eastAsia="zh-CN"/>
        </w:rPr>
        <w:t>4</w:t>
      </w:r>
      <w:r>
        <w:rPr>
          <w:rFonts w:hint="eastAsia" w:ascii="宋体" w:hAnsi="宋体" w:cs="宋体"/>
          <w:bCs/>
          <w:color w:val="auto"/>
          <w:kern w:val="0"/>
          <w:szCs w:val="21"/>
          <w:highlight w:val="none"/>
          <w:u w:val="single"/>
        </w:rPr>
        <w:t>月</w:t>
      </w:r>
      <w:r>
        <w:rPr>
          <w:rFonts w:hint="eastAsia" w:ascii="宋体" w:hAnsi="宋体" w:cs="宋体"/>
          <w:bCs/>
          <w:color w:val="auto"/>
          <w:kern w:val="0"/>
          <w:szCs w:val="21"/>
          <w:highlight w:val="none"/>
          <w:u w:val="single"/>
          <w:lang w:val="en-US" w:eastAsia="zh-CN"/>
        </w:rPr>
        <w:t>15</w:t>
      </w:r>
      <w:r>
        <w:rPr>
          <w:rFonts w:hint="eastAsia" w:ascii="宋体" w:hAnsi="宋体" w:cs="宋体"/>
          <w:bCs/>
          <w:color w:val="auto"/>
          <w:kern w:val="0"/>
          <w:szCs w:val="21"/>
          <w:highlight w:val="none"/>
          <w:u w:val="single"/>
        </w:rPr>
        <w:t>日</w:t>
      </w:r>
      <w:r>
        <w:rPr>
          <w:rFonts w:hint="eastAsia" w:ascii="宋体" w:hAnsi="宋体" w:cs="宋体"/>
          <w:bCs/>
          <w:color w:val="auto"/>
          <w:kern w:val="0"/>
          <w:szCs w:val="21"/>
          <w:highlight w:val="none"/>
        </w:rPr>
        <w:t>至</w:t>
      </w:r>
      <w:r>
        <w:rPr>
          <w:rFonts w:hint="eastAsia" w:ascii="宋体" w:hAnsi="宋体" w:cs="宋体"/>
          <w:bCs/>
          <w:color w:val="auto"/>
          <w:kern w:val="0"/>
          <w:szCs w:val="21"/>
          <w:highlight w:val="none"/>
          <w:u w:val="single"/>
          <w:lang w:val="en-US" w:eastAsia="zh-CN"/>
        </w:rPr>
        <w:t>2025</w:t>
      </w:r>
      <w:r>
        <w:rPr>
          <w:rFonts w:hint="eastAsia" w:ascii="宋体" w:hAnsi="宋体" w:cs="宋体"/>
          <w:bCs/>
          <w:color w:val="auto"/>
          <w:kern w:val="0"/>
          <w:szCs w:val="21"/>
          <w:highlight w:val="none"/>
          <w:u w:val="single"/>
        </w:rPr>
        <w:t>年</w:t>
      </w:r>
      <w:r>
        <w:rPr>
          <w:rFonts w:hint="eastAsia" w:ascii="宋体" w:hAnsi="宋体" w:cs="宋体"/>
          <w:bCs/>
          <w:color w:val="auto"/>
          <w:kern w:val="0"/>
          <w:szCs w:val="21"/>
          <w:highlight w:val="none"/>
          <w:u w:val="single"/>
          <w:lang w:val="en-US" w:eastAsia="zh-CN"/>
        </w:rPr>
        <w:t>4</w:t>
      </w:r>
      <w:r>
        <w:rPr>
          <w:rFonts w:hint="eastAsia" w:ascii="宋体" w:hAnsi="宋体" w:cs="宋体"/>
          <w:bCs/>
          <w:color w:val="auto"/>
          <w:kern w:val="0"/>
          <w:szCs w:val="21"/>
          <w:highlight w:val="none"/>
          <w:u w:val="single"/>
        </w:rPr>
        <w:t>月</w:t>
      </w:r>
      <w:r>
        <w:rPr>
          <w:rFonts w:hint="eastAsia" w:ascii="宋体" w:hAnsi="宋体" w:cs="宋体"/>
          <w:bCs/>
          <w:color w:val="auto"/>
          <w:kern w:val="0"/>
          <w:szCs w:val="21"/>
          <w:highlight w:val="none"/>
          <w:u w:val="single"/>
          <w:lang w:val="en-US" w:eastAsia="zh-CN"/>
        </w:rPr>
        <w:t>22</w:t>
      </w:r>
      <w:r>
        <w:rPr>
          <w:rFonts w:hint="eastAsia" w:ascii="宋体" w:hAnsi="宋体" w:cs="宋体"/>
          <w:bCs/>
          <w:color w:val="auto"/>
          <w:kern w:val="0"/>
          <w:szCs w:val="21"/>
          <w:highlight w:val="none"/>
          <w:u w:val="single"/>
        </w:rPr>
        <w:t>日</w:t>
      </w:r>
      <w:r>
        <w:rPr>
          <w:rFonts w:hint="eastAsia" w:ascii="宋体" w:hAnsi="宋体" w:cs="宋体"/>
          <w:bCs/>
          <w:color w:val="auto"/>
          <w:kern w:val="0"/>
          <w:szCs w:val="21"/>
          <w:highlight w:val="none"/>
        </w:rPr>
        <w:t>，</w:t>
      </w:r>
      <w:r>
        <w:rPr>
          <w:rFonts w:hint="eastAsia" w:ascii="宋体" w:hAnsi="宋体" w:eastAsia="宋体" w:cs="宋体"/>
          <w:color w:val="auto"/>
          <w:szCs w:val="21"/>
          <w:highlight w:val="none"/>
          <w:lang w:eastAsia="zh-CN"/>
        </w:rPr>
        <w:t>每天上午00:00至12:00，下午12:00至23:59（北京时间，法定节假日除外）</w:t>
      </w:r>
      <w:r>
        <w:rPr>
          <w:rFonts w:hint="eastAsia" w:ascii="宋体" w:hAnsi="宋体" w:eastAsia="宋体" w:cs="Times New Roman"/>
          <w:color w:val="auto"/>
          <w:szCs w:val="21"/>
          <w:highlight w:val="none"/>
        </w:rPr>
        <w:t>。</w:t>
      </w:r>
    </w:p>
    <w:p w14:paraId="6DE6C472">
      <w:pPr>
        <w:snapToGrid w:val="0"/>
        <w:spacing w:line="360" w:lineRule="auto"/>
        <w:ind w:firstLine="472" w:firstLineChars="225"/>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地点</w:t>
      </w:r>
      <w:r>
        <w:rPr>
          <w:rFonts w:hint="eastAsia" w:ascii="宋体" w:hAnsi="宋体" w:cs="Times New Roman"/>
          <w:color w:val="auto"/>
          <w:szCs w:val="21"/>
          <w:highlight w:val="none"/>
          <w:lang w:eastAsia="zh-CN"/>
        </w:rPr>
        <w:t>：</w:t>
      </w:r>
      <w:r>
        <w:rPr>
          <w:rFonts w:hint="eastAsia" w:ascii="宋体" w:hAnsi="宋体" w:cs="宋体"/>
          <w:b w:val="0"/>
          <w:bCs w:val="0"/>
          <w:color w:val="auto"/>
          <w:sz w:val="21"/>
          <w:szCs w:val="21"/>
          <w:highlight w:val="none"/>
          <w:lang w:val="en-US" w:eastAsia="zh-CN"/>
        </w:rPr>
        <w:t>广西政府采购云平台</w:t>
      </w:r>
      <w:r>
        <w:rPr>
          <w:rFonts w:hint="eastAsia" w:ascii="宋体" w:hAnsi="宋体" w:cs="宋体"/>
          <w:color w:val="auto"/>
          <w:szCs w:val="21"/>
          <w:highlight w:val="none"/>
        </w:rPr>
        <w:t>（</w:t>
      </w:r>
      <w:r>
        <w:rPr>
          <w:rStyle w:val="30"/>
          <w:rFonts w:hint="eastAsia" w:ascii="宋体" w:hAnsi="宋体" w:eastAsia="宋体" w:cs="宋体"/>
          <w:b w:val="0"/>
          <w:bCs/>
          <w:i w:val="0"/>
          <w:caps w:val="0"/>
          <w:color w:val="auto"/>
          <w:spacing w:val="0"/>
          <w:sz w:val="21"/>
          <w:szCs w:val="21"/>
          <w:highlight w:val="none"/>
        </w:rPr>
        <w:t>https://www.gcy.zfcg.gxzf.gov.cn/</w:t>
      </w:r>
      <w:r>
        <w:rPr>
          <w:rFonts w:hint="eastAsia" w:ascii="宋体" w:hAnsi="宋体" w:cs="宋体"/>
          <w:color w:val="auto"/>
          <w:szCs w:val="21"/>
          <w:highlight w:val="none"/>
        </w:rPr>
        <w:t>）</w:t>
      </w:r>
    </w:p>
    <w:p w14:paraId="38CC4C3A">
      <w:pPr>
        <w:snapToGrid w:val="0"/>
        <w:spacing w:line="360" w:lineRule="auto"/>
        <w:ind w:firstLine="472" w:firstLineChars="225"/>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方式:网上下载。本项目不发放纸质文件，</w:t>
      </w:r>
      <w:r>
        <w:rPr>
          <w:rFonts w:hint="eastAsia" w:ascii="宋体" w:hAnsi="宋体" w:cs="宋体"/>
          <w:color w:val="auto"/>
          <w:szCs w:val="21"/>
          <w:highlight w:val="none"/>
          <w:lang w:eastAsia="zh-CN"/>
        </w:rPr>
        <w:t>潜在投标人</w:t>
      </w:r>
      <w:r>
        <w:rPr>
          <w:rFonts w:hint="eastAsia" w:ascii="宋体" w:hAnsi="宋体" w:eastAsia="宋体" w:cs="Times New Roman"/>
          <w:color w:val="auto"/>
          <w:szCs w:val="21"/>
          <w:highlight w:val="none"/>
        </w:rPr>
        <w:t>可自行在</w:t>
      </w:r>
      <w:r>
        <w:rPr>
          <w:rFonts w:hint="eastAsia" w:ascii="宋体" w:hAnsi="宋体" w:cs="宋体"/>
          <w:b w:val="0"/>
          <w:bCs w:val="0"/>
          <w:color w:val="auto"/>
          <w:sz w:val="21"/>
          <w:szCs w:val="21"/>
          <w:highlight w:val="none"/>
          <w:lang w:val="en-US" w:eastAsia="zh-CN"/>
        </w:rPr>
        <w:t>广西政府采购云平台</w:t>
      </w:r>
      <w:r>
        <w:rPr>
          <w:rFonts w:hint="eastAsia" w:ascii="宋体" w:hAnsi="宋体" w:cs="宋体"/>
          <w:color w:val="auto"/>
          <w:szCs w:val="21"/>
          <w:highlight w:val="none"/>
        </w:rPr>
        <w:t>（</w:t>
      </w:r>
      <w:r>
        <w:rPr>
          <w:rStyle w:val="30"/>
          <w:rFonts w:hint="eastAsia" w:ascii="宋体" w:hAnsi="宋体" w:eastAsia="宋体" w:cs="宋体"/>
          <w:b w:val="0"/>
          <w:bCs/>
          <w:i w:val="0"/>
          <w:caps w:val="0"/>
          <w:color w:val="auto"/>
          <w:spacing w:val="0"/>
          <w:sz w:val="21"/>
          <w:szCs w:val="21"/>
          <w:highlight w:val="none"/>
        </w:rPr>
        <w:t>https://www.gcy.zfcg.gxzf.gov.cn/</w:t>
      </w:r>
      <w:r>
        <w:rPr>
          <w:rFonts w:hint="eastAsia" w:ascii="宋体" w:hAnsi="宋体" w:cs="宋体"/>
          <w:color w:val="auto"/>
          <w:szCs w:val="21"/>
          <w:highlight w:val="none"/>
        </w:rPr>
        <w:t>）</w:t>
      </w:r>
      <w:r>
        <w:rPr>
          <w:rFonts w:hint="eastAsia" w:ascii="宋体" w:hAnsi="宋体" w:eastAsia="宋体" w:cs="Times New Roman"/>
          <w:color w:val="auto"/>
          <w:szCs w:val="21"/>
          <w:highlight w:val="none"/>
        </w:rPr>
        <w:t>下载招标文件（操作路径：登录</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Times New Roman"/>
          <w:color w:val="auto"/>
          <w:szCs w:val="21"/>
          <w:highlight w:val="none"/>
        </w:rPr>
        <w:t>-项目采购-获取采购文件-找到本项目-点击“申请获取采购文件”），电子投标文件制作需要基于</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Times New Roman"/>
          <w:color w:val="auto"/>
          <w:szCs w:val="21"/>
          <w:highlight w:val="none"/>
        </w:rPr>
        <w:t>获取的招标文件编制。</w:t>
      </w:r>
    </w:p>
    <w:p w14:paraId="1EF9909E">
      <w:pPr>
        <w:snapToGrid w:val="0"/>
        <w:spacing w:line="360" w:lineRule="auto"/>
        <w:ind w:firstLine="472" w:firstLineChars="225"/>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售价：</w:t>
      </w:r>
      <w:r>
        <w:rPr>
          <w:rFonts w:hint="eastAsia" w:ascii="宋体" w:hAnsi="宋体" w:cs="宋体"/>
          <w:color w:val="auto"/>
          <w:szCs w:val="21"/>
          <w:highlight w:val="none"/>
          <w:lang w:eastAsia="zh-CN"/>
        </w:rPr>
        <w:t>人民币</w:t>
      </w:r>
      <w:r>
        <w:rPr>
          <w:rFonts w:hint="eastAsia" w:ascii="宋体" w:hAnsi="宋体" w:cs="宋体"/>
          <w:color w:val="auto"/>
          <w:szCs w:val="21"/>
          <w:highlight w:val="none"/>
        </w:rPr>
        <w:t>0元</w:t>
      </w:r>
    </w:p>
    <w:p w14:paraId="3741E554">
      <w:pPr>
        <w:spacing w:line="360" w:lineRule="auto"/>
        <w:rPr>
          <w:rFonts w:hint="eastAsia" w:ascii="黑体" w:hAnsi="黑体" w:eastAsia="黑体" w:cs="Times New Roman"/>
          <w:b/>
          <w:bCs/>
          <w:color w:val="auto"/>
          <w:sz w:val="24"/>
          <w:highlight w:val="none"/>
        </w:rPr>
      </w:pPr>
      <w:r>
        <w:rPr>
          <w:rFonts w:hint="eastAsia" w:ascii="黑体" w:hAnsi="黑体" w:eastAsia="黑体" w:cs="Times New Roman"/>
          <w:b/>
          <w:bCs/>
          <w:color w:val="auto"/>
          <w:sz w:val="24"/>
          <w:highlight w:val="none"/>
        </w:rPr>
        <w:t>四、提交投标文件</w:t>
      </w:r>
      <w:bookmarkEnd w:id="27"/>
      <w:bookmarkEnd w:id="28"/>
      <w:r>
        <w:rPr>
          <w:rFonts w:hint="eastAsia" w:ascii="黑体" w:hAnsi="黑体" w:eastAsia="黑体" w:cs="Times New Roman"/>
          <w:b/>
          <w:bCs/>
          <w:color w:val="auto"/>
          <w:sz w:val="24"/>
          <w:highlight w:val="none"/>
        </w:rPr>
        <w:t>截止时间、开标时间和地点</w:t>
      </w:r>
      <w:bookmarkEnd w:id="29"/>
      <w:bookmarkEnd w:id="30"/>
    </w:p>
    <w:p w14:paraId="69CAA89D">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1、提交投标文件截止时间和开标时间：</w:t>
      </w:r>
      <w:bookmarkStart w:id="31" w:name="PO_3000001867_PM015_1"/>
      <w:r>
        <w:rPr>
          <w:rFonts w:hint="eastAsia" w:ascii="宋体" w:hAnsi="宋体" w:cs="宋体"/>
          <w:bCs/>
          <w:color w:val="auto"/>
          <w:szCs w:val="21"/>
          <w:highlight w:val="none"/>
          <w:u w:val="single"/>
          <w:lang w:val="en-US" w:eastAsia="zh-CN"/>
        </w:rPr>
        <w:t>2025</w:t>
      </w:r>
      <w:r>
        <w:rPr>
          <w:rFonts w:hint="eastAsia" w:ascii="宋体" w:hAnsi="宋体" w:cs="宋体"/>
          <w:bCs/>
          <w:color w:val="auto"/>
          <w:szCs w:val="21"/>
          <w:highlight w:val="none"/>
          <w:u w:val="single"/>
        </w:rPr>
        <w:t>年</w:t>
      </w:r>
      <w:r>
        <w:rPr>
          <w:rFonts w:hint="eastAsia" w:ascii="宋体" w:hAnsi="宋体" w:cs="宋体"/>
          <w:bCs/>
          <w:color w:val="auto"/>
          <w:szCs w:val="21"/>
          <w:highlight w:val="none"/>
          <w:u w:val="single"/>
          <w:lang w:val="en-US" w:eastAsia="zh-CN"/>
        </w:rPr>
        <w:t>5</w:t>
      </w:r>
      <w:r>
        <w:rPr>
          <w:rFonts w:hint="eastAsia" w:ascii="宋体" w:hAnsi="宋体" w:cs="宋体"/>
          <w:bCs/>
          <w:color w:val="auto"/>
          <w:szCs w:val="21"/>
          <w:highlight w:val="none"/>
          <w:u w:val="single"/>
        </w:rPr>
        <w:t>月</w:t>
      </w:r>
      <w:r>
        <w:rPr>
          <w:rFonts w:hint="eastAsia" w:ascii="宋体" w:hAnsi="宋体" w:cs="宋体"/>
          <w:bCs/>
          <w:color w:val="auto"/>
          <w:szCs w:val="21"/>
          <w:highlight w:val="none"/>
          <w:u w:val="single"/>
          <w:lang w:val="en-US" w:eastAsia="zh-CN"/>
        </w:rPr>
        <w:t>12</w:t>
      </w:r>
      <w:r>
        <w:rPr>
          <w:rFonts w:hint="eastAsia" w:ascii="宋体" w:hAnsi="宋体" w:cs="宋体"/>
          <w:bCs/>
          <w:color w:val="auto"/>
          <w:szCs w:val="21"/>
          <w:highlight w:val="none"/>
          <w:u w:val="single"/>
        </w:rPr>
        <w:t>日</w:t>
      </w:r>
      <w:r>
        <w:rPr>
          <w:rFonts w:hint="eastAsia" w:ascii="宋体" w:hAnsi="宋体" w:cs="宋体"/>
          <w:bCs/>
          <w:color w:val="auto"/>
          <w:szCs w:val="21"/>
          <w:highlight w:val="none"/>
          <w:u w:val="single"/>
          <w:lang w:val="en-US" w:eastAsia="zh-CN"/>
        </w:rPr>
        <w:t>09点00分</w:t>
      </w:r>
      <w:r>
        <w:rPr>
          <w:rFonts w:hint="eastAsia" w:ascii="宋体" w:hAnsi="宋体" w:cs="宋体"/>
          <w:bCs/>
          <w:color w:val="auto"/>
          <w:szCs w:val="21"/>
          <w:highlight w:val="none"/>
        </w:rPr>
        <w:t>（北京时间）</w:t>
      </w:r>
      <w:bookmarkEnd w:id="31"/>
    </w:p>
    <w:p w14:paraId="5705A7A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提交投标文件</w:t>
      </w:r>
      <w:r>
        <w:rPr>
          <w:rFonts w:hint="eastAsia" w:ascii="宋体" w:hAnsi="宋体" w:cs="宋体"/>
          <w:color w:val="auto"/>
          <w:szCs w:val="21"/>
          <w:highlight w:val="none"/>
        </w:rPr>
        <w:t>和开标地点：</w:t>
      </w:r>
      <w:r>
        <w:rPr>
          <w:rFonts w:hint="eastAsia" w:ascii="宋体" w:hAnsi="宋体" w:cs="宋体"/>
          <w:b w:val="0"/>
          <w:bCs w:val="0"/>
          <w:color w:val="auto"/>
          <w:sz w:val="21"/>
          <w:szCs w:val="21"/>
          <w:highlight w:val="none"/>
          <w:lang w:val="en-US" w:eastAsia="zh-CN"/>
        </w:rPr>
        <w:t>广西政府采购云平台</w:t>
      </w:r>
      <w:r>
        <w:rPr>
          <w:rFonts w:hint="eastAsia" w:ascii="宋体" w:hAnsi="宋体" w:cs="宋体"/>
          <w:color w:val="auto"/>
          <w:szCs w:val="21"/>
          <w:highlight w:val="none"/>
        </w:rPr>
        <w:t>（</w:t>
      </w:r>
      <w:r>
        <w:rPr>
          <w:rStyle w:val="30"/>
          <w:rFonts w:hint="eastAsia" w:ascii="宋体" w:hAnsi="宋体" w:eastAsia="宋体" w:cs="宋体"/>
          <w:b w:val="0"/>
          <w:bCs/>
          <w:i w:val="0"/>
          <w:caps w:val="0"/>
          <w:color w:val="auto"/>
          <w:spacing w:val="0"/>
          <w:sz w:val="21"/>
          <w:szCs w:val="21"/>
          <w:highlight w:val="none"/>
        </w:rPr>
        <w:t>https://www.gcy.zfcg.gxzf.gov.cn/</w:t>
      </w:r>
      <w:r>
        <w:rPr>
          <w:rFonts w:hint="eastAsia" w:ascii="宋体" w:hAnsi="宋体" w:cs="宋体"/>
          <w:color w:val="auto"/>
          <w:szCs w:val="21"/>
          <w:highlight w:val="none"/>
        </w:rPr>
        <w:t>）</w:t>
      </w:r>
    </w:p>
    <w:p w14:paraId="268850F7">
      <w:pPr>
        <w:spacing w:line="360" w:lineRule="auto"/>
        <w:rPr>
          <w:rFonts w:hint="eastAsia" w:ascii="黑体" w:hAnsi="黑体" w:eastAsia="黑体" w:cs="Times New Roman"/>
          <w:b/>
          <w:bCs/>
          <w:color w:val="auto"/>
          <w:sz w:val="24"/>
          <w:highlight w:val="none"/>
        </w:rPr>
      </w:pPr>
      <w:bookmarkStart w:id="32" w:name="_Toc35393794"/>
      <w:bookmarkStart w:id="33" w:name="_Toc35393625"/>
      <w:bookmarkStart w:id="34" w:name="_Toc28359007"/>
      <w:bookmarkStart w:id="35" w:name="_Toc28359084"/>
      <w:r>
        <w:rPr>
          <w:rFonts w:hint="eastAsia" w:ascii="黑体" w:hAnsi="黑体" w:eastAsia="黑体" w:cs="Times New Roman"/>
          <w:b/>
          <w:bCs/>
          <w:color w:val="auto"/>
          <w:sz w:val="24"/>
          <w:highlight w:val="none"/>
        </w:rPr>
        <w:t>五、公告期限</w:t>
      </w:r>
      <w:bookmarkEnd w:id="32"/>
      <w:bookmarkEnd w:id="33"/>
      <w:bookmarkEnd w:id="34"/>
      <w:bookmarkEnd w:id="35"/>
    </w:p>
    <w:p w14:paraId="1402B927">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自本公告发布之日起5个工作日。</w:t>
      </w:r>
    </w:p>
    <w:p w14:paraId="774AB09D">
      <w:pPr>
        <w:spacing w:line="360" w:lineRule="auto"/>
        <w:rPr>
          <w:rFonts w:hint="eastAsia" w:ascii="黑体" w:hAnsi="黑体" w:eastAsia="黑体" w:cs="Times New Roman"/>
          <w:b/>
          <w:bCs/>
          <w:color w:val="auto"/>
          <w:sz w:val="24"/>
          <w:highlight w:val="none"/>
        </w:rPr>
      </w:pPr>
      <w:bookmarkStart w:id="36" w:name="_Toc35393795"/>
      <w:bookmarkStart w:id="37" w:name="_Toc35393626"/>
      <w:r>
        <w:rPr>
          <w:rFonts w:hint="eastAsia" w:ascii="黑体" w:hAnsi="黑体" w:eastAsia="黑体" w:cs="Times New Roman"/>
          <w:b/>
          <w:bCs/>
          <w:color w:val="auto"/>
          <w:sz w:val="24"/>
          <w:highlight w:val="none"/>
        </w:rPr>
        <w:t>六、其他补充事宜</w:t>
      </w:r>
      <w:bookmarkEnd w:id="36"/>
      <w:bookmarkEnd w:id="37"/>
    </w:p>
    <w:p w14:paraId="48C60AB6">
      <w:pPr>
        <w:spacing w:line="360" w:lineRule="auto"/>
        <w:ind w:firstLine="420" w:firstLineChars="200"/>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1.本项目采用远程异地评标方式。</w:t>
      </w:r>
    </w:p>
    <w:p w14:paraId="3B91C0BF">
      <w:pPr>
        <w:spacing w:line="360" w:lineRule="auto"/>
        <w:ind w:firstLine="420" w:firstLineChars="200"/>
        <w:rPr>
          <w:rFonts w:hint="eastAsia" w:ascii="宋体" w:hAnsi="宋体" w:cs="宋体"/>
          <w:b/>
          <w:bCs/>
          <w:color w:val="auto"/>
          <w:szCs w:val="21"/>
          <w:highlight w:val="none"/>
          <w:lang w:eastAsia="zh-CN"/>
        </w:rPr>
      </w:pPr>
      <w:r>
        <w:rPr>
          <w:rFonts w:hint="eastAsia" w:ascii="宋体" w:hAnsi="宋体" w:cs="宋体"/>
          <w:color w:val="auto"/>
          <w:kern w:val="0"/>
          <w:szCs w:val="21"/>
          <w:highlight w:val="none"/>
          <w:lang w:val="en-US" w:eastAsia="zh-CN"/>
        </w:rPr>
        <w:t>2.</w:t>
      </w:r>
      <w:r>
        <w:rPr>
          <w:rFonts w:hint="eastAsia" w:ascii="宋体" w:hAnsi="宋体" w:eastAsia="宋体" w:cs="宋体"/>
          <w:color w:val="auto"/>
          <w:kern w:val="0"/>
          <w:szCs w:val="21"/>
          <w:highlight w:val="none"/>
        </w:rPr>
        <w:t>投标保证金：</w:t>
      </w:r>
      <w:r>
        <w:rPr>
          <w:rFonts w:hint="eastAsia" w:ascii="宋体" w:hAnsi="宋体" w:cs="宋体"/>
          <w:b/>
          <w:bCs/>
          <w:color w:val="auto"/>
          <w:szCs w:val="21"/>
          <w:highlight w:val="none"/>
          <w:lang w:eastAsia="zh-CN"/>
        </w:rPr>
        <w:t>本项目不需要缴</w:t>
      </w:r>
      <w:r>
        <w:rPr>
          <w:rFonts w:hint="eastAsia" w:ascii="宋体" w:hAnsi="宋体" w:cs="宋体"/>
          <w:b/>
          <w:bCs/>
          <w:color w:val="auto"/>
          <w:kern w:val="0"/>
          <w:szCs w:val="21"/>
          <w:highlight w:val="none"/>
        </w:rPr>
        <w:t>纳</w:t>
      </w:r>
      <w:r>
        <w:rPr>
          <w:rFonts w:hint="eastAsia" w:ascii="宋体" w:hAnsi="宋体" w:cs="宋体"/>
          <w:b/>
          <w:bCs/>
          <w:color w:val="auto"/>
          <w:szCs w:val="21"/>
          <w:highlight w:val="none"/>
          <w:lang w:eastAsia="zh-CN"/>
        </w:rPr>
        <w:t>投标保证金。</w:t>
      </w:r>
    </w:p>
    <w:p w14:paraId="73E399F9">
      <w:pPr>
        <w:spacing w:line="360" w:lineRule="auto"/>
        <w:ind w:firstLine="420" w:firstLineChars="200"/>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3</w:t>
      </w:r>
      <w:r>
        <w:rPr>
          <w:rFonts w:hint="eastAsia" w:ascii="宋体" w:hAnsi="宋体" w:eastAsia="宋体" w:cs="宋体"/>
          <w:color w:val="auto"/>
          <w:kern w:val="0"/>
          <w:szCs w:val="21"/>
          <w:highlight w:val="none"/>
          <w:lang w:val="en-US" w:eastAsia="zh-CN"/>
        </w:rPr>
        <w:t>.网上查询地址</w:t>
      </w:r>
    </w:p>
    <w:p w14:paraId="5489F3AD">
      <w:pPr>
        <w:spacing w:line="360" w:lineRule="auto"/>
        <w:ind w:firstLine="315" w:firstLineChars="15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http://www.ccgp.gov.cn/（中国政府采购网）、</w:t>
      </w:r>
      <w:r>
        <w:rPr>
          <w:rFonts w:hint="eastAsia" w:ascii="宋体" w:hAnsi="宋体" w:eastAsia="宋体" w:cs="宋体"/>
          <w:i w:val="0"/>
          <w:caps w:val="0"/>
          <w:color w:val="auto"/>
          <w:spacing w:val="0"/>
          <w:sz w:val="21"/>
          <w:szCs w:val="21"/>
          <w:highlight w:val="none"/>
        </w:rPr>
        <w:t>http://zfcg.gxzf.gov.cn/</w:t>
      </w:r>
      <w:r>
        <w:rPr>
          <w:rFonts w:hint="eastAsia" w:ascii="宋体" w:hAnsi="宋体" w:eastAsia="宋体" w:cs="宋体"/>
          <w:color w:val="auto"/>
          <w:kern w:val="0"/>
          <w:szCs w:val="21"/>
          <w:highlight w:val="none"/>
          <w:lang w:val="en-US" w:eastAsia="zh-CN"/>
        </w:rPr>
        <w:t>(广西政府采购网)</w:t>
      </w:r>
      <w:r>
        <w:rPr>
          <w:rFonts w:hint="eastAsia" w:ascii="宋体" w:hAnsi="宋体" w:cs="宋体"/>
          <w:color w:val="auto"/>
          <w:highlight w:val="none"/>
        </w:rPr>
        <w:t>、http：//zfcg.czj.gxgg.gov.cn/（贵港市政府采购网）、http：//ggzy.jgswj.gxzf.gov.cn/ggggzy/[全国公共资源交易平台（广西·贵港）]。</w:t>
      </w:r>
    </w:p>
    <w:p w14:paraId="20721EDA">
      <w:pPr>
        <w:spacing w:line="360" w:lineRule="auto"/>
        <w:ind w:firstLine="420" w:firstLineChars="200"/>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5</w:t>
      </w:r>
      <w:r>
        <w:rPr>
          <w:rFonts w:hint="eastAsia" w:ascii="宋体" w:hAnsi="宋体" w:eastAsia="宋体" w:cs="宋体"/>
          <w:color w:val="auto"/>
          <w:kern w:val="0"/>
          <w:szCs w:val="21"/>
          <w:highlight w:val="none"/>
          <w:lang w:val="en-US" w:eastAsia="zh-CN"/>
        </w:rPr>
        <w:t>.本项目需要落实的政府采购政策：</w:t>
      </w:r>
    </w:p>
    <w:p w14:paraId="24728917">
      <w:pPr>
        <w:spacing w:line="360" w:lineRule="auto"/>
        <w:ind w:firstLine="315" w:firstLineChars="15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（1）政府采购促进中小企业发展。</w:t>
      </w:r>
    </w:p>
    <w:p w14:paraId="567BE22F">
      <w:pPr>
        <w:spacing w:line="360" w:lineRule="auto"/>
        <w:ind w:firstLine="315" w:firstLineChars="15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（2）政府采购支持采用本国产品的政策。</w:t>
      </w:r>
    </w:p>
    <w:p w14:paraId="1FC2307A">
      <w:pPr>
        <w:spacing w:line="360" w:lineRule="auto"/>
        <w:ind w:firstLine="315" w:firstLineChars="15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（3）强制采购节能产品；优先采购节能产品、环境标志产品。</w:t>
      </w:r>
    </w:p>
    <w:p w14:paraId="65F4D167">
      <w:pPr>
        <w:spacing w:line="360" w:lineRule="auto"/>
        <w:ind w:firstLine="315" w:firstLineChars="15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（4）政府采购促进残疾人就业政策。</w:t>
      </w:r>
    </w:p>
    <w:p w14:paraId="454D04BC">
      <w:pPr>
        <w:spacing w:line="360" w:lineRule="auto"/>
        <w:ind w:firstLine="315" w:firstLineChars="15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（5）政府采购支持监狱企业发展。</w:t>
      </w:r>
    </w:p>
    <w:p w14:paraId="7BAB2C19">
      <w:pPr>
        <w:spacing w:line="360" w:lineRule="auto"/>
        <w:ind w:firstLine="420" w:firstLineChars="200"/>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6</w:t>
      </w:r>
      <w:r>
        <w:rPr>
          <w:rFonts w:hint="eastAsia" w:ascii="宋体" w:hAnsi="宋体" w:eastAsia="宋体" w:cs="宋体"/>
          <w:color w:val="auto"/>
          <w:kern w:val="0"/>
          <w:szCs w:val="21"/>
          <w:highlight w:val="none"/>
          <w:lang w:val="en-US" w:eastAsia="zh-CN"/>
        </w:rPr>
        <w:t>.对在“信用中国”网站(www.creditchina.gov.cn) 、中国政府采购网(www.ccgp.gov.cn)被列入失信被执行人、</w:t>
      </w:r>
      <w:r>
        <w:rPr>
          <w:rFonts w:hint="eastAsia" w:ascii="宋体" w:hAnsi="宋体" w:cs="宋体"/>
          <w:color w:val="auto"/>
          <w:szCs w:val="21"/>
          <w:highlight w:val="none"/>
          <w:lang w:eastAsia="zh-CN"/>
        </w:rPr>
        <w:t>重大税收违法失信主体</w:t>
      </w:r>
      <w:r>
        <w:rPr>
          <w:rFonts w:hint="eastAsia" w:ascii="宋体" w:hAnsi="宋体" w:eastAsia="宋体" w:cs="宋体"/>
          <w:color w:val="auto"/>
          <w:kern w:val="0"/>
          <w:szCs w:val="21"/>
          <w:highlight w:val="none"/>
          <w:lang w:val="en-US" w:eastAsia="zh-CN"/>
        </w:rPr>
        <w:t>、政府采购严重违法失信行为记录名单及其他不符合《中华人民共和国政府采购法》第二十二条规定条件的供应商，不得参与政府采购活动。</w:t>
      </w:r>
    </w:p>
    <w:p w14:paraId="7B3ECB4F">
      <w:pPr>
        <w:spacing w:line="360" w:lineRule="auto"/>
        <w:ind w:firstLine="420" w:firstLineChars="200"/>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7</w:t>
      </w:r>
      <w:r>
        <w:rPr>
          <w:rFonts w:hint="eastAsia" w:ascii="宋体" w:hAnsi="宋体" w:eastAsia="宋体" w:cs="宋体"/>
          <w:color w:val="auto"/>
          <w:kern w:val="0"/>
          <w:szCs w:val="21"/>
          <w:highlight w:val="none"/>
          <w:lang w:val="en-US" w:eastAsia="zh-CN"/>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1D74B5DD">
      <w:pPr>
        <w:spacing w:line="360" w:lineRule="auto"/>
        <w:ind w:firstLine="422" w:firstLineChars="200"/>
        <w:rPr>
          <w:rFonts w:hint="eastAsia" w:ascii="宋体" w:hAnsi="宋体" w:eastAsia="宋体" w:cs="宋体"/>
          <w:color w:val="auto"/>
          <w:kern w:val="0"/>
          <w:szCs w:val="21"/>
          <w:highlight w:val="none"/>
        </w:rPr>
      </w:pPr>
      <w:r>
        <w:rPr>
          <w:rFonts w:hint="eastAsia" w:ascii="宋体" w:hAnsi="宋体" w:cs="宋体"/>
          <w:b/>
          <w:bCs/>
          <w:color w:val="auto"/>
          <w:kern w:val="0"/>
          <w:szCs w:val="21"/>
          <w:highlight w:val="none"/>
          <w:lang w:val="en-US" w:eastAsia="zh-CN"/>
        </w:rPr>
        <w:t>8</w:t>
      </w:r>
      <w:r>
        <w:rPr>
          <w:rFonts w:hint="eastAsia" w:ascii="宋体" w:hAnsi="宋体" w:cs="宋体"/>
          <w:b/>
          <w:bCs/>
          <w:color w:val="auto"/>
          <w:kern w:val="0"/>
          <w:szCs w:val="21"/>
          <w:highlight w:val="none"/>
          <w:lang w:eastAsia="zh-CN"/>
        </w:rPr>
        <w:t>.</w:t>
      </w:r>
      <w:r>
        <w:rPr>
          <w:rFonts w:hint="eastAsia" w:ascii="宋体" w:hAnsi="宋体" w:cs="宋体"/>
          <w:b/>
          <w:bCs/>
          <w:color w:val="auto"/>
          <w:szCs w:val="21"/>
          <w:highlight w:val="none"/>
        </w:rPr>
        <w:t>在线投标</w:t>
      </w:r>
      <w:r>
        <w:rPr>
          <w:rFonts w:hint="eastAsia" w:ascii="宋体" w:hAnsi="宋体" w:cs="宋体"/>
          <w:b/>
          <w:bCs/>
          <w:color w:val="auto"/>
          <w:szCs w:val="21"/>
          <w:highlight w:val="none"/>
          <w:lang w:eastAsia="zh-CN"/>
        </w:rPr>
        <w:t>的有关</w:t>
      </w:r>
      <w:r>
        <w:rPr>
          <w:rFonts w:hint="eastAsia" w:ascii="宋体" w:hAnsi="宋体" w:cs="宋体"/>
          <w:b/>
          <w:bCs/>
          <w:color w:val="auto"/>
          <w:szCs w:val="21"/>
          <w:highlight w:val="none"/>
        </w:rPr>
        <w:t>说明</w:t>
      </w:r>
      <w:r>
        <w:rPr>
          <w:rFonts w:hint="eastAsia" w:ascii="宋体" w:hAnsi="宋体" w:eastAsia="宋体" w:cs="宋体"/>
          <w:b/>
          <w:bCs/>
          <w:color w:val="auto"/>
          <w:kern w:val="0"/>
          <w:szCs w:val="21"/>
          <w:highlight w:val="none"/>
        </w:rPr>
        <w:t>：</w:t>
      </w:r>
      <w:bookmarkStart w:id="429" w:name="_GoBack"/>
      <w:bookmarkEnd w:id="429"/>
    </w:p>
    <w:p w14:paraId="063D6585">
      <w:pPr>
        <w:widowControl/>
        <w:spacing w:line="360" w:lineRule="auto"/>
        <w:ind w:firstLine="420" w:firstLineChars="200"/>
        <w:jc w:val="left"/>
        <w:rPr>
          <w:rFonts w:hint="eastAsia" w:ascii="宋体" w:hAnsi="宋体" w:eastAsia="宋体" w:cs="Times New Roman"/>
          <w:b w:val="0"/>
          <w:bCs w:val="0"/>
          <w:color w:val="auto"/>
          <w:szCs w:val="21"/>
          <w:highlight w:val="none"/>
          <w:u w:val="none"/>
          <w:lang w:eastAsia="zh-CN"/>
        </w:rPr>
      </w:pPr>
      <w:r>
        <w:rPr>
          <w:rFonts w:hint="eastAsia" w:ascii="宋体" w:hAnsi="宋体" w:eastAsia="宋体" w:cs="Times New Roman"/>
          <w:color w:val="auto"/>
          <w:szCs w:val="21"/>
          <w:highlight w:val="none"/>
        </w:rPr>
        <w:t>（1）投标文件提交方式：本项目为全流程电子化项目，通过</w:t>
      </w:r>
      <w:r>
        <w:rPr>
          <w:rFonts w:hint="eastAsia" w:ascii="宋体" w:hAnsi="宋体" w:cs="宋体"/>
          <w:b w:val="0"/>
          <w:bCs w:val="0"/>
          <w:color w:val="auto"/>
          <w:sz w:val="21"/>
          <w:szCs w:val="21"/>
          <w:highlight w:val="none"/>
          <w:lang w:val="en-US" w:eastAsia="zh-CN"/>
        </w:rPr>
        <w:t>广西政府采购云平台（https://www.gcy.zfcg.gxzf.gov.cn/）</w:t>
      </w:r>
      <w:r>
        <w:rPr>
          <w:rFonts w:hint="eastAsia" w:ascii="宋体" w:hAnsi="宋体" w:eastAsia="宋体" w:cs="Times New Roman"/>
          <w:b w:val="0"/>
          <w:bCs w:val="0"/>
          <w:color w:val="auto"/>
          <w:szCs w:val="21"/>
          <w:highlight w:val="none"/>
          <w:u w:val="none"/>
        </w:rPr>
        <w:t>实行在线电子投标，供应商应先安装</w:t>
      </w:r>
      <w:r>
        <w:rPr>
          <w:rFonts w:hint="eastAsia" w:ascii="宋体" w:hAnsi="宋体" w:cs="宋体"/>
          <w:b w:val="0"/>
          <w:bCs w:val="0"/>
          <w:color w:val="auto"/>
          <w:sz w:val="21"/>
          <w:szCs w:val="21"/>
          <w:highlight w:val="none"/>
          <w:lang w:val="en-US" w:eastAsia="zh-CN"/>
        </w:rPr>
        <w:t>广西政府采购云平台新版客户端</w:t>
      </w:r>
      <w:r>
        <w:rPr>
          <w:rFonts w:hint="eastAsia" w:ascii="宋体" w:hAnsi="宋体" w:cs="宋体"/>
          <w:color w:val="auto"/>
          <w:szCs w:val="21"/>
          <w:highlight w:val="none"/>
        </w:rPr>
        <w:t>（新版</w:t>
      </w:r>
      <w:r>
        <w:rPr>
          <w:rFonts w:hint="eastAsia" w:ascii="宋体" w:hAnsi="宋体" w:eastAsia="宋体" w:cs="宋体"/>
          <w:i w:val="0"/>
          <w:caps w:val="0"/>
          <w:color w:val="auto"/>
          <w:spacing w:val="0"/>
          <w:sz w:val="21"/>
          <w:szCs w:val="21"/>
          <w:highlight w:val="none"/>
        </w:rPr>
        <w:t>客户端下载路径：广西政府采购网（访问地址http://zfcg.gxzf.gov.cn/）—办事服务—下载专区</w:t>
      </w:r>
      <w:r>
        <w:rPr>
          <w:rFonts w:hint="eastAsia" w:ascii="宋体" w:hAnsi="宋体" w:cs="宋体"/>
          <w:color w:val="auto"/>
          <w:szCs w:val="21"/>
          <w:highlight w:val="none"/>
        </w:rPr>
        <w:t>）</w:t>
      </w:r>
      <w:r>
        <w:rPr>
          <w:rFonts w:hint="eastAsia" w:ascii="宋体" w:hAnsi="宋体" w:eastAsia="宋体" w:cs="Times New Roman"/>
          <w:b w:val="0"/>
          <w:bCs w:val="0"/>
          <w:color w:val="auto"/>
          <w:szCs w:val="21"/>
          <w:highlight w:val="none"/>
          <w:u w:val="none"/>
        </w:rPr>
        <w:t>，并按照本项目招标文件和</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Times New Roman"/>
          <w:b w:val="0"/>
          <w:bCs w:val="0"/>
          <w:color w:val="auto"/>
          <w:szCs w:val="21"/>
          <w:highlight w:val="none"/>
          <w:u w:val="none"/>
        </w:rPr>
        <w:t>的要求编制、加密后在投标截止时间前通过网络上传至</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Times New Roman"/>
          <w:b w:val="0"/>
          <w:bCs w:val="0"/>
          <w:color w:val="auto"/>
          <w:szCs w:val="21"/>
          <w:highlight w:val="none"/>
          <w:u w:val="none"/>
        </w:rPr>
        <w:t>，</w:t>
      </w:r>
      <w:r>
        <w:rPr>
          <w:rFonts w:hint="eastAsia" w:ascii="宋体" w:hAnsi="宋体" w:cs="Times New Roman"/>
          <w:b/>
          <w:bCs/>
          <w:color w:val="auto"/>
          <w:szCs w:val="21"/>
          <w:highlight w:val="none"/>
          <w:u w:val="none"/>
          <w:lang w:eastAsia="zh-CN"/>
        </w:rPr>
        <w:t>投标人</w:t>
      </w:r>
      <w:r>
        <w:rPr>
          <w:rFonts w:hint="eastAsia" w:ascii="宋体" w:hAnsi="宋体" w:eastAsia="宋体" w:cs="Times New Roman"/>
          <w:b/>
          <w:bCs/>
          <w:color w:val="auto"/>
          <w:szCs w:val="21"/>
          <w:highlight w:val="none"/>
          <w:u w:val="none"/>
        </w:rPr>
        <w:t>在</w:t>
      </w:r>
      <w:r>
        <w:rPr>
          <w:rFonts w:hint="eastAsia" w:ascii="宋体" w:hAnsi="宋体" w:cs="宋体"/>
          <w:b/>
          <w:bCs/>
          <w:color w:val="auto"/>
          <w:sz w:val="21"/>
          <w:szCs w:val="21"/>
          <w:highlight w:val="none"/>
          <w:lang w:val="en-US" w:eastAsia="zh-CN"/>
        </w:rPr>
        <w:t>广西政府采购云平台</w:t>
      </w:r>
      <w:r>
        <w:rPr>
          <w:rFonts w:hint="eastAsia" w:ascii="宋体" w:hAnsi="宋体" w:eastAsia="宋体" w:cs="Times New Roman"/>
          <w:b/>
          <w:bCs/>
          <w:color w:val="auto"/>
          <w:szCs w:val="21"/>
          <w:highlight w:val="none"/>
          <w:u w:val="none"/>
        </w:rPr>
        <w:t>提交电子版投标文件时，请填写参加远程开标活动经办人联系方式</w:t>
      </w:r>
      <w:r>
        <w:rPr>
          <w:rFonts w:hint="eastAsia" w:ascii="宋体" w:hAnsi="宋体" w:eastAsia="宋体" w:cs="Times New Roman"/>
          <w:b w:val="0"/>
          <w:bCs w:val="0"/>
          <w:color w:val="auto"/>
          <w:szCs w:val="21"/>
          <w:highlight w:val="none"/>
          <w:u w:val="none"/>
        </w:rPr>
        <w:t>。</w:t>
      </w:r>
    </w:p>
    <w:p w14:paraId="5B42A6CC">
      <w:pPr>
        <w:widowControl/>
        <w:spacing w:line="360" w:lineRule="auto"/>
        <w:ind w:firstLine="420" w:firstLineChars="200"/>
        <w:jc w:val="left"/>
        <w:rPr>
          <w:rFonts w:hint="eastAsia" w:ascii="宋体" w:hAnsi="宋体" w:eastAsia="宋体" w:cs="Times New Roman"/>
          <w:b w:val="0"/>
          <w:bCs w:val="0"/>
          <w:color w:val="auto"/>
          <w:szCs w:val="21"/>
          <w:highlight w:val="none"/>
          <w:u w:val="none"/>
        </w:rPr>
      </w:pPr>
      <w:r>
        <w:rPr>
          <w:rFonts w:hint="eastAsia" w:ascii="宋体" w:hAnsi="宋体" w:eastAsia="宋体" w:cs="Times New Roman"/>
          <w:b w:val="0"/>
          <w:bCs w:val="0"/>
          <w:color w:val="auto"/>
          <w:szCs w:val="21"/>
          <w:highlight w:val="none"/>
          <w:u w:val="none"/>
        </w:rPr>
        <w:t>（2）未进行网上注册并办理数字证书（CA认证）的供应商将无法参与本项目政府采购活动，潜在</w:t>
      </w:r>
      <w:r>
        <w:rPr>
          <w:rFonts w:hint="eastAsia" w:ascii="宋体" w:hAnsi="宋体" w:cs="Times New Roman"/>
          <w:b w:val="0"/>
          <w:bCs w:val="0"/>
          <w:color w:val="auto"/>
          <w:szCs w:val="21"/>
          <w:highlight w:val="none"/>
          <w:u w:val="none"/>
          <w:lang w:eastAsia="zh-CN"/>
        </w:rPr>
        <w:t>投标人</w:t>
      </w:r>
      <w:r>
        <w:rPr>
          <w:rFonts w:hint="eastAsia" w:ascii="宋体" w:hAnsi="宋体" w:eastAsia="宋体" w:cs="Times New Roman"/>
          <w:b w:val="0"/>
          <w:bCs w:val="0"/>
          <w:color w:val="auto"/>
          <w:szCs w:val="21"/>
          <w:highlight w:val="none"/>
          <w:u w:val="none"/>
        </w:rPr>
        <w:t>应当在投标截止时间前，完成电子交易平台上的CA数字证书办理及投标文件的提交。</w:t>
      </w:r>
    </w:p>
    <w:p w14:paraId="524DB3A6">
      <w:pPr>
        <w:widowControl/>
        <w:spacing w:line="360" w:lineRule="auto"/>
        <w:ind w:firstLine="420" w:firstLineChars="200"/>
        <w:jc w:val="left"/>
        <w:rPr>
          <w:rFonts w:hint="eastAsia" w:ascii="宋体" w:hAnsi="宋体" w:eastAsia="宋体" w:cs="Times New Roman"/>
          <w:b w:val="0"/>
          <w:bCs w:val="0"/>
          <w:color w:val="auto"/>
          <w:szCs w:val="21"/>
          <w:highlight w:val="none"/>
          <w:u w:val="none"/>
        </w:rPr>
      </w:pPr>
      <w:r>
        <w:rPr>
          <w:rFonts w:hint="eastAsia" w:ascii="宋体" w:hAnsi="宋体" w:eastAsia="宋体" w:cs="Times New Roman"/>
          <w:b w:val="0"/>
          <w:bCs w:val="0"/>
          <w:color w:val="auto"/>
          <w:szCs w:val="21"/>
          <w:highlight w:val="none"/>
          <w:u w:val="none"/>
        </w:rPr>
        <w:t>（3）为确保网上操作合法、有效和安全，请投标</w:t>
      </w:r>
      <w:r>
        <w:rPr>
          <w:rFonts w:hint="eastAsia" w:ascii="宋体" w:hAnsi="宋体" w:cs="Times New Roman"/>
          <w:b w:val="0"/>
          <w:bCs w:val="0"/>
          <w:color w:val="auto"/>
          <w:szCs w:val="21"/>
          <w:highlight w:val="none"/>
          <w:u w:val="none"/>
          <w:lang w:eastAsia="zh-CN"/>
        </w:rPr>
        <w:t>人</w:t>
      </w:r>
      <w:r>
        <w:rPr>
          <w:rFonts w:hint="eastAsia" w:ascii="宋体" w:hAnsi="宋体" w:eastAsia="宋体" w:cs="Times New Roman"/>
          <w:b w:val="0"/>
          <w:bCs w:val="0"/>
          <w:color w:val="auto"/>
          <w:szCs w:val="21"/>
          <w:highlight w:val="none"/>
          <w:u w:val="none"/>
        </w:rPr>
        <w:t>确保在电子投标过程中能够对相关数据电文进行加密和使用电子签章，妥善保管CA数字证书并使用有效的CA数字证书参与整个招标活动。</w:t>
      </w:r>
    </w:p>
    <w:p w14:paraId="4C7E8393">
      <w:pPr>
        <w:spacing w:line="360" w:lineRule="auto"/>
        <w:ind w:firstLine="422" w:firstLineChars="200"/>
        <w:rPr>
          <w:rFonts w:hint="eastAsia" w:ascii="宋体" w:hAnsi="宋体" w:eastAsia="宋体" w:cs="Times New Roman"/>
          <w:b/>
          <w:bCs/>
          <w:color w:val="auto"/>
          <w:szCs w:val="21"/>
          <w:highlight w:val="none"/>
          <w:u w:val="none"/>
        </w:rPr>
      </w:pPr>
      <w:r>
        <w:rPr>
          <w:rFonts w:hint="eastAsia" w:ascii="宋体" w:hAnsi="宋体" w:eastAsia="宋体" w:cs="Times New Roman"/>
          <w:b/>
          <w:bCs/>
          <w:color w:val="auto"/>
          <w:szCs w:val="21"/>
          <w:highlight w:val="none"/>
          <w:u w:val="none"/>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w:t>
      </w:r>
      <w:r>
        <w:rPr>
          <w:rFonts w:hint="eastAsia" w:ascii="宋体" w:hAnsi="宋体" w:cs="Times New Roman"/>
          <w:b/>
          <w:bCs/>
          <w:color w:val="auto"/>
          <w:sz w:val="21"/>
          <w:szCs w:val="21"/>
          <w:highlight w:val="none"/>
          <w:u w:val="none"/>
          <w:lang w:val="en-US" w:eastAsia="zh-CN"/>
        </w:rPr>
        <w:t>广西政府采购云平台</w:t>
      </w:r>
      <w:r>
        <w:rPr>
          <w:rFonts w:hint="eastAsia" w:ascii="宋体" w:hAnsi="宋体" w:eastAsia="宋体" w:cs="Times New Roman"/>
          <w:b/>
          <w:bCs/>
          <w:color w:val="auto"/>
          <w:szCs w:val="21"/>
          <w:highlight w:val="none"/>
          <w:u w:val="none"/>
        </w:rPr>
        <w:t>将予以拒收。</w:t>
      </w:r>
    </w:p>
    <w:p w14:paraId="738E1317">
      <w:pPr>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cs="宋体"/>
          <w:color w:val="auto"/>
          <w:kern w:val="0"/>
          <w:szCs w:val="21"/>
          <w:highlight w:val="none"/>
          <w:lang w:val="en-US" w:eastAsia="zh-CN"/>
        </w:rPr>
        <w:t>4</w:t>
      </w:r>
      <w:r>
        <w:rPr>
          <w:rFonts w:hint="eastAsia" w:ascii="宋体" w:hAnsi="宋体" w:eastAsia="宋体" w:cs="宋体"/>
          <w:color w:val="auto"/>
          <w:kern w:val="0"/>
          <w:szCs w:val="21"/>
          <w:highlight w:val="none"/>
        </w:rPr>
        <w:t>）供应商需要在具备有摄像头及语音功能且互联网网络状况良好的电脑登录广西政府采购云平台远程开标大厅参与本次</w:t>
      </w:r>
      <w:r>
        <w:rPr>
          <w:rFonts w:hint="eastAsia" w:ascii="宋体" w:hAnsi="宋体" w:eastAsia="宋体" w:cs="宋体"/>
          <w:color w:val="auto"/>
          <w:kern w:val="0"/>
          <w:szCs w:val="21"/>
          <w:highlight w:val="none"/>
          <w:lang w:eastAsia="zh-CN"/>
        </w:rPr>
        <w:t>开标</w:t>
      </w:r>
      <w:r>
        <w:rPr>
          <w:rFonts w:hint="eastAsia" w:ascii="宋体" w:hAnsi="宋体" w:eastAsia="宋体" w:cs="宋体"/>
          <w:color w:val="auto"/>
          <w:kern w:val="0"/>
          <w:szCs w:val="21"/>
          <w:highlight w:val="none"/>
        </w:rPr>
        <w:t>，否则后果自负。</w:t>
      </w:r>
    </w:p>
    <w:p w14:paraId="03A9215C">
      <w:pPr>
        <w:snapToGrid w:val="0"/>
        <w:spacing w:line="360" w:lineRule="auto"/>
        <w:ind w:firstLine="420" w:firstLineChars="200"/>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eastAsia="zh-CN"/>
        </w:rPr>
        <w:t>（</w:t>
      </w:r>
      <w:r>
        <w:rPr>
          <w:rFonts w:hint="eastAsia" w:ascii="宋体" w:hAnsi="宋体" w:cs="宋体"/>
          <w:color w:val="auto"/>
          <w:kern w:val="0"/>
          <w:szCs w:val="21"/>
          <w:highlight w:val="none"/>
          <w:lang w:val="en-US" w:eastAsia="zh-CN"/>
        </w:rPr>
        <w:t>5</w:t>
      </w:r>
      <w:r>
        <w:rPr>
          <w:rFonts w:hint="eastAsia" w:ascii="宋体" w:hAnsi="宋体" w:eastAsia="宋体" w:cs="宋体"/>
          <w:color w:val="auto"/>
          <w:kern w:val="0"/>
          <w:szCs w:val="21"/>
          <w:highlight w:val="none"/>
          <w:lang w:eastAsia="zh-CN"/>
        </w:rPr>
        <w:t>）若对项目采购电子交易系统操作有疑问，可登录</w:t>
      </w:r>
      <w:r>
        <w:rPr>
          <w:rFonts w:hint="eastAsia" w:ascii="宋体" w:hAnsi="宋体" w:cs="宋体"/>
          <w:b w:val="0"/>
          <w:bCs w:val="0"/>
          <w:color w:val="auto"/>
          <w:sz w:val="21"/>
          <w:szCs w:val="21"/>
          <w:highlight w:val="none"/>
          <w:lang w:val="en-US" w:eastAsia="zh-CN"/>
        </w:rPr>
        <w:t>广西政府采购云平台（https://www.gcy.zfcg.gxzf.gov.cn/）</w:t>
      </w:r>
      <w:r>
        <w:rPr>
          <w:rFonts w:hint="eastAsia" w:ascii="宋体" w:hAnsi="宋体" w:eastAsia="宋体" w:cs="宋体"/>
          <w:color w:val="auto"/>
          <w:kern w:val="0"/>
          <w:szCs w:val="21"/>
          <w:highlight w:val="none"/>
          <w:lang w:eastAsia="zh-CN"/>
        </w:rPr>
        <w:t>，点击右侧咨询小采，获取采小蜜智能服务管家帮助，或拨打</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kern w:val="0"/>
          <w:szCs w:val="21"/>
          <w:highlight w:val="none"/>
          <w:lang w:eastAsia="zh-CN"/>
        </w:rPr>
        <w:t>服务热线</w:t>
      </w:r>
      <w:r>
        <w:rPr>
          <w:rFonts w:hint="eastAsia" w:ascii="宋体" w:hAnsi="宋体" w:eastAsia="宋体" w:cs="宋体"/>
          <w:color w:val="auto"/>
          <w:kern w:val="0"/>
          <w:szCs w:val="21"/>
          <w:highlight w:val="none"/>
          <w:lang w:val="en-US" w:eastAsia="zh-CN"/>
        </w:rPr>
        <w:t>95763</w:t>
      </w:r>
      <w:r>
        <w:rPr>
          <w:rFonts w:hint="eastAsia"/>
          <w:highlight w:val="none"/>
          <w:lang w:eastAsia="zh-CN"/>
        </w:rPr>
        <w:t>或0771-3381253</w:t>
      </w:r>
      <w:r>
        <w:rPr>
          <w:rFonts w:hint="eastAsia" w:ascii="宋体" w:hAnsi="宋体" w:eastAsia="宋体" w:cs="宋体"/>
          <w:color w:val="auto"/>
          <w:kern w:val="0"/>
          <w:szCs w:val="21"/>
          <w:highlight w:val="none"/>
          <w:lang w:eastAsia="zh-CN"/>
        </w:rPr>
        <w:t>获取热线服务帮助。</w:t>
      </w:r>
    </w:p>
    <w:p w14:paraId="24D04540">
      <w:pPr>
        <w:shd w:val="clear" w:color="auto" w:fill="auto"/>
        <w:wordWrap w:val="0"/>
        <w:spacing w:line="440" w:lineRule="exact"/>
        <w:ind w:firstLine="422" w:firstLineChars="200"/>
        <w:jc w:val="left"/>
        <w:rPr>
          <w:rFonts w:hint="eastAsia" w:ascii="宋体" w:hAnsi="宋体" w:cs="宋体"/>
          <w:b/>
          <w:color w:val="auto"/>
          <w:kern w:val="0"/>
          <w:szCs w:val="21"/>
          <w:highlight w:val="none"/>
        </w:rPr>
      </w:pPr>
      <w:r>
        <w:rPr>
          <w:rFonts w:hint="eastAsia" w:ascii="宋体" w:hAnsi="宋体" w:cs="宋体"/>
          <w:b/>
          <w:color w:val="auto"/>
          <w:kern w:val="0"/>
          <w:szCs w:val="21"/>
          <w:highlight w:val="none"/>
          <w:lang w:val="en-US" w:eastAsia="zh-CN"/>
        </w:rPr>
        <w:t>7.</w:t>
      </w:r>
      <w:r>
        <w:rPr>
          <w:rFonts w:hint="eastAsia" w:ascii="宋体" w:hAnsi="宋体" w:cs="宋体"/>
          <w:b/>
          <w:color w:val="auto"/>
          <w:kern w:val="0"/>
          <w:szCs w:val="21"/>
          <w:highlight w:val="none"/>
        </w:rPr>
        <w:t>监督部门：</w:t>
      </w:r>
    </w:p>
    <w:p w14:paraId="57ABAEBF">
      <w:pPr>
        <w:shd w:val="clear" w:color="auto" w:fill="auto"/>
        <w:wordWrap w:val="0"/>
        <w:spacing w:line="440" w:lineRule="exact"/>
        <w:ind w:firstLine="420" w:firstLineChars="200"/>
        <w:jc w:val="left"/>
        <w:rPr>
          <w:rFonts w:hint="default" w:ascii="宋体" w:hAnsi="宋体" w:eastAsia="宋体" w:cs="宋体"/>
          <w:color w:val="auto"/>
          <w:szCs w:val="21"/>
          <w:highlight w:val="none"/>
          <w:lang w:val="en-US" w:eastAsia="zh-CN"/>
        </w:rPr>
      </w:pPr>
      <w:r>
        <w:rPr>
          <w:rFonts w:hint="default" w:ascii="宋体" w:hAnsi="宋体" w:eastAsia="宋体" w:cs="宋体"/>
          <w:color w:val="auto"/>
          <w:szCs w:val="21"/>
          <w:highlight w:val="none"/>
          <w:lang w:val="en-US" w:eastAsia="zh-CN"/>
        </w:rPr>
        <w:t>桂平市财政局政府采购监督管理股</w:t>
      </w:r>
      <w:r>
        <w:rPr>
          <w:rFonts w:hint="eastAsia" w:ascii="宋体" w:hAnsi="宋体" w:eastAsia="宋体" w:cs="宋体"/>
          <w:color w:val="auto"/>
          <w:szCs w:val="21"/>
          <w:highlight w:val="none"/>
          <w:lang w:val="en-US" w:eastAsia="zh-CN"/>
        </w:rPr>
        <w:t xml:space="preserve">  </w:t>
      </w:r>
      <w:r>
        <w:rPr>
          <w:rFonts w:hint="default" w:ascii="宋体" w:hAnsi="宋体" w:eastAsia="宋体" w:cs="宋体"/>
          <w:color w:val="auto"/>
          <w:szCs w:val="21"/>
          <w:highlight w:val="none"/>
          <w:lang w:val="en-US" w:eastAsia="zh-CN"/>
        </w:rPr>
        <w:t xml:space="preserve"> 联系电话：0775-3380263</w:t>
      </w:r>
    </w:p>
    <w:p w14:paraId="1336543D">
      <w:pPr>
        <w:rPr>
          <w:rFonts w:hint="default"/>
          <w:color w:val="auto"/>
          <w:highlight w:val="none"/>
          <w:lang w:eastAsia="zh-CN"/>
        </w:rPr>
      </w:pPr>
    </w:p>
    <w:p w14:paraId="1637B51F">
      <w:pPr>
        <w:spacing w:line="360" w:lineRule="auto"/>
        <w:rPr>
          <w:rFonts w:hint="eastAsia" w:ascii="黑体" w:hAnsi="黑体" w:eastAsia="黑体" w:cs="Times New Roman"/>
          <w:b/>
          <w:bCs/>
          <w:color w:val="auto"/>
          <w:sz w:val="24"/>
          <w:highlight w:val="none"/>
        </w:rPr>
      </w:pPr>
      <w:bookmarkStart w:id="38" w:name="_Toc28359008"/>
      <w:bookmarkStart w:id="39" w:name="_Toc28359085"/>
      <w:bookmarkStart w:id="40" w:name="_Toc35393796"/>
      <w:bookmarkStart w:id="41" w:name="_Toc35393627"/>
      <w:r>
        <w:rPr>
          <w:rFonts w:hint="eastAsia" w:ascii="黑体" w:hAnsi="黑体" w:eastAsia="黑体" w:cs="Times New Roman"/>
          <w:b/>
          <w:bCs/>
          <w:color w:val="auto"/>
          <w:sz w:val="24"/>
          <w:highlight w:val="none"/>
        </w:rPr>
        <w:t>七、对本次招标提出询问，请按以下方式联系。</w:t>
      </w:r>
      <w:bookmarkEnd w:id="38"/>
      <w:bookmarkEnd w:id="39"/>
      <w:bookmarkEnd w:id="40"/>
      <w:bookmarkEnd w:id="41"/>
    </w:p>
    <w:p w14:paraId="0C31C923">
      <w:pPr>
        <w:shd w:val="clear" w:color="auto" w:fill="auto"/>
        <w:wordWrap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人信息</w:t>
      </w:r>
    </w:p>
    <w:p w14:paraId="42EF0912">
      <w:pPr>
        <w:shd w:val="clear" w:color="auto" w:fill="auto"/>
        <w:wordWrap w:val="0"/>
        <w:spacing w:line="44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名    称：</w:t>
      </w:r>
      <w:r>
        <w:rPr>
          <w:rFonts w:hint="eastAsia" w:ascii="宋体" w:hAnsi="宋体" w:cs="宋体"/>
          <w:color w:val="auto"/>
          <w:szCs w:val="21"/>
          <w:highlight w:val="none"/>
          <w:lang w:eastAsia="zh-CN"/>
        </w:rPr>
        <w:t>桂平市西山镇中心小学</w:t>
      </w:r>
    </w:p>
    <w:p w14:paraId="18A4BB2D">
      <w:pPr>
        <w:shd w:val="clear" w:color="auto" w:fill="auto"/>
        <w:wordWrap w:val="0"/>
        <w:spacing w:line="440" w:lineRule="exact"/>
        <w:ind w:firstLine="420" w:firstLineChars="200"/>
        <w:jc w:val="left"/>
        <w:rPr>
          <w:rFonts w:hint="eastAsia" w:ascii="宋体" w:hAnsi="宋体" w:cs="宋体"/>
          <w:color w:val="auto"/>
          <w:szCs w:val="21"/>
          <w:highlight w:val="none"/>
          <w:lang w:eastAsia="zh-CN"/>
        </w:rPr>
      </w:pPr>
      <w:r>
        <w:rPr>
          <w:rFonts w:hint="eastAsia" w:ascii="宋体" w:hAnsi="宋体" w:cs="宋体"/>
          <w:color w:val="auto"/>
          <w:szCs w:val="21"/>
          <w:highlight w:val="none"/>
        </w:rPr>
        <w:t>地    址：</w:t>
      </w:r>
      <w:r>
        <w:rPr>
          <w:rFonts w:hint="eastAsia" w:ascii="宋体" w:hAnsi="宋体" w:cs="宋体"/>
          <w:color w:val="auto"/>
          <w:szCs w:val="21"/>
          <w:highlight w:val="none"/>
          <w:lang w:eastAsia="zh-CN"/>
        </w:rPr>
        <w:t>桂平市西山镇县府街155号</w:t>
      </w:r>
    </w:p>
    <w:p w14:paraId="1775C3AA">
      <w:pPr>
        <w:shd w:val="clear" w:color="auto" w:fill="auto"/>
        <w:wordWrap w:val="0"/>
        <w:spacing w:line="440" w:lineRule="exact"/>
        <w:ind w:firstLine="420" w:firstLineChars="200"/>
        <w:jc w:val="left"/>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联系方式：</w:t>
      </w:r>
      <w:r>
        <w:rPr>
          <w:rFonts w:hint="eastAsia" w:ascii="宋体" w:hAnsi="宋体" w:cs="宋体"/>
          <w:color w:val="auto"/>
          <w:szCs w:val="21"/>
          <w:highlight w:val="none"/>
          <w:lang w:val="en-US" w:eastAsia="zh-CN"/>
        </w:rPr>
        <w:t>0775-3383872</w:t>
      </w:r>
    </w:p>
    <w:p w14:paraId="4373D129">
      <w:pPr>
        <w:shd w:val="clear" w:color="auto" w:fill="auto"/>
        <w:wordWrap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2.采购代理机构信息</w:t>
      </w:r>
    </w:p>
    <w:p w14:paraId="275873DC">
      <w:pPr>
        <w:shd w:val="clear" w:color="auto" w:fill="auto"/>
        <w:wordWrap w:val="0"/>
        <w:spacing w:line="44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名    称：</w:t>
      </w:r>
      <w:r>
        <w:rPr>
          <w:rFonts w:hint="eastAsia" w:ascii="宋体" w:hAnsi="宋体" w:cs="宋体"/>
          <w:color w:val="auto"/>
          <w:szCs w:val="21"/>
          <w:highlight w:val="none"/>
          <w:lang w:eastAsia="zh-CN"/>
        </w:rPr>
        <w:t>广西建设工程机电设备招标中心有限公司</w:t>
      </w:r>
    </w:p>
    <w:p w14:paraId="46B8D3F3">
      <w:pPr>
        <w:shd w:val="clear" w:color="auto" w:fill="auto"/>
        <w:wordWrap w:val="0"/>
        <w:spacing w:line="44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地　　址：</w:t>
      </w:r>
      <w:r>
        <w:rPr>
          <w:rFonts w:hint="eastAsia" w:ascii="宋体" w:hAnsi="宋体" w:cs="宋体"/>
          <w:color w:val="auto"/>
          <w:szCs w:val="21"/>
          <w:highlight w:val="none"/>
          <w:lang w:eastAsia="zh-CN"/>
        </w:rPr>
        <w:t>南宁市青秀区枫林路18号宏桂大厦裙楼3楼</w:t>
      </w:r>
    </w:p>
    <w:p w14:paraId="1B2312DF">
      <w:pPr>
        <w:shd w:val="clear" w:color="auto" w:fill="auto"/>
        <w:wordWrap w:val="0"/>
        <w:spacing w:line="440" w:lineRule="exact"/>
        <w:ind w:firstLine="420" w:firstLineChars="200"/>
        <w:jc w:val="left"/>
        <w:rPr>
          <w:rFonts w:hint="default" w:ascii="宋体" w:hAnsi="宋体" w:cs="宋体"/>
          <w:color w:val="auto"/>
          <w:szCs w:val="21"/>
          <w:highlight w:val="none"/>
          <w:lang w:val="en-US"/>
        </w:rPr>
      </w:pPr>
      <w:r>
        <w:rPr>
          <w:rFonts w:hint="eastAsia" w:ascii="宋体" w:hAnsi="宋体" w:cs="宋体"/>
          <w:color w:val="auto"/>
          <w:szCs w:val="21"/>
          <w:highlight w:val="none"/>
        </w:rPr>
        <w:t>联系方式：</w:t>
      </w:r>
      <w:r>
        <w:rPr>
          <w:rFonts w:hint="eastAsia" w:ascii="宋体" w:hAnsi="宋体" w:cs="宋体"/>
          <w:color w:val="auto"/>
          <w:szCs w:val="21"/>
          <w:highlight w:val="none"/>
          <w:lang w:val="en-US" w:eastAsia="zh-CN"/>
        </w:rPr>
        <w:t>0771-2821389</w:t>
      </w:r>
    </w:p>
    <w:p w14:paraId="4CB0BFCD">
      <w:pPr>
        <w:shd w:val="clear" w:color="auto" w:fill="auto"/>
        <w:wordWrap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3.项目联系方式</w:t>
      </w:r>
    </w:p>
    <w:p w14:paraId="095AF575">
      <w:pPr>
        <w:shd w:val="clear" w:color="auto" w:fill="auto"/>
        <w:wordWrap w:val="0"/>
        <w:spacing w:line="440" w:lineRule="exact"/>
        <w:ind w:firstLine="420" w:firstLineChars="200"/>
        <w:jc w:val="left"/>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项目联系人：</w:t>
      </w:r>
      <w:r>
        <w:rPr>
          <w:rFonts w:hint="eastAsia" w:ascii="宋体" w:hAnsi="宋体" w:cs="宋体"/>
          <w:color w:val="auto"/>
          <w:szCs w:val="21"/>
          <w:highlight w:val="none"/>
          <w:lang w:val="en-US" w:eastAsia="zh-CN"/>
        </w:rPr>
        <w:t xml:space="preserve"> 谭琦辉、刘雅婷、廖东有</w:t>
      </w:r>
    </w:p>
    <w:p w14:paraId="3E21A1F1">
      <w:pPr>
        <w:shd w:val="clear" w:color="auto" w:fill="auto"/>
        <w:wordWrap w:val="0"/>
        <w:spacing w:line="440" w:lineRule="exact"/>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电　　 话：</w:t>
      </w:r>
      <w:r>
        <w:rPr>
          <w:rFonts w:hint="eastAsia" w:ascii="宋体" w:hAnsi="宋体" w:cs="宋体"/>
          <w:color w:val="auto"/>
          <w:szCs w:val="21"/>
          <w:highlight w:val="none"/>
          <w:lang w:val="en-US" w:eastAsia="zh-CN"/>
        </w:rPr>
        <w:t>0771-2821389</w:t>
      </w:r>
    </w:p>
    <w:p w14:paraId="313EBF3F">
      <w:pPr>
        <w:rPr>
          <w:rFonts w:hint="eastAsia"/>
          <w:color w:val="auto"/>
          <w:highlight w:val="none"/>
        </w:rPr>
      </w:pPr>
    </w:p>
    <w:p w14:paraId="15CE50A3">
      <w:pPr>
        <w:widowControl/>
        <w:spacing w:line="360" w:lineRule="auto"/>
        <w:jc w:val="left"/>
        <w:rPr>
          <w:rFonts w:ascii="宋体" w:hAnsi="宋体" w:cs="宋体"/>
          <w:color w:val="auto"/>
          <w:sz w:val="24"/>
          <w:highlight w:val="none"/>
          <w:lang w:val="zh-CN"/>
        </w:rPr>
      </w:pPr>
    </w:p>
    <w:p w14:paraId="378BEF8E">
      <w:pPr>
        <w:pStyle w:val="18"/>
        <w:spacing w:line="360" w:lineRule="auto"/>
        <w:jc w:val="right"/>
        <w:rPr>
          <w:rFonts w:hint="eastAsia" w:ascii="宋体" w:hAnsi="宋体" w:eastAsia="宋体" w:cs="宋体"/>
          <w:color w:val="auto"/>
          <w:kern w:val="2"/>
          <w:sz w:val="21"/>
          <w:szCs w:val="21"/>
          <w:highlight w:val="none"/>
          <w:lang w:val="zh-CN" w:eastAsia="zh-CN" w:bidi="ar-SA"/>
        </w:rPr>
      </w:pPr>
      <w:r>
        <w:rPr>
          <w:rFonts w:hint="eastAsia" w:ascii="宋体" w:hAnsi="宋体" w:cs="宋体"/>
          <w:color w:val="auto"/>
          <w:kern w:val="2"/>
          <w:sz w:val="21"/>
          <w:szCs w:val="21"/>
          <w:highlight w:val="none"/>
          <w:lang w:val="zh-CN" w:eastAsia="zh-CN" w:bidi="ar-SA"/>
        </w:rPr>
        <w:t>广西建设工程机电设备招标中心有限公司</w:t>
      </w:r>
    </w:p>
    <w:p w14:paraId="1FD029EF">
      <w:pPr>
        <w:spacing w:line="360" w:lineRule="auto"/>
        <w:jc w:val="right"/>
        <w:rPr>
          <w:rFonts w:hint="default"/>
          <w:color w:val="auto"/>
          <w:highlight w:val="none"/>
          <w:lang w:val="en-US" w:eastAsia="zh-CN"/>
        </w:rPr>
      </w:pPr>
      <w:r>
        <w:rPr>
          <w:rFonts w:hint="eastAsia" w:ascii="宋体" w:hAnsi="宋体" w:cs="宋体"/>
          <w:color w:val="auto"/>
          <w:kern w:val="2"/>
          <w:sz w:val="21"/>
          <w:szCs w:val="21"/>
          <w:highlight w:val="none"/>
          <w:lang w:val="en-US" w:eastAsia="zh-CN" w:bidi="ar-SA"/>
        </w:rPr>
        <w:t>2025年4月15日</w:t>
      </w:r>
    </w:p>
    <w:p w14:paraId="1144B453">
      <w:pPr>
        <w:spacing w:line="360" w:lineRule="auto"/>
        <w:rPr>
          <w:rFonts w:hint="eastAsia"/>
          <w:color w:val="auto"/>
          <w:highlight w:val="none"/>
          <w:lang w:val="zh-CN" w:eastAsia="zh-CN"/>
        </w:rPr>
        <w:sectPr>
          <w:footerReference r:id="rId5" w:type="first"/>
          <w:footerReference r:id="rId4" w:type="default"/>
          <w:pgSz w:w="11905" w:h="16838"/>
          <w:pgMar w:top="1134" w:right="1134" w:bottom="1134" w:left="1134" w:header="850" w:footer="850" w:gutter="0"/>
          <w:pgNumType w:fmt="decimal" w:start="1"/>
          <w:cols w:space="720" w:num="1"/>
          <w:titlePg/>
          <w:rtlGutter w:val="0"/>
          <w:docGrid w:linePitch="331" w:charSpace="0"/>
        </w:sectPr>
      </w:pPr>
    </w:p>
    <w:p w14:paraId="1EE9D16F">
      <w:pPr>
        <w:pStyle w:val="16"/>
        <w:jc w:val="center"/>
        <w:outlineLvl w:val="0"/>
        <w:rPr>
          <w:rFonts w:hint="eastAsia" w:ascii="Times New Roman" w:hAnsi="Times New Roman" w:eastAsia="宋体" w:cs="Times New Roman"/>
          <w:b/>
          <w:color w:val="auto"/>
          <w:sz w:val="36"/>
          <w:highlight w:val="none"/>
        </w:rPr>
      </w:pPr>
      <w:bookmarkStart w:id="42" w:name="_Toc532545042"/>
      <w:bookmarkStart w:id="43" w:name="_Toc8382"/>
      <w:bookmarkStart w:id="44" w:name="_Toc22408"/>
      <w:bookmarkStart w:id="45" w:name="_Toc28689"/>
      <w:bookmarkStart w:id="46" w:name="_Toc937"/>
      <w:bookmarkStart w:id="47" w:name="_Toc21081"/>
      <w:bookmarkStart w:id="48" w:name="_Toc32573"/>
      <w:bookmarkStart w:id="49" w:name="_Toc7686"/>
      <w:bookmarkStart w:id="50" w:name="_Toc4483"/>
      <w:bookmarkStart w:id="51" w:name="_Toc17621"/>
      <w:bookmarkStart w:id="52" w:name="_Toc7337"/>
      <w:bookmarkStart w:id="53" w:name="_Toc24210"/>
      <w:bookmarkStart w:id="54" w:name="_Toc13449"/>
      <w:bookmarkStart w:id="55" w:name="_Toc2299"/>
      <w:r>
        <w:rPr>
          <w:rFonts w:hint="eastAsia" w:ascii="Times New Roman" w:hAnsi="Times New Roman" w:eastAsia="宋体" w:cs="Times New Roman"/>
          <w:b/>
          <w:color w:val="auto"/>
          <w:sz w:val="36"/>
          <w:highlight w:val="none"/>
        </w:rPr>
        <w:t>第二章</w:t>
      </w:r>
      <w:r>
        <w:rPr>
          <w:rFonts w:ascii="Times New Roman" w:hAnsi="Times New Roman" w:eastAsia="宋体" w:cs="Times New Roman"/>
          <w:b/>
          <w:color w:val="auto"/>
          <w:sz w:val="36"/>
          <w:highlight w:val="none"/>
        </w:rPr>
        <w:t xml:space="preserve">  </w:t>
      </w:r>
      <w:bookmarkEnd w:id="42"/>
      <w:r>
        <w:rPr>
          <w:rFonts w:hint="eastAsia" w:ascii="Times New Roman" w:hAnsi="Times New Roman" w:eastAsia="宋体" w:cs="Times New Roman"/>
          <w:b/>
          <w:color w:val="auto"/>
          <w:sz w:val="36"/>
          <w:highlight w:val="none"/>
        </w:rPr>
        <w:t>采购需求</w:t>
      </w:r>
      <w:bookmarkEnd w:id="43"/>
      <w:bookmarkEnd w:id="44"/>
      <w:bookmarkEnd w:id="45"/>
      <w:bookmarkEnd w:id="46"/>
      <w:bookmarkEnd w:id="47"/>
      <w:bookmarkEnd w:id="48"/>
      <w:bookmarkEnd w:id="49"/>
      <w:bookmarkEnd w:id="50"/>
      <w:bookmarkEnd w:id="51"/>
      <w:bookmarkEnd w:id="52"/>
      <w:bookmarkEnd w:id="53"/>
      <w:bookmarkEnd w:id="54"/>
      <w:bookmarkEnd w:id="55"/>
    </w:p>
    <w:p w14:paraId="635E50C6">
      <w:pPr>
        <w:adjustRightInd w:val="0"/>
        <w:spacing w:line="340" w:lineRule="exact"/>
        <w:rPr>
          <w:rFonts w:ascii="Times New Roman" w:hAnsi="宋体" w:eastAsia="宋体" w:cs="Times New Roman"/>
          <w:b/>
          <w:color w:val="auto"/>
          <w:szCs w:val="21"/>
          <w:highlight w:val="none"/>
        </w:rPr>
      </w:pPr>
    </w:p>
    <w:p w14:paraId="2F64078B">
      <w:pPr>
        <w:adjustRightInd w:val="0"/>
        <w:spacing w:line="480" w:lineRule="auto"/>
        <w:rPr>
          <w:rFonts w:ascii="Times New Roman" w:hAnsi="宋体" w:eastAsia="宋体" w:cs="Times New Roman"/>
          <w:b/>
          <w:color w:val="auto"/>
          <w:szCs w:val="21"/>
          <w:highlight w:val="none"/>
        </w:rPr>
      </w:pPr>
      <w:r>
        <w:rPr>
          <w:rFonts w:hint="eastAsia" w:ascii="Times New Roman" w:hAnsi="宋体" w:eastAsia="宋体" w:cs="Times New Roman"/>
          <w:b/>
          <w:color w:val="auto"/>
          <w:szCs w:val="21"/>
          <w:highlight w:val="none"/>
        </w:rPr>
        <w:t>说明：</w:t>
      </w:r>
    </w:p>
    <w:p w14:paraId="697624C2">
      <w:pPr>
        <w:spacing w:line="480" w:lineRule="auto"/>
        <w:ind w:firstLine="424" w:firstLineChars="202"/>
        <w:jc w:val="left"/>
        <w:rPr>
          <w:rFonts w:hint="eastAsia" w:ascii="宋体" w:hAnsi="宋体" w:eastAsia="宋体" w:cs="宋体"/>
          <w:b w:val="0"/>
          <w:color w:val="auto"/>
          <w:sz w:val="21"/>
          <w:szCs w:val="21"/>
          <w:highlight w:val="none"/>
        </w:rPr>
      </w:pPr>
      <w:r>
        <w:rPr>
          <w:rFonts w:ascii="宋体" w:hAnsi="宋体" w:eastAsia="宋体" w:cs="宋体"/>
          <w:b w:val="0"/>
          <w:color w:val="auto"/>
          <w:sz w:val="21"/>
          <w:szCs w:val="21"/>
          <w:highlight w:val="none"/>
        </w:rPr>
        <w:t>1.</w:t>
      </w:r>
      <w:r>
        <w:rPr>
          <w:rFonts w:hint="eastAsia" w:ascii="宋体" w:hAnsi="宋体" w:eastAsia="宋体" w:cs="宋体"/>
          <w:b w:val="0"/>
          <w:color w:val="auto"/>
          <w:sz w:val="21"/>
          <w:szCs w:val="21"/>
          <w:highlight w:val="none"/>
        </w:rPr>
        <w:t>为落实政府采购政策需满足的要求</w:t>
      </w:r>
    </w:p>
    <w:p w14:paraId="7B808FF6">
      <w:pPr>
        <w:spacing w:line="480" w:lineRule="auto"/>
        <w:ind w:firstLine="424" w:firstLineChars="202"/>
        <w:jc w:val="left"/>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本招标文件所称中小企业必须符合《政府采购促进中小企业发展管理办法》（财库〔2020〕46号）的规定。</w:t>
      </w:r>
    </w:p>
    <w:p w14:paraId="1D69A9E6">
      <w:pPr>
        <w:spacing w:line="480" w:lineRule="auto"/>
        <w:ind w:firstLine="424" w:firstLineChars="202"/>
        <w:jc w:val="left"/>
        <w:rPr>
          <w:rFonts w:ascii="宋体" w:hAnsi="宋体" w:eastAsia="宋体" w:cs="宋体"/>
          <w:b w:val="0"/>
          <w:color w:val="auto"/>
          <w:sz w:val="21"/>
          <w:szCs w:val="21"/>
          <w:highlight w:val="none"/>
        </w:rPr>
      </w:pPr>
      <w:r>
        <w:rPr>
          <w:rFonts w:hint="eastAsia" w:ascii="宋体" w:hAnsi="宋体" w:cs="宋体"/>
          <w:b w:val="0"/>
          <w:color w:val="auto"/>
          <w:sz w:val="21"/>
          <w:szCs w:val="21"/>
          <w:highlight w:val="none"/>
          <w:lang w:val="en-US" w:eastAsia="zh-CN"/>
        </w:rPr>
        <w:t>2.</w:t>
      </w:r>
      <w:r>
        <w:rPr>
          <w:rFonts w:ascii="宋体" w:hAnsi="宋体" w:eastAsia="宋体" w:cs="宋体"/>
          <w:b w:val="0"/>
          <w:color w:val="auto"/>
          <w:sz w:val="21"/>
          <w:szCs w:val="21"/>
          <w:highlight w:val="none"/>
        </w:rPr>
        <w:t xml:space="preserve">“实质性要求”是指招标文件中已经指明不满足则投标无效的条款，或者不能负偏离的条款，或者采购需求中带“▲”的条款。 </w:t>
      </w:r>
    </w:p>
    <w:p w14:paraId="2A602A15">
      <w:pPr>
        <w:spacing w:line="480" w:lineRule="auto"/>
        <w:ind w:firstLine="424" w:firstLineChars="202"/>
        <w:jc w:val="left"/>
        <w:rPr>
          <w:rFonts w:ascii="宋体" w:hAnsi="宋体" w:eastAsia="宋体" w:cs="宋体"/>
          <w:b w:val="0"/>
          <w:color w:val="auto"/>
          <w:sz w:val="21"/>
          <w:szCs w:val="21"/>
          <w:highlight w:val="none"/>
        </w:rPr>
      </w:pPr>
      <w:r>
        <w:rPr>
          <w:rFonts w:hint="eastAsia" w:ascii="宋体" w:hAnsi="宋体" w:cs="宋体"/>
          <w:b w:val="0"/>
          <w:color w:val="auto"/>
          <w:sz w:val="21"/>
          <w:szCs w:val="21"/>
          <w:highlight w:val="none"/>
          <w:lang w:val="en-US" w:eastAsia="zh-CN"/>
        </w:rPr>
        <w:t>3</w:t>
      </w:r>
      <w:r>
        <w:rPr>
          <w:rFonts w:ascii="宋体" w:hAnsi="宋体" w:eastAsia="宋体" w:cs="宋体"/>
          <w:b w:val="0"/>
          <w:color w:val="auto"/>
          <w:sz w:val="21"/>
          <w:szCs w:val="21"/>
          <w:highlight w:val="none"/>
        </w:rPr>
        <w:t>.投标人必须对投标文件中提供的证明材料和资质文件真实性负责，如出现虚假应标情况，投标人除了应接受有关部门的处罚外，还应依据《中华人民共和国民法典》的相关条款来进行赔偿。</w:t>
      </w:r>
    </w:p>
    <w:p w14:paraId="48477FAD">
      <w:pPr>
        <w:spacing w:line="480" w:lineRule="auto"/>
        <w:ind w:firstLine="424" w:firstLineChars="202"/>
        <w:jc w:val="left"/>
        <w:rPr>
          <w:rFonts w:hint="eastAsia" w:ascii="宋体" w:hAnsi="宋体" w:cs="宋体"/>
          <w:color w:val="auto"/>
          <w:highlight w:val="none"/>
        </w:rPr>
      </w:pPr>
      <w:r>
        <w:rPr>
          <w:rFonts w:hint="eastAsia" w:ascii="宋体" w:hAnsi="宋体" w:cs="宋体"/>
          <w:b w:val="0"/>
          <w:color w:val="auto"/>
          <w:sz w:val="21"/>
          <w:szCs w:val="21"/>
          <w:highlight w:val="none"/>
          <w:lang w:val="en-US" w:eastAsia="zh-CN"/>
        </w:rPr>
        <w:t>4</w:t>
      </w:r>
      <w:r>
        <w:rPr>
          <w:rFonts w:ascii="宋体" w:hAnsi="宋体" w:eastAsia="宋体" w:cs="宋体"/>
          <w:b w:val="0"/>
          <w:color w:val="auto"/>
          <w:sz w:val="21"/>
          <w:szCs w:val="21"/>
          <w:highlight w:val="none"/>
        </w:rPr>
        <w:t>.投标人应对投标内容所涉及的专利承担法律责任，并负责保护采购单位的利益不受任何损害。一切由于文字、商标、技术和软件专利授权引起的法律裁决、诉讼和赔偿费用均由中标人负责。</w:t>
      </w:r>
    </w:p>
    <w:p w14:paraId="5B982464">
      <w:pPr>
        <w:snapToGrid w:val="0"/>
        <w:spacing w:line="480" w:lineRule="auto"/>
        <w:ind w:firstLine="420" w:firstLineChars="200"/>
        <w:rPr>
          <w:rFonts w:hint="eastAsia" w:ascii="宋体" w:hAnsi="宋体" w:cs="宋体"/>
          <w:color w:val="auto"/>
          <w:highlight w:val="none"/>
          <w:u w:val="none"/>
          <w:lang w:val="en-US" w:eastAsia="zh-CN"/>
        </w:rPr>
      </w:pPr>
      <w:r>
        <w:rPr>
          <w:rFonts w:hint="eastAsia" w:ascii="宋体" w:hAnsi="宋体" w:cs="宋体"/>
          <w:color w:val="auto"/>
          <w:highlight w:val="none"/>
          <w:lang w:val="en-US" w:eastAsia="zh-CN"/>
        </w:rPr>
        <w:t>5</w:t>
      </w:r>
      <w:r>
        <w:rPr>
          <w:rFonts w:hint="eastAsia" w:ascii="宋体" w:hAnsi="宋体" w:eastAsia="宋体" w:cs="宋体"/>
          <w:color w:val="auto"/>
          <w:highlight w:val="none"/>
          <w:lang w:val="en-US" w:eastAsia="zh-CN"/>
        </w:rPr>
        <w:t>.本项目所属行业：</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b/>
          <w:bCs/>
          <w:color w:val="auto"/>
          <w:highlight w:val="none"/>
          <w:u w:val="single"/>
          <w:lang w:val="en-US" w:eastAsia="zh-CN"/>
        </w:rPr>
        <w:t xml:space="preserve">   批发业</w:t>
      </w:r>
      <w:r>
        <w:rPr>
          <w:rFonts w:hint="eastAsia" w:ascii="宋体" w:hAnsi="宋体" w:eastAsia="宋体" w:cs="宋体"/>
          <w:color w:val="auto"/>
          <w:highlight w:val="none"/>
          <w:u w:val="single"/>
          <w:lang w:val="en-US" w:eastAsia="zh-CN"/>
        </w:rPr>
        <w:t xml:space="preserve">     </w:t>
      </w:r>
      <w:r>
        <w:rPr>
          <w:rFonts w:hint="eastAsia" w:ascii="宋体" w:hAnsi="宋体" w:cs="宋体"/>
          <w:color w:val="auto"/>
          <w:highlight w:val="none"/>
          <w:u w:val="none"/>
          <w:lang w:val="en-US" w:eastAsia="zh-CN"/>
        </w:rPr>
        <w:t>。</w:t>
      </w:r>
    </w:p>
    <w:p w14:paraId="0E84C620">
      <w:pPr>
        <w:spacing w:line="480" w:lineRule="auto"/>
        <w:ind w:firstLine="424" w:firstLineChars="202"/>
        <w:jc w:val="left"/>
        <w:rPr>
          <w:rFonts w:hint="eastAsia" w:ascii="宋体" w:hAnsi="宋体" w:eastAsia="宋体" w:cs="宋体"/>
          <w:b w:val="0"/>
          <w:color w:val="auto"/>
          <w:sz w:val="21"/>
          <w:szCs w:val="21"/>
          <w:highlight w:val="none"/>
          <w:lang w:val="en-US" w:eastAsia="zh-CN"/>
        </w:rPr>
      </w:pPr>
      <w:r>
        <w:rPr>
          <w:rFonts w:hint="eastAsia" w:ascii="宋体" w:hAnsi="宋体" w:cs="宋体"/>
          <w:b w:val="0"/>
          <w:color w:val="auto"/>
          <w:sz w:val="21"/>
          <w:szCs w:val="21"/>
          <w:highlight w:val="none"/>
          <w:lang w:val="en-US" w:eastAsia="zh-CN"/>
        </w:rPr>
        <w:t>6.</w:t>
      </w:r>
      <w:r>
        <w:rPr>
          <w:rFonts w:hint="eastAsia" w:ascii="宋体" w:hAnsi="宋体" w:eastAsia="宋体" w:cs="宋体"/>
          <w:b w:val="0"/>
          <w:color w:val="auto"/>
          <w:sz w:val="21"/>
          <w:szCs w:val="21"/>
          <w:highlight w:val="none"/>
          <w:lang w:val="en-US" w:eastAsia="zh-CN"/>
        </w:rPr>
        <w:t>预算金额：人民币叁仟陆佰肆拾万元整（¥36400000.00），本项目预算金额仅供参考，以实际结算额为准。</w:t>
      </w:r>
    </w:p>
    <w:tbl>
      <w:tblPr>
        <w:tblStyle w:val="27"/>
        <w:tblW w:w="987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81"/>
        <w:gridCol w:w="6617"/>
        <w:gridCol w:w="2481"/>
      </w:tblGrid>
      <w:tr w14:paraId="6212D0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3"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57C3F">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序号</w:t>
            </w:r>
          </w:p>
        </w:tc>
        <w:tc>
          <w:tcPr>
            <w:tcW w:w="6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54247">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采购主体</w:t>
            </w:r>
          </w:p>
        </w:tc>
        <w:tc>
          <w:tcPr>
            <w:tcW w:w="2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7971C">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采购金额（万元）</w:t>
            </w:r>
          </w:p>
        </w:tc>
      </w:tr>
      <w:tr w14:paraId="138E6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5B0F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6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A551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桂平市西山镇中心小学</w:t>
            </w:r>
          </w:p>
        </w:tc>
        <w:tc>
          <w:tcPr>
            <w:tcW w:w="2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7AAF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1350</w:t>
            </w:r>
          </w:p>
        </w:tc>
      </w:tr>
      <w:tr w14:paraId="4E3413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F298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6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8C1B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桂平市西山镇厢东小学</w:t>
            </w:r>
          </w:p>
        </w:tc>
        <w:tc>
          <w:tcPr>
            <w:tcW w:w="2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D4BA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54</w:t>
            </w:r>
          </w:p>
        </w:tc>
      </w:tr>
      <w:tr w14:paraId="6B628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B339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6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8922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桂平市西山镇城南小学</w:t>
            </w:r>
          </w:p>
        </w:tc>
        <w:tc>
          <w:tcPr>
            <w:tcW w:w="2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0C93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165</w:t>
            </w:r>
          </w:p>
        </w:tc>
      </w:tr>
      <w:tr w14:paraId="3EB21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D74F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6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0C74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桂平市西山镇城西小学</w:t>
            </w:r>
          </w:p>
        </w:tc>
        <w:tc>
          <w:tcPr>
            <w:tcW w:w="2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FE5C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635</w:t>
            </w:r>
          </w:p>
        </w:tc>
      </w:tr>
      <w:tr w14:paraId="20E94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1D04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6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491C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桂平市西山镇思灵小学</w:t>
            </w:r>
          </w:p>
        </w:tc>
        <w:tc>
          <w:tcPr>
            <w:tcW w:w="2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3D5E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500</w:t>
            </w:r>
          </w:p>
        </w:tc>
      </w:tr>
      <w:tr w14:paraId="418D8D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CF5F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6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D327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桂平市西山镇新岗小学</w:t>
            </w:r>
          </w:p>
        </w:tc>
        <w:tc>
          <w:tcPr>
            <w:tcW w:w="2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3BC0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207</w:t>
            </w:r>
          </w:p>
        </w:tc>
      </w:tr>
      <w:tr w14:paraId="2E577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DA95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w:t>
            </w:r>
          </w:p>
        </w:tc>
        <w:tc>
          <w:tcPr>
            <w:tcW w:w="6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E7E7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桂平市西山镇岭头中心小学</w:t>
            </w:r>
          </w:p>
        </w:tc>
        <w:tc>
          <w:tcPr>
            <w:tcW w:w="2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EF1F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102</w:t>
            </w:r>
          </w:p>
        </w:tc>
      </w:tr>
      <w:tr w14:paraId="38CA2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9BC9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w:t>
            </w:r>
          </w:p>
        </w:tc>
        <w:tc>
          <w:tcPr>
            <w:tcW w:w="6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7BC6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桂平市西山镇岭头中心小学莲塘分校</w:t>
            </w:r>
          </w:p>
        </w:tc>
        <w:tc>
          <w:tcPr>
            <w:tcW w:w="2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301C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w:t>
            </w:r>
          </w:p>
        </w:tc>
      </w:tr>
      <w:tr w14:paraId="0DBB7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66F4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w:t>
            </w:r>
          </w:p>
        </w:tc>
        <w:tc>
          <w:tcPr>
            <w:tcW w:w="6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3DF0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桂平市西山镇大起小学</w:t>
            </w:r>
          </w:p>
        </w:tc>
        <w:tc>
          <w:tcPr>
            <w:tcW w:w="2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72A1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114</w:t>
            </w:r>
          </w:p>
        </w:tc>
      </w:tr>
      <w:tr w14:paraId="3426B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3BE2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6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3B54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桂平市西山镇大起小学施村分校</w:t>
            </w:r>
          </w:p>
        </w:tc>
        <w:tc>
          <w:tcPr>
            <w:tcW w:w="2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BB28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w:t>
            </w:r>
          </w:p>
        </w:tc>
      </w:tr>
      <w:tr w14:paraId="33EC72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2B16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w:t>
            </w:r>
          </w:p>
        </w:tc>
        <w:tc>
          <w:tcPr>
            <w:tcW w:w="6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9715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桂平市西山镇白兰小学</w:t>
            </w:r>
          </w:p>
        </w:tc>
        <w:tc>
          <w:tcPr>
            <w:tcW w:w="2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97BC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80</w:t>
            </w:r>
          </w:p>
        </w:tc>
      </w:tr>
      <w:tr w14:paraId="57AD0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649F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w:t>
            </w:r>
          </w:p>
        </w:tc>
        <w:tc>
          <w:tcPr>
            <w:tcW w:w="6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2528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桂平市西山镇永培小学</w:t>
            </w:r>
          </w:p>
        </w:tc>
        <w:tc>
          <w:tcPr>
            <w:tcW w:w="2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2ABB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19</w:t>
            </w:r>
          </w:p>
        </w:tc>
      </w:tr>
      <w:tr w14:paraId="63912E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1748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w:t>
            </w:r>
          </w:p>
        </w:tc>
        <w:tc>
          <w:tcPr>
            <w:tcW w:w="6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14E6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桂平市西山镇永培小学全村分校</w:t>
            </w:r>
          </w:p>
        </w:tc>
        <w:tc>
          <w:tcPr>
            <w:tcW w:w="2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28B7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w:t>
            </w:r>
          </w:p>
        </w:tc>
      </w:tr>
      <w:tr w14:paraId="3F11A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2B76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w:t>
            </w:r>
          </w:p>
        </w:tc>
        <w:tc>
          <w:tcPr>
            <w:tcW w:w="6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008B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桂平市西山镇永培小学永江分校</w:t>
            </w:r>
          </w:p>
        </w:tc>
        <w:tc>
          <w:tcPr>
            <w:tcW w:w="2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9AF6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r>
      <w:tr w14:paraId="6A923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2B30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w:t>
            </w:r>
          </w:p>
        </w:tc>
        <w:tc>
          <w:tcPr>
            <w:tcW w:w="6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1541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桂平市西山镇永培小学永扬分校</w:t>
            </w:r>
          </w:p>
        </w:tc>
        <w:tc>
          <w:tcPr>
            <w:tcW w:w="2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8535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w:t>
            </w:r>
          </w:p>
        </w:tc>
      </w:tr>
      <w:tr w14:paraId="259B65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C555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16</w:t>
            </w:r>
          </w:p>
        </w:tc>
        <w:tc>
          <w:tcPr>
            <w:tcW w:w="6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DB22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桂平市西山镇中心幼儿园</w:t>
            </w:r>
          </w:p>
        </w:tc>
        <w:tc>
          <w:tcPr>
            <w:tcW w:w="2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32C2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245</w:t>
            </w:r>
          </w:p>
        </w:tc>
      </w:tr>
      <w:tr w14:paraId="2FA59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C726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17</w:t>
            </w:r>
          </w:p>
        </w:tc>
        <w:tc>
          <w:tcPr>
            <w:tcW w:w="6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51F4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桂平市西山镇中心幼儿园思灵分园</w:t>
            </w:r>
          </w:p>
        </w:tc>
        <w:tc>
          <w:tcPr>
            <w:tcW w:w="2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1B47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w:t>
            </w:r>
          </w:p>
        </w:tc>
      </w:tr>
      <w:tr w14:paraId="05084D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3323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w:t>
            </w:r>
          </w:p>
        </w:tc>
        <w:tc>
          <w:tcPr>
            <w:tcW w:w="6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7F20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桂平市西山镇中心幼儿园城西分园</w:t>
            </w:r>
          </w:p>
        </w:tc>
        <w:tc>
          <w:tcPr>
            <w:tcW w:w="2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1777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80</w:t>
            </w:r>
          </w:p>
        </w:tc>
      </w:tr>
      <w:tr w14:paraId="6B132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73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DFC52E">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合计</w:t>
            </w:r>
          </w:p>
        </w:tc>
        <w:tc>
          <w:tcPr>
            <w:tcW w:w="2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DAC28">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3640</w:t>
            </w:r>
          </w:p>
        </w:tc>
      </w:tr>
    </w:tbl>
    <w:p w14:paraId="561708A3">
      <w:pPr>
        <w:spacing w:line="480" w:lineRule="auto"/>
        <w:ind w:firstLine="424" w:firstLineChars="202"/>
        <w:jc w:val="left"/>
        <w:rPr>
          <w:rFonts w:hint="eastAsia" w:ascii="宋体" w:hAnsi="宋体" w:eastAsia="宋体" w:cs="宋体"/>
          <w:b w:val="0"/>
          <w:color w:val="auto"/>
          <w:sz w:val="21"/>
          <w:szCs w:val="21"/>
          <w:highlight w:val="none"/>
          <w:lang w:val="en-US" w:eastAsia="zh-CN"/>
        </w:rPr>
      </w:pPr>
    </w:p>
    <w:p w14:paraId="54332D6C">
      <w:pPr>
        <w:keepNext w:val="0"/>
        <w:keepLines w:val="0"/>
        <w:pageBreakBefore w:val="0"/>
        <w:widowControl w:val="0"/>
        <w:numPr>
          <w:ilvl w:val="0"/>
          <w:numId w:val="0"/>
        </w:numPr>
        <w:kinsoku/>
        <w:wordWrap/>
        <w:overflowPunct/>
        <w:topLinePunct w:val="0"/>
        <w:autoSpaceDE/>
        <w:autoSpaceDN/>
        <w:bidi w:val="0"/>
        <w:adjustRightInd/>
        <w:snapToGrid/>
        <w:spacing w:beforeAutospacing="0" w:line="480" w:lineRule="auto"/>
        <w:textAlignment w:val="auto"/>
        <w:rPr>
          <w:rFonts w:hint="eastAsia" w:ascii="宋体" w:hAnsi="宋体" w:eastAsia="宋体" w:cs="宋体"/>
          <w:b/>
          <w:bCs/>
          <w:color w:val="auto"/>
          <w:sz w:val="32"/>
          <w:szCs w:val="32"/>
          <w:highlight w:val="none"/>
          <w:lang w:val="en-US" w:eastAsia="zh-CN"/>
        </w:rPr>
      </w:pPr>
      <w:r>
        <w:rPr>
          <w:rFonts w:hint="eastAsia" w:ascii="宋体" w:hAnsi="宋体" w:cs="宋体"/>
          <w:b/>
          <w:bCs/>
          <w:color w:val="auto"/>
          <w:sz w:val="32"/>
          <w:szCs w:val="32"/>
          <w:highlight w:val="none"/>
          <w:lang w:val="en-US" w:eastAsia="zh-CN"/>
        </w:rPr>
        <w:t>一、技术</w:t>
      </w:r>
      <w:r>
        <w:rPr>
          <w:rFonts w:hint="eastAsia" w:ascii="宋体" w:hAnsi="宋体" w:eastAsia="宋体" w:cs="宋体"/>
          <w:b/>
          <w:bCs/>
          <w:color w:val="auto"/>
          <w:sz w:val="32"/>
          <w:szCs w:val="32"/>
          <w:highlight w:val="none"/>
          <w:lang w:val="en-US" w:eastAsia="zh-CN"/>
        </w:rPr>
        <w:t>要求</w:t>
      </w:r>
    </w:p>
    <w:p w14:paraId="7DAC43C3">
      <w:pPr>
        <w:pageBreakBefore w:val="0"/>
        <w:widowControl w:val="0"/>
        <w:kinsoku/>
        <w:wordWrap/>
        <w:overflowPunct/>
        <w:topLinePunct w:val="0"/>
        <w:bidi w:val="0"/>
        <w:adjustRightInd/>
        <w:spacing w:beforeAutospacing="0" w:line="500" w:lineRule="exact"/>
        <w:ind w:firstLine="422"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b/>
          <w:bCs/>
          <w:color w:val="auto"/>
          <w:highlight w:val="none"/>
          <w:lang w:val="en-US" w:eastAsia="zh-CN"/>
        </w:rPr>
        <w:t>（</w:t>
      </w:r>
      <w:r>
        <w:rPr>
          <w:rFonts w:hint="eastAsia" w:ascii="宋体" w:hAnsi="宋体" w:cs="宋体"/>
          <w:b/>
          <w:bCs/>
          <w:color w:val="auto"/>
          <w:highlight w:val="none"/>
          <w:lang w:val="en-US" w:eastAsia="zh-CN"/>
        </w:rPr>
        <w:t>一</w:t>
      </w:r>
      <w:r>
        <w:rPr>
          <w:rFonts w:hint="eastAsia" w:ascii="宋体" w:hAnsi="宋体" w:eastAsia="宋体" w:cs="宋体"/>
          <w:b/>
          <w:bCs/>
          <w:color w:val="auto"/>
          <w:highlight w:val="none"/>
          <w:lang w:val="en-US" w:eastAsia="zh-CN"/>
        </w:rPr>
        <w:t>）采购范围：</w:t>
      </w:r>
    </w:p>
    <w:p w14:paraId="0C106557">
      <w:pPr>
        <w:pageBreakBefore w:val="0"/>
        <w:widowControl w:val="0"/>
        <w:kinsoku/>
        <w:wordWrap/>
        <w:overflowPunct/>
        <w:topLinePunct w:val="0"/>
        <w:bidi w:val="0"/>
        <w:adjustRightInd/>
        <w:spacing w:beforeAutospacing="0" w:line="500" w:lineRule="exact"/>
        <w:ind w:firstLine="420" w:firstLineChars="200"/>
        <w:textAlignment w:val="auto"/>
        <w:rPr>
          <w:rFonts w:hint="eastAsia" w:ascii="宋体" w:hAnsi="宋体" w:cs="Times New Roman"/>
          <w:color w:val="auto"/>
          <w:szCs w:val="21"/>
          <w:highlight w:val="none"/>
          <w:lang w:val="en-US" w:eastAsia="zh-CN"/>
        </w:rPr>
      </w:pPr>
      <w:r>
        <w:rPr>
          <w:rFonts w:hint="eastAsia" w:ascii="宋体" w:hAnsi="宋体" w:cs="Times New Roman"/>
          <w:color w:val="auto"/>
          <w:szCs w:val="21"/>
          <w:highlight w:val="none"/>
          <w:lang w:val="en-US" w:eastAsia="zh-CN"/>
        </w:rPr>
        <w:t>学校食堂普通餐食品原材料联合采购配送服务项目主要包括（包括但不限于以下品种）：大米，花生油，猪肉、牛肉，鸡肉、鸭肉等生鲜肉类，鲜活水产类，禽蛋类，调味品、干杂货食品，豆制品，奶制品，蔬菜类，面包、糕点类，粉类，水果类等。每种食品原材料均按学校要求提供不少于六种质优价廉的产品供学校选购（花生油要求提供不少于三种品牌供学校选购）。</w:t>
      </w:r>
    </w:p>
    <w:p w14:paraId="798D7CDC">
      <w:pPr>
        <w:pageBreakBefore w:val="0"/>
        <w:widowControl w:val="0"/>
        <w:kinsoku/>
        <w:wordWrap/>
        <w:overflowPunct/>
        <w:topLinePunct w:val="0"/>
        <w:bidi w:val="0"/>
        <w:adjustRightInd/>
        <w:spacing w:beforeAutospacing="0" w:line="500" w:lineRule="exact"/>
        <w:ind w:firstLine="422" w:firstLineChars="200"/>
        <w:textAlignment w:val="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w:t>
      </w:r>
      <w:r>
        <w:rPr>
          <w:rFonts w:hint="eastAsia" w:ascii="宋体" w:hAnsi="宋体" w:cs="宋体"/>
          <w:b/>
          <w:bCs/>
          <w:color w:val="auto"/>
          <w:highlight w:val="none"/>
          <w:lang w:val="en-US" w:eastAsia="zh-CN"/>
        </w:rPr>
        <w:t>二</w:t>
      </w:r>
      <w:r>
        <w:rPr>
          <w:rFonts w:hint="eastAsia" w:ascii="宋体" w:hAnsi="宋体" w:eastAsia="宋体" w:cs="宋体"/>
          <w:b/>
          <w:bCs/>
          <w:color w:val="auto"/>
          <w:highlight w:val="none"/>
          <w:lang w:val="en-US" w:eastAsia="zh-CN"/>
        </w:rPr>
        <w:t>）食材质量配送要求：</w:t>
      </w:r>
    </w:p>
    <w:p w14:paraId="1D37BD73">
      <w:pPr>
        <w:pageBreakBefore w:val="0"/>
        <w:widowControl w:val="0"/>
        <w:kinsoku/>
        <w:wordWrap/>
        <w:overflowPunct/>
        <w:topLinePunct w:val="0"/>
        <w:bidi w:val="0"/>
        <w:adjustRightInd/>
        <w:spacing w:line="5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highlight w:val="none"/>
          <w:lang w:val="en-US" w:eastAsia="zh-CN"/>
        </w:rPr>
        <w:t>配送到学校食堂的原材料食材必须符合新的《食品安全法》第三章“食品安全标准”中的规定。食品中污染物限量应符合GB2762-2022标准，食品中农药残留量符合GB2763-2021标准；不得采购转基因食品或利用转基因食品原料加工的成品；食品原料新鲜、清洁卫生，同时对每批次食品原料进行检测，具有食品安监部门或国家承认的检测机构检测报告（同批次），供货时进行提供。</w:t>
      </w:r>
    </w:p>
    <w:p w14:paraId="1A032D83">
      <w:pPr>
        <w:pageBreakBefore w:val="0"/>
        <w:widowControl w:val="0"/>
        <w:kinsoku/>
        <w:wordWrap/>
        <w:overflowPunct/>
        <w:topLinePunct w:val="0"/>
        <w:bidi w:val="0"/>
        <w:adjustRightInd/>
        <w:spacing w:beforeAutospacing="0" w:line="500" w:lineRule="exact"/>
        <w:ind w:firstLine="422" w:firstLineChars="200"/>
        <w:textAlignment w:val="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（三）大宗食材主要技术指标</w:t>
      </w:r>
      <w:r>
        <w:rPr>
          <w:rFonts w:hint="eastAsia" w:ascii="宋体" w:hAnsi="宋体" w:cs="宋体"/>
          <w:b/>
          <w:bCs/>
          <w:color w:val="auto"/>
          <w:highlight w:val="none"/>
          <w:lang w:val="en-US" w:eastAsia="zh-CN"/>
        </w:rPr>
        <w:t>：</w:t>
      </w:r>
    </w:p>
    <w:tbl>
      <w:tblPr>
        <w:tblStyle w:val="27"/>
        <w:tblW w:w="92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9"/>
        <w:gridCol w:w="7906"/>
      </w:tblGrid>
      <w:tr w14:paraId="5FC89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noWrap w:val="0"/>
            <w:vAlign w:val="center"/>
          </w:tcPr>
          <w:p w14:paraId="4E5F348C">
            <w:pPr>
              <w:keepNext w:val="0"/>
              <w:keepLines w:val="0"/>
              <w:pageBreakBefore w:val="0"/>
              <w:widowControl w:val="0"/>
              <w:kinsoku/>
              <w:wordWrap/>
              <w:overflowPunct/>
              <w:topLinePunct w:val="0"/>
              <w:bidi w:val="0"/>
              <w:adjustRightInd/>
              <w:spacing w:line="440" w:lineRule="exact"/>
              <w:ind w:right="165"/>
              <w:jc w:val="center"/>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品类</w:t>
            </w:r>
          </w:p>
        </w:tc>
        <w:tc>
          <w:tcPr>
            <w:tcW w:w="7906" w:type="dxa"/>
            <w:noWrap w:val="0"/>
            <w:vAlign w:val="center"/>
          </w:tcPr>
          <w:p w14:paraId="3B0C4707">
            <w:pPr>
              <w:keepNext w:val="0"/>
              <w:keepLines w:val="0"/>
              <w:pageBreakBefore w:val="0"/>
              <w:widowControl w:val="0"/>
              <w:kinsoku/>
              <w:wordWrap/>
              <w:overflowPunct/>
              <w:topLinePunct w:val="0"/>
              <w:bidi w:val="0"/>
              <w:adjustRightInd/>
              <w:spacing w:line="440" w:lineRule="exact"/>
              <w:ind w:right="165"/>
              <w:jc w:val="center"/>
              <w:textAlignment w:val="auto"/>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产品质量要求及技术指标</w:t>
            </w:r>
          </w:p>
        </w:tc>
      </w:tr>
      <w:tr w14:paraId="7A855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noWrap w:val="0"/>
            <w:vAlign w:val="center"/>
          </w:tcPr>
          <w:p w14:paraId="12D1F259">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Cs w:val="21"/>
                <w:highlight w:val="none"/>
              </w:rPr>
            </w:pPr>
            <w:r>
              <w:rPr>
                <w:rFonts w:hint="eastAsia" w:ascii="宋体" w:hAnsi="宋体" w:eastAsia="宋体" w:cs="宋体"/>
                <w:color w:val="auto"/>
                <w:spacing w:val="-3"/>
                <w:sz w:val="21"/>
                <w:szCs w:val="21"/>
                <w:highlight w:val="none"/>
                <w:lang w:val="en-US" w:eastAsia="zh-CN"/>
              </w:rPr>
              <w:t>大米</w:t>
            </w:r>
          </w:p>
        </w:tc>
        <w:tc>
          <w:tcPr>
            <w:tcW w:w="7906" w:type="dxa"/>
            <w:noWrap w:val="0"/>
            <w:vAlign w:val="center"/>
          </w:tcPr>
          <w:p w14:paraId="0F2BD3A0">
            <w:pPr>
              <w:keepNext w:val="0"/>
              <w:keepLines w:val="0"/>
              <w:pageBreakBefore w:val="0"/>
              <w:widowControl w:val="0"/>
              <w:kinsoku/>
              <w:wordWrap/>
              <w:overflowPunct/>
              <w:topLinePunct w:val="0"/>
              <w:autoSpaceDE w:val="0"/>
              <w:autoSpaceDN w:val="0"/>
              <w:bidi w:val="0"/>
              <w:adjustRightInd/>
              <w:snapToGrid/>
              <w:spacing w:line="44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1、采购需求</w:t>
            </w:r>
          </w:p>
          <w:p w14:paraId="7982869E">
            <w:pPr>
              <w:keepNext w:val="0"/>
              <w:keepLines w:val="0"/>
              <w:pageBreakBefore w:val="0"/>
              <w:widowControl w:val="0"/>
              <w:kinsoku/>
              <w:wordWrap/>
              <w:overflowPunct/>
              <w:topLinePunct w:val="0"/>
              <w:autoSpaceDE w:val="0"/>
              <w:autoSpaceDN w:val="0"/>
              <w:bidi w:val="0"/>
              <w:adjustRightInd/>
              <w:snapToGrid/>
              <w:spacing w:line="44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（1）实行每批次采购，供应商应按采购单位的货物请购清单提供相应数量的货物。</w:t>
            </w:r>
          </w:p>
          <w:p w14:paraId="4A369D43">
            <w:pPr>
              <w:keepNext w:val="0"/>
              <w:keepLines w:val="0"/>
              <w:pageBreakBefore w:val="0"/>
              <w:widowControl w:val="0"/>
              <w:kinsoku/>
              <w:wordWrap/>
              <w:overflowPunct/>
              <w:topLinePunct w:val="0"/>
              <w:autoSpaceDE w:val="0"/>
              <w:autoSpaceDN w:val="0"/>
              <w:bidi w:val="0"/>
              <w:adjustRightInd/>
              <w:snapToGrid/>
              <w:spacing w:line="44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（2）结算时按实际采购数量结算。</w:t>
            </w:r>
          </w:p>
          <w:p w14:paraId="7BE2D9B7">
            <w:pPr>
              <w:keepNext w:val="0"/>
              <w:keepLines w:val="0"/>
              <w:pageBreakBefore w:val="0"/>
              <w:widowControl w:val="0"/>
              <w:kinsoku/>
              <w:wordWrap/>
              <w:overflowPunct/>
              <w:topLinePunct w:val="0"/>
              <w:autoSpaceDE w:val="0"/>
              <w:autoSpaceDN w:val="0"/>
              <w:bidi w:val="0"/>
              <w:adjustRightInd/>
              <w:snapToGrid/>
              <w:spacing w:line="44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▲2、质量要求</w:t>
            </w:r>
          </w:p>
          <w:p w14:paraId="0BA69FCC">
            <w:pPr>
              <w:keepNext w:val="0"/>
              <w:keepLines w:val="0"/>
              <w:pageBreakBefore w:val="0"/>
              <w:widowControl w:val="0"/>
              <w:kinsoku/>
              <w:wordWrap/>
              <w:overflowPunct/>
              <w:topLinePunct w:val="0"/>
              <w:autoSpaceDE w:val="0"/>
              <w:autoSpaceDN w:val="0"/>
              <w:bidi w:val="0"/>
              <w:adjustRightInd/>
              <w:snapToGrid/>
              <w:spacing w:line="44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（1）每批次产品交货时必须提供食品安监部门或国家承认的检测机构检测报告。</w:t>
            </w:r>
          </w:p>
          <w:p w14:paraId="10945E3B">
            <w:pPr>
              <w:keepNext w:val="0"/>
              <w:keepLines w:val="0"/>
              <w:pageBreakBefore w:val="0"/>
              <w:widowControl w:val="0"/>
              <w:kinsoku/>
              <w:wordWrap/>
              <w:overflowPunct/>
              <w:topLinePunct w:val="0"/>
              <w:autoSpaceDE w:val="0"/>
              <w:autoSpaceDN w:val="0"/>
              <w:bidi w:val="0"/>
              <w:adjustRightInd/>
              <w:snapToGrid/>
              <w:spacing w:line="44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（2）质量指标：生产厂家具有食品有效生产资质；保证新鲜且符合食品安全法要求；大米生产用的稻谷原材料储存期不超过1年，符合相应食品类别的执行标准或企业标准；符合 GB/T1354-2018 标准，产品等级要求是一级或二级米，呈清白色或精白色，具有光泽呈半透明状，大小均匀，颗粒饱满，表面光滑、完整，无虫，不含杂物（如沙石、色素等异物）</w:t>
            </w:r>
            <w:r>
              <w:rPr>
                <w:rFonts w:hint="eastAsia" w:ascii="宋体" w:hAnsi="宋体" w:eastAsia="宋体" w:cs="宋体"/>
                <w:highlight w:val="none"/>
                <w:lang w:eastAsia="zh-CN"/>
              </w:rPr>
              <w:t>，大米口感软硬适中</w:t>
            </w:r>
            <w:r>
              <w:rPr>
                <w:rFonts w:hint="eastAsia" w:ascii="宋体" w:hAnsi="宋体" w:eastAsia="宋体" w:cs="宋体"/>
                <w:color w:val="auto"/>
                <w:szCs w:val="21"/>
                <w:highlight w:val="none"/>
                <w:lang w:val="en-US" w:eastAsia="zh-CN"/>
              </w:rPr>
              <w:t>。</w:t>
            </w:r>
          </w:p>
          <w:p w14:paraId="266B0161">
            <w:pPr>
              <w:keepNext w:val="0"/>
              <w:keepLines w:val="0"/>
              <w:pageBreakBefore w:val="0"/>
              <w:widowControl w:val="0"/>
              <w:kinsoku/>
              <w:wordWrap/>
              <w:overflowPunct/>
              <w:topLinePunct w:val="0"/>
              <w:autoSpaceDE w:val="0"/>
              <w:autoSpaceDN w:val="0"/>
              <w:bidi w:val="0"/>
              <w:adjustRightInd/>
              <w:snapToGrid/>
              <w:spacing w:line="44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包装：预包装食品，标签符合《中华人民共和国食品安全法》第六十七条规定标明内容，包装用密封性能好、无毒、无害塑料编织袋（直接接触食品的包装必须为食品级），包装的正面需印供货企业名称、地址、联系电话及生产日期等字样。包装、运输和储存必须符合保质、保量、运输安全和分类、分等储存的要求，严防污染；外包装必须符合《食品安全法》的相关规定，提供营业执照、食品生产许可证或食品经营许可证。</w:t>
            </w:r>
          </w:p>
          <w:p w14:paraId="0E8025CB">
            <w:pPr>
              <w:keepNext w:val="0"/>
              <w:keepLines w:val="0"/>
              <w:pageBreakBefore w:val="0"/>
              <w:widowControl w:val="0"/>
              <w:kinsoku/>
              <w:wordWrap/>
              <w:overflowPunct/>
              <w:topLinePunct w:val="0"/>
              <w:autoSpaceDE w:val="0"/>
              <w:autoSpaceDN w:val="0"/>
              <w:bidi w:val="0"/>
              <w:adjustRightInd/>
              <w:snapToGrid/>
              <w:spacing w:line="440" w:lineRule="exact"/>
              <w:ind w:firstLine="420" w:firstLineChars="200"/>
              <w:jc w:val="both"/>
              <w:textAlignment w:val="auto"/>
              <w:rPr>
                <w:rFonts w:hint="eastAsia" w:ascii="宋体" w:hAnsi="宋体" w:eastAsia="宋体" w:cs="宋体"/>
                <w:b/>
                <w:bCs/>
                <w:color w:val="auto"/>
                <w:szCs w:val="21"/>
                <w:highlight w:val="none"/>
              </w:rPr>
            </w:pPr>
            <w:r>
              <w:rPr>
                <w:rFonts w:hint="eastAsia" w:ascii="宋体" w:hAnsi="宋体" w:eastAsia="宋体" w:cs="宋体"/>
                <w:color w:val="auto"/>
                <w:szCs w:val="21"/>
                <w:highlight w:val="none"/>
                <w:lang w:val="en-US" w:eastAsia="zh-CN"/>
              </w:rPr>
              <w:t>（4）保质期：达到国家规定要求，剩余保存期时间不得少于保质期的四分之三。保证生产日期新鲜且符合食品安全国家标准和食品安全法要求。</w:t>
            </w:r>
          </w:p>
        </w:tc>
      </w:tr>
      <w:tr w14:paraId="67385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noWrap w:val="0"/>
            <w:vAlign w:val="center"/>
          </w:tcPr>
          <w:p w14:paraId="579D4B67">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color w:val="auto"/>
                <w:spacing w:val="-3"/>
                <w:sz w:val="21"/>
                <w:szCs w:val="21"/>
                <w:highlight w:val="none"/>
                <w:lang w:val="en-US" w:eastAsia="zh-CN"/>
              </w:rPr>
              <w:t>花生油</w:t>
            </w:r>
          </w:p>
        </w:tc>
        <w:tc>
          <w:tcPr>
            <w:tcW w:w="7906" w:type="dxa"/>
            <w:noWrap w:val="0"/>
            <w:vAlign w:val="center"/>
          </w:tcPr>
          <w:p w14:paraId="7D48950A">
            <w:pPr>
              <w:keepNext w:val="0"/>
              <w:keepLines w:val="0"/>
              <w:pageBreakBefore w:val="0"/>
              <w:widowControl w:val="0"/>
              <w:kinsoku/>
              <w:wordWrap/>
              <w:overflowPunct/>
              <w:topLinePunct w:val="0"/>
              <w:autoSpaceDE w:val="0"/>
              <w:autoSpaceDN w:val="0"/>
              <w:bidi w:val="0"/>
              <w:adjustRightInd/>
              <w:snapToGrid/>
              <w:spacing w:line="44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1、采购需求</w:t>
            </w:r>
          </w:p>
          <w:p w14:paraId="41D17014">
            <w:pPr>
              <w:keepNext w:val="0"/>
              <w:keepLines w:val="0"/>
              <w:pageBreakBefore w:val="0"/>
              <w:widowControl w:val="0"/>
              <w:kinsoku/>
              <w:wordWrap/>
              <w:overflowPunct/>
              <w:topLinePunct w:val="0"/>
              <w:autoSpaceDE w:val="0"/>
              <w:autoSpaceDN w:val="0"/>
              <w:bidi w:val="0"/>
              <w:adjustRightInd/>
              <w:snapToGrid/>
              <w:spacing w:line="44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（1）实行每批次采购，供应商应按采购单位的货物请购清单提供相应数量的货物。</w:t>
            </w:r>
          </w:p>
          <w:p w14:paraId="7CC6558E">
            <w:pPr>
              <w:keepNext w:val="0"/>
              <w:keepLines w:val="0"/>
              <w:pageBreakBefore w:val="0"/>
              <w:widowControl w:val="0"/>
              <w:kinsoku/>
              <w:wordWrap/>
              <w:overflowPunct/>
              <w:topLinePunct w:val="0"/>
              <w:autoSpaceDE w:val="0"/>
              <w:autoSpaceDN w:val="0"/>
              <w:bidi w:val="0"/>
              <w:adjustRightInd/>
              <w:snapToGrid/>
              <w:spacing w:line="44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（2）结算时按实际采购数量结算。</w:t>
            </w:r>
          </w:p>
          <w:p w14:paraId="51D9B0D0">
            <w:pPr>
              <w:keepNext w:val="0"/>
              <w:keepLines w:val="0"/>
              <w:pageBreakBefore w:val="0"/>
              <w:widowControl w:val="0"/>
              <w:kinsoku/>
              <w:wordWrap/>
              <w:overflowPunct/>
              <w:topLinePunct w:val="0"/>
              <w:autoSpaceDE w:val="0"/>
              <w:autoSpaceDN w:val="0"/>
              <w:bidi w:val="0"/>
              <w:adjustRightInd/>
              <w:snapToGrid/>
              <w:spacing w:line="44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▲2、质量要求</w:t>
            </w:r>
          </w:p>
          <w:p w14:paraId="06D55E54">
            <w:pPr>
              <w:keepNext w:val="0"/>
              <w:keepLines w:val="0"/>
              <w:pageBreakBefore w:val="0"/>
              <w:widowControl w:val="0"/>
              <w:kinsoku/>
              <w:wordWrap/>
              <w:overflowPunct/>
              <w:topLinePunct w:val="0"/>
              <w:autoSpaceDE w:val="0"/>
              <w:autoSpaceDN w:val="0"/>
              <w:bidi w:val="0"/>
              <w:adjustRightInd/>
              <w:snapToGrid/>
              <w:spacing w:line="44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（1）每批次产品交货时必须提供食品安监部门或国家承认的检测机构检测报告。</w:t>
            </w:r>
          </w:p>
          <w:p w14:paraId="2360FD68">
            <w:pPr>
              <w:keepNext w:val="0"/>
              <w:keepLines w:val="0"/>
              <w:pageBreakBefore w:val="0"/>
              <w:widowControl w:val="0"/>
              <w:kinsoku/>
              <w:wordWrap/>
              <w:overflowPunct/>
              <w:topLinePunct w:val="0"/>
              <w:autoSpaceDE w:val="0"/>
              <w:autoSpaceDN w:val="0"/>
              <w:bidi w:val="0"/>
              <w:adjustRightInd/>
              <w:snapToGrid/>
              <w:spacing w:line="44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（2）食用油</w:t>
            </w:r>
            <w:r>
              <w:rPr>
                <w:rFonts w:hint="eastAsia" w:ascii="宋体" w:hAnsi="宋体" w:eastAsia="宋体" w:cs="宋体"/>
                <w:highlight w:val="none"/>
                <w:lang w:eastAsia="zh-CN"/>
              </w:rPr>
              <w:t>生产厂家具有食品生产许可证或小作坊登记证，</w:t>
            </w:r>
            <w:r>
              <w:rPr>
                <w:rFonts w:hint="eastAsia" w:ascii="宋体" w:hAnsi="宋体" w:eastAsia="宋体" w:cs="宋体"/>
                <w:color w:val="auto"/>
                <w:szCs w:val="21"/>
                <w:highlight w:val="none"/>
                <w:lang w:val="en-US" w:eastAsia="zh-CN"/>
              </w:rPr>
              <w:t>食用油具有产品合格证，外包装标明保质期及生产日期。产品原料必须为非转基因原料。</w:t>
            </w:r>
          </w:p>
          <w:p w14:paraId="432B2515">
            <w:pPr>
              <w:keepNext w:val="0"/>
              <w:keepLines w:val="0"/>
              <w:pageBreakBefore w:val="0"/>
              <w:widowControl w:val="0"/>
              <w:kinsoku/>
              <w:wordWrap/>
              <w:overflowPunct/>
              <w:topLinePunct w:val="0"/>
              <w:autoSpaceDE w:val="0"/>
              <w:autoSpaceDN w:val="0"/>
              <w:bidi w:val="0"/>
              <w:adjustRightInd/>
              <w:snapToGrid/>
              <w:spacing w:line="44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（3）食用油必须符合 GB/T1534-2017 标准，为花生油，压榨花生油产品等级要求是一级，产品包装要求机械封装，外包装必须符合《食品安全法》的相关规定。</w:t>
            </w:r>
          </w:p>
          <w:p w14:paraId="63449F82">
            <w:pPr>
              <w:keepNext w:val="0"/>
              <w:keepLines w:val="0"/>
              <w:pageBreakBefore w:val="0"/>
              <w:widowControl w:val="0"/>
              <w:kinsoku/>
              <w:wordWrap/>
              <w:overflowPunct/>
              <w:topLinePunct w:val="0"/>
              <w:autoSpaceDE w:val="0"/>
              <w:autoSpaceDN w:val="0"/>
              <w:bidi w:val="0"/>
              <w:adjustRightInd/>
              <w:snapToGrid/>
              <w:spacing w:line="44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食用油须同时满足以下要求：具有固有的气味和滋味，无异味；不得混有其他食用油或非食用油；加热试验（280℃) 油色不得变深，无析出物；卫生标准和动植物检疫项目，按照国家有关规定执行。</w:t>
            </w:r>
          </w:p>
          <w:p w14:paraId="517E6ED0">
            <w:pPr>
              <w:keepNext w:val="0"/>
              <w:keepLines w:val="0"/>
              <w:pageBreakBefore w:val="0"/>
              <w:widowControl w:val="0"/>
              <w:kinsoku/>
              <w:wordWrap/>
              <w:overflowPunct/>
              <w:topLinePunct w:val="0"/>
              <w:autoSpaceDE w:val="0"/>
              <w:autoSpaceDN w:val="0"/>
              <w:bidi w:val="0"/>
              <w:adjustRightInd/>
              <w:snapToGrid/>
              <w:spacing w:line="440" w:lineRule="exact"/>
              <w:ind w:firstLine="420" w:firstLineChars="200"/>
              <w:jc w:val="both"/>
              <w:textAlignment w:val="auto"/>
              <w:rPr>
                <w:rFonts w:hint="eastAsia" w:ascii="宋体" w:hAnsi="宋体" w:eastAsia="宋体" w:cs="宋体"/>
                <w:b/>
                <w:bCs/>
                <w:color w:val="auto"/>
                <w:szCs w:val="21"/>
                <w:highlight w:val="none"/>
              </w:rPr>
            </w:pPr>
            <w:r>
              <w:rPr>
                <w:rFonts w:hint="eastAsia" w:ascii="宋体" w:hAnsi="宋体" w:eastAsia="宋体" w:cs="宋体"/>
                <w:color w:val="auto"/>
                <w:szCs w:val="21"/>
                <w:highlight w:val="none"/>
                <w:lang w:val="en-US" w:eastAsia="zh-CN"/>
              </w:rPr>
              <w:t>（4）保质期：达到国家规定要求，剩余保存期时间不得少于保质期的四分之三。保证生产日期新鲜且符合食品安全国家标准和食品安全法要求。</w:t>
            </w:r>
          </w:p>
        </w:tc>
      </w:tr>
      <w:tr w14:paraId="52AE3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jc w:val="center"/>
        </w:trPr>
        <w:tc>
          <w:tcPr>
            <w:tcW w:w="1389" w:type="dxa"/>
            <w:noWrap w:val="0"/>
            <w:vAlign w:val="center"/>
          </w:tcPr>
          <w:p w14:paraId="4DC67889">
            <w:pPr>
              <w:keepNext w:val="0"/>
              <w:keepLines w:val="0"/>
              <w:pageBreakBefore w:val="0"/>
              <w:widowControl w:val="0"/>
              <w:kinsoku/>
              <w:wordWrap/>
              <w:overflowPunct/>
              <w:topLinePunct w:val="0"/>
              <w:bidi w:val="0"/>
              <w:adjustRightInd/>
              <w:spacing w:line="440" w:lineRule="exact"/>
              <w:ind w:right="165" w:rightChars="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猪肉</w:t>
            </w:r>
            <w:r>
              <w:rPr>
                <w:rFonts w:hint="eastAsia" w:ascii="宋体" w:hAnsi="宋体" w:eastAsia="宋体" w:cs="宋体"/>
                <w:color w:val="auto"/>
                <w:kern w:val="0"/>
                <w:szCs w:val="21"/>
                <w:highlight w:val="none"/>
                <w:u w:val="none"/>
                <w:lang w:val="en-US" w:eastAsia="zh-CN"/>
              </w:rPr>
              <w:t>、牛肉</w:t>
            </w:r>
          </w:p>
        </w:tc>
        <w:tc>
          <w:tcPr>
            <w:tcW w:w="7906" w:type="dxa"/>
            <w:noWrap w:val="0"/>
            <w:vAlign w:val="center"/>
          </w:tcPr>
          <w:p w14:paraId="54B2CDD9">
            <w:pPr>
              <w:keepNext w:val="0"/>
              <w:keepLines w:val="0"/>
              <w:pageBreakBefore w:val="0"/>
              <w:widowControl w:val="0"/>
              <w:kinsoku/>
              <w:wordWrap/>
              <w:overflowPunct/>
              <w:topLinePunct w:val="0"/>
              <w:autoSpaceDE w:val="0"/>
              <w:autoSpaceDN w:val="0"/>
              <w:bidi w:val="0"/>
              <w:adjustRightInd/>
              <w:snapToGrid/>
              <w:spacing w:line="44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1、采购需求</w:t>
            </w:r>
          </w:p>
          <w:p w14:paraId="31FE0A4B">
            <w:pPr>
              <w:keepNext w:val="0"/>
              <w:keepLines w:val="0"/>
              <w:pageBreakBefore w:val="0"/>
              <w:widowControl w:val="0"/>
              <w:kinsoku/>
              <w:wordWrap/>
              <w:overflowPunct/>
              <w:topLinePunct w:val="0"/>
              <w:autoSpaceDE w:val="0"/>
              <w:autoSpaceDN w:val="0"/>
              <w:bidi w:val="0"/>
              <w:adjustRightInd/>
              <w:snapToGrid/>
              <w:spacing w:line="44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（1）实行每日采购，供应商每日应按采购单位的货物请购清单提供相应数量的货物。</w:t>
            </w:r>
          </w:p>
          <w:p w14:paraId="729C7E27">
            <w:pPr>
              <w:keepNext w:val="0"/>
              <w:keepLines w:val="0"/>
              <w:pageBreakBefore w:val="0"/>
              <w:widowControl w:val="0"/>
              <w:kinsoku/>
              <w:wordWrap/>
              <w:overflowPunct/>
              <w:topLinePunct w:val="0"/>
              <w:autoSpaceDE w:val="0"/>
              <w:autoSpaceDN w:val="0"/>
              <w:bidi w:val="0"/>
              <w:adjustRightInd/>
              <w:snapToGrid/>
              <w:spacing w:line="44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（2）结算时按实际采购数量结算。</w:t>
            </w:r>
          </w:p>
          <w:p w14:paraId="4A82E168">
            <w:pPr>
              <w:keepNext w:val="0"/>
              <w:keepLines w:val="0"/>
              <w:pageBreakBefore w:val="0"/>
              <w:widowControl w:val="0"/>
              <w:kinsoku/>
              <w:wordWrap/>
              <w:overflowPunct/>
              <w:topLinePunct w:val="0"/>
              <w:autoSpaceDE w:val="0"/>
              <w:autoSpaceDN w:val="0"/>
              <w:bidi w:val="0"/>
              <w:adjustRightInd/>
              <w:snapToGrid/>
              <w:spacing w:line="44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▲2、质量要求</w:t>
            </w:r>
          </w:p>
          <w:p w14:paraId="6EF6EB04">
            <w:pPr>
              <w:keepNext w:val="0"/>
              <w:keepLines w:val="0"/>
              <w:pageBreakBefore w:val="0"/>
              <w:widowControl w:val="0"/>
              <w:kinsoku/>
              <w:wordWrap/>
              <w:overflowPunct/>
              <w:topLinePunct w:val="0"/>
              <w:autoSpaceDE w:val="0"/>
              <w:autoSpaceDN w:val="0"/>
              <w:bidi w:val="0"/>
              <w:adjustRightInd/>
              <w:snapToGrid/>
              <w:spacing w:line="44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（1）宰杀至交货时间不得超过9小时，肉质新鲜，色泽好，有弹性，无变质无异味、无冰冻，无注水或注入其他物质；无传染病和致人中毒的毒素、无危害人体健康的各种有害激素以及大肠杆菌不超标；</w:t>
            </w:r>
            <w:r>
              <w:rPr>
                <w:rFonts w:hint="eastAsia" w:ascii="宋体" w:hAnsi="宋体" w:eastAsia="宋体" w:cs="宋体"/>
                <w:color w:val="auto"/>
                <w:szCs w:val="21"/>
                <w:highlight w:val="none"/>
              </w:rPr>
              <w:t>严禁病死畜肉、畜肉不得使用瘦肉精等禁用物质</w:t>
            </w:r>
            <w:r>
              <w:rPr>
                <w:rFonts w:hint="eastAsia" w:ascii="宋体" w:hAnsi="宋体" w:eastAsia="宋体" w:cs="宋体"/>
                <w:color w:val="auto"/>
                <w:szCs w:val="21"/>
                <w:highlight w:val="none"/>
                <w:lang w:val="en-US" w:eastAsia="zh-CN"/>
              </w:rPr>
              <w:t xml:space="preserve">。    </w:t>
            </w:r>
          </w:p>
          <w:p w14:paraId="3E28C5B1">
            <w:pPr>
              <w:keepNext w:val="0"/>
              <w:keepLines w:val="0"/>
              <w:pageBreakBefore w:val="0"/>
              <w:widowControl w:val="0"/>
              <w:kinsoku/>
              <w:wordWrap/>
              <w:overflowPunct/>
              <w:topLinePunct w:val="0"/>
              <w:autoSpaceDE w:val="0"/>
              <w:autoSpaceDN w:val="0"/>
              <w:bidi w:val="0"/>
              <w:adjustRightInd/>
              <w:snapToGrid/>
              <w:spacing w:line="44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产品必须符合食品卫生生产标准和食品卫生安全要求，必须符合《食品安全法》相关的要求。肉类必须经防疫部门检验合格。每次供货必须提供当批次的《动物检疫合格证明》《肉品品质检验合格证》等检验检疫证明。生鲜猪肉须提供两章两证一报告（动物产品检疫合格证、肉品品质检验合格证、胴体上的红色和蓝色滚花印章、非洲猪瘟病毒检测结果报告），五花肉肥瘦比例适中价格参考前后腿肉价格。</w:t>
            </w:r>
          </w:p>
          <w:p w14:paraId="22656F70">
            <w:pPr>
              <w:keepNext w:val="0"/>
              <w:keepLines w:val="0"/>
              <w:pageBreakBefore w:val="0"/>
              <w:widowControl w:val="0"/>
              <w:kinsoku/>
              <w:wordWrap/>
              <w:overflowPunct/>
              <w:topLinePunct w:val="0"/>
              <w:autoSpaceDE w:val="0"/>
              <w:autoSpaceDN w:val="0"/>
              <w:bidi w:val="0"/>
              <w:adjustRightInd/>
              <w:snapToGrid/>
              <w:spacing w:line="44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（3）产品必须经过固定合法牲畜屠宰场所屠宰，符合食品卫生生产标准，符合食品卫生安全要求。</w:t>
            </w:r>
          </w:p>
          <w:p w14:paraId="16FCE887">
            <w:pPr>
              <w:keepNext w:val="0"/>
              <w:keepLines w:val="0"/>
              <w:pageBreakBefore w:val="0"/>
              <w:widowControl w:val="0"/>
              <w:kinsoku/>
              <w:wordWrap/>
              <w:overflowPunct/>
              <w:topLinePunct w:val="0"/>
              <w:autoSpaceDE w:val="0"/>
              <w:autoSpaceDN w:val="0"/>
              <w:bidi w:val="0"/>
              <w:adjustRightInd/>
              <w:snapToGrid/>
              <w:spacing w:line="440" w:lineRule="exact"/>
              <w:ind w:firstLine="42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lang w:val="en-US" w:eastAsia="zh-CN"/>
              </w:rPr>
              <w:t>（4）按照学校需要进行响应加工，每日按时配送。</w:t>
            </w:r>
          </w:p>
        </w:tc>
      </w:tr>
      <w:tr w14:paraId="2C45C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noWrap w:val="0"/>
            <w:vAlign w:val="center"/>
          </w:tcPr>
          <w:p w14:paraId="4696CA46">
            <w:pPr>
              <w:keepNext w:val="0"/>
              <w:keepLines w:val="0"/>
              <w:pageBreakBefore w:val="0"/>
              <w:widowControl w:val="0"/>
              <w:kinsoku/>
              <w:wordWrap/>
              <w:overflowPunct/>
              <w:topLinePunct w:val="0"/>
              <w:bidi w:val="0"/>
              <w:adjustRightInd/>
              <w:spacing w:line="440" w:lineRule="exact"/>
              <w:ind w:right="165" w:rightChars="0"/>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鸡</w:t>
            </w:r>
            <w:r>
              <w:rPr>
                <w:rFonts w:hint="eastAsia" w:ascii="宋体" w:hAnsi="宋体" w:eastAsia="宋体" w:cs="宋体"/>
                <w:color w:val="auto"/>
                <w:szCs w:val="21"/>
                <w:highlight w:val="none"/>
                <w:lang w:val="en-US" w:eastAsia="zh-CN"/>
              </w:rPr>
              <w:t>肉、</w:t>
            </w:r>
            <w:r>
              <w:rPr>
                <w:rFonts w:hint="eastAsia" w:ascii="宋体" w:hAnsi="宋体" w:eastAsia="宋体" w:cs="宋体"/>
                <w:color w:val="auto"/>
                <w:szCs w:val="21"/>
                <w:highlight w:val="none"/>
              </w:rPr>
              <w:t>鸭</w:t>
            </w:r>
            <w:r>
              <w:rPr>
                <w:rFonts w:hint="eastAsia" w:ascii="宋体" w:hAnsi="宋体" w:eastAsia="宋体" w:cs="宋体"/>
                <w:color w:val="auto"/>
                <w:szCs w:val="21"/>
                <w:highlight w:val="none"/>
                <w:lang w:val="en-US" w:eastAsia="zh-CN"/>
              </w:rPr>
              <w:t>肉</w:t>
            </w:r>
          </w:p>
        </w:tc>
        <w:tc>
          <w:tcPr>
            <w:tcW w:w="7906" w:type="dxa"/>
            <w:noWrap w:val="0"/>
            <w:vAlign w:val="center"/>
          </w:tcPr>
          <w:p w14:paraId="004FC1EF">
            <w:pPr>
              <w:keepNext w:val="0"/>
              <w:keepLines w:val="0"/>
              <w:pageBreakBefore w:val="0"/>
              <w:widowControl w:val="0"/>
              <w:kinsoku/>
              <w:wordWrap/>
              <w:overflowPunct/>
              <w:topLinePunct w:val="0"/>
              <w:autoSpaceDE w:val="0"/>
              <w:autoSpaceDN w:val="0"/>
              <w:bidi w:val="0"/>
              <w:adjustRightInd/>
              <w:snapToGrid/>
              <w:spacing w:line="440" w:lineRule="exact"/>
              <w:ind w:firstLine="420" w:firstLineChars="200"/>
              <w:jc w:val="both"/>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1、采购需求</w:t>
            </w:r>
          </w:p>
          <w:p w14:paraId="1490490D">
            <w:pPr>
              <w:keepNext w:val="0"/>
              <w:keepLines w:val="0"/>
              <w:pageBreakBefore w:val="0"/>
              <w:widowControl w:val="0"/>
              <w:kinsoku/>
              <w:wordWrap/>
              <w:overflowPunct/>
              <w:topLinePunct w:val="0"/>
              <w:autoSpaceDE w:val="0"/>
              <w:autoSpaceDN w:val="0"/>
              <w:bidi w:val="0"/>
              <w:adjustRightInd/>
              <w:snapToGrid/>
              <w:spacing w:line="440" w:lineRule="exact"/>
              <w:ind w:firstLine="420" w:firstLineChars="200"/>
              <w:jc w:val="both"/>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（1）实行每日采购，供应商每日应按采购单位的货物请购清单提供相应数量的货物。</w:t>
            </w:r>
          </w:p>
          <w:p w14:paraId="554E5E89">
            <w:pPr>
              <w:keepNext w:val="0"/>
              <w:keepLines w:val="0"/>
              <w:pageBreakBefore w:val="0"/>
              <w:widowControl w:val="0"/>
              <w:kinsoku/>
              <w:wordWrap/>
              <w:overflowPunct/>
              <w:topLinePunct w:val="0"/>
              <w:autoSpaceDE w:val="0"/>
              <w:autoSpaceDN w:val="0"/>
              <w:bidi w:val="0"/>
              <w:adjustRightInd/>
              <w:snapToGrid/>
              <w:spacing w:line="440" w:lineRule="exact"/>
              <w:ind w:firstLine="420" w:firstLineChars="200"/>
              <w:jc w:val="both"/>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（2）结算时按实际采购数量结算。</w:t>
            </w:r>
          </w:p>
          <w:p w14:paraId="7BCE271B">
            <w:pPr>
              <w:keepNext w:val="0"/>
              <w:keepLines w:val="0"/>
              <w:pageBreakBefore w:val="0"/>
              <w:widowControl w:val="0"/>
              <w:kinsoku/>
              <w:wordWrap/>
              <w:overflowPunct/>
              <w:topLinePunct w:val="0"/>
              <w:autoSpaceDE w:val="0"/>
              <w:autoSpaceDN w:val="0"/>
              <w:bidi w:val="0"/>
              <w:adjustRightInd/>
              <w:snapToGrid/>
              <w:spacing w:line="440" w:lineRule="exact"/>
              <w:ind w:firstLine="420" w:firstLineChars="200"/>
              <w:jc w:val="both"/>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▲2、质量要求</w:t>
            </w:r>
          </w:p>
          <w:p w14:paraId="047FE19D">
            <w:pPr>
              <w:keepNext w:val="0"/>
              <w:keepLines w:val="0"/>
              <w:pageBreakBefore w:val="0"/>
              <w:widowControl w:val="0"/>
              <w:kinsoku/>
              <w:wordWrap/>
              <w:overflowPunct/>
              <w:topLinePunct w:val="0"/>
              <w:autoSpaceDE w:val="0"/>
              <w:autoSpaceDN w:val="0"/>
              <w:bidi w:val="0"/>
              <w:adjustRightInd/>
              <w:snapToGrid/>
              <w:spacing w:line="44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（1）新鲜鸡鸭类：宰杀至交货时间不得超过9小时，肉质新鲜，色泽好，有弹性，无变质无异味、无冰冻，无注水或注入其他物质；无传染病和致人中毒的毒素、无危害人体健康的各种有害激素</w:t>
            </w:r>
            <w:r>
              <w:rPr>
                <w:rFonts w:hint="eastAsia" w:ascii="宋体" w:hAnsi="宋体" w:eastAsia="宋体" w:cs="宋体"/>
                <w:color w:val="auto"/>
                <w:szCs w:val="21"/>
                <w:highlight w:val="none"/>
              </w:rPr>
              <w:t>及大肠杆菌不超标；严禁病死禽肉，禽肉不得使用瘦肉精等禁用物质</w:t>
            </w:r>
            <w:r>
              <w:rPr>
                <w:rFonts w:hint="eastAsia" w:ascii="宋体" w:hAnsi="宋体" w:eastAsia="宋体" w:cs="宋体"/>
                <w:color w:val="auto"/>
                <w:szCs w:val="21"/>
                <w:highlight w:val="none"/>
                <w:lang w:val="en-US" w:eastAsia="zh-CN"/>
              </w:rPr>
              <w:t>。</w:t>
            </w:r>
          </w:p>
          <w:p w14:paraId="104EFC63">
            <w:pPr>
              <w:keepNext w:val="0"/>
              <w:keepLines w:val="0"/>
              <w:pageBreakBefore w:val="0"/>
              <w:widowControl w:val="0"/>
              <w:kinsoku/>
              <w:wordWrap/>
              <w:overflowPunct/>
              <w:topLinePunct w:val="0"/>
              <w:autoSpaceDE w:val="0"/>
              <w:autoSpaceDN w:val="0"/>
              <w:bidi w:val="0"/>
              <w:adjustRightInd/>
              <w:snapToGrid/>
              <w:spacing w:line="44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（2）产品必须符合食品卫生生产标准和食品卫生安全要求，必须符合《食品安全法》相关的要求。肉类必须经防疫部门检验合格。</w:t>
            </w:r>
          </w:p>
          <w:p w14:paraId="3686889D">
            <w:pPr>
              <w:keepNext w:val="0"/>
              <w:keepLines w:val="0"/>
              <w:pageBreakBefore w:val="0"/>
              <w:widowControl w:val="0"/>
              <w:kinsoku/>
              <w:wordWrap/>
              <w:overflowPunct/>
              <w:topLinePunct w:val="0"/>
              <w:autoSpaceDE w:val="0"/>
              <w:autoSpaceDN w:val="0"/>
              <w:bidi w:val="0"/>
              <w:adjustRightInd/>
              <w:snapToGrid/>
              <w:spacing w:line="44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（3）每次供货必须提供相应《动物检疫合格证明》等检验检疫证明。</w:t>
            </w:r>
          </w:p>
          <w:p w14:paraId="567EE00B">
            <w:pPr>
              <w:keepNext w:val="0"/>
              <w:keepLines w:val="0"/>
              <w:pageBreakBefore w:val="0"/>
              <w:widowControl w:val="0"/>
              <w:kinsoku/>
              <w:wordWrap/>
              <w:overflowPunct/>
              <w:topLinePunct w:val="0"/>
              <w:autoSpaceDE w:val="0"/>
              <w:autoSpaceDN w:val="0"/>
              <w:bidi w:val="0"/>
              <w:adjustRightInd/>
              <w:snapToGrid/>
              <w:spacing w:line="440" w:lineRule="exact"/>
              <w:ind w:firstLine="420" w:firstLineChars="200"/>
              <w:jc w:val="both"/>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（4）按照学校需要进行响应加工，每日按时配送。</w:t>
            </w:r>
          </w:p>
        </w:tc>
      </w:tr>
      <w:tr w14:paraId="1D089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noWrap w:val="0"/>
            <w:vAlign w:val="center"/>
          </w:tcPr>
          <w:p w14:paraId="0B85BCF8">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鲜活水产类</w:t>
            </w:r>
          </w:p>
        </w:tc>
        <w:tc>
          <w:tcPr>
            <w:tcW w:w="7906" w:type="dxa"/>
            <w:noWrap w:val="0"/>
            <w:vAlign w:val="center"/>
          </w:tcPr>
          <w:p w14:paraId="64F65CBB">
            <w:pPr>
              <w:keepNext w:val="0"/>
              <w:keepLines w:val="0"/>
              <w:pageBreakBefore w:val="0"/>
              <w:widowControl w:val="0"/>
              <w:kinsoku/>
              <w:wordWrap/>
              <w:overflowPunct/>
              <w:topLinePunct w:val="0"/>
              <w:autoSpaceDE w:val="0"/>
              <w:autoSpaceDN w:val="0"/>
              <w:bidi w:val="0"/>
              <w:adjustRightInd/>
              <w:snapToGrid/>
              <w:spacing w:line="440" w:lineRule="exact"/>
              <w:ind w:firstLine="420" w:firstLineChars="200"/>
              <w:jc w:val="both"/>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1、采购需求</w:t>
            </w:r>
          </w:p>
          <w:p w14:paraId="10779261">
            <w:pPr>
              <w:keepNext w:val="0"/>
              <w:keepLines w:val="0"/>
              <w:pageBreakBefore w:val="0"/>
              <w:widowControl w:val="0"/>
              <w:kinsoku/>
              <w:wordWrap/>
              <w:overflowPunct/>
              <w:topLinePunct w:val="0"/>
              <w:autoSpaceDE w:val="0"/>
              <w:autoSpaceDN w:val="0"/>
              <w:bidi w:val="0"/>
              <w:adjustRightInd/>
              <w:snapToGrid/>
              <w:spacing w:line="440" w:lineRule="exact"/>
              <w:ind w:firstLine="420" w:firstLineChars="200"/>
              <w:jc w:val="both"/>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（1）实行每日采购，供应商每日应按采购单位的货物请购清单提供相应数量的货物。</w:t>
            </w:r>
          </w:p>
          <w:p w14:paraId="59BACAE2">
            <w:pPr>
              <w:keepNext w:val="0"/>
              <w:keepLines w:val="0"/>
              <w:pageBreakBefore w:val="0"/>
              <w:widowControl w:val="0"/>
              <w:kinsoku/>
              <w:wordWrap/>
              <w:overflowPunct/>
              <w:topLinePunct w:val="0"/>
              <w:autoSpaceDE w:val="0"/>
              <w:autoSpaceDN w:val="0"/>
              <w:bidi w:val="0"/>
              <w:adjustRightInd/>
              <w:snapToGrid/>
              <w:spacing w:line="440" w:lineRule="exact"/>
              <w:ind w:firstLine="420" w:firstLineChars="200"/>
              <w:jc w:val="both"/>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（2）结算时按实际采购数量结算。</w:t>
            </w:r>
          </w:p>
          <w:p w14:paraId="73AE9C73">
            <w:pPr>
              <w:keepNext w:val="0"/>
              <w:keepLines w:val="0"/>
              <w:pageBreakBefore w:val="0"/>
              <w:widowControl w:val="0"/>
              <w:kinsoku/>
              <w:wordWrap/>
              <w:overflowPunct/>
              <w:topLinePunct w:val="0"/>
              <w:autoSpaceDE w:val="0"/>
              <w:autoSpaceDN w:val="0"/>
              <w:bidi w:val="0"/>
              <w:adjustRightInd/>
              <w:snapToGrid/>
              <w:spacing w:line="440" w:lineRule="exact"/>
              <w:ind w:firstLine="420" w:firstLineChars="200"/>
              <w:jc w:val="both"/>
              <w:textAlignment w:val="auto"/>
              <w:rPr>
                <w:rFonts w:hint="eastAsia" w:ascii="宋体" w:hAnsi="宋体" w:eastAsia="宋体" w:cs="宋体"/>
                <w:highlight w:val="none"/>
              </w:rPr>
            </w:pPr>
            <w:r>
              <w:rPr>
                <w:rFonts w:hint="eastAsia" w:ascii="宋体" w:hAnsi="宋体" w:eastAsia="宋体" w:cs="宋体"/>
                <w:color w:val="auto"/>
                <w:highlight w:val="none"/>
                <w:lang w:val="en-US" w:eastAsia="zh-CN"/>
              </w:rPr>
              <w:t>▲2、质量要求</w:t>
            </w:r>
          </w:p>
          <w:p w14:paraId="5CF69404">
            <w:pPr>
              <w:keepNext w:val="0"/>
              <w:keepLines w:val="0"/>
              <w:pageBreakBefore w:val="0"/>
              <w:widowControl w:val="0"/>
              <w:kinsoku/>
              <w:wordWrap/>
              <w:overflowPunct/>
              <w:topLinePunct w:val="0"/>
              <w:autoSpaceDE w:val="0"/>
              <w:autoSpaceDN w:val="0"/>
              <w:bidi w:val="0"/>
              <w:adjustRightInd/>
              <w:snapToGrid/>
              <w:spacing w:line="440" w:lineRule="exact"/>
              <w:ind w:firstLine="420" w:firstLineChars="200"/>
              <w:jc w:val="both"/>
              <w:textAlignment w:val="auto"/>
              <w:rPr>
                <w:rFonts w:hint="eastAsia" w:ascii="宋体" w:hAnsi="宋体" w:eastAsia="宋体" w:cs="宋体"/>
                <w:highlight w:val="none"/>
                <w:lang w:eastAsia="zh-CN"/>
              </w:rPr>
            </w:pPr>
            <w:r>
              <w:rPr>
                <w:rFonts w:hint="eastAsia" w:ascii="宋体" w:hAnsi="宋体" w:eastAsia="宋体" w:cs="宋体"/>
                <w:highlight w:val="none"/>
                <w:lang w:eastAsia="zh-CN"/>
              </w:rPr>
              <w:t>鲜活鱼：</w:t>
            </w:r>
          </w:p>
          <w:p w14:paraId="173C3A88">
            <w:pPr>
              <w:keepNext w:val="0"/>
              <w:keepLines w:val="0"/>
              <w:pageBreakBefore w:val="0"/>
              <w:widowControl w:val="0"/>
              <w:numPr>
                <w:ilvl w:val="0"/>
                <w:numId w:val="1"/>
              </w:numPr>
              <w:kinsoku/>
              <w:wordWrap/>
              <w:overflowPunct/>
              <w:topLinePunct w:val="0"/>
              <w:autoSpaceDE w:val="0"/>
              <w:autoSpaceDN w:val="0"/>
              <w:bidi w:val="0"/>
              <w:adjustRightInd/>
              <w:snapToGrid/>
              <w:spacing w:line="440" w:lineRule="exact"/>
              <w:ind w:firstLine="420" w:firstLineChars="200"/>
              <w:jc w:val="both"/>
              <w:textAlignment w:val="auto"/>
              <w:rPr>
                <w:rFonts w:hint="eastAsia" w:ascii="宋体" w:hAnsi="宋体" w:eastAsia="宋体" w:cs="宋体"/>
                <w:highlight w:val="none"/>
              </w:rPr>
            </w:pPr>
            <w:r>
              <w:rPr>
                <w:rFonts w:hint="eastAsia" w:ascii="宋体" w:hAnsi="宋体" w:eastAsia="宋体" w:cs="宋体"/>
                <w:highlight w:val="none"/>
              </w:rPr>
              <w:t>保证新鲜且符合食品安全国家标准和食品安全法要求。</w:t>
            </w:r>
          </w:p>
          <w:p w14:paraId="56D82DBB">
            <w:pPr>
              <w:keepNext w:val="0"/>
              <w:keepLines w:val="0"/>
              <w:pageBreakBefore w:val="0"/>
              <w:widowControl w:val="0"/>
              <w:numPr>
                <w:ilvl w:val="0"/>
                <w:numId w:val="1"/>
              </w:numPr>
              <w:kinsoku/>
              <w:wordWrap/>
              <w:overflowPunct/>
              <w:topLinePunct w:val="0"/>
              <w:autoSpaceDE w:val="0"/>
              <w:autoSpaceDN w:val="0"/>
              <w:bidi w:val="0"/>
              <w:adjustRightInd/>
              <w:snapToGrid/>
              <w:spacing w:line="44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外形：</w:t>
            </w:r>
            <w:r>
              <w:rPr>
                <w:rFonts w:hint="eastAsia" w:ascii="宋体" w:hAnsi="宋体" w:eastAsia="宋体" w:cs="宋体"/>
                <w:color w:val="auto"/>
                <w:szCs w:val="21"/>
                <w:highlight w:val="none"/>
                <w:lang w:eastAsia="zh-CN"/>
              </w:rPr>
              <w:t>鱼</w:t>
            </w:r>
            <w:r>
              <w:rPr>
                <w:rFonts w:hint="eastAsia" w:ascii="宋体" w:hAnsi="宋体" w:eastAsia="宋体" w:cs="宋体"/>
                <w:color w:val="auto"/>
                <w:szCs w:val="21"/>
                <w:highlight w:val="none"/>
                <w:lang w:val="en-US" w:eastAsia="zh-CN"/>
              </w:rPr>
              <w:t>应外形完整，无断裂、变形、残缺和破损等缺陷。例如，鱼类应皮鳞完整。</w:t>
            </w:r>
          </w:p>
          <w:p w14:paraId="7829D5CC">
            <w:pPr>
              <w:keepNext w:val="0"/>
              <w:keepLines w:val="0"/>
              <w:pageBreakBefore w:val="0"/>
              <w:widowControl w:val="0"/>
              <w:kinsoku/>
              <w:wordWrap/>
              <w:overflowPunct/>
              <w:topLinePunct w:val="0"/>
              <w:autoSpaceDE w:val="0"/>
              <w:autoSpaceDN w:val="0"/>
              <w:bidi w:val="0"/>
              <w:adjustRightInd/>
              <w:snapToGrid/>
              <w:spacing w:line="44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（3）气味：</w:t>
            </w:r>
            <w:r>
              <w:rPr>
                <w:rFonts w:hint="eastAsia" w:ascii="宋体" w:hAnsi="宋体" w:eastAsia="宋体" w:cs="宋体"/>
                <w:color w:val="auto"/>
                <w:szCs w:val="21"/>
                <w:highlight w:val="none"/>
                <w:lang w:eastAsia="zh-CN"/>
              </w:rPr>
              <w:t>鱼</w:t>
            </w:r>
            <w:r>
              <w:rPr>
                <w:rFonts w:hint="eastAsia" w:ascii="宋体" w:hAnsi="宋体" w:eastAsia="宋体" w:cs="宋体"/>
                <w:color w:val="auto"/>
                <w:szCs w:val="21"/>
                <w:highlight w:val="none"/>
                <w:lang w:val="en-US" w:eastAsia="zh-CN"/>
              </w:rPr>
              <w:t>应具有天然的海洋或淡水气味，不应有异味或臭味。</w:t>
            </w:r>
          </w:p>
          <w:p w14:paraId="3F6F2351">
            <w:pPr>
              <w:keepNext w:val="0"/>
              <w:keepLines w:val="0"/>
              <w:pageBreakBefore w:val="0"/>
              <w:widowControl w:val="0"/>
              <w:kinsoku/>
              <w:wordWrap/>
              <w:overflowPunct/>
              <w:topLinePunct w:val="0"/>
              <w:autoSpaceDE w:val="0"/>
              <w:autoSpaceDN w:val="0"/>
              <w:bidi w:val="0"/>
              <w:adjustRightInd/>
              <w:snapToGrid/>
              <w:spacing w:line="44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（4）色泽：</w:t>
            </w:r>
            <w:r>
              <w:rPr>
                <w:rFonts w:hint="eastAsia" w:ascii="宋体" w:hAnsi="宋体" w:eastAsia="宋体" w:cs="宋体"/>
                <w:color w:val="auto"/>
                <w:szCs w:val="21"/>
                <w:highlight w:val="none"/>
                <w:lang w:eastAsia="zh-CN"/>
              </w:rPr>
              <w:t>鱼</w:t>
            </w:r>
            <w:r>
              <w:rPr>
                <w:rFonts w:hint="eastAsia" w:ascii="宋体" w:hAnsi="宋体" w:eastAsia="宋体" w:cs="宋体"/>
                <w:color w:val="auto"/>
                <w:szCs w:val="21"/>
                <w:highlight w:val="none"/>
                <w:lang w:val="en-US" w:eastAsia="zh-CN"/>
              </w:rPr>
              <w:t>应具有光亮透明的色泽，没有发黑、发暗等异常。例如，鲜鱼应有金红色、白肉色或红肉色。</w:t>
            </w:r>
          </w:p>
          <w:p w14:paraId="65CC8273">
            <w:pPr>
              <w:keepNext w:val="0"/>
              <w:keepLines w:val="0"/>
              <w:pageBreakBefore w:val="0"/>
              <w:widowControl w:val="0"/>
              <w:kinsoku/>
              <w:wordWrap/>
              <w:overflowPunct/>
              <w:topLinePunct w:val="0"/>
              <w:autoSpaceDE w:val="0"/>
              <w:autoSpaceDN w:val="0"/>
              <w:bidi w:val="0"/>
              <w:adjustRightInd/>
              <w:snapToGrid/>
              <w:spacing w:line="44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（5）口感：</w:t>
            </w:r>
            <w:r>
              <w:rPr>
                <w:rFonts w:hint="eastAsia" w:ascii="宋体" w:hAnsi="宋体" w:eastAsia="宋体" w:cs="宋体"/>
                <w:color w:val="auto"/>
                <w:szCs w:val="21"/>
                <w:highlight w:val="none"/>
                <w:lang w:eastAsia="zh-CN"/>
              </w:rPr>
              <w:t>鱼</w:t>
            </w:r>
            <w:r>
              <w:rPr>
                <w:rFonts w:hint="eastAsia" w:ascii="宋体" w:hAnsi="宋体" w:eastAsia="宋体" w:cs="宋体"/>
                <w:color w:val="auto"/>
                <w:szCs w:val="21"/>
                <w:highlight w:val="none"/>
                <w:lang w:val="en-US" w:eastAsia="zh-CN"/>
              </w:rPr>
              <w:t>应具有鲜嫩、弹性和带有香味的口感，没有腥膻等异味。</w:t>
            </w:r>
          </w:p>
          <w:p w14:paraId="131246B8">
            <w:pPr>
              <w:keepNext w:val="0"/>
              <w:keepLines w:val="0"/>
              <w:pageBreakBefore w:val="0"/>
              <w:widowControl w:val="0"/>
              <w:kinsoku/>
              <w:wordWrap/>
              <w:overflowPunct/>
              <w:topLinePunct w:val="0"/>
              <w:autoSpaceDE w:val="0"/>
              <w:autoSpaceDN w:val="0"/>
              <w:bidi w:val="0"/>
              <w:adjustRightInd/>
              <w:snapToGrid/>
              <w:spacing w:line="44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（6）新鲜、无病毒、不含有害物质；</w:t>
            </w:r>
            <w:r>
              <w:rPr>
                <w:rFonts w:hint="eastAsia" w:ascii="宋体" w:hAnsi="宋体" w:eastAsia="宋体" w:cs="宋体"/>
                <w:color w:val="auto"/>
                <w:kern w:val="2"/>
                <w:sz w:val="21"/>
                <w:szCs w:val="21"/>
                <w:highlight w:val="none"/>
                <w:lang w:val="en-US" w:eastAsia="zh-CN" w:bidi="ar-SA"/>
              </w:rPr>
              <w:t>按照学校需要进行响应加工，每日按时配送；</w:t>
            </w:r>
            <w:r>
              <w:rPr>
                <w:rFonts w:hint="eastAsia" w:ascii="宋体" w:hAnsi="宋体" w:eastAsia="宋体" w:cs="宋体"/>
                <w:color w:val="auto"/>
                <w:szCs w:val="21"/>
                <w:highlight w:val="none"/>
                <w:lang w:val="en-US" w:eastAsia="zh-CN"/>
              </w:rPr>
              <w:t>如需剖杀的鱼，要做到鱼鳞刮除干净，去内脏、鱼鳃、腹内黑膜。</w:t>
            </w:r>
          </w:p>
          <w:p w14:paraId="31B37EF7">
            <w:pPr>
              <w:keepNext w:val="0"/>
              <w:keepLines w:val="0"/>
              <w:pageBreakBefore w:val="0"/>
              <w:widowControl w:val="0"/>
              <w:kinsoku/>
              <w:wordWrap/>
              <w:overflowPunct/>
              <w:topLinePunct w:val="0"/>
              <w:autoSpaceDE w:val="0"/>
              <w:autoSpaceDN w:val="0"/>
              <w:bidi w:val="0"/>
              <w:adjustRightInd/>
              <w:snapToGrid/>
              <w:spacing w:line="440" w:lineRule="exact"/>
              <w:ind w:firstLine="420" w:firstLineChars="200"/>
              <w:jc w:val="both"/>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（7）符合国家卫生标准规定的限量标准，不得含有有毒物质或超过安全限量的重金属，如汞、铅等。</w:t>
            </w:r>
          </w:p>
        </w:tc>
      </w:tr>
      <w:tr w14:paraId="056CE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noWrap w:val="0"/>
            <w:vAlign w:val="center"/>
          </w:tcPr>
          <w:p w14:paraId="426173F6">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pacing w:val="-3"/>
                <w:kern w:val="2"/>
                <w:sz w:val="21"/>
                <w:szCs w:val="21"/>
                <w:highlight w:val="none"/>
                <w:lang w:val="en-US" w:eastAsia="zh-CN" w:bidi="ar-SA"/>
              </w:rPr>
              <w:t>禽蛋类</w:t>
            </w:r>
          </w:p>
        </w:tc>
        <w:tc>
          <w:tcPr>
            <w:tcW w:w="7906" w:type="dxa"/>
            <w:noWrap w:val="0"/>
            <w:vAlign w:val="center"/>
          </w:tcPr>
          <w:p w14:paraId="444D824C">
            <w:pPr>
              <w:keepNext w:val="0"/>
              <w:keepLines w:val="0"/>
              <w:pageBreakBefore w:val="0"/>
              <w:widowControl w:val="0"/>
              <w:numPr>
                <w:ilvl w:val="0"/>
                <w:numId w:val="0"/>
              </w:numPr>
              <w:kinsoku/>
              <w:wordWrap/>
              <w:overflowPunct/>
              <w:topLinePunct w:val="0"/>
              <w:bidi w:val="0"/>
              <w:adjustRightInd/>
              <w:snapToGrid w:val="0"/>
              <w:spacing w:line="44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1、采购需求 </w:t>
            </w:r>
          </w:p>
          <w:p w14:paraId="6C5BF556">
            <w:pPr>
              <w:keepNext w:val="0"/>
              <w:keepLines w:val="0"/>
              <w:pageBreakBefore w:val="0"/>
              <w:widowControl w:val="0"/>
              <w:numPr>
                <w:ilvl w:val="0"/>
                <w:numId w:val="0"/>
              </w:numPr>
              <w:kinsoku/>
              <w:wordWrap/>
              <w:overflowPunct/>
              <w:topLinePunct w:val="0"/>
              <w:bidi w:val="0"/>
              <w:adjustRightInd/>
              <w:snapToGrid w:val="0"/>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（1）</w:t>
            </w:r>
            <w:r>
              <w:rPr>
                <w:rFonts w:hint="eastAsia" w:ascii="宋体" w:hAnsi="宋体" w:eastAsia="宋体" w:cs="宋体"/>
                <w:color w:val="auto"/>
                <w:sz w:val="21"/>
                <w:szCs w:val="21"/>
                <w:highlight w:val="none"/>
              </w:rPr>
              <w:t xml:space="preserve">实行每批次采购，供应商应按采购单位的货物请购清单提供相应数量的货物。 </w:t>
            </w:r>
          </w:p>
          <w:p w14:paraId="6D719886">
            <w:pPr>
              <w:keepNext w:val="0"/>
              <w:keepLines w:val="0"/>
              <w:pageBreakBefore w:val="0"/>
              <w:widowControl w:val="0"/>
              <w:numPr>
                <w:ilvl w:val="0"/>
                <w:numId w:val="0"/>
              </w:numPr>
              <w:kinsoku/>
              <w:wordWrap/>
              <w:overflowPunct/>
              <w:topLinePunct w:val="0"/>
              <w:bidi w:val="0"/>
              <w:adjustRightInd/>
              <w:snapToGrid w:val="0"/>
              <w:spacing w:line="44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sz w:val="21"/>
                <w:szCs w:val="21"/>
                <w:highlight w:val="none"/>
                <w:lang w:val="en-US" w:eastAsia="zh-CN"/>
              </w:rPr>
              <w:t>结算时按实际采购数量结算。</w:t>
            </w:r>
          </w:p>
          <w:p w14:paraId="5217DD18">
            <w:pPr>
              <w:keepNext w:val="0"/>
              <w:keepLines w:val="0"/>
              <w:pageBreakBefore w:val="0"/>
              <w:widowControl w:val="0"/>
              <w:numPr>
                <w:ilvl w:val="0"/>
                <w:numId w:val="0"/>
              </w:numPr>
              <w:kinsoku/>
              <w:wordWrap/>
              <w:overflowPunct/>
              <w:topLinePunct w:val="0"/>
              <w:bidi w:val="0"/>
              <w:adjustRightInd/>
              <w:snapToGrid w:val="0"/>
              <w:spacing w:line="44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Cs w:val="21"/>
                <w:highlight w:val="none"/>
              </w:rPr>
              <w:t>须</w:t>
            </w:r>
            <w:r>
              <w:rPr>
                <w:rFonts w:hint="eastAsia" w:ascii="宋体" w:hAnsi="宋体" w:eastAsia="宋体" w:cs="宋体"/>
                <w:color w:val="auto"/>
                <w:szCs w:val="21"/>
                <w:highlight w:val="none"/>
                <w:lang w:val="en-US" w:eastAsia="zh-CN"/>
              </w:rPr>
              <w:t>同时</w:t>
            </w:r>
            <w:r>
              <w:rPr>
                <w:rFonts w:hint="eastAsia" w:ascii="宋体" w:hAnsi="宋体" w:eastAsia="宋体" w:cs="宋体"/>
                <w:color w:val="auto"/>
                <w:szCs w:val="21"/>
                <w:highlight w:val="none"/>
              </w:rPr>
              <w:t>提供</w:t>
            </w:r>
            <w:r>
              <w:rPr>
                <w:rFonts w:hint="eastAsia" w:ascii="宋体" w:hAnsi="宋体" w:eastAsia="宋体" w:cs="宋体"/>
                <w:color w:val="auto"/>
                <w:szCs w:val="21"/>
                <w:highlight w:val="none"/>
                <w:lang w:eastAsia="zh-CN"/>
              </w:rPr>
              <w:t>不少于</w:t>
            </w:r>
            <w:r>
              <w:rPr>
                <w:rFonts w:hint="eastAsia" w:ascii="宋体" w:hAnsi="宋体" w:eastAsia="宋体" w:cs="宋体"/>
                <w:color w:val="auto"/>
                <w:szCs w:val="21"/>
                <w:highlight w:val="none"/>
              </w:rPr>
              <w:t>六家不同鸡场普通鸡蛋供学校选择</w:t>
            </w:r>
            <w:r>
              <w:rPr>
                <w:rFonts w:hint="eastAsia" w:ascii="宋体" w:hAnsi="宋体" w:eastAsia="宋体" w:cs="宋体"/>
                <w:color w:val="auto"/>
                <w:szCs w:val="21"/>
                <w:highlight w:val="none"/>
                <w:lang w:eastAsia="zh-CN"/>
              </w:rPr>
              <w:t>。</w:t>
            </w:r>
          </w:p>
          <w:p w14:paraId="6805E55D">
            <w:pPr>
              <w:keepNext w:val="0"/>
              <w:keepLines w:val="0"/>
              <w:pageBreakBefore w:val="0"/>
              <w:widowControl w:val="0"/>
              <w:kinsoku/>
              <w:wordWrap/>
              <w:overflowPunct/>
              <w:topLinePunct w:val="0"/>
              <w:autoSpaceDE w:val="0"/>
              <w:autoSpaceDN w:val="0"/>
              <w:bidi w:val="0"/>
              <w:adjustRightInd/>
              <w:spacing w:line="440" w:lineRule="exact"/>
              <w:ind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▲2、质量要求 </w:t>
            </w:r>
          </w:p>
          <w:p w14:paraId="6ED4423E">
            <w:pPr>
              <w:keepNext w:val="0"/>
              <w:keepLines w:val="0"/>
              <w:pageBreakBefore w:val="0"/>
              <w:widowControl w:val="0"/>
              <w:kinsoku/>
              <w:wordWrap/>
              <w:overflowPunct/>
              <w:topLinePunct w:val="0"/>
              <w:autoSpaceDE w:val="0"/>
              <w:autoSpaceDN w:val="0"/>
              <w:bidi w:val="0"/>
              <w:adjustRightInd/>
              <w:spacing w:line="440" w:lineRule="exact"/>
              <w:ind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（1）新鲜、无变质、无臭蛋，不得来自疫区。 </w:t>
            </w:r>
          </w:p>
          <w:p w14:paraId="063A6EBD">
            <w:pPr>
              <w:keepNext w:val="0"/>
              <w:keepLines w:val="0"/>
              <w:pageBreakBefore w:val="0"/>
              <w:widowControl w:val="0"/>
              <w:kinsoku/>
              <w:wordWrap/>
              <w:overflowPunct/>
              <w:topLinePunct w:val="0"/>
              <w:autoSpaceDE w:val="0"/>
              <w:autoSpaceDN w:val="0"/>
              <w:bidi w:val="0"/>
              <w:adjustRightInd/>
              <w:spacing w:line="440" w:lineRule="exact"/>
              <w:ind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（2）必须符合食品安全的相关要求。 </w:t>
            </w:r>
          </w:p>
          <w:p w14:paraId="2B0C4244">
            <w:pPr>
              <w:keepNext w:val="0"/>
              <w:keepLines w:val="0"/>
              <w:pageBreakBefore w:val="0"/>
              <w:widowControl w:val="0"/>
              <w:kinsoku/>
              <w:wordWrap/>
              <w:overflowPunct/>
              <w:topLinePunct w:val="0"/>
              <w:autoSpaceDE w:val="0"/>
              <w:autoSpaceDN w:val="0"/>
              <w:bidi w:val="0"/>
              <w:adjustRightInd/>
              <w:spacing w:line="440" w:lineRule="exact"/>
              <w:ind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（3)具有禽蛋固有的色泽。蛋壳清洁无斑点、无污染、无破裂、打开后蛋壳凸起、完整、有韧性， 蛋白澄清透明，稀稠分明。无异味。无杂质，内容不得有血块及其他组织异物。 </w:t>
            </w:r>
          </w:p>
          <w:p w14:paraId="07556868">
            <w:pPr>
              <w:keepNext w:val="0"/>
              <w:keepLines w:val="0"/>
              <w:pageBreakBefore w:val="0"/>
              <w:widowControl w:val="0"/>
              <w:kinsoku/>
              <w:wordWrap/>
              <w:overflowPunct/>
              <w:topLinePunct w:val="0"/>
              <w:autoSpaceDE w:val="0"/>
              <w:autoSpaceDN w:val="0"/>
              <w:bidi w:val="0"/>
              <w:adjustRightInd/>
              <w:spacing w:line="440" w:lineRule="exact"/>
              <w:ind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(4)符合《中华人民共和国食品安全法》、《中华人民共和国农产品质量安全法》、《中华人民共和国食品安全法实施条例》等检验检疫证明及对食品安全有关要求，严禁供应假冒伪劣产品，严禁以次充好。 </w:t>
            </w:r>
          </w:p>
          <w:p w14:paraId="341B9F3B">
            <w:pPr>
              <w:keepNext w:val="0"/>
              <w:keepLines w:val="0"/>
              <w:pageBreakBefore w:val="0"/>
              <w:widowControl w:val="0"/>
              <w:kinsoku/>
              <w:wordWrap/>
              <w:overflowPunct/>
              <w:topLinePunct w:val="0"/>
              <w:autoSpaceDE w:val="0"/>
              <w:autoSpaceDN w:val="0"/>
              <w:bidi w:val="0"/>
              <w:adjustRightInd/>
              <w:snapToGrid/>
              <w:spacing w:line="44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kern w:val="2"/>
                <w:sz w:val="21"/>
                <w:szCs w:val="21"/>
                <w:highlight w:val="none"/>
                <w:lang w:val="en-US" w:eastAsia="zh-CN" w:bidi="ar-SA"/>
              </w:rPr>
              <w:t>(5)符合《食品安全国家标准蛋与蛋制品》（GB 2749-2015）相关的要求。达到国家食品标准和卫生标准，无毒害、无腐烂变质，疫苗用药严禁使用违禁药品、无公害无药残无激素。</w:t>
            </w:r>
          </w:p>
        </w:tc>
      </w:tr>
      <w:tr w14:paraId="08E79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noWrap w:val="0"/>
            <w:vAlign w:val="center"/>
          </w:tcPr>
          <w:p w14:paraId="75A175CE">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pacing w:val="-3"/>
                <w:kern w:val="2"/>
                <w:sz w:val="21"/>
                <w:szCs w:val="21"/>
                <w:highlight w:val="none"/>
                <w:lang w:val="en-US" w:eastAsia="zh-CN" w:bidi="ar-SA"/>
              </w:rPr>
            </w:pPr>
            <w:r>
              <w:rPr>
                <w:rFonts w:hint="eastAsia" w:ascii="宋体" w:hAnsi="宋体" w:eastAsia="宋体" w:cs="宋体"/>
                <w:color w:val="auto"/>
                <w:spacing w:val="-3"/>
                <w:kern w:val="2"/>
                <w:sz w:val="21"/>
                <w:szCs w:val="21"/>
                <w:highlight w:val="none"/>
                <w:lang w:val="en-US" w:eastAsia="zh-CN" w:bidi="ar-SA"/>
              </w:rPr>
              <w:t>调味品、干杂货食品类</w:t>
            </w:r>
          </w:p>
        </w:tc>
        <w:tc>
          <w:tcPr>
            <w:tcW w:w="7906" w:type="dxa"/>
            <w:noWrap w:val="0"/>
            <w:vAlign w:val="center"/>
          </w:tcPr>
          <w:p w14:paraId="1911F7F8">
            <w:pPr>
              <w:keepNext w:val="0"/>
              <w:keepLines w:val="0"/>
              <w:pageBreakBefore w:val="0"/>
              <w:widowControl w:val="0"/>
              <w:kinsoku/>
              <w:wordWrap/>
              <w:overflowPunct/>
              <w:topLinePunct w:val="0"/>
              <w:autoSpaceDE w:val="0"/>
              <w:autoSpaceDN w:val="0"/>
              <w:bidi w:val="0"/>
              <w:adjustRightInd/>
              <w:snapToGrid/>
              <w:spacing w:line="440" w:lineRule="exact"/>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1、采购需求</w:t>
            </w:r>
          </w:p>
          <w:p w14:paraId="175906B7">
            <w:pPr>
              <w:keepNext w:val="0"/>
              <w:keepLines w:val="0"/>
              <w:pageBreakBefore w:val="0"/>
              <w:widowControl w:val="0"/>
              <w:kinsoku/>
              <w:wordWrap/>
              <w:overflowPunct/>
              <w:topLinePunct w:val="0"/>
              <w:autoSpaceDE w:val="0"/>
              <w:autoSpaceDN w:val="0"/>
              <w:bidi w:val="0"/>
              <w:adjustRightInd/>
              <w:snapToGrid/>
              <w:spacing w:line="440" w:lineRule="exact"/>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（1）实行每批次采购，供应商应按采购单位的货物请购清单提供相应数量的货物。</w:t>
            </w:r>
          </w:p>
          <w:p w14:paraId="3C9DC7D4">
            <w:pPr>
              <w:keepNext w:val="0"/>
              <w:keepLines w:val="0"/>
              <w:pageBreakBefore w:val="0"/>
              <w:widowControl w:val="0"/>
              <w:kinsoku/>
              <w:wordWrap/>
              <w:overflowPunct/>
              <w:topLinePunct w:val="0"/>
              <w:autoSpaceDE w:val="0"/>
              <w:autoSpaceDN w:val="0"/>
              <w:bidi w:val="0"/>
              <w:adjustRightInd/>
              <w:snapToGrid/>
              <w:spacing w:line="440" w:lineRule="exact"/>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（2）结算时按实际采购数量结算</w:t>
            </w:r>
          </w:p>
          <w:p w14:paraId="18A12785">
            <w:pPr>
              <w:keepNext w:val="0"/>
              <w:keepLines w:val="0"/>
              <w:pageBreakBefore w:val="0"/>
              <w:widowControl w:val="0"/>
              <w:kinsoku/>
              <w:wordWrap/>
              <w:overflowPunct/>
              <w:topLinePunct w:val="0"/>
              <w:autoSpaceDE w:val="0"/>
              <w:autoSpaceDN w:val="0"/>
              <w:bidi w:val="0"/>
              <w:adjustRightInd/>
              <w:snapToGrid/>
              <w:spacing w:line="440" w:lineRule="exact"/>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▲2、质量要求</w:t>
            </w:r>
          </w:p>
          <w:p w14:paraId="66CF2867">
            <w:pPr>
              <w:keepNext w:val="0"/>
              <w:keepLines w:val="0"/>
              <w:pageBreakBefore w:val="0"/>
              <w:widowControl w:val="0"/>
              <w:kinsoku/>
              <w:wordWrap/>
              <w:overflowPunct/>
              <w:topLinePunct w:val="0"/>
              <w:autoSpaceDE w:val="0"/>
              <w:autoSpaceDN w:val="0"/>
              <w:bidi w:val="0"/>
              <w:adjustRightInd/>
              <w:snapToGrid/>
              <w:spacing w:line="440" w:lineRule="exact"/>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（1）必须是在市场上流通的，且具有“QS”食品质量认证标志。</w:t>
            </w:r>
          </w:p>
          <w:p w14:paraId="375CF227">
            <w:pPr>
              <w:keepNext w:val="0"/>
              <w:keepLines w:val="0"/>
              <w:pageBreakBefore w:val="0"/>
              <w:widowControl w:val="0"/>
              <w:kinsoku/>
              <w:wordWrap/>
              <w:overflowPunct/>
              <w:topLinePunct w:val="0"/>
              <w:autoSpaceDE w:val="0"/>
              <w:autoSpaceDN w:val="0"/>
              <w:bidi w:val="0"/>
              <w:adjustRightInd/>
              <w:snapToGrid/>
              <w:spacing w:line="440" w:lineRule="exact"/>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生产厂家具有食品有效生产资质；正规厂商生产，品质良好，预包装食品，标签符合《中华人民共和国食品安全法》第六十七条规定标明内容；包装用密封性能好、无毒、无害塑料编织袋（直接接触食品的包装必须为食品级），包装的正面需印有供货企业名称、地址、联系电话及生产日期等字样；产品在保质期内且生产日期新近。每次供货必须提供相应的检验合格证明。</w:t>
            </w:r>
          </w:p>
          <w:p w14:paraId="42F6A2F2">
            <w:pPr>
              <w:keepNext w:val="0"/>
              <w:keepLines w:val="0"/>
              <w:pageBreakBefore w:val="0"/>
              <w:widowControl w:val="0"/>
              <w:kinsoku/>
              <w:wordWrap/>
              <w:overflowPunct/>
              <w:topLinePunct w:val="0"/>
              <w:autoSpaceDE w:val="0"/>
              <w:autoSpaceDN w:val="0"/>
              <w:bidi w:val="0"/>
              <w:adjustRightInd/>
              <w:snapToGrid/>
              <w:spacing w:line="44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kern w:val="2"/>
                <w:sz w:val="21"/>
                <w:szCs w:val="21"/>
                <w:highlight w:val="none"/>
                <w:lang w:val="en-US" w:eastAsia="zh-CN" w:bidi="ar-SA"/>
              </w:rPr>
              <w:t>（3）保质期：达到国家规定要求，剩余保存期时间不得少于保质期的四分之三。保证生产日期新鲜且符合食品安全国家标准和食品安全法要求。严禁供应假冒伪劣过期产品。</w:t>
            </w:r>
          </w:p>
        </w:tc>
      </w:tr>
      <w:tr w14:paraId="5ACF2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noWrap w:val="0"/>
            <w:vAlign w:val="center"/>
          </w:tcPr>
          <w:p w14:paraId="21F6DFC8">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pacing w:val="-3"/>
                <w:kern w:val="2"/>
                <w:sz w:val="21"/>
                <w:szCs w:val="21"/>
                <w:highlight w:val="none"/>
                <w:lang w:val="en-US" w:eastAsia="zh-CN" w:bidi="ar-SA"/>
              </w:rPr>
            </w:pPr>
            <w:r>
              <w:rPr>
                <w:rFonts w:hint="eastAsia" w:ascii="宋体" w:hAnsi="宋体" w:eastAsia="宋体" w:cs="宋体"/>
                <w:color w:val="auto"/>
                <w:spacing w:val="-3"/>
                <w:kern w:val="2"/>
                <w:sz w:val="21"/>
                <w:szCs w:val="21"/>
                <w:highlight w:val="none"/>
                <w:lang w:val="en-US" w:eastAsia="zh-CN" w:bidi="ar-SA"/>
              </w:rPr>
              <w:t>豆制品</w:t>
            </w:r>
          </w:p>
        </w:tc>
        <w:tc>
          <w:tcPr>
            <w:tcW w:w="7906" w:type="dxa"/>
            <w:noWrap w:val="0"/>
            <w:vAlign w:val="center"/>
          </w:tcPr>
          <w:p w14:paraId="494D5B20">
            <w:pPr>
              <w:keepNext w:val="0"/>
              <w:keepLines w:val="0"/>
              <w:pageBreakBefore w:val="0"/>
              <w:widowControl w:val="0"/>
              <w:numPr>
                <w:ilvl w:val="0"/>
                <w:numId w:val="0"/>
              </w:numPr>
              <w:kinsoku/>
              <w:wordWrap/>
              <w:overflowPunct/>
              <w:topLinePunct w:val="0"/>
              <w:bidi w:val="0"/>
              <w:adjustRightInd/>
              <w:snapToGrid w:val="0"/>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 xml:space="preserve">采购需求 </w:t>
            </w:r>
          </w:p>
          <w:p w14:paraId="22D4DC3B">
            <w:pPr>
              <w:keepNext w:val="0"/>
              <w:keepLines w:val="0"/>
              <w:pageBreakBefore w:val="0"/>
              <w:widowControl w:val="0"/>
              <w:numPr>
                <w:ilvl w:val="0"/>
                <w:numId w:val="0"/>
              </w:numPr>
              <w:kinsoku/>
              <w:wordWrap/>
              <w:overflowPunct/>
              <w:topLinePunct w:val="0"/>
              <w:bidi w:val="0"/>
              <w:adjustRightInd/>
              <w:snapToGrid w:val="0"/>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（1）</w:t>
            </w:r>
            <w:r>
              <w:rPr>
                <w:rFonts w:hint="eastAsia" w:ascii="宋体" w:hAnsi="宋体" w:eastAsia="宋体" w:cs="宋体"/>
                <w:color w:val="auto"/>
                <w:sz w:val="21"/>
                <w:szCs w:val="21"/>
                <w:highlight w:val="none"/>
              </w:rPr>
              <w:t xml:space="preserve">实行每批次采购，供应商应按采购单位的货物请购清单提供相应数量的货物。 </w:t>
            </w:r>
          </w:p>
          <w:p w14:paraId="6614E1C5">
            <w:pPr>
              <w:keepNext w:val="0"/>
              <w:keepLines w:val="0"/>
              <w:pageBreakBefore w:val="0"/>
              <w:widowControl w:val="0"/>
              <w:kinsoku/>
              <w:wordWrap/>
              <w:overflowPunct/>
              <w:topLinePunct w:val="0"/>
              <w:autoSpaceDE w:val="0"/>
              <w:autoSpaceDN w:val="0"/>
              <w:bidi w:val="0"/>
              <w:adjustRightInd/>
              <w:spacing w:line="440" w:lineRule="exact"/>
              <w:ind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（2）结算时按实际采购数量结算。</w:t>
            </w:r>
          </w:p>
          <w:p w14:paraId="219CA2D6">
            <w:pPr>
              <w:keepNext w:val="0"/>
              <w:keepLines w:val="0"/>
              <w:pageBreakBefore w:val="0"/>
              <w:widowControl w:val="0"/>
              <w:kinsoku/>
              <w:wordWrap/>
              <w:overflowPunct/>
              <w:topLinePunct w:val="0"/>
              <w:autoSpaceDE w:val="0"/>
              <w:autoSpaceDN w:val="0"/>
              <w:bidi w:val="0"/>
              <w:adjustRightInd/>
              <w:spacing w:line="440" w:lineRule="exact"/>
              <w:ind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    ▲2、质量要求</w:t>
            </w:r>
          </w:p>
          <w:p w14:paraId="06CEC4EA">
            <w:pPr>
              <w:keepNext w:val="0"/>
              <w:keepLines w:val="0"/>
              <w:pageBreakBefore w:val="0"/>
              <w:widowControl w:val="0"/>
              <w:kinsoku/>
              <w:wordWrap/>
              <w:overflowPunct/>
              <w:topLinePunct w:val="0"/>
              <w:autoSpaceDE w:val="0"/>
              <w:autoSpaceDN w:val="0"/>
              <w:bidi w:val="0"/>
              <w:adjustRightInd/>
              <w:spacing w:line="440" w:lineRule="exact"/>
              <w:ind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生产厂家具有食品生产许可证或小作坊登记证；符合相应食品类别的执行标准或企业标准；保证新鲜且符合《中华人民共和国食品安全法》要求；豆制品必须符合《食品安全法》要求,必须是当前市场上正在流通的产品。提供食品生产许可证、批次检验合格证。</w:t>
            </w:r>
          </w:p>
          <w:p w14:paraId="2475BE2B">
            <w:pPr>
              <w:keepNext w:val="0"/>
              <w:keepLines w:val="0"/>
              <w:pageBreakBefore w:val="0"/>
              <w:widowControl w:val="0"/>
              <w:kinsoku/>
              <w:wordWrap/>
              <w:overflowPunct/>
              <w:topLinePunct w:val="0"/>
              <w:autoSpaceDE w:val="0"/>
              <w:autoSpaceDN w:val="0"/>
              <w:bidi w:val="0"/>
              <w:adjustRightInd/>
              <w:spacing w:line="440" w:lineRule="exact"/>
              <w:ind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szCs w:val="21"/>
                <w:highlight w:val="none"/>
              </w:rPr>
              <w:t>水豆腐呈均匀的乳白色或淡黄色，稍有光泽，块形完整，软硬适度，富有一定的弹性，质地细嫩，结构均匀，无杂质，具有豆腐特有的香味，取样品品尝时口感细腻鲜嫩，味道纯正清香。油豆腐要求皮</w:t>
            </w:r>
            <w:r>
              <w:rPr>
                <w:rFonts w:hint="eastAsia" w:ascii="宋体" w:hAnsi="宋体" w:eastAsia="宋体" w:cs="宋体"/>
                <w:color w:val="auto"/>
                <w:szCs w:val="21"/>
                <w:highlight w:val="none"/>
                <w:lang w:val="en-US" w:eastAsia="zh-CN"/>
              </w:rPr>
              <w:t>薄</w:t>
            </w:r>
            <w:r>
              <w:rPr>
                <w:rFonts w:hint="eastAsia" w:ascii="宋体" w:hAnsi="宋体" w:eastAsia="宋体" w:cs="宋体"/>
                <w:color w:val="auto"/>
                <w:szCs w:val="21"/>
                <w:highlight w:val="none"/>
              </w:rPr>
              <w:t>软弱，无实心，色泽金黄，富有弹性，无腐烂变质，质量合格有保证。豆腐皮应呈现黄白色或乳白色，表面平整光滑，无杂质和油渍。其他豆制品应具有应有的色泽、滋味和气味，无异味，无霉变，无正常视力可见的外来异物</w:t>
            </w:r>
            <w:r>
              <w:rPr>
                <w:rFonts w:hint="eastAsia" w:ascii="宋体" w:hAnsi="宋体" w:eastAsia="宋体" w:cs="宋体"/>
                <w:color w:val="auto"/>
                <w:kern w:val="2"/>
                <w:sz w:val="21"/>
                <w:szCs w:val="21"/>
                <w:highlight w:val="none"/>
                <w:lang w:val="en-US" w:eastAsia="zh-CN" w:bidi="ar-SA"/>
              </w:rPr>
              <w:t xml:space="preserve">。 </w:t>
            </w:r>
          </w:p>
          <w:p w14:paraId="4A355563">
            <w:pPr>
              <w:keepNext w:val="0"/>
              <w:keepLines w:val="0"/>
              <w:pageBreakBefore w:val="0"/>
              <w:widowControl w:val="0"/>
              <w:kinsoku/>
              <w:wordWrap/>
              <w:overflowPunct/>
              <w:topLinePunct w:val="0"/>
              <w:autoSpaceDE w:val="0"/>
              <w:autoSpaceDN w:val="0"/>
              <w:bidi w:val="0"/>
              <w:adjustRightInd/>
              <w:spacing w:line="440" w:lineRule="exact"/>
              <w:ind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食品包装上有标签，标签符合《中华人民共和国食品安全法》第六十七条规定标明内容；包装用密封性能好、无毒、无害塑料编织袋（直接接触食品的包装必须为食品级），包装的正面需印有供货企业名称、地址、联系电话</w:t>
            </w:r>
            <w:r>
              <w:rPr>
                <w:rFonts w:hint="eastAsia" w:ascii="宋体" w:hAnsi="宋体" w:eastAsia="宋体" w:cs="宋体"/>
                <w:color w:val="auto"/>
                <w:highlight w:val="none"/>
                <w:lang w:val="en-US" w:eastAsia="zh-CN"/>
              </w:rPr>
              <w:t>、保质期、贮存条件</w:t>
            </w:r>
            <w:r>
              <w:rPr>
                <w:rFonts w:hint="eastAsia" w:ascii="宋体" w:hAnsi="宋体" w:eastAsia="宋体" w:cs="宋体"/>
                <w:color w:val="auto"/>
                <w:kern w:val="2"/>
                <w:sz w:val="21"/>
                <w:szCs w:val="21"/>
                <w:highlight w:val="none"/>
                <w:lang w:val="en-US" w:eastAsia="zh-CN" w:bidi="ar-SA"/>
              </w:rPr>
              <w:t>及生产日期等字样，是当前市场上正在流通的产品，且必须符合 《食品安全法》的相关规定。提供食品生产许可证、批次检验合格证。</w:t>
            </w:r>
          </w:p>
          <w:p w14:paraId="69F7FD8E">
            <w:pPr>
              <w:keepNext w:val="0"/>
              <w:keepLines w:val="0"/>
              <w:pageBreakBefore w:val="0"/>
              <w:widowControl w:val="0"/>
              <w:kinsoku/>
              <w:wordWrap/>
              <w:overflowPunct/>
              <w:topLinePunct w:val="0"/>
              <w:autoSpaceDE w:val="0"/>
              <w:autoSpaceDN w:val="0"/>
              <w:bidi w:val="0"/>
              <w:adjustRightInd/>
              <w:snapToGrid/>
              <w:spacing w:line="440" w:lineRule="exact"/>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保质期：达到国家规定要求，剩余保存期时间不得少于保质期的四分之三。</w:t>
            </w:r>
          </w:p>
        </w:tc>
      </w:tr>
      <w:tr w14:paraId="508AF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noWrap w:val="0"/>
            <w:vAlign w:val="center"/>
          </w:tcPr>
          <w:p w14:paraId="10823414">
            <w:pPr>
              <w:keepNext w:val="0"/>
              <w:keepLines w:val="0"/>
              <w:pageBreakBefore w:val="0"/>
              <w:widowControl w:val="0"/>
              <w:kinsoku/>
              <w:wordWrap/>
              <w:overflowPunct/>
              <w:topLinePunct w:val="0"/>
              <w:bidi w:val="0"/>
              <w:adjustRightInd/>
              <w:spacing w:line="440" w:lineRule="exact"/>
              <w:ind w:right="165" w:rightChars="0"/>
              <w:jc w:val="center"/>
              <w:textAlignment w:val="auto"/>
              <w:rPr>
                <w:rFonts w:hint="eastAsia" w:ascii="宋体" w:hAnsi="宋体" w:eastAsia="宋体" w:cs="宋体"/>
                <w:color w:val="auto"/>
                <w:spacing w:val="-3"/>
                <w:kern w:val="2"/>
                <w:sz w:val="21"/>
                <w:szCs w:val="21"/>
                <w:highlight w:val="none"/>
                <w:lang w:val="en-US" w:eastAsia="zh-CN" w:bidi="ar-SA"/>
              </w:rPr>
            </w:pPr>
            <w:r>
              <w:rPr>
                <w:rFonts w:hint="eastAsia" w:ascii="宋体" w:hAnsi="宋体" w:eastAsia="宋体" w:cs="宋体"/>
                <w:color w:val="auto"/>
                <w:spacing w:val="-3"/>
                <w:kern w:val="2"/>
                <w:sz w:val="21"/>
                <w:szCs w:val="21"/>
                <w:highlight w:val="none"/>
                <w:lang w:val="en-US" w:eastAsia="zh-CN" w:bidi="ar-SA"/>
              </w:rPr>
              <w:t>奶制品</w:t>
            </w:r>
          </w:p>
        </w:tc>
        <w:tc>
          <w:tcPr>
            <w:tcW w:w="7906" w:type="dxa"/>
            <w:noWrap w:val="0"/>
            <w:vAlign w:val="center"/>
          </w:tcPr>
          <w:p w14:paraId="42E7A87F">
            <w:pPr>
              <w:keepNext w:val="0"/>
              <w:keepLines w:val="0"/>
              <w:pageBreakBefore w:val="0"/>
              <w:widowControl w:val="0"/>
              <w:kinsoku/>
              <w:wordWrap/>
              <w:overflowPunct/>
              <w:topLinePunct w:val="0"/>
              <w:autoSpaceDE w:val="0"/>
              <w:autoSpaceDN w:val="0"/>
              <w:bidi w:val="0"/>
              <w:adjustRightInd/>
              <w:snapToGrid/>
              <w:spacing w:line="440" w:lineRule="exact"/>
              <w:ind w:firstLine="420" w:firstLineChars="200"/>
              <w:jc w:val="both"/>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1、采购需求</w:t>
            </w:r>
          </w:p>
          <w:p w14:paraId="3E62D329">
            <w:pPr>
              <w:keepNext w:val="0"/>
              <w:keepLines w:val="0"/>
              <w:pageBreakBefore w:val="0"/>
              <w:widowControl w:val="0"/>
              <w:kinsoku/>
              <w:wordWrap/>
              <w:overflowPunct/>
              <w:topLinePunct w:val="0"/>
              <w:autoSpaceDE w:val="0"/>
              <w:autoSpaceDN w:val="0"/>
              <w:bidi w:val="0"/>
              <w:adjustRightInd/>
              <w:snapToGrid/>
              <w:spacing w:line="440" w:lineRule="exact"/>
              <w:ind w:firstLine="420" w:firstLineChars="200"/>
              <w:jc w:val="both"/>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（1）实行每日采购，供应商每日应按采购单位的货物请购清单提供相应数量的货物。</w:t>
            </w:r>
          </w:p>
          <w:p w14:paraId="78F9EB84">
            <w:pPr>
              <w:keepNext w:val="0"/>
              <w:keepLines w:val="0"/>
              <w:pageBreakBefore w:val="0"/>
              <w:widowControl w:val="0"/>
              <w:kinsoku/>
              <w:wordWrap/>
              <w:overflowPunct/>
              <w:topLinePunct w:val="0"/>
              <w:autoSpaceDE w:val="0"/>
              <w:autoSpaceDN w:val="0"/>
              <w:bidi w:val="0"/>
              <w:adjustRightInd/>
              <w:snapToGrid/>
              <w:spacing w:line="440" w:lineRule="exact"/>
              <w:ind w:firstLine="420" w:firstLineChars="200"/>
              <w:jc w:val="both"/>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（2）结算时按实际采购数量结算。</w:t>
            </w:r>
          </w:p>
          <w:p w14:paraId="319FF26E">
            <w:pPr>
              <w:keepNext w:val="0"/>
              <w:keepLines w:val="0"/>
              <w:pageBreakBefore w:val="0"/>
              <w:widowControl w:val="0"/>
              <w:kinsoku/>
              <w:wordWrap/>
              <w:overflowPunct/>
              <w:topLinePunct w:val="0"/>
              <w:autoSpaceDE w:val="0"/>
              <w:autoSpaceDN w:val="0"/>
              <w:bidi w:val="0"/>
              <w:adjustRightInd/>
              <w:snapToGrid/>
              <w:spacing w:line="440" w:lineRule="exact"/>
              <w:ind w:firstLine="420" w:firstLineChars="200"/>
              <w:jc w:val="both"/>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▲2、质量要求</w:t>
            </w:r>
          </w:p>
          <w:p w14:paraId="0D426333">
            <w:pPr>
              <w:keepNext w:val="0"/>
              <w:keepLines w:val="0"/>
              <w:pageBreakBefore w:val="0"/>
              <w:widowControl w:val="0"/>
              <w:kinsoku/>
              <w:wordWrap/>
              <w:overflowPunct/>
              <w:topLinePunct w:val="0"/>
              <w:autoSpaceDE w:val="0"/>
              <w:autoSpaceDN w:val="0"/>
              <w:bidi w:val="0"/>
              <w:adjustRightInd/>
              <w:snapToGrid/>
              <w:spacing w:line="440" w:lineRule="exact"/>
              <w:ind w:firstLine="420" w:firstLineChars="200"/>
              <w:jc w:val="both"/>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（1）必须符合《食品安全法》要求，供货时提供食品生产许可证、批次检验合格证，是当前市场上正在流通的产品。</w:t>
            </w:r>
          </w:p>
          <w:p w14:paraId="2A85E467">
            <w:pPr>
              <w:keepNext w:val="0"/>
              <w:keepLines w:val="0"/>
              <w:pageBreakBefore w:val="0"/>
              <w:widowControl w:val="0"/>
              <w:kinsoku/>
              <w:wordWrap/>
              <w:overflowPunct/>
              <w:topLinePunct w:val="0"/>
              <w:autoSpaceDE w:val="0"/>
              <w:autoSpaceDN w:val="0"/>
              <w:bidi w:val="0"/>
              <w:adjustRightInd/>
              <w:snapToGrid/>
              <w:spacing w:line="440" w:lineRule="exact"/>
              <w:ind w:firstLine="420" w:firstLineChars="200"/>
              <w:jc w:val="both"/>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（2）原料奶必须来自健康无病的奶牛，不得使用任何激素、抗生素残留超标的奶源；必须提供纯牛奶。</w:t>
            </w:r>
          </w:p>
          <w:p w14:paraId="316F1942">
            <w:pPr>
              <w:keepNext w:val="0"/>
              <w:keepLines w:val="0"/>
              <w:pageBreakBefore w:val="0"/>
              <w:widowControl w:val="0"/>
              <w:kinsoku/>
              <w:wordWrap/>
              <w:overflowPunct/>
              <w:topLinePunct w:val="0"/>
              <w:autoSpaceDE w:val="0"/>
              <w:autoSpaceDN w:val="0"/>
              <w:bidi w:val="0"/>
              <w:adjustRightInd/>
              <w:snapToGrid/>
              <w:spacing w:line="440" w:lineRule="exact"/>
              <w:ind w:firstLine="420" w:firstLineChars="200"/>
              <w:jc w:val="both"/>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（3）应采用超高温瞬时灭菌（UHT）或其他经认可的有效杀菌工艺处理，确保产品安全。</w:t>
            </w:r>
          </w:p>
          <w:p w14:paraId="67F24A50">
            <w:pPr>
              <w:keepNext w:val="0"/>
              <w:keepLines w:val="0"/>
              <w:pageBreakBefore w:val="0"/>
              <w:widowControl w:val="0"/>
              <w:kinsoku/>
              <w:wordWrap/>
              <w:overflowPunct/>
              <w:topLinePunct w:val="0"/>
              <w:autoSpaceDE w:val="0"/>
              <w:autoSpaceDN w:val="0"/>
              <w:bidi w:val="0"/>
              <w:adjustRightInd/>
              <w:snapToGrid/>
              <w:spacing w:line="440" w:lineRule="exact"/>
              <w:ind w:firstLine="420" w:firstLineChars="200"/>
              <w:jc w:val="both"/>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（4）色泽：呈乳白色或微黄色，均匀一致，无沉淀、无凝块、无杂质。</w:t>
            </w:r>
          </w:p>
          <w:p w14:paraId="3D6F33D1">
            <w:pPr>
              <w:keepNext w:val="0"/>
              <w:keepLines w:val="0"/>
              <w:pageBreakBefore w:val="0"/>
              <w:widowControl w:val="0"/>
              <w:kinsoku/>
              <w:wordWrap/>
              <w:overflowPunct/>
              <w:topLinePunct w:val="0"/>
              <w:autoSpaceDE w:val="0"/>
              <w:autoSpaceDN w:val="0"/>
              <w:bidi w:val="0"/>
              <w:adjustRightInd/>
              <w:snapToGrid/>
              <w:spacing w:line="440" w:lineRule="exact"/>
              <w:ind w:firstLine="420" w:firstLineChars="200"/>
              <w:jc w:val="both"/>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（5）滋味与气味：具有纯牛乳特有的香味，无异味。</w:t>
            </w:r>
          </w:p>
          <w:p w14:paraId="4797A5D8">
            <w:pPr>
              <w:keepNext w:val="0"/>
              <w:keepLines w:val="0"/>
              <w:pageBreakBefore w:val="0"/>
              <w:widowControl w:val="0"/>
              <w:kinsoku/>
              <w:wordWrap/>
              <w:overflowPunct/>
              <w:topLinePunct w:val="0"/>
              <w:autoSpaceDE w:val="0"/>
              <w:autoSpaceDN w:val="0"/>
              <w:bidi w:val="0"/>
              <w:adjustRightInd/>
              <w:snapToGrid/>
              <w:spacing w:line="440" w:lineRule="exact"/>
              <w:ind w:firstLine="420" w:firstLineChars="200"/>
              <w:jc w:val="both"/>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（6）组织状态：呈均匀一致的液体，无凝块、无沉淀、无粘稠现象。</w:t>
            </w:r>
          </w:p>
          <w:p w14:paraId="3029FB6D">
            <w:pPr>
              <w:keepNext w:val="0"/>
              <w:keepLines w:val="0"/>
              <w:pageBreakBefore w:val="0"/>
              <w:widowControl w:val="0"/>
              <w:kinsoku/>
              <w:wordWrap/>
              <w:overflowPunct/>
              <w:topLinePunct w:val="0"/>
              <w:autoSpaceDE w:val="0"/>
              <w:autoSpaceDN w:val="0"/>
              <w:bidi w:val="0"/>
              <w:adjustRightInd/>
              <w:snapToGrid/>
              <w:spacing w:line="440" w:lineRule="exact"/>
              <w:ind w:firstLine="420" w:firstLineChars="200"/>
              <w:jc w:val="both"/>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（7）蛋白质含量：符合国家或行业规定的最低标准，每100mL不低于（含）3.2g。</w:t>
            </w:r>
          </w:p>
          <w:p w14:paraId="29170897">
            <w:pPr>
              <w:keepNext w:val="0"/>
              <w:keepLines w:val="0"/>
              <w:pageBreakBefore w:val="0"/>
              <w:widowControl w:val="0"/>
              <w:kinsoku/>
              <w:wordWrap/>
              <w:overflowPunct/>
              <w:topLinePunct w:val="0"/>
              <w:autoSpaceDE w:val="0"/>
              <w:autoSpaceDN w:val="0"/>
              <w:bidi w:val="0"/>
              <w:adjustRightInd/>
              <w:snapToGrid/>
              <w:spacing w:line="440" w:lineRule="exact"/>
              <w:ind w:firstLine="420" w:firstLineChars="200"/>
              <w:jc w:val="both"/>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（8）酸度：pH值及滴定酸度应在正常范围内，表明产品新鲜度。</w:t>
            </w:r>
          </w:p>
          <w:p w14:paraId="05913661">
            <w:pPr>
              <w:keepNext w:val="0"/>
              <w:keepLines w:val="0"/>
              <w:pageBreakBefore w:val="0"/>
              <w:widowControl w:val="0"/>
              <w:kinsoku/>
              <w:wordWrap/>
              <w:overflowPunct/>
              <w:topLinePunct w:val="0"/>
              <w:autoSpaceDE w:val="0"/>
              <w:autoSpaceDN w:val="0"/>
              <w:bidi w:val="0"/>
              <w:adjustRightInd/>
              <w:snapToGrid/>
              <w:spacing w:line="440" w:lineRule="exact"/>
              <w:ind w:firstLine="420" w:firstLineChars="200"/>
              <w:jc w:val="both"/>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（9）杂质度：不得检出肉眼可见的外来杂质。</w:t>
            </w:r>
          </w:p>
          <w:p w14:paraId="73A4BB3F">
            <w:pPr>
              <w:keepNext w:val="0"/>
              <w:keepLines w:val="0"/>
              <w:pageBreakBefore w:val="0"/>
              <w:widowControl w:val="0"/>
              <w:kinsoku/>
              <w:wordWrap/>
              <w:overflowPunct/>
              <w:topLinePunct w:val="0"/>
              <w:autoSpaceDE w:val="0"/>
              <w:autoSpaceDN w:val="0"/>
              <w:bidi w:val="0"/>
              <w:adjustRightInd/>
              <w:snapToGrid/>
              <w:spacing w:line="440" w:lineRule="exact"/>
              <w:ind w:firstLine="420" w:firstLineChars="200"/>
              <w:jc w:val="both"/>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（10）微生物指标：</w:t>
            </w:r>
          </w:p>
          <w:p w14:paraId="0CAD1F2D">
            <w:pPr>
              <w:keepNext w:val="0"/>
              <w:keepLines w:val="0"/>
              <w:pageBreakBefore w:val="0"/>
              <w:widowControl w:val="0"/>
              <w:kinsoku/>
              <w:wordWrap/>
              <w:overflowPunct/>
              <w:topLinePunct w:val="0"/>
              <w:autoSpaceDE w:val="0"/>
              <w:autoSpaceDN w:val="0"/>
              <w:bidi w:val="0"/>
              <w:adjustRightInd/>
              <w:snapToGrid/>
              <w:spacing w:line="440" w:lineRule="exact"/>
              <w:ind w:firstLine="420" w:firstLineChars="200"/>
              <w:jc w:val="both"/>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菌落总数：每毫升或每克中不得超过规定的限值，以确保产品卫生质量；大肠菌群：不得检出，以预防肠道传染病的发生；致病菌（如沙门氏菌、金黄色葡萄球菌等）：不得检出，确保产品安全无害。</w:t>
            </w:r>
          </w:p>
          <w:p w14:paraId="24816FB1">
            <w:pPr>
              <w:keepNext w:val="0"/>
              <w:keepLines w:val="0"/>
              <w:pageBreakBefore w:val="0"/>
              <w:widowControl w:val="0"/>
              <w:kinsoku/>
              <w:wordWrap/>
              <w:overflowPunct/>
              <w:topLinePunct w:val="0"/>
              <w:autoSpaceDE w:val="0"/>
              <w:autoSpaceDN w:val="0"/>
              <w:bidi w:val="0"/>
              <w:adjustRightInd/>
              <w:snapToGrid/>
              <w:spacing w:line="44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highlight w:val="none"/>
                <w:lang w:val="en-US" w:eastAsia="zh-CN"/>
              </w:rPr>
              <w:t>（11）生产厂家具有食品有效生产资质；符合相应食品类别的执行标准或企业标准；保证新鲜且符合《中华人民共和国食品安全法》要求；预包装食品，标签符合《中华人民共和国食品安全法》第六十七条规定标明内容；包装用密封性能好、无毒、无害塑料编织袋（直接接触食品的包装必须为食品级），包装的正面需印有供货企业名称、地址、联系电话及生产日期、保质期、营养成分表、贮存条件等字样，符合相关法律法规要求。</w:t>
            </w:r>
          </w:p>
        </w:tc>
      </w:tr>
      <w:tr w14:paraId="70FAC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noWrap w:val="0"/>
            <w:vAlign w:val="center"/>
          </w:tcPr>
          <w:p w14:paraId="6EA9EB94">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pacing w:val="-3"/>
                <w:kern w:val="2"/>
                <w:sz w:val="21"/>
                <w:szCs w:val="21"/>
                <w:highlight w:val="none"/>
                <w:lang w:val="en-US" w:eastAsia="zh-CN" w:bidi="ar-SA"/>
              </w:rPr>
              <w:t>蔬菜类</w:t>
            </w:r>
          </w:p>
        </w:tc>
        <w:tc>
          <w:tcPr>
            <w:tcW w:w="7906" w:type="dxa"/>
            <w:noWrap w:val="0"/>
            <w:vAlign w:val="center"/>
          </w:tcPr>
          <w:p w14:paraId="716BD855">
            <w:pPr>
              <w:keepNext w:val="0"/>
              <w:keepLines w:val="0"/>
              <w:pageBreakBefore w:val="0"/>
              <w:widowControl w:val="0"/>
              <w:kinsoku/>
              <w:wordWrap/>
              <w:overflowPunct/>
              <w:topLinePunct w:val="0"/>
              <w:autoSpaceDE w:val="0"/>
              <w:autoSpaceDN w:val="0"/>
              <w:bidi w:val="0"/>
              <w:adjustRightInd/>
              <w:snapToGrid/>
              <w:spacing w:line="44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1、采购需求</w:t>
            </w:r>
          </w:p>
          <w:p w14:paraId="1EFE6FE9">
            <w:pPr>
              <w:keepNext w:val="0"/>
              <w:keepLines w:val="0"/>
              <w:pageBreakBefore w:val="0"/>
              <w:widowControl w:val="0"/>
              <w:kinsoku/>
              <w:wordWrap/>
              <w:overflowPunct/>
              <w:topLinePunct w:val="0"/>
              <w:autoSpaceDE w:val="0"/>
              <w:autoSpaceDN w:val="0"/>
              <w:bidi w:val="0"/>
              <w:adjustRightInd/>
              <w:snapToGrid/>
              <w:spacing w:line="44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（1）实行每日采购，供应商每日应按采购单位的货物请购清单提供相应数量的货物。</w:t>
            </w:r>
          </w:p>
          <w:p w14:paraId="4C477B4A">
            <w:pPr>
              <w:keepNext w:val="0"/>
              <w:keepLines w:val="0"/>
              <w:pageBreakBefore w:val="0"/>
              <w:widowControl w:val="0"/>
              <w:kinsoku/>
              <w:wordWrap/>
              <w:overflowPunct/>
              <w:topLinePunct w:val="0"/>
              <w:autoSpaceDE w:val="0"/>
              <w:autoSpaceDN w:val="0"/>
              <w:bidi w:val="0"/>
              <w:adjustRightInd/>
              <w:snapToGrid/>
              <w:spacing w:line="44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（2）结算时按实际采购数量结算。</w:t>
            </w:r>
          </w:p>
          <w:p w14:paraId="21646A2F">
            <w:pPr>
              <w:keepNext w:val="0"/>
              <w:keepLines w:val="0"/>
              <w:pageBreakBefore w:val="0"/>
              <w:widowControl w:val="0"/>
              <w:kinsoku/>
              <w:wordWrap/>
              <w:overflowPunct/>
              <w:topLinePunct w:val="0"/>
              <w:autoSpaceDE w:val="0"/>
              <w:autoSpaceDN w:val="0"/>
              <w:bidi w:val="0"/>
              <w:adjustRightInd/>
              <w:snapToGrid/>
              <w:spacing w:line="44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▲2、质量要求</w:t>
            </w:r>
          </w:p>
          <w:p w14:paraId="1513F8F9">
            <w:pPr>
              <w:keepNext w:val="0"/>
              <w:keepLines w:val="0"/>
              <w:pageBreakBefore w:val="0"/>
              <w:widowControl w:val="0"/>
              <w:kinsoku/>
              <w:wordWrap/>
              <w:overflowPunct/>
              <w:topLinePunct w:val="0"/>
              <w:autoSpaceDE w:val="0"/>
              <w:autoSpaceDN w:val="0"/>
              <w:bidi w:val="0"/>
              <w:adjustRightInd/>
              <w:snapToGrid/>
              <w:spacing w:line="44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（1）必须符合国家食品安全卫生标准。符合《食品安全法》要求，尽量采用当地时令新鲜蔬菜。蔬菜可食用率必须达95%以上。</w:t>
            </w:r>
          </w:p>
          <w:p w14:paraId="56320754">
            <w:pPr>
              <w:keepNext w:val="0"/>
              <w:keepLines w:val="0"/>
              <w:pageBreakBefore w:val="0"/>
              <w:widowControl w:val="0"/>
              <w:kinsoku/>
              <w:wordWrap/>
              <w:overflowPunct/>
              <w:topLinePunct w:val="0"/>
              <w:autoSpaceDE w:val="0"/>
              <w:autoSpaceDN w:val="0"/>
              <w:bidi w:val="0"/>
              <w:adjustRightInd/>
              <w:snapToGrid/>
              <w:spacing w:line="44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瓜、果、蔬菜必须保证新鲜，绿色环保。无公害、无污染、无农药残留；蔬菜残留农药检测合格，必须提供残留农药检测合格证明。质量符合现行《食用农产品市场销售质量安全监督管理办法》的要求，尽量采用时令新鲜蔬菜，并要提供每批次的农残检测报告。如含量超标将要求中标人无条件退货或换货。</w:t>
            </w:r>
          </w:p>
          <w:p w14:paraId="0D909A4B">
            <w:pPr>
              <w:keepNext w:val="0"/>
              <w:keepLines w:val="0"/>
              <w:pageBreakBefore w:val="0"/>
              <w:widowControl w:val="0"/>
              <w:kinsoku/>
              <w:wordWrap/>
              <w:overflowPunct/>
              <w:topLinePunct w:val="0"/>
              <w:autoSpaceDE w:val="0"/>
              <w:autoSpaceDN w:val="0"/>
              <w:bidi w:val="0"/>
              <w:adjustRightInd/>
              <w:snapToGrid/>
              <w:spacing w:line="44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水果类，包装上要注明商品名称，生产企业名称，产地，生产日期，保质期，联系电话，重量等内容。水果外表光亮无斑点，新鲜，清洁，形状正常，大小均匀，成熟度适中，无软皮，无腐烂，无污染异味，无病虫损害，通过快速检测农药残留含量不超过食品安全标准限量，且符合现行《食用农产品市场销售质量安全监督管理办法》第十二条的要求。</w:t>
            </w:r>
          </w:p>
          <w:p w14:paraId="337AE3DC">
            <w:pPr>
              <w:keepNext w:val="0"/>
              <w:keepLines w:val="0"/>
              <w:pageBreakBefore w:val="0"/>
              <w:widowControl w:val="0"/>
              <w:kinsoku/>
              <w:wordWrap/>
              <w:overflowPunct/>
              <w:topLinePunct w:val="0"/>
              <w:autoSpaceDE w:val="0"/>
              <w:autoSpaceDN w:val="0"/>
              <w:bidi w:val="0"/>
              <w:adjustRightInd/>
              <w:snapToGrid/>
              <w:spacing w:line="44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（4）配送供应商场地卫生条件良好，安全管理措施落实到位，有专门检测室，有检测农药残留设备，有专人负责全天检测并记录。</w:t>
            </w:r>
          </w:p>
          <w:p w14:paraId="45231B16">
            <w:pPr>
              <w:keepNext w:val="0"/>
              <w:keepLines w:val="0"/>
              <w:pageBreakBefore w:val="0"/>
              <w:widowControl w:val="0"/>
              <w:kinsoku/>
              <w:wordWrap/>
              <w:overflowPunct/>
              <w:topLinePunct w:val="0"/>
              <w:autoSpaceDE w:val="0"/>
              <w:autoSpaceDN w:val="0"/>
              <w:bidi w:val="0"/>
              <w:adjustRightInd/>
              <w:snapToGrid/>
              <w:spacing w:line="44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（5）有相对固定的供货渠道，有完善的货物来源记录。</w:t>
            </w:r>
          </w:p>
          <w:p w14:paraId="1EE8FFB1">
            <w:pPr>
              <w:keepNext w:val="0"/>
              <w:keepLines w:val="0"/>
              <w:pageBreakBefore w:val="0"/>
              <w:widowControl w:val="0"/>
              <w:kinsoku/>
              <w:wordWrap/>
              <w:overflowPunct/>
              <w:topLinePunct w:val="0"/>
              <w:autoSpaceDE w:val="0"/>
              <w:autoSpaceDN w:val="0"/>
              <w:bidi w:val="0"/>
              <w:adjustRightInd/>
              <w:snapToGrid/>
              <w:spacing w:line="44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以上食材均应当符合《中华人民共和国食品安全法》、《中华人民共和国食品安全法实施条例》、《学校食品安全与营养健康管理规定》等相关法律、法规、规章的要求。</w:t>
            </w:r>
          </w:p>
        </w:tc>
      </w:tr>
      <w:tr w14:paraId="09F60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noWrap w:val="0"/>
            <w:vAlign w:val="center"/>
          </w:tcPr>
          <w:p w14:paraId="53A2B0E2">
            <w:pPr>
              <w:keepNext w:val="0"/>
              <w:keepLines w:val="0"/>
              <w:pageBreakBefore w:val="0"/>
              <w:widowControl w:val="0"/>
              <w:kinsoku/>
              <w:wordWrap/>
              <w:overflowPunct/>
              <w:topLinePunct w:val="0"/>
              <w:bidi w:val="0"/>
              <w:adjustRightInd/>
              <w:spacing w:line="440" w:lineRule="exact"/>
              <w:ind w:right="165" w:rightChars="0"/>
              <w:jc w:val="center"/>
              <w:textAlignment w:val="auto"/>
              <w:rPr>
                <w:rFonts w:hint="eastAsia" w:ascii="宋体" w:hAnsi="宋体" w:eastAsia="宋体" w:cs="宋体"/>
                <w:color w:val="auto"/>
                <w:spacing w:val="-3"/>
                <w:kern w:val="2"/>
                <w:sz w:val="21"/>
                <w:szCs w:val="21"/>
                <w:highlight w:val="none"/>
                <w:lang w:val="en-US" w:eastAsia="zh-CN" w:bidi="ar-SA"/>
              </w:rPr>
            </w:pPr>
            <w:r>
              <w:rPr>
                <w:rFonts w:hint="eastAsia" w:ascii="宋体" w:hAnsi="宋体" w:eastAsia="宋体" w:cs="宋体"/>
                <w:color w:val="auto"/>
                <w:spacing w:val="-3"/>
                <w:kern w:val="2"/>
                <w:sz w:val="21"/>
                <w:szCs w:val="21"/>
                <w:highlight w:val="none"/>
                <w:lang w:val="en-US" w:eastAsia="zh-CN" w:bidi="ar-SA"/>
              </w:rPr>
              <w:t>面包、糕点类</w:t>
            </w:r>
          </w:p>
        </w:tc>
        <w:tc>
          <w:tcPr>
            <w:tcW w:w="7906" w:type="dxa"/>
            <w:noWrap w:val="0"/>
            <w:vAlign w:val="center"/>
          </w:tcPr>
          <w:p w14:paraId="42BCCBA5">
            <w:pPr>
              <w:keepNext w:val="0"/>
              <w:keepLines w:val="0"/>
              <w:pageBreakBefore w:val="0"/>
              <w:widowControl w:val="0"/>
              <w:kinsoku/>
              <w:wordWrap/>
              <w:overflowPunct/>
              <w:topLinePunct w:val="0"/>
              <w:autoSpaceDE w:val="0"/>
              <w:autoSpaceDN w:val="0"/>
              <w:bidi w:val="0"/>
              <w:adjustRightInd/>
              <w:snapToGrid/>
              <w:spacing w:line="44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1、采购需求</w:t>
            </w:r>
          </w:p>
          <w:p w14:paraId="289F2B98">
            <w:pPr>
              <w:keepNext w:val="0"/>
              <w:keepLines w:val="0"/>
              <w:pageBreakBefore w:val="0"/>
              <w:widowControl w:val="0"/>
              <w:kinsoku/>
              <w:wordWrap/>
              <w:overflowPunct/>
              <w:topLinePunct w:val="0"/>
              <w:autoSpaceDE w:val="0"/>
              <w:autoSpaceDN w:val="0"/>
              <w:bidi w:val="0"/>
              <w:adjustRightInd/>
              <w:snapToGrid/>
              <w:spacing w:line="44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（1）实行每日采购，供应商每日应按采购单位的货物请购清单提供相应数量的货物。</w:t>
            </w:r>
          </w:p>
          <w:p w14:paraId="05E48D58">
            <w:pPr>
              <w:keepNext w:val="0"/>
              <w:keepLines w:val="0"/>
              <w:pageBreakBefore w:val="0"/>
              <w:widowControl w:val="0"/>
              <w:kinsoku/>
              <w:wordWrap/>
              <w:overflowPunct/>
              <w:topLinePunct w:val="0"/>
              <w:autoSpaceDE w:val="0"/>
              <w:autoSpaceDN w:val="0"/>
              <w:bidi w:val="0"/>
              <w:adjustRightInd/>
              <w:snapToGrid/>
              <w:spacing w:line="44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（2）结算时按实际采购数量结算。</w:t>
            </w:r>
          </w:p>
          <w:p w14:paraId="72828605">
            <w:pPr>
              <w:keepNext w:val="0"/>
              <w:keepLines w:val="0"/>
              <w:pageBreakBefore w:val="0"/>
              <w:widowControl w:val="0"/>
              <w:kinsoku/>
              <w:wordWrap/>
              <w:overflowPunct/>
              <w:topLinePunct w:val="0"/>
              <w:autoSpaceDE w:val="0"/>
              <w:autoSpaceDN w:val="0"/>
              <w:bidi w:val="0"/>
              <w:adjustRightInd/>
              <w:snapToGrid/>
              <w:spacing w:line="44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▲2、质量要求</w:t>
            </w:r>
          </w:p>
          <w:p w14:paraId="3040F1C7">
            <w:pPr>
              <w:keepNext w:val="0"/>
              <w:keepLines w:val="0"/>
              <w:pageBreakBefore w:val="0"/>
              <w:widowControl w:val="0"/>
              <w:kinsoku/>
              <w:wordWrap/>
              <w:overflowPunct/>
              <w:topLinePunct w:val="0"/>
              <w:autoSpaceDE w:val="0"/>
              <w:autoSpaceDN w:val="0"/>
              <w:bidi w:val="0"/>
              <w:adjustRightInd/>
              <w:snapToGrid/>
              <w:spacing w:line="44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（1）外观：外形规整，无明显变形、破损或塌陷。表面色泽均匀，根据不同种类面包呈现出相应的金黄色、棕色等恰当颜色。</w:t>
            </w:r>
          </w:p>
          <w:p w14:paraId="36388E3D">
            <w:pPr>
              <w:keepNext w:val="0"/>
              <w:keepLines w:val="0"/>
              <w:pageBreakBefore w:val="0"/>
              <w:widowControl w:val="0"/>
              <w:kinsoku/>
              <w:wordWrap/>
              <w:overflowPunct/>
              <w:topLinePunct w:val="0"/>
              <w:autoSpaceDE w:val="0"/>
              <w:autoSpaceDN w:val="0"/>
              <w:bidi w:val="0"/>
              <w:adjustRightInd/>
              <w:snapToGrid/>
              <w:spacing w:line="44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（2）口感：松软适度，具有良好的咀嚼性，不过于干硬也不过于粘腻。例如，吐司面包应具有绵柔的口感，法棍则带有一定的韧性。</w:t>
            </w:r>
          </w:p>
          <w:p w14:paraId="69E3AE0F">
            <w:pPr>
              <w:keepNext w:val="0"/>
              <w:keepLines w:val="0"/>
              <w:pageBreakBefore w:val="0"/>
              <w:widowControl w:val="0"/>
              <w:kinsoku/>
              <w:wordWrap/>
              <w:overflowPunct/>
              <w:topLinePunct w:val="0"/>
              <w:autoSpaceDE w:val="0"/>
              <w:autoSpaceDN w:val="0"/>
              <w:bidi w:val="0"/>
              <w:adjustRightInd/>
              <w:snapToGrid/>
              <w:spacing w:line="44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（3）新鲜度：具有新鲜面包、</w:t>
            </w:r>
            <w:r>
              <w:rPr>
                <w:rFonts w:hint="eastAsia" w:ascii="宋体" w:hAnsi="宋体" w:eastAsia="宋体" w:cs="宋体"/>
                <w:color w:val="auto"/>
                <w:spacing w:val="-3"/>
                <w:kern w:val="2"/>
                <w:sz w:val="21"/>
                <w:szCs w:val="21"/>
                <w:highlight w:val="none"/>
                <w:lang w:val="en-US" w:eastAsia="zh-CN" w:bidi="ar-SA"/>
              </w:rPr>
              <w:t>糕点类</w:t>
            </w:r>
            <w:r>
              <w:rPr>
                <w:rFonts w:hint="eastAsia" w:ascii="宋体" w:hAnsi="宋体" w:eastAsia="宋体" w:cs="宋体"/>
                <w:color w:val="auto"/>
                <w:szCs w:val="21"/>
                <w:highlight w:val="none"/>
                <w:lang w:val="en-US" w:eastAsia="zh-CN"/>
              </w:rPr>
              <w:t>的香气，无异味和哈喇味等不良气味。面包、</w:t>
            </w:r>
            <w:r>
              <w:rPr>
                <w:rFonts w:hint="eastAsia" w:ascii="宋体" w:hAnsi="宋体" w:eastAsia="宋体" w:cs="宋体"/>
                <w:color w:val="auto"/>
                <w:spacing w:val="-3"/>
                <w:kern w:val="2"/>
                <w:sz w:val="21"/>
                <w:szCs w:val="21"/>
                <w:highlight w:val="none"/>
                <w:lang w:val="en-US" w:eastAsia="zh-CN" w:bidi="ar-SA"/>
              </w:rPr>
              <w:t>糕点类</w:t>
            </w:r>
            <w:r>
              <w:rPr>
                <w:rFonts w:hint="eastAsia" w:ascii="宋体" w:hAnsi="宋体" w:eastAsia="宋体" w:cs="宋体"/>
                <w:color w:val="auto"/>
                <w:szCs w:val="21"/>
                <w:highlight w:val="none"/>
                <w:lang w:val="en-US" w:eastAsia="zh-CN"/>
              </w:rPr>
              <w:t>的质地应保持一定的弹性和湿润度，内部组织细腻均匀，无明显的大孔洞或结块。</w:t>
            </w:r>
          </w:p>
          <w:p w14:paraId="4E767EA2">
            <w:pPr>
              <w:keepNext w:val="0"/>
              <w:keepLines w:val="0"/>
              <w:pageBreakBefore w:val="0"/>
              <w:widowControl w:val="0"/>
              <w:kinsoku/>
              <w:wordWrap/>
              <w:overflowPunct/>
              <w:topLinePunct w:val="0"/>
              <w:autoSpaceDE w:val="0"/>
              <w:autoSpaceDN w:val="0"/>
              <w:bidi w:val="0"/>
              <w:adjustRightInd/>
              <w:snapToGrid/>
              <w:spacing w:line="440" w:lineRule="exact"/>
              <w:ind w:firstLine="420" w:firstLineChars="200"/>
              <w:jc w:val="both"/>
              <w:textAlignment w:val="auto"/>
              <w:rPr>
                <w:rFonts w:hint="eastAsia" w:ascii="宋体" w:hAnsi="宋体" w:eastAsia="宋体" w:cs="宋体"/>
                <w:highlight w:val="none"/>
              </w:rPr>
            </w:pPr>
            <w:r>
              <w:rPr>
                <w:rFonts w:hint="eastAsia" w:ascii="宋体" w:hAnsi="宋体" w:eastAsia="宋体" w:cs="宋体"/>
                <w:color w:val="auto"/>
                <w:szCs w:val="21"/>
                <w:highlight w:val="none"/>
                <w:lang w:val="en-US" w:eastAsia="zh-CN"/>
              </w:rPr>
              <w:t>（4）生产厂家具有食品有效生产资质；符合相应食品类别的执行标准或企业标准；保证新鲜且符合《中华人民共和国食品安全法》要求；预包装食品，标签符合《中华人民共和国食品安全法》第六十七条规定标明内容；具有</w:t>
            </w:r>
            <w:r>
              <w:rPr>
                <w:rFonts w:hint="eastAsia" w:ascii="宋体" w:hAnsi="宋体" w:eastAsia="宋体" w:cs="宋体"/>
                <w:color w:val="auto"/>
                <w:szCs w:val="21"/>
                <w:highlight w:val="none"/>
              </w:rPr>
              <w:t>生产许可证和产品合格证</w:t>
            </w:r>
            <w:r>
              <w:rPr>
                <w:rFonts w:hint="eastAsia" w:ascii="宋体" w:hAnsi="宋体" w:eastAsia="宋体" w:cs="宋体"/>
                <w:color w:val="auto"/>
                <w:szCs w:val="21"/>
                <w:highlight w:val="none"/>
                <w:lang w:val="en-US" w:eastAsia="zh-CN"/>
              </w:rPr>
              <w:t>；符合(GB/T1354-2018)标准要求；保证新鲜且符合食品安全法要求；配料合规：使用的面粉、油脂、糖等配料应符合食品安全标准，添加剂的使用也应在规定范围内。例如，面包中使用的酵母应保证其质量，以确保发酵效果良好。包装用密封性能好、无毒、无害塑料编织袋（直接接触食品的包装必须为食品级），包装的正面需印有供货企业名称、产品信息、地址、联系电话、保质期、配料表及生产日期等字样。</w:t>
            </w:r>
          </w:p>
          <w:p w14:paraId="4840421F">
            <w:pPr>
              <w:keepNext w:val="0"/>
              <w:keepLines w:val="0"/>
              <w:pageBreakBefore w:val="0"/>
              <w:widowControl w:val="0"/>
              <w:kinsoku/>
              <w:wordWrap/>
              <w:overflowPunct/>
              <w:topLinePunct w:val="0"/>
              <w:autoSpaceDE w:val="0"/>
              <w:autoSpaceDN w:val="0"/>
              <w:bidi w:val="0"/>
              <w:adjustRightInd/>
              <w:snapToGrid/>
              <w:spacing w:line="440" w:lineRule="exact"/>
              <w:ind w:firstLine="420" w:firstLineChars="200"/>
              <w:jc w:val="both"/>
              <w:textAlignment w:val="auto"/>
              <w:rPr>
                <w:rFonts w:hint="eastAsia" w:ascii="宋体" w:hAnsi="宋体" w:eastAsia="宋体" w:cs="宋体"/>
                <w:highlight w:val="none"/>
                <w:lang w:val="en-US" w:eastAsia="zh-CN"/>
              </w:rPr>
            </w:pPr>
            <w:r>
              <w:rPr>
                <w:rFonts w:hint="eastAsia" w:ascii="宋体" w:hAnsi="宋体" w:eastAsia="宋体" w:cs="宋体"/>
                <w:highlight w:val="none"/>
                <w:lang w:eastAsia="zh-CN"/>
              </w:rPr>
              <w:t>（</w:t>
            </w:r>
            <w:r>
              <w:rPr>
                <w:rFonts w:hint="eastAsia" w:ascii="宋体" w:hAnsi="宋体" w:eastAsia="宋体" w:cs="宋体"/>
                <w:highlight w:val="none"/>
                <w:lang w:val="en-US" w:eastAsia="zh-CN"/>
              </w:rPr>
              <w:t>5</w:t>
            </w:r>
            <w:r>
              <w:rPr>
                <w:rFonts w:hint="eastAsia" w:ascii="宋体" w:hAnsi="宋体" w:eastAsia="宋体" w:cs="宋体"/>
                <w:highlight w:val="none"/>
                <w:lang w:eastAsia="zh-CN"/>
              </w:rPr>
              <w:t>）</w:t>
            </w:r>
            <w:r>
              <w:rPr>
                <w:rFonts w:hint="eastAsia" w:ascii="宋体" w:hAnsi="宋体" w:eastAsia="宋体" w:cs="宋体"/>
                <w:bCs/>
                <w:color w:val="auto"/>
                <w:szCs w:val="21"/>
                <w:highlight w:val="none"/>
              </w:rPr>
              <w:t>总体要求</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糕点和烤包等包装类食品必须是当天或前一天生产的产品，面包（生鲜包）、馒头等供应的必须是24小时内生产的产品。</w:t>
            </w:r>
          </w:p>
        </w:tc>
      </w:tr>
      <w:tr w14:paraId="74473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noWrap w:val="0"/>
            <w:vAlign w:val="center"/>
          </w:tcPr>
          <w:p w14:paraId="3A3CEE04">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粉类</w:t>
            </w:r>
          </w:p>
        </w:tc>
        <w:tc>
          <w:tcPr>
            <w:tcW w:w="7906" w:type="dxa"/>
            <w:noWrap w:val="0"/>
            <w:vAlign w:val="center"/>
          </w:tcPr>
          <w:p w14:paraId="2F6665CF">
            <w:pPr>
              <w:keepNext w:val="0"/>
              <w:keepLines w:val="0"/>
              <w:pageBreakBefore w:val="0"/>
              <w:widowControl w:val="0"/>
              <w:kinsoku/>
              <w:wordWrap/>
              <w:overflowPunct/>
              <w:topLinePunct w:val="0"/>
              <w:autoSpaceDE w:val="0"/>
              <w:autoSpaceDN w:val="0"/>
              <w:bidi w:val="0"/>
              <w:adjustRightInd/>
              <w:snapToGrid/>
              <w:spacing w:line="44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1、采购需求</w:t>
            </w:r>
          </w:p>
          <w:p w14:paraId="2B390E08">
            <w:pPr>
              <w:keepNext w:val="0"/>
              <w:keepLines w:val="0"/>
              <w:pageBreakBefore w:val="0"/>
              <w:widowControl w:val="0"/>
              <w:kinsoku/>
              <w:wordWrap/>
              <w:overflowPunct/>
              <w:topLinePunct w:val="0"/>
              <w:autoSpaceDE w:val="0"/>
              <w:autoSpaceDN w:val="0"/>
              <w:bidi w:val="0"/>
              <w:adjustRightInd/>
              <w:snapToGrid/>
              <w:spacing w:line="44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（1）实行每日采购，供应商每日应按采购单位的货物请购清单提供相应数量的货物。</w:t>
            </w:r>
          </w:p>
          <w:p w14:paraId="18CBE098">
            <w:pPr>
              <w:keepNext w:val="0"/>
              <w:keepLines w:val="0"/>
              <w:pageBreakBefore w:val="0"/>
              <w:widowControl w:val="0"/>
              <w:kinsoku/>
              <w:wordWrap/>
              <w:overflowPunct/>
              <w:topLinePunct w:val="0"/>
              <w:autoSpaceDE w:val="0"/>
              <w:autoSpaceDN w:val="0"/>
              <w:bidi w:val="0"/>
              <w:adjustRightInd/>
              <w:snapToGrid/>
              <w:spacing w:line="44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（2）结算时按实际采购数量结算。</w:t>
            </w:r>
          </w:p>
          <w:p w14:paraId="677AC6A2">
            <w:pPr>
              <w:keepNext w:val="0"/>
              <w:keepLines w:val="0"/>
              <w:pageBreakBefore w:val="0"/>
              <w:widowControl w:val="0"/>
              <w:kinsoku/>
              <w:wordWrap/>
              <w:overflowPunct/>
              <w:topLinePunct w:val="0"/>
              <w:autoSpaceDE w:val="0"/>
              <w:autoSpaceDN w:val="0"/>
              <w:bidi w:val="0"/>
              <w:adjustRightInd/>
              <w:snapToGrid/>
              <w:spacing w:line="44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▲2、质量要求</w:t>
            </w:r>
          </w:p>
          <w:p w14:paraId="461F8335">
            <w:pPr>
              <w:keepNext w:val="0"/>
              <w:keepLines w:val="0"/>
              <w:pageBreakBefore w:val="0"/>
              <w:widowControl w:val="0"/>
              <w:kinsoku/>
              <w:wordWrap/>
              <w:overflowPunct/>
              <w:topLinePunct w:val="0"/>
              <w:autoSpaceDE w:val="0"/>
              <w:autoSpaceDN w:val="0"/>
              <w:bidi w:val="0"/>
              <w:adjustRightInd/>
              <w:snapToGrid/>
              <w:spacing w:line="44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（1）保证生产日期新鲜且符合食品安全国家标准和《食品安全法》要求，具有生产许可证编号或具有“SC”食品生产许可证编号。</w:t>
            </w:r>
          </w:p>
          <w:p w14:paraId="3BE640EC">
            <w:pPr>
              <w:keepNext w:val="0"/>
              <w:keepLines w:val="0"/>
              <w:pageBreakBefore w:val="0"/>
              <w:widowControl w:val="0"/>
              <w:kinsoku/>
              <w:wordWrap/>
              <w:overflowPunct/>
              <w:topLinePunct w:val="0"/>
              <w:autoSpaceDE w:val="0"/>
              <w:autoSpaceDN w:val="0"/>
              <w:bidi w:val="0"/>
              <w:adjustRightInd/>
              <w:snapToGrid/>
              <w:spacing w:line="44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生产厂家具有食品有效生产资质；符合相应食品类别的执行标准或企业标准；保证新鲜且符合《中华人民共和国食品安全法》要求；预包装食品，标签符合《中华人民共和国食品安全法》第六十七条规定标明内容；包装用密封性能好、无毒、无害塑料编织袋（直接接触食品的包装必须为食品级），包装的正面需印有供货企业名称、地址、联系电话、保质期及生产日期等字样，外包装必须符合《食品安全法》的相关规定，产品要求为即产即销。</w:t>
            </w:r>
          </w:p>
          <w:p w14:paraId="12B10BC2">
            <w:pPr>
              <w:keepNext w:val="0"/>
              <w:keepLines w:val="0"/>
              <w:pageBreakBefore w:val="0"/>
              <w:widowControl w:val="0"/>
              <w:kinsoku/>
              <w:wordWrap/>
              <w:overflowPunct/>
              <w:topLinePunct w:val="0"/>
              <w:autoSpaceDE w:val="0"/>
              <w:autoSpaceDN w:val="0"/>
              <w:bidi w:val="0"/>
              <w:adjustRightInd/>
              <w:snapToGrid/>
              <w:spacing w:line="440" w:lineRule="exact"/>
              <w:ind w:firstLine="420" w:firstLineChars="200"/>
              <w:jc w:val="both"/>
              <w:textAlignment w:val="auto"/>
              <w:rPr>
                <w:rFonts w:hint="eastAsia" w:ascii="宋体" w:hAnsi="宋体" w:eastAsia="宋体" w:cs="宋体"/>
                <w:bCs/>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highlight w:val="none"/>
                <w:lang w:eastAsia="zh-CN"/>
              </w:rPr>
              <w:t>湿</w:t>
            </w:r>
            <w:r>
              <w:rPr>
                <w:rFonts w:hint="eastAsia" w:ascii="宋体" w:hAnsi="宋体" w:eastAsia="宋体" w:cs="宋体"/>
                <w:bCs/>
                <w:color w:val="auto"/>
                <w:szCs w:val="21"/>
                <w:highlight w:val="none"/>
              </w:rPr>
              <w:t>（河）</w:t>
            </w:r>
            <w:r>
              <w:rPr>
                <w:rFonts w:hint="eastAsia" w:ascii="宋体" w:hAnsi="宋体" w:eastAsia="宋体" w:cs="宋体"/>
                <w:highlight w:val="none"/>
                <w:lang w:eastAsia="zh-CN"/>
              </w:rPr>
              <w:t>粉</w:t>
            </w:r>
            <w:r>
              <w:rPr>
                <w:rFonts w:hint="eastAsia" w:ascii="宋体" w:hAnsi="宋体" w:eastAsia="宋体" w:cs="宋体"/>
                <w:bCs/>
                <w:color w:val="auto"/>
                <w:szCs w:val="21"/>
                <w:highlight w:val="none"/>
              </w:rPr>
              <w:t>必须是当天或前一天生产的产品，湿（河）粉等供应的必须是24小时内生产的产品。生产厂家具有食品生产许可证或小作坊登记证；符合相应食品类别的执行标准或企业标准。</w:t>
            </w:r>
          </w:p>
          <w:p w14:paraId="44B821E3">
            <w:pPr>
              <w:keepNext w:val="0"/>
              <w:keepLines w:val="0"/>
              <w:pageBreakBefore w:val="0"/>
              <w:widowControl w:val="0"/>
              <w:kinsoku/>
              <w:wordWrap/>
              <w:overflowPunct/>
              <w:topLinePunct w:val="0"/>
              <w:autoSpaceDE w:val="0"/>
              <w:autoSpaceDN w:val="0"/>
              <w:bidi w:val="0"/>
              <w:adjustRightInd/>
              <w:snapToGrid/>
              <w:spacing w:line="44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lang w:val="en-US" w:eastAsia="zh-CN"/>
              </w:rPr>
              <w:t>4</w:t>
            </w:r>
            <w:r>
              <w:rPr>
                <w:rFonts w:hint="eastAsia" w:ascii="宋体" w:hAnsi="宋体" w:eastAsia="宋体" w:cs="宋体"/>
                <w:bCs/>
                <w:color w:val="auto"/>
                <w:szCs w:val="21"/>
                <w:highlight w:val="none"/>
                <w:lang w:eastAsia="zh-CN"/>
              </w:rPr>
              <w:t>）</w:t>
            </w:r>
            <w:r>
              <w:rPr>
                <w:rFonts w:hint="eastAsia" w:ascii="宋体" w:hAnsi="宋体" w:eastAsia="宋体" w:cs="宋体"/>
                <w:color w:val="auto"/>
                <w:szCs w:val="21"/>
                <w:highlight w:val="none"/>
                <w:lang w:val="en-US" w:eastAsia="zh-CN"/>
              </w:rPr>
              <w:t>保质期：达到国家规定要求，供货时的剩余保存期时间不得少于保质期的四分之三。</w:t>
            </w:r>
          </w:p>
        </w:tc>
      </w:tr>
      <w:tr w14:paraId="16855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noWrap w:val="0"/>
            <w:vAlign w:val="center"/>
          </w:tcPr>
          <w:p w14:paraId="574881D2">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水果类</w:t>
            </w:r>
          </w:p>
        </w:tc>
        <w:tc>
          <w:tcPr>
            <w:tcW w:w="7906" w:type="dxa"/>
            <w:noWrap w:val="0"/>
            <w:vAlign w:val="center"/>
          </w:tcPr>
          <w:p w14:paraId="394B98F8">
            <w:pPr>
              <w:keepNext w:val="0"/>
              <w:keepLines w:val="0"/>
              <w:pageBreakBefore w:val="0"/>
              <w:widowControl w:val="0"/>
              <w:kinsoku/>
              <w:wordWrap/>
              <w:overflowPunct/>
              <w:topLinePunct w:val="0"/>
              <w:autoSpaceDE w:val="0"/>
              <w:autoSpaceDN w:val="0"/>
              <w:bidi w:val="0"/>
              <w:adjustRightInd/>
              <w:snapToGrid/>
              <w:spacing w:line="44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1、采购需求</w:t>
            </w:r>
          </w:p>
          <w:p w14:paraId="50E5226D">
            <w:pPr>
              <w:keepNext w:val="0"/>
              <w:keepLines w:val="0"/>
              <w:pageBreakBefore w:val="0"/>
              <w:widowControl w:val="0"/>
              <w:kinsoku/>
              <w:wordWrap/>
              <w:overflowPunct/>
              <w:topLinePunct w:val="0"/>
              <w:autoSpaceDE w:val="0"/>
              <w:autoSpaceDN w:val="0"/>
              <w:bidi w:val="0"/>
              <w:adjustRightInd/>
              <w:snapToGrid/>
              <w:spacing w:line="44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（1）实行每日采购，供应商每日应按采购单位的货物请购清单提供相应数量的货物。</w:t>
            </w:r>
          </w:p>
          <w:p w14:paraId="6508A110">
            <w:pPr>
              <w:keepNext w:val="0"/>
              <w:keepLines w:val="0"/>
              <w:pageBreakBefore w:val="0"/>
              <w:widowControl w:val="0"/>
              <w:kinsoku/>
              <w:wordWrap/>
              <w:overflowPunct/>
              <w:topLinePunct w:val="0"/>
              <w:autoSpaceDE w:val="0"/>
              <w:autoSpaceDN w:val="0"/>
              <w:bidi w:val="0"/>
              <w:adjustRightInd/>
              <w:snapToGrid/>
              <w:spacing w:line="44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（2）结算时按实际采购数量结算。</w:t>
            </w:r>
          </w:p>
          <w:p w14:paraId="686C4A87">
            <w:pPr>
              <w:keepNext w:val="0"/>
              <w:keepLines w:val="0"/>
              <w:pageBreakBefore w:val="0"/>
              <w:widowControl w:val="0"/>
              <w:kinsoku/>
              <w:wordWrap/>
              <w:overflowPunct/>
              <w:topLinePunct w:val="0"/>
              <w:autoSpaceDE w:val="0"/>
              <w:autoSpaceDN w:val="0"/>
              <w:bidi w:val="0"/>
              <w:adjustRightInd/>
              <w:snapToGrid/>
              <w:spacing w:line="44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▲2、质量要求</w:t>
            </w:r>
          </w:p>
          <w:p w14:paraId="305CF89F">
            <w:pPr>
              <w:keepNext w:val="0"/>
              <w:keepLines w:val="0"/>
              <w:pageBreakBefore w:val="0"/>
              <w:widowControl w:val="0"/>
              <w:kinsoku/>
              <w:wordWrap/>
              <w:overflowPunct/>
              <w:topLinePunct w:val="0"/>
              <w:autoSpaceDE/>
              <w:autoSpaceDN/>
              <w:bidi w:val="0"/>
              <w:adjustRightInd/>
              <w:snapToGrid/>
              <w:spacing w:line="440" w:lineRule="exact"/>
              <w:ind w:right="0" w:rightChars="0" w:firstLine="420" w:firstLineChars="200"/>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包装上要注明商品名称，生产企业名称，产地，生产日期，保质期，联系电话，重量等内容。水果外表光亮无斑点，新鲜，清洁，形状正常，大小均匀，成熟度适中，无软皮，无腐烂，无污染异味，无病虫损害，通过检测农药残留含量不超过食品安全标准限量，且符合现行《食用农产品市场销售质量安全监督管理办法》的要求。尽量采用当地时令新鲜水果。水果可食用率必须达 95%以上。</w:t>
            </w:r>
          </w:p>
        </w:tc>
      </w:tr>
    </w:tbl>
    <w:p w14:paraId="477907AA">
      <w:pPr>
        <w:rPr>
          <w:rFonts w:hint="eastAsia" w:ascii="宋体" w:hAnsi="宋体" w:cs="宋体"/>
          <w:b/>
          <w:bCs/>
          <w:color w:val="auto"/>
          <w:sz w:val="32"/>
          <w:szCs w:val="32"/>
          <w:highlight w:val="none"/>
          <w:lang w:val="en-US" w:eastAsia="zh-CN"/>
        </w:rPr>
      </w:pPr>
      <w:r>
        <w:rPr>
          <w:rFonts w:hint="eastAsia" w:ascii="宋体" w:hAnsi="宋体" w:cs="宋体"/>
          <w:b/>
          <w:bCs/>
          <w:color w:val="auto"/>
          <w:sz w:val="32"/>
          <w:szCs w:val="32"/>
          <w:highlight w:val="none"/>
          <w:lang w:val="en-US" w:eastAsia="zh-CN"/>
        </w:rPr>
        <w:br w:type="page"/>
      </w:r>
    </w:p>
    <w:p w14:paraId="17C1DA6F">
      <w:pPr>
        <w:numPr>
          <w:ilvl w:val="0"/>
          <w:numId w:val="2"/>
        </w:numPr>
        <w:spacing w:line="480" w:lineRule="auto"/>
        <w:rPr>
          <w:rFonts w:hint="eastAsia" w:ascii="Times New Roman" w:hAnsi="Times New Roman" w:eastAsia="宋体" w:cs="Times New Roman"/>
          <w:b/>
          <w:color w:val="auto"/>
          <w:sz w:val="30"/>
          <w:szCs w:val="30"/>
          <w:highlight w:val="none"/>
          <w:lang w:val="en-US" w:eastAsia="zh-CN"/>
        </w:rPr>
      </w:pPr>
      <w:r>
        <w:rPr>
          <w:rFonts w:hint="eastAsia" w:ascii="Times New Roman" w:hAnsi="Times New Roman" w:eastAsia="宋体" w:cs="Times New Roman"/>
          <w:b/>
          <w:color w:val="auto"/>
          <w:sz w:val="30"/>
          <w:szCs w:val="30"/>
          <w:highlight w:val="none"/>
          <w:lang w:val="en-US" w:eastAsia="zh-CN"/>
        </w:rPr>
        <w:t>商务条款</w:t>
      </w:r>
    </w:p>
    <w:tbl>
      <w:tblPr>
        <w:tblStyle w:val="28"/>
        <w:tblW w:w="0" w:type="auto"/>
        <w:tblInd w:w="3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7"/>
        <w:gridCol w:w="6968"/>
      </w:tblGrid>
      <w:tr w14:paraId="173E8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tcPr>
          <w:p w14:paraId="5EA3219A">
            <w:pPr>
              <w:numPr>
                <w:ilvl w:val="0"/>
                <w:numId w:val="0"/>
              </w:numPr>
              <w:spacing w:line="480" w:lineRule="auto"/>
              <w:rPr>
                <w:rFonts w:hint="eastAsia" w:ascii="Times New Roman" w:hAnsi="Times New Roman" w:eastAsia="宋体" w:cs="Times New Roman"/>
                <w:b/>
                <w:color w:val="auto"/>
                <w:sz w:val="30"/>
                <w:szCs w:val="30"/>
                <w:highlight w:val="none"/>
                <w:vertAlign w:val="baseline"/>
                <w:lang w:val="en-US" w:eastAsia="zh-CN"/>
              </w:rPr>
            </w:pPr>
            <w:r>
              <w:rPr>
                <w:rFonts w:hint="eastAsia" w:ascii="Times New Roman" w:hAnsi="Times New Roman" w:eastAsia="宋体" w:cs="Times New Roman"/>
                <w:b/>
                <w:color w:val="auto"/>
                <w:sz w:val="21"/>
                <w:szCs w:val="21"/>
                <w:highlight w:val="none"/>
                <w:vertAlign w:val="baseline"/>
                <w:lang w:val="en-US" w:eastAsia="zh-CN"/>
              </w:rPr>
              <w:t>（一）服务总体要求</w:t>
            </w:r>
          </w:p>
        </w:tc>
        <w:tc>
          <w:tcPr>
            <w:tcW w:w="6968" w:type="dxa"/>
          </w:tcPr>
          <w:p w14:paraId="078985FC">
            <w:pPr>
              <w:keepNext w:val="0"/>
              <w:keepLines w:val="0"/>
              <w:pageBreakBefore w:val="0"/>
              <w:widowControl w:val="0"/>
              <w:kinsoku/>
              <w:wordWrap/>
              <w:overflowPunct/>
              <w:topLinePunct w:val="0"/>
              <w:autoSpaceDE/>
              <w:autoSpaceDN/>
              <w:bidi w:val="0"/>
              <w:adjustRightInd w:val="0"/>
              <w:snapToGrid/>
              <w:spacing w:line="440" w:lineRule="exact"/>
              <w:ind w:firstLine="420" w:firstLineChars="200"/>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1、供货服务</w:t>
            </w:r>
            <w:r>
              <w:rPr>
                <w:rFonts w:hint="eastAsia"/>
                <w:color w:val="auto"/>
                <w:highlight w:val="none"/>
              </w:rPr>
              <w:t>对象：</w:t>
            </w:r>
            <w:r>
              <w:rPr>
                <w:rFonts w:hint="eastAsia"/>
                <w:color w:val="auto"/>
                <w:highlight w:val="none"/>
                <w:lang w:val="en-US" w:eastAsia="zh-CN"/>
              </w:rPr>
              <w:t>桂平市西山镇中心小学、桂平市西山镇厢东小学、桂平市西山镇城南小学、桂平市西山镇城西小学、桂平市西山镇思灵小学、桂平市西山镇新岗小学、桂平市西山镇岭头中心小学、桂平市西山镇岭头中心小学莲塘分校、桂平市西山镇大起小学、桂平市西山镇大起小学施村分校、桂平市西山镇白兰小学、桂平市西山镇永培小学、桂平市西山镇永培小学全村分校、桂平市西山镇永培小学永江分校、桂平市西山镇永培小学永扬分校、桂平市西山镇中心幼儿园、桂平市西山镇中心幼儿园思灵分园、桂平市西山镇中心幼儿园城西分园。</w:t>
            </w:r>
          </w:p>
          <w:p w14:paraId="4022503B">
            <w:pPr>
              <w:keepNext w:val="0"/>
              <w:keepLines w:val="0"/>
              <w:pageBreakBefore w:val="0"/>
              <w:widowControl w:val="0"/>
              <w:kinsoku/>
              <w:wordWrap/>
              <w:overflowPunct/>
              <w:topLinePunct w:val="0"/>
              <w:autoSpaceDE/>
              <w:autoSpaceDN/>
              <w:bidi w:val="0"/>
              <w:adjustRightInd w:val="0"/>
              <w:snapToGrid/>
              <w:spacing w:line="440" w:lineRule="exact"/>
              <w:ind w:firstLine="422" w:firstLineChars="200"/>
              <w:textAlignment w:val="auto"/>
              <w:rPr>
                <w:rFonts w:hint="default"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严禁配送预制菜，中标企业</w:t>
            </w:r>
            <w:r>
              <w:rPr>
                <w:rFonts w:hint="eastAsia"/>
                <w:b/>
                <w:bCs/>
                <w:highlight w:val="none"/>
                <w:lang w:eastAsia="zh-CN"/>
              </w:rPr>
              <w:t>中标后</w:t>
            </w:r>
            <w:r>
              <w:rPr>
                <w:rFonts w:hint="eastAsia" w:ascii="宋体" w:hAnsi="宋体" w:cs="宋体"/>
                <w:b/>
                <w:bCs/>
                <w:color w:val="auto"/>
                <w:szCs w:val="21"/>
                <w:highlight w:val="none"/>
                <w:lang w:val="en-US" w:eastAsia="zh-CN"/>
              </w:rPr>
              <w:t>建设统一配送中心和全链条可溯源信息化监管系统。</w:t>
            </w:r>
          </w:p>
          <w:p w14:paraId="6540BE75">
            <w:pPr>
              <w:keepNext w:val="0"/>
              <w:keepLines w:val="0"/>
              <w:pageBreakBefore w:val="0"/>
              <w:widowControl w:val="0"/>
              <w:numPr>
                <w:ilvl w:val="0"/>
                <w:numId w:val="3"/>
              </w:numPr>
              <w:kinsoku/>
              <w:wordWrap/>
              <w:overflowPunct/>
              <w:topLinePunct w:val="0"/>
              <w:autoSpaceDE/>
              <w:autoSpaceDN/>
              <w:bidi w:val="0"/>
              <w:snapToGrid/>
              <w:spacing w:line="440" w:lineRule="exact"/>
              <w:ind w:firstLine="420" w:firstLineChars="200"/>
              <w:textAlignment w:val="auto"/>
              <w:rPr>
                <w:color w:val="auto"/>
                <w:highlight w:val="none"/>
              </w:rPr>
            </w:pPr>
            <w:r>
              <w:rPr>
                <w:rFonts w:hint="eastAsia"/>
                <w:color w:val="auto"/>
                <w:highlight w:val="none"/>
              </w:rPr>
              <w:t>采购量：实际数量以采购单位根据实际需要为准，结算时按实际采购数量结算。中标供应商不得因实际供应量与中标数量不一致提出异议。</w:t>
            </w:r>
          </w:p>
          <w:p w14:paraId="2816AA93">
            <w:pPr>
              <w:keepNext w:val="0"/>
              <w:keepLines w:val="0"/>
              <w:pageBreakBefore w:val="0"/>
              <w:widowControl w:val="0"/>
              <w:kinsoku/>
              <w:wordWrap/>
              <w:overflowPunct/>
              <w:topLinePunct w:val="0"/>
              <w:autoSpaceDE/>
              <w:autoSpaceDN/>
              <w:bidi w:val="0"/>
              <w:snapToGrid/>
              <w:spacing w:line="440" w:lineRule="exact"/>
              <w:ind w:firstLine="420" w:firstLineChars="200"/>
              <w:textAlignment w:val="auto"/>
              <w:rPr>
                <w:b w:val="0"/>
                <w:bCs w:val="0"/>
                <w:color w:val="auto"/>
                <w:highlight w:val="none"/>
              </w:rPr>
            </w:pPr>
            <w:r>
              <w:rPr>
                <w:rFonts w:hint="eastAsia"/>
                <w:b w:val="0"/>
                <w:bCs w:val="0"/>
                <w:color w:val="auto"/>
                <w:highlight w:val="none"/>
              </w:rPr>
              <w:t>3、中标人不得将中标货物转包或分包给第三方，采购单位发现的有权单方终止合同。由此产生的一切经济损失由中标人自行承担。</w:t>
            </w:r>
          </w:p>
          <w:p w14:paraId="3011DE24">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4、中标人在合同履行期间保证对采购单位的货物供应，中标后不得拒绝采购单位分配的任务。中标人在服务期内没能达到投标文件承诺的服务要求的，中标人未按要求履行协议义务的或中标人的资质在服务期内发生变化不再符合要求的，采购单位均有权单方终止合同，由此产生的一切经济损失由中标人自行承担。</w:t>
            </w:r>
          </w:p>
          <w:p w14:paraId="5004CF04">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5、中标人必须遵守国家的法律法规及采购单位的规章制度。中标人（包括送货人员）必须服从采购单位的监督、管理。进入校园出现与学生私自接触、捎带物品和利益交易等违规行为的，直接终止合同，并追究供应商相关责任。</w:t>
            </w:r>
          </w:p>
          <w:p w14:paraId="5DE03333">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6、中标人应保证所提供的产品必须是合格安全的产品，供应的货物因产品质量问题造成食品安全事故的，直接取消供应商的供货资格，由供应商承担全部经济赔偿责任及其他法律责任。</w:t>
            </w:r>
          </w:p>
          <w:p w14:paraId="2823E47E">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7、中标人提供符合工商食卫等部门的有效证明材料。如有效的营业执照、产品合格证、食品原材料采购供应渠道等。建立完备的冷藏、分割、包装、检测、留样、监控系统。</w:t>
            </w:r>
          </w:p>
          <w:p w14:paraId="6E5683AA">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8、中标人配送的食品应严格遵循健康原则，确保所有产品避免“三高”：即高油脂、高盐分、高糖分的成分添加；不得使用深加工食品，以提供更为健康、均衡的饮食选择。</w:t>
            </w:r>
          </w:p>
          <w:p w14:paraId="3BE64B76">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9、由于项目资金发生不可预见的调整，存在可能引发项目被迫中止的风险，鉴于此情况，所有因此而产生的风险、损失及后果，将由中标人一方独立承担。</w:t>
            </w:r>
          </w:p>
          <w:p w14:paraId="2AB5D95C">
            <w:pPr>
              <w:spacing w:line="440" w:lineRule="exact"/>
              <w:ind w:firstLine="420" w:firstLineChars="200"/>
              <w:rPr>
                <w:rFonts w:hint="eastAsia"/>
                <w:color w:val="auto"/>
                <w:highlight w:val="none"/>
                <w:lang w:val="en-US" w:eastAsia="zh-CN"/>
              </w:rPr>
            </w:pPr>
            <w:r>
              <w:rPr>
                <w:rFonts w:hint="eastAsia" w:ascii="宋体" w:hAnsi="宋体" w:cs="宋体"/>
                <w:b w:val="0"/>
                <w:bCs w:val="0"/>
                <w:color w:val="auto"/>
                <w:highlight w:val="none"/>
                <w:lang w:val="en-US" w:eastAsia="zh-CN"/>
              </w:rPr>
              <w:t>10、</w:t>
            </w:r>
            <w:r>
              <w:rPr>
                <w:rFonts w:hint="eastAsia"/>
                <w:color w:val="auto"/>
                <w:highlight w:val="none"/>
                <w:lang w:val="en-US" w:eastAsia="zh-CN"/>
              </w:rPr>
              <w:t>为保障食材供应安全、及时，供应商必须承诺中标前或中标后在桂平市区域范围内建立配送点进行配送，配送点在桂平区域范围内，投标文件中提供承诺函（格式自拟，必须提供）。</w:t>
            </w:r>
          </w:p>
          <w:p w14:paraId="7C05AAAC">
            <w:pPr>
              <w:spacing w:line="440" w:lineRule="exact"/>
              <w:ind w:firstLine="420" w:firstLineChars="200"/>
              <w:rPr>
                <w:rFonts w:hint="eastAsia" w:ascii="Times New Roman" w:hAnsi="Times New Roman" w:eastAsia="宋体" w:cs="Times New Roman"/>
                <w:b/>
                <w:color w:val="auto"/>
                <w:sz w:val="30"/>
                <w:szCs w:val="30"/>
                <w:highlight w:val="none"/>
                <w:vertAlign w:val="baseline"/>
                <w:lang w:val="en-US" w:eastAsia="zh-CN"/>
              </w:rPr>
            </w:pPr>
            <w:r>
              <w:rPr>
                <w:rFonts w:hint="eastAsia"/>
                <w:color w:val="auto"/>
                <w:highlight w:val="none"/>
                <w:lang w:val="en-US" w:eastAsia="zh-CN"/>
              </w:rPr>
              <w:t>承诺函内容包含但不限于以下内容：（1）为保证食材供应安全，及时，要求投标人在项目当地投入一定的配送场所【包括食品仓库、冷藏室</w:t>
            </w:r>
            <w:r>
              <w:rPr>
                <w:rFonts w:hint="eastAsia" w:ascii="宋体" w:hAnsi="宋体" w:eastAsia="宋体" w:cs="宋体"/>
                <w:b w:val="0"/>
                <w:bCs w:val="0"/>
                <w:color w:val="auto"/>
                <w:szCs w:val="21"/>
                <w:highlight w:val="none"/>
                <w:shd w:val="clear" w:color="auto" w:fill="auto"/>
                <w:lang w:val="en-US" w:eastAsia="zh-CN"/>
              </w:rPr>
              <w:t>（含冷冻室）</w:t>
            </w:r>
            <w:r>
              <w:rPr>
                <w:rFonts w:hint="eastAsia"/>
                <w:color w:val="auto"/>
                <w:highlight w:val="none"/>
                <w:lang w:val="en-US" w:eastAsia="zh-CN"/>
              </w:rPr>
              <w:t>、快检室等】、车辆和人员，承诺中标前或中标后50日内在桂平区域设有与配送业务相适应的配送场所。配送场所配备的条件须与评标标准得分一致【可全程电子监控的“配送厢式冷藏专用车”、足够的正式员工、仓库、分拣储备场地、冷藏室（含冷冻室）及其它履行合同能力的设备设施】。（2）接受桂平市教育局、市场监督管理局等相关部门监督，执行贵港市教育局、贵港市市场监督管理局关于《印发贵港市中小学食材配送供应商准入和退出条件》的通知贵教通【2024】22号的规定。（3）若中标企业未在规定时间内建成配送场所或设备设施达不到要求的，导致采购单位无法现场核验或现场检验不达标的，采购单位有权上报监督部门取消其供货资格，由下一个中标候选人递补上来，以此类推。</w:t>
            </w:r>
          </w:p>
        </w:tc>
      </w:tr>
      <w:tr w14:paraId="1FADE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tcPr>
          <w:p w14:paraId="598E5326">
            <w:pPr>
              <w:numPr>
                <w:ilvl w:val="0"/>
                <w:numId w:val="0"/>
              </w:numPr>
              <w:spacing w:line="480" w:lineRule="auto"/>
              <w:rPr>
                <w:rFonts w:hint="eastAsia" w:ascii="Times New Roman" w:hAnsi="Times New Roman" w:eastAsia="宋体" w:cs="Times New Roman"/>
                <w:b/>
                <w:color w:val="auto"/>
                <w:sz w:val="21"/>
                <w:szCs w:val="21"/>
                <w:highlight w:val="none"/>
                <w:vertAlign w:val="baseline"/>
                <w:lang w:val="en-US" w:eastAsia="zh-CN"/>
              </w:rPr>
            </w:pPr>
            <w:r>
              <w:rPr>
                <w:rFonts w:hint="eastAsia" w:ascii="Times New Roman" w:hAnsi="Times New Roman" w:eastAsia="宋体" w:cs="Times New Roman"/>
                <w:b/>
                <w:color w:val="auto"/>
                <w:sz w:val="21"/>
                <w:szCs w:val="21"/>
                <w:highlight w:val="none"/>
                <w:vertAlign w:val="baseline"/>
                <w:lang w:val="en-US" w:eastAsia="zh-CN"/>
              </w:rPr>
              <w:t>（二）供应价格要求</w:t>
            </w:r>
          </w:p>
          <w:p w14:paraId="394A7298">
            <w:pPr>
              <w:numPr>
                <w:ilvl w:val="0"/>
                <w:numId w:val="0"/>
              </w:numPr>
              <w:spacing w:line="480" w:lineRule="auto"/>
              <w:rPr>
                <w:rFonts w:hint="eastAsia" w:ascii="Times New Roman" w:hAnsi="Times New Roman" w:eastAsia="宋体" w:cs="Times New Roman"/>
                <w:b/>
                <w:color w:val="auto"/>
                <w:sz w:val="30"/>
                <w:szCs w:val="30"/>
                <w:highlight w:val="none"/>
                <w:vertAlign w:val="baseline"/>
                <w:lang w:val="en-US" w:eastAsia="zh-CN"/>
              </w:rPr>
            </w:pPr>
          </w:p>
        </w:tc>
        <w:tc>
          <w:tcPr>
            <w:tcW w:w="6968" w:type="dxa"/>
          </w:tcPr>
          <w:p w14:paraId="5C871E79">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1</w:t>
            </w:r>
            <w:r>
              <w:rPr>
                <w:rFonts w:hint="eastAsia" w:ascii="宋体" w:hAnsi="宋体" w:eastAsia="宋体" w:cs="宋体"/>
                <w:color w:val="auto"/>
                <w:highlight w:val="none"/>
                <w:lang w:val="en-US" w:eastAsia="zh-CN"/>
              </w:rPr>
              <w:t>、供应商投标报价采用折扣率报价（以%表示，折扣率报价精确到个位数）。投标报价范围：≤100%（如：供货产品打八折即投标折扣率为80%，以此类推），否则，作无效报价处理。</w:t>
            </w:r>
          </w:p>
          <w:p w14:paraId="517FE723">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2</w:t>
            </w:r>
            <w:r>
              <w:rPr>
                <w:rFonts w:hint="eastAsia" w:ascii="宋体" w:hAnsi="宋体" w:eastAsia="宋体" w:cs="宋体"/>
                <w:color w:val="auto"/>
                <w:highlight w:val="none"/>
                <w:lang w:val="en-US" w:eastAsia="zh-CN"/>
              </w:rPr>
              <w:t>、供货价格须包含提供食品原材料的成本、生产、检验检测、包装、运输、仓储、配送、服务、利润、税金、政策性规费、保险、劳保等一切相关费用。所产生的费用由中标人负责。</w:t>
            </w:r>
          </w:p>
          <w:p w14:paraId="49ABDFF9">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default"/>
                <w:color w:val="auto"/>
                <w:highlight w:val="none"/>
                <w:lang w:val="en-US" w:eastAsia="zh-CN"/>
              </w:rPr>
            </w:pPr>
            <w:r>
              <w:rPr>
                <w:rFonts w:hint="eastAsia" w:ascii="宋体" w:hAnsi="宋体" w:cs="宋体"/>
                <w:b w:val="0"/>
                <w:bCs w:val="0"/>
                <w:color w:val="auto"/>
                <w:highlight w:val="none"/>
                <w:lang w:val="en-US" w:eastAsia="zh-CN"/>
              </w:rPr>
              <w:t>3</w:t>
            </w:r>
            <w:r>
              <w:rPr>
                <w:rFonts w:hint="eastAsia" w:ascii="宋体" w:hAnsi="宋体" w:eastAsia="宋体" w:cs="宋体"/>
                <w:b w:val="0"/>
                <w:bCs w:val="0"/>
                <w:color w:val="auto"/>
                <w:highlight w:val="none"/>
                <w:lang w:val="en-US" w:eastAsia="zh-CN"/>
              </w:rPr>
              <w:t>.</w:t>
            </w:r>
            <w:r>
              <w:rPr>
                <w:rFonts w:hint="eastAsia" w:ascii="宋体" w:hAnsi="宋体" w:cs="宋体"/>
                <w:b w:val="0"/>
                <w:bCs w:val="0"/>
                <w:color w:val="auto"/>
                <w:highlight w:val="none"/>
                <w:lang w:val="en-US" w:eastAsia="zh-CN"/>
              </w:rPr>
              <w:t>定价周期为1个月，所有食品原材料价格由学校采购代表询价协商确定。先由供应商报价，学校采购代表到桂平市农贸市场或超市询价，参加询价的学校采购代表和供应商进行议价，确定价格基准价，基准价不能高于市场上的最高价，如果价格不能协商确定的，供应商暂停供应该食材，学校启动应急采购预案，从其他中标商或具有保证食品安全的供应商采购。</w:t>
            </w:r>
          </w:p>
          <w:p w14:paraId="4489AA2F">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Times New Roman" w:hAnsi="Times New Roman" w:eastAsia="宋体" w:cs="Times New Roman"/>
                <w:b/>
                <w:color w:val="auto"/>
                <w:sz w:val="30"/>
                <w:szCs w:val="30"/>
                <w:highlight w:val="none"/>
                <w:vertAlign w:val="baseline"/>
                <w:lang w:val="en-US" w:eastAsia="zh-CN"/>
              </w:rPr>
            </w:pPr>
            <w:r>
              <w:rPr>
                <w:rFonts w:hint="eastAsia" w:ascii="宋体" w:hAnsi="宋体" w:cs="宋体"/>
                <w:b w:val="0"/>
                <w:bCs w:val="0"/>
                <w:color w:val="auto"/>
                <w:highlight w:val="none"/>
                <w:lang w:val="en-US" w:eastAsia="zh-CN"/>
              </w:rPr>
              <w:t>4</w:t>
            </w:r>
            <w:r>
              <w:rPr>
                <w:rFonts w:hint="eastAsia" w:ascii="宋体" w:hAnsi="宋体" w:eastAsia="宋体" w:cs="宋体"/>
                <w:b w:val="0"/>
                <w:bCs w:val="0"/>
                <w:color w:val="auto"/>
                <w:highlight w:val="none"/>
                <w:lang w:val="en-US" w:eastAsia="zh-CN"/>
              </w:rPr>
              <w:t>.基准价设定为X，签订的合同折扣率设定为Y%，则该原料供货单价为 X×Y%（</w:t>
            </w:r>
            <w:r>
              <w:rPr>
                <w:rFonts w:hint="eastAsia" w:ascii="宋体" w:hAnsi="宋体" w:eastAsia="宋体" w:cs="宋体"/>
                <w:b/>
                <w:bCs/>
                <w:color w:val="auto"/>
                <w:highlight w:val="none"/>
                <w:lang w:val="en-US" w:eastAsia="zh-CN"/>
              </w:rPr>
              <w:t>例如：市场零售价 X＝100 元，合同折扣率 Y%=97%，该原料供货单价=100×0.97＝97元</w:t>
            </w:r>
            <w:r>
              <w:rPr>
                <w:rFonts w:hint="eastAsia" w:ascii="宋体" w:hAnsi="宋体" w:eastAsia="宋体" w:cs="宋体"/>
                <w:b w:val="0"/>
                <w:bCs w:val="0"/>
                <w:color w:val="auto"/>
                <w:highlight w:val="none"/>
                <w:lang w:val="en-US" w:eastAsia="zh-CN"/>
              </w:rPr>
              <w:t>），不认可该供货价的投标人视为自动放弃中标权利，由下一中标候选人递补。</w:t>
            </w:r>
          </w:p>
        </w:tc>
      </w:tr>
      <w:tr w14:paraId="7505C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tcPr>
          <w:p w14:paraId="5FDDE2CB">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（三）货款结算及付款方式</w:t>
            </w:r>
          </w:p>
          <w:p w14:paraId="21C2A276">
            <w:pPr>
              <w:numPr>
                <w:ilvl w:val="0"/>
                <w:numId w:val="0"/>
              </w:numPr>
              <w:spacing w:line="480" w:lineRule="auto"/>
              <w:rPr>
                <w:rFonts w:hint="eastAsia" w:ascii="Times New Roman" w:hAnsi="Times New Roman" w:eastAsia="宋体" w:cs="Times New Roman"/>
                <w:b/>
                <w:color w:val="auto"/>
                <w:sz w:val="30"/>
                <w:szCs w:val="30"/>
                <w:highlight w:val="none"/>
                <w:vertAlign w:val="baseline"/>
                <w:lang w:val="en-US" w:eastAsia="zh-CN"/>
              </w:rPr>
            </w:pPr>
          </w:p>
        </w:tc>
        <w:tc>
          <w:tcPr>
            <w:tcW w:w="6968" w:type="dxa"/>
          </w:tcPr>
          <w:p w14:paraId="71E0E393">
            <w:pPr>
              <w:keepNext w:val="0"/>
              <w:keepLines w:val="0"/>
              <w:pageBreakBefore w:val="0"/>
              <w:widowControl w:val="0"/>
              <w:kinsoku/>
              <w:wordWrap/>
              <w:overflowPunct/>
              <w:topLinePunct w:val="0"/>
              <w:autoSpaceDE/>
              <w:autoSpaceDN/>
              <w:bidi w:val="0"/>
              <w:snapToGrid/>
              <w:spacing w:line="440" w:lineRule="exact"/>
              <w:textAlignment w:val="auto"/>
              <w:rPr>
                <w:rFonts w:hint="eastAsia" w:ascii="Times New Roman" w:hAnsi="Times New Roman" w:eastAsia="宋体" w:cs="Times New Roman"/>
                <w:b/>
                <w:color w:val="auto"/>
                <w:sz w:val="30"/>
                <w:szCs w:val="30"/>
                <w:highlight w:val="none"/>
                <w:vertAlign w:val="baseline"/>
                <w:lang w:val="en-US" w:eastAsia="zh-CN"/>
              </w:rPr>
            </w:pPr>
            <w:r>
              <w:rPr>
                <w:rFonts w:hint="eastAsia"/>
                <w:b w:val="0"/>
                <w:bCs/>
                <w:color w:val="auto"/>
                <w:highlight w:val="none"/>
                <w:lang w:val="en-US" w:eastAsia="zh-CN"/>
              </w:rPr>
              <w:t>一</w:t>
            </w:r>
            <w:r>
              <w:rPr>
                <w:rFonts w:hint="eastAsia"/>
                <w:b w:val="0"/>
                <w:bCs/>
                <w:color w:val="auto"/>
                <w:highlight w:val="none"/>
                <w:lang w:eastAsia="zh-CN"/>
              </w:rPr>
              <w:t>般情况下采购单位按月进行结算，采购资金由采购单位财务账户转入中标供应商账户。每月 25 日前，中标供应商向采购单位开具上一月度供货相应数额的发票（农副产品免税的开具免税发票），采购单位收到发票后 10 个工作日内支付。特殊情况，需临时改变结算方式，双方可通过协商解决。</w:t>
            </w:r>
          </w:p>
        </w:tc>
      </w:tr>
      <w:tr w14:paraId="3274F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tcPr>
          <w:p w14:paraId="07B14B21">
            <w:pPr>
              <w:numPr>
                <w:ilvl w:val="0"/>
                <w:numId w:val="0"/>
              </w:numPr>
              <w:spacing w:line="480" w:lineRule="auto"/>
              <w:rPr>
                <w:rFonts w:hint="eastAsia" w:ascii="Times New Roman" w:hAnsi="Times New Roman" w:eastAsia="宋体" w:cs="Times New Roman"/>
                <w:b/>
                <w:color w:val="auto"/>
                <w:sz w:val="30"/>
                <w:szCs w:val="30"/>
                <w:highlight w:val="none"/>
                <w:vertAlign w:val="baseline"/>
                <w:lang w:val="en-US" w:eastAsia="zh-CN"/>
              </w:rPr>
            </w:pPr>
            <w:r>
              <w:rPr>
                <w:rFonts w:hint="eastAsia"/>
                <w:b/>
                <w:color w:val="auto"/>
                <w:highlight w:val="none"/>
                <w:lang w:eastAsia="zh-CN"/>
              </w:rPr>
              <w:t>（</w:t>
            </w:r>
            <w:r>
              <w:rPr>
                <w:rFonts w:hint="eastAsia"/>
                <w:b/>
                <w:color w:val="auto"/>
                <w:highlight w:val="none"/>
                <w:lang w:val="en-US" w:eastAsia="zh-CN"/>
              </w:rPr>
              <w:t>四</w:t>
            </w:r>
            <w:r>
              <w:rPr>
                <w:rFonts w:hint="eastAsia"/>
                <w:b/>
                <w:color w:val="auto"/>
                <w:highlight w:val="none"/>
                <w:lang w:eastAsia="zh-CN"/>
              </w:rPr>
              <w:t>）</w:t>
            </w:r>
            <w:r>
              <w:rPr>
                <w:rFonts w:hint="eastAsia"/>
                <w:b/>
                <w:color w:val="auto"/>
                <w:highlight w:val="none"/>
              </w:rPr>
              <w:t>配送服务要求</w:t>
            </w:r>
          </w:p>
        </w:tc>
        <w:tc>
          <w:tcPr>
            <w:tcW w:w="6968" w:type="dxa"/>
          </w:tcPr>
          <w:p w14:paraId="73C60E15">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1、中标人应当根据采购单位实际情况，按照与采购单位的约定，在规定的时间内将预定的货物保质保量送到指定地点。</w:t>
            </w:r>
          </w:p>
          <w:p w14:paraId="5D6ECEEB">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2、一般供货要求：学校提前一周向配送企业预订货物的品种和数量，配送企业接受配送任务后， 向学校提供优质、新鲜的货物，食品原材料必须根据学校食堂的需要提前到位。配送的食品原材料应 取得食品生产许可证、质量检验报告，未列入生产许可目录的应符合国家有关标准要求。中标人最迟在每日凌晨 </w:t>
            </w:r>
            <w:r>
              <w:rPr>
                <w:rFonts w:hint="eastAsia" w:ascii="宋体" w:hAnsi="宋体" w:cs="宋体"/>
                <w:color w:val="auto"/>
                <w:highlight w:val="none"/>
                <w:lang w:val="en-US" w:eastAsia="zh-CN"/>
              </w:rPr>
              <w:t>5</w:t>
            </w:r>
            <w:r>
              <w:rPr>
                <w:rFonts w:hint="eastAsia" w:ascii="宋体" w:hAnsi="宋体" w:eastAsia="宋体" w:cs="宋体"/>
                <w:color w:val="auto"/>
                <w:highlight w:val="none"/>
                <w:lang w:val="en-US" w:eastAsia="zh-CN"/>
              </w:rPr>
              <w:t>：00 前提供当日使用鲜肉类、糕点、面包、蔬果类等食材。紧急供货要求：在收到招标 人发出紧急供货通知后，供方最迟2小时内完成当次现场供货。</w:t>
            </w:r>
          </w:p>
          <w:p w14:paraId="2B78CF8D">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中标企业中标后要配置可全程电子监控的“配送厢式冷藏专用车”，凭专用通行证进出学校。蔬菜、鲜肉类、面包、糕点等鲜活食品必须当日配送，其余食品原材料可视学校实际需求配送，确保学校食品新鲜、优质、安全可靠。中标企业要全程监控配送车辆送货情况，严禁途中调货换货现象发生。中标人必须按照招标人通知的时间、数量、品种、品质要求及协定的价格准时送货，经验收合格后签字确认，不能以任何理由推托，一旦影响到招标人食堂的正常运转，中标人应承担相应的经济赔偿。</w:t>
            </w:r>
          </w:p>
          <w:p w14:paraId="624B2F25">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中标企业食品价格严格执行中标时约定的折扣，对于质量有问题的食品要保证退货，并及时更换符合质量标准的食品。要努力提高有关工作人员的服务水平，不得强制向学校配送不符合质量标准的食品，对出现有关质量问题的按合同相关事宜处理。</w:t>
            </w:r>
          </w:p>
          <w:p w14:paraId="11D1443C">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5、</w:t>
            </w:r>
            <w:r>
              <w:rPr>
                <w:rFonts w:hint="eastAsia" w:ascii="宋体" w:hAnsi="宋体" w:eastAsia="宋体" w:cs="宋体"/>
                <w:color w:val="auto"/>
                <w:highlight w:val="none"/>
                <w:lang w:val="en-US" w:eastAsia="zh-CN"/>
              </w:rPr>
              <w:t>对不按时、不按质、不按量、不按单配送到位的，学校有启动应急预案的权利（遇不可抗拒力除外）。</w:t>
            </w:r>
          </w:p>
          <w:p w14:paraId="71557B2F">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6、</w:t>
            </w:r>
            <w:r>
              <w:rPr>
                <w:rFonts w:hint="eastAsia" w:ascii="宋体" w:hAnsi="宋体" w:eastAsia="宋体" w:cs="宋体"/>
                <w:color w:val="auto"/>
                <w:highlight w:val="none"/>
                <w:lang w:val="en-US" w:eastAsia="zh-CN"/>
              </w:rPr>
              <w:t>中标人不能满足供货要求时，应提前 1 个月通知采购方，采购方同意后方可中止合同。</w:t>
            </w:r>
          </w:p>
          <w:p w14:paraId="33AB343D">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7</w:t>
            </w:r>
            <w:r>
              <w:rPr>
                <w:rFonts w:hint="eastAsia" w:ascii="宋体" w:hAnsi="宋体" w:eastAsia="宋体" w:cs="宋体"/>
                <w:color w:val="auto"/>
                <w:highlight w:val="none"/>
                <w:lang w:val="en-US" w:eastAsia="zh-CN"/>
              </w:rPr>
              <w:t>、送货地点：</w:t>
            </w:r>
            <w:r>
              <w:rPr>
                <w:rFonts w:hint="eastAsia" w:ascii="宋体" w:hAnsi="宋体" w:cs="宋体"/>
                <w:color w:val="auto"/>
                <w:highlight w:val="none"/>
                <w:lang w:val="en-US" w:eastAsia="zh-CN"/>
              </w:rPr>
              <w:t>桂平市西山镇中心小学、桂平市西山镇厢东小学、桂平市西山镇城南小学、桂平市西山镇城西小学、桂平市西山镇思灵小学、桂平市西山镇新岗小学、桂平市西山镇岭头中心小学、桂平市西山镇岭头中心小学莲塘分校、桂平市西山镇大起小学、桂平市西山镇大起小学施村分校、桂平市西山镇白兰小学、桂平市西山镇永培小学、桂平市西山镇永培小学全村分校、桂平市西山镇永培小学永江分校、桂平市西山镇永培小学永扬分校、桂平市西山镇中心幼儿园、桂平市西山镇中心幼儿园思灵分园、桂平市西山镇中心幼儿园城西分园。</w:t>
            </w:r>
            <w:r>
              <w:rPr>
                <w:rFonts w:hint="eastAsia"/>
                <w:b/>
                <w:color w:val="auto"/>
                <w:highlight w:val="none"/>
                <w:lang w:val="en-US" w:eastAsia="zh-CN"/>
              </w:rPr>
              <w:t>（</w:t>
            </w:r>
            <w:r>
              <w:rPr>
                <w:rFonts w:hint="eastAsia"/>
                <w:b w:val="0"/>
                <w:bCs w:val="0"/>
                <w:color w:val="auto"/>
                <w:szCs w:val="21"/>
                <w:highlight w:val="none"/>
                <w:lang w:val="en-US" w:eastAsia="zh-CN"/>
              </w:rPr>
              <w:t>交货地点如有变动，采购单位不另行支付配送交通费用。</w:t>
            </w:r>
            <w:r>
              <w:rPr>
                <w:rFonts w:hint="eastAsia"/>
                <w:b/>
                <w:color w:val="auto"/>
                <w:highlight w:val="none"/>
                <w:lang w:val="en-US" w:eastAsia="zh-CN"/>
              </w:rPr>
              <w:t>）</w:t>
            </w:r>
          </w:p>
          <w:p w14:paraId="237BE2FA">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8</w:t>
            </w:r>
            <w:r>
              <w:rPr>
                <w:rFonts w:hint="eastAsia" w:ascii="宋体" w:hAnsi="宋体" w:eastAsia="宋体" w:cs="宋体"/>
                <w:color w:val="auto"/>
                <w:highlight w:val="none"/>
                <w:lang w:val="en-US" w:eastAsia="zh-CN"/>
              </w:rPr>
              <w:t>、在采购单位签收之前，货物的所有权和风险属于中标人，货物的数量、质量、遗失、损坏由中标人负责。</w:t>
            </w:r>
          </w:p>
          <w:p w14:paraId="0A55BF77">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9</w:t>
            </w:r>
            <w:r>
              <w:rPr>
                <w:rFonts w:hint="eastAsia" w:ascii="宋体" w:hAnsi="宋体" w:eastAsia="宋体" w:cs="宋体"/>
                <w:color w:val="auto"/>
                <w:highlight w:val="none"/>
                <w:lang w:val="en-US" w:eastAsia="zh-CN"/>
              </w:rPr>
              <w:t>、中标人必须严格按照采购单位的指令配送货物的数量，不得随意增减，否则，采购单位有权拒收。</w:t>
            </w:r>
          </w:p>
          <w:p w14:paraId="4F6BCF5E">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10</w:t>
            </w:r>
            <w:r>
              <w:rPr>
                <w:rFonts w:hint="eastAsia" w:ascii="宋体" w:hAnsi="宋体" w:eastAsia="宋体" w:cs="宋体"/>
                <w:color w:val="auto"/>
                <w:highlight w:val="none"/>
                <w:lang w:val="en-US" w:eastAsia="zh-CN"/>
              </w:rPr>
              <w:t>、除客观不可抗力外，中标人不得更改送货内容。如因市场流通问题确实需要变更供货内容的，中标人应书面告知采购单位，并经采购单位同意后方可改变。经发现中标人有私自更改菜单中货品时以违约论处，由此产生的一切损失和费用由中标人承担。</w:t>
            </w:r>
          </w:p>
          <w:p w14:paraId="20CA52AB">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11</w:t>
            </w:r>
            <w:r>
              <w:rPr>
                <w:rFonts w:hint="eastAsia" w:ascii="宋体" w:hAnsi="宋体" w:eastAsia="宋体" w:cs="宋体"/>
                <w:color w:val="auto"/>
                <w:highlight w:val="none"/>
                <w:lang w:val="en-US" w:eastAsia="zh-CN"/>
              </w:rPr>
              <w:t>、采购单位发现采购货物不能正常食用的，中标人必须无条件退货。中标人未能履行招标文件和合同所定事项，或供应不合格的、假冒虚伪、以次充好的货物，采购单位退货后记录在案，并对中标人予以处罚，</w:t>
            </w:r>
            <w:r>
              <w:rPr>
                <w:rFonts w:hint="eastAsia" w:ascii="宋体" w:hAnsi="宋体" w:cs="宋体"/>
                <w:color w:val="auto"/>
                <w:highlight w:val="none"/>
              </w:rPr>
              <w:t>每次没收履约保证金1万元，且除要</w:t>
            </w:r>
            <w:r>
              <w:rPr>
                <w:rFonts w:hint="eastAsia" w:ascii="宋体" w:hAnsi="宋体" w:eastAsia="宋体" w:cs="宋体"/>
                <w:color w:val="auto"/>
                <w:highlight w:val="none"/>
                <w:lang w:val="en-US" w:eastAsia="zh-CN"/>
              </w:rPr>
              <w:t>承担因此产生的一切损失和费用外，情节严重的可取消供应资格。</w:t>
            </w:r>
          </w:p>
          <w:p w14:paraId="66ED1FE6">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w:t>
            </w:r>
            <w:r>
              <w:rPr>
                <w:rFonts w:hint="eastAsia" w:ascii="宋体" w:hAnsi="宋体" w:cs="宋体"/>
                <w:color w:val="auto"/>
                <w:highlight w:val="none"/>
                <w:lang w:val="en-US" w:eastAsia="zh-CN"/>
              </w:rPr>
              <w:t>2</w:t>
            </w:r>
            <w:r>
              <w:rPr>
                <w:rFonts w:hint="eastAsia" w:ascii="宋体" w:hAnsi="宋体" w:eastAsia="宋体" w:cs="宋体"/>
                <w:color w:val="auto"/>
                <w:highlight w:val="none"/>
                <w:lang w:val="en-US" w:eastAsia="zh-CN"/>
              </w:rPr>
              <w:t>、中标人不能按核定的供货价交付分标中的某些货物、不能提供与其承诺相符的服务或中标人存在 违反招标文件和合同的行为，并且不予纠正的，将取消其中标资格。此项违约责任包括但不限于下列各项：</w:t>
            </w:r>
          </w:p>
          <w:p w14:paraId="07A40AB1">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⑴中标人在收到采购单位订货要求后，在承诺的供货时间内不能供货的。 </w:t>
            </w:r>
          </w:p>
          <w:p w14:paraId="3D6CCE38">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⑵中标人未能提供承诺的服务的。</w:t>
            </w:r>
          </w:p>
          <w:p w14:paraId="0FC0DB90">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⑶中标货物在保质期出现损坏的，中标人应承诺替换服务，因替换货物产生的费用由中标人负责。</w:t>
            </w:r>
          </w:p>
          <w:p w14:paraId="087D074A">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⑷中标人的送货单必须详细注明货物的名称、品种、单价、数量，不得涂改。标记不清的，采购单位将拒绝签字。结算期未中标人还应提供送货单供采购单位结算。</w:t>
            </w:r>
          </w:p>
          <w:p w14:paraId="382CF1DC">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⑸中标人必须指定专人送货，并经健康体检合格。送货专员在采购单位活动必须穿着便于辨认的工衣 和佩戴出入证。并严格遵守采购单位的各项规章制度，否则采购单位有权终止合同。</w:t>
            </w:r>
          </w:p>
          <w:p w14:paraId="6BB70229">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⑹中标人不得泄露采购单位的秘密。泄密造成采购单位损失的，中标人将承担由此产生的一切损失和 法律责任。</w:t>
            </w:r>
          </w:p>
          <w:p w14:paraId="2B12B3CC">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Times New Roman" w:hAnsi="Times New Roman" w:eastAsia="宋体" w:cs="Times New Roman"/>
                <w:b/>
                <w:color w:val="auto"/>
                <w:sz w:val="30"/>
                <w:szCs w:val="30"/>
                <w:highlight w:val="none"/>
                <w:vertAlign w:val="baseline"/>
                <w:lang w:val="en-US" w:eastAsia="zh-CN"/>
              </w:rPr>
            </w:pPr>
            <w:r>
              <w:rPr>
                <w:rFonts w:hint="eastAsia" w:ascii="宋体" w:hAnsi="宋体" w:eastAsia="宋体" w:cs="宋体"/>
                <w:color w:val="auto"/>
                <w:highlight w:val="none"/>
                <w:lang w:val="en-US" w:eastAsia="zh-CN"/>
              </w:rPr>
              <w:t>1</w:t>
            </w:r>
            <w:r>
              <w:rPr>
                <w:rFonts w:hint="eastAsia" w:ascii="宋体" w:hAnsi="宋体" w:cs="宋体"/>
                <w:color w:val="auto"/>
                <w:highlight w:val="none"/>
                <w:lang w:val="en-US" w:eastAsia="zh-CN"/>
              </w:rPr>
              <w:t>3</w:t>
            </w:r>
            <w:r>
              <w:rPr>
                <w:rFonts w:hint="eastAsia" w:ascii="宋体" w:hAnsi="宋体" w:eastAsia="宋体" w:cs="宋体"/>
                <w:color w:val="auto"/>
                <w:highlight w:val="none"/>
                <w:lang w:val="en-US" w:eastAsia="zh-CN"/>
              </w:rPr>
              <w:t>、在合同有效期内，因自然灾害或不可抗力事件无法履行合同的行为不作为违约情形，双方均无责任。</w:t>
            </w:r>
          </w:p>
        </w:tc>
      </w:tr>
      <w:tr w14:paraId="7B422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tcPr>
          <w:p w14:paraId="19F61C05">
            <w:pPr>
              <w:numPr>
                <w:ilvl w:val="0"/>
                <w:numId w:val="0"/>
              </w:numPr>
              <w:spacing w:line="480" w:lineRule="auto"/>
              <w:rPr>
                <w:rFonts w:hint="eastAsia" w:ascii="Times New Roman" w:hAnsi="Times New Roman" w:eastAsia="宋体" w:cs="Times New Roman"/>
                <w:b/>
                <w:color w:val="auto"/>
                <w:sz w:val="30"/>
                <w:szCs w:val="30"/>
                <w:highlight w:val="none"/>
                <w:vertAlign w:val="baseline"/>
                <w:lang w:val="en-US" w:eastAsia="zh-CN"/>
              </w:rPr>
            </w:pPr>
            <w:r>
              <w:rPr>
                <w:rFonts w:hint="eastAsia"/>
                <w:b/>
                <w:color w:val="auto"/>
                <w:highlight w:val="none"/>
                <w:lang w:eastAsia="zh-CN"/>
              </w:rPr>
              <w:t>（五）</w:t>
            </w:r>
            <w:r>
              <w:rPr>
                <w:rFonts w:hint="eastAsia"/>
                <w:b/>
                <w:color w:val="auto"/>
                <w:highlight w:val="none"/>
              </w:rPr>
              <w:t>安全质量要求</w:t>
            </w:r>
          </w:p>
        </w:tc>
        <w:tc>
          <w:tcPr>
            <w:tcW w:w="6968" w:type="dxa"/>
          </w:tcPr>
          <w:p w14:paraId="29B39B12">
            <w:pPr>
              <w:keepNext w:val="0"/>
              <w:keepLines w:val="0"/>
              <w:pageBreakBefore w:val="0"/>
              <w:widowControl w:val="0"/>
              <w:kinsoku/>
              <w:wordWrap/>
              <w:overflowPunct/>
              <w:topLinePunct w:val="0"/>
              <w:autoSpaceDE/>
              <w:autoSpaceDN/>
              <w:bidi w:val="0"/>
              <w:snapToGrid/>
              <w:spacing w:line="440" w:lineRule="exact"/>
              <w:ind w:firstLine="420" w:firstLineChars="200"/>
              <w:textAlignment w:val="auto"/>
              <w:rPr>
                <w:rFonts w:hint="eastAsia"/>
                <w:b w:val="0"/>
                <w:bCs/>
                <w:color w:val="auto"/>
                <w:highlight w:val="none"/>
                <w:lang w:eastAsia="zh-CN"/>
              </w:rPr>
            </w:pPr>
            <w:r>
              <w:rPr>
                <w:rFonts w:hint="eastAsia"/>
                <w:b w:val="0"/>
                <w:bCs/>
                <w:color w:val="auto"/>
                <w:highlight w:val="none"/>
                <w:lang w:val="en-US" w:eastAsia="zh-CN"/>
              </w:rPr>
              <w:t xml:space="preserve">1、中标人应充分理解并认真遵循本招标文件的要求。所提供的货物必须满足招标文件要求，并可追溯，检验合格、无毒、无害、无辐射、无侵权，符合国家有关卫生、质量、包装和保质标准。 </w:t>
            </w:r>
          </w:p>
          <w:p w14:paraId="7E6AD3F3">
            <w:pPr>
              <w:keepNext w:val="0"/>
              <w:keepLines w:val="0"/>
              <w:pageBreakBefore w:val="0"/>
              <w:widowControl w:val="0"/>
              <w:kinsoku/>
              <w:wordWrap/>
              <w:overflowPunct/>
              <w:topLinePunct w:val="0"/>
              <w:autoSpaceDE/>
              <w:autoSpaceDN/>
              <w:bidi w:val="0"/>
              <w:snapToGrid/>
              <w:spacing w:line="440" w:lineRule="exact"/>
              <w:ind w:firstLine="420" w:firstLineChars="200"/>
              <w:textAlignment w:val="auto"/>
              <w:rPr>
                <w:rFonts w:hint="eastAsia"/>
                <w:b w:val="0"/>
                <w:bCs/>
                <w:color w:val="auto"/>
                <w:highlight w:val="none"/>
                <w:lang w:eastAsia="zh-CN"/>
              </w:rPr>
            </w:pPr>
            <w:r>
              <w:rPr>
                <w:rFonts w:hint="eastAsia"/>
                <w:b w:val="0"/>
                <w:bCs/>
                <w:color w:val="auto"/>
                <w:highlight w:val="none"/>
                <w:lang w:val="en-US" w:eastAsia="zh-CN"/>
              </w:rPr>
              <w:t>2、中标人提供的蔬菜必须保证每日新鲜，且取得无公害认证优先选择，并符合食品卫生安全法要求。 采购单位</w:t>
            </w:r>
            <w:r>
              <w:rPr>
                <w:rFonts w:hint="eastAsia"/>
                <w:highlight w:val="none"/>
                <w:lang w:eastAsia="zh-CN"/>
              </w:rPr>
              <w:t>有权</w:t>
            </w:r>
            <w:r>
              <w:rPr>
                <w:rFonts w:hint="eastAsia"/>
                <w:b w:val="0"/>
                <w:bCs/>
                <w:color w:val="auto"/>
                <w:highlight w:val="none"/>
                <w:lang w:val="en-US" w:eastAsia="zh-CN"/>
              </w:rPr>
              <w:t xml:space="preserve">每天对每批次蔬菜进行农药残留检测，如含量超标将要求中标人无条件退货或换货。出现 1 次含量超标情况的，处以中标人人民币1000元罚款，罚款由当月供货结算款中扣除。合同期内出现 3 次以上含量超标情况的，采购单位有权终止合同。 </w:t>
            </w:r>
          </w:p>
          <w:p w14:paraId="6E6E98C9">
            <w:pPr>
              <w:keepNext w:val="0"/>
              <w:keepLines w:val="0"/>
              <w:pageBreakBefore w:val="0"/>
              <w:widowControl w:val="0"/>
              <w:kinsoku/>
              <w:wordWrap/>
              <w:overflowPunct/>
              <w:topLinePunct w:val="0"/>
              <w:autoSpaceDE/>
              <w:autoSpaceDN/>
              <w:bidi w:val="0"/>
              <w:snapToGrid/>
              <w:spacing w:line="440" w:lineRule="exact"/>
              <w:ind w:firstLine="420" w:firstLineChars="200"/>
              <w:textAlignment w:val="auto"/>
              <w:rPr>
                <w:rFonts w:hint="eastAsia"/>
                <w:b w:val="0"/>
                <w:bCs/>
                <w:color w:val="auto"/>
                <w:highlight w:val="none"/>
                <w:lang w:val="en-US" w:eastAsia="zh-CN"/>
              </w:rPr>
            </w:pPr>
            <w:r>
              <w:rPr>
                <w:rFonts w:hint="eastAsia"/>
                <w:b w:val="0"/>
                <w:bCs/>
                <w:color w:val="auto"/>
                <w:highlight w:val="none"/>
                <w:lang w:val="en-US" w:eastAsia="zh-CN"/>
              </w:rPr>
              <w:t xml:space="preserve">3、依据产品质量监督检验所提供的质量标准，供应商提供的产品必须是经过质量监督管理部门检验并取得合格证明的产品，每批次货物提供时应交存货物质量合格证明、产品质量检测合格报告或检疫报告 复印件。鲜猪肉、鲜鸡鸭等禽畜产品必须具有动物检验检疫证明。 </w:t>
            </w:r>
          </w:p>
          <w:p w14:paraId="30E1C38C">
            <w:pPr>
              <w:keepNext w:val="0"/>
              <w:keepLines w:val="0"/>
              <w:pageBreakBefore w:val="0"/>
              <w:widowControl w:val="0"/>
              <w:kinsoku/>
              <w:wordWrap/>
              <w:overflowPunct/>
              <w:topLinePunct w:val="0"/>
              <w:autoSpaceDE/>
              <w:autoSpaceDN/>
              <w:bidi w:val="0"/>
              <w:snapToGrid/>
              <w:spacing w:line="440" w:lineRule="exact"/>
              <w:ind w:firstLine="420" w:firstLineChars="200"/>
              <w:textAlignment w:val="auto"/>
              <w:rPr>
                <w:rFonts w:hint="eastAsia"/>
                <w:b w:val="0"/>
                <w:bCs/>
                <w:color w:val="auto"/>
                <w:highlight w:val="none"/>
                <w:lang w:val="en-US" w:eastAsia="zh-CN"/>
              </w:rPr>
            </w:pPr>
            <w:r>
              <w:rPr>
                <w:rFonts w:hint="eastAsia"/>
                <w:b w:val="0"/>
                <w:bCs/>
                <w:color w:val="auto"/>
                <w:highlight w:val="none"/>
                <w:lang w:val="en-US" w:eastAsia="zh-CN"/>
              </w:rPr>
              <w:t xml:space="preserve">4、中标人应严格遵守《食品安全法》和《动物检疫法》等相关规定，所提供的产品是合格安全的产品，一经发现供应以下食品，采购方除全部退货外，将取消中标人的供货资格，中标人并承担由此造成的 经济责任和法律责任。 </w:t>
            </w:r>
          </w:p>
          <w:p w14:paraId="6810D0EA">
            <w:pPr>
              <w:keepNext w:val="0"/>
              <w:keepLines w:val="0"/>
              <w:pageBreakBefore w:val="0"/>
              <w:widowControl w:val="0"/>
              <w:kinsoku/>
              <w:wordWrap/>
              <w:overflowPunct/>
              <w:topLinePunct w:val="0"/>
              <w:autoSpaceDE/>
              <w:autoSpaceDN/>
              <w:bidi w:val="0"/>
              <w:snapToGrid/>
              <w:spacing w:line="440" w:lineRule="exact"/>
              <w:ind w:firstLine="420" w:firstLineChars="200"/>
              <w:textAlignment w:val="auto"/>
              <w:rPr>
                <w:rFonts w:hint="eastAsia"/>
                <w:b w:val="0"/>
                <w:bCs/>
                <w:color w:val="auto"/>
                <w:highlight w:val="none"/>
                <w:lang w:val="en-US" w:eastAsia="zh-CN"/>
              </w:rPr>
            </w:pPr>
            <w:r>
              <w:rPr>
                <w:rFonts w:hint="eastAsia"/>
                <w:b w:val="0"/>
                <w:bCs/>
                <w:color w:val="auto"/>
                <w:highlight w:val="none"/>
                <w:lang w:val="en-US" w:eastAsia="zh-CN"/>
              </w:rPr>
              <w:t xml:space="preserve">(1)腐败变质、油脂酸败、霉变、生虫、污秽不洁、混有异物或者其他感官性状异常，对人体健康有害 的； </w:t>
            </w:r>
          </w:p>
          <w:p w14:paraId="61F04DDA">
            <w:pPr>
              <w:keepNext w:val="0"/>
              <w:keepLines w:val="0"/>
              <w:pageBreakBefore w:val="0"/>
              <w:widowControl w:val="0"/>
              <w:kinsoku/>
              <w:wordWrap/>
              <w:overflowPunct/>
              <w:topLinePunct w:val="0"/>
              <w:autoSpaceDE/>
              <w:autoSpaceDN/>
              <w:bidi w:val="0"/>
              <w:snapToGrid/>
              <w:spacing w:line="440" w:lineRule="exact"/>
              <w:ind w:firstLine="420" w:firstLineChars="200"/>
              <w:textAlignment w:val="auto"/>
              <w:rPr>
                <w:rFonts w:hint="eastAsia"/>
                <w:b w:val="0"/>
                <w:bCs/>
                <w:color w:val="auto"/>
                <w:highlight w:val="none"/>
                <w:lang w:val="en-US" w:eastAsia="zh-CN"/>
              </w:rPr>
            </w:pPr>
            <w:r>
              <w:rPr>
                <w:rFonts w:hint="eastAsia"/>
                <w:b w:val="0"/>
                <w:bCs/>
                <w:color w:val="auto"/>
                <w:highlight w:val="none"/>
                <w:lang w:val="en-US" w:eastAsia="zh-CN"/>
              </w:rPr>
              <w:t xml:space="preserve">(2)含有毒、有害物质或者被有害物质污染，对人体健康有害的； </w:t>
            </w:r>
          </w:p>
          <w:p w14:paraId="6ECB3B7B">
            <w:pPr>
              <w:keepNext w:val="0"/>
              <w:keepLines w:val="0"/>
              <w:pageBreakBefore w:val="0"/>
              <w:widowControl w:val="0"/>
              <w:kinsoku/>
              <w:wordWrap/>
              <w:overflowPunct/>
              <w:topLinePunct w:val="0"/>
              <w:autoSpaceDE/>
              <w:autoSpaceDN/>
              <w:bidi w:val="0"/>
              <w:snapToGrid/>
              <w:spacing w:line="440" w:lineRule="exact"/>
              <w:ind w:firstLine="420" w:firstLineChars="200"/>
              <w:textAlignment w:val="auto"/>
              <w:rPr>
                <w:rFonts w:hint="eastAsia"/>
                <w:b w:val="0"/>
                <w:bCs/>
                <w:color w:val="auto"/>
                <w:highlight w:val="none"/>
                <w:lang w:val="en-US" w:eastAsia="zh-CN"/>
              </w:rPr>
            </w:pPr>
            <w:r>
              <w:rPr>
                <w:rFonts w:hint="eastAsia"/>
                <w:b w:val="0"/>
                <w:bCs/>
                <w:color w:val="auto"/>
                <w:highlight w:val="none"/>
                <w:lang w:val="en-US" w:eastAsia="zh-CN"/>
              </w:rPr>
              <w:t xml:space="preserve">(3)含有致病性寄生虫、微生物或者微生物含量超过国家限定标准的； </w:t>
            </w:r>
          </w:p>
          <w:p w14:paraId="5556722C">
            <w:pPr>
              <w:keepNext w:val="0"/>
              <w:keepLines w:val="0"/>
              <w:pageBreakBefore w:val="0"/>
              <w:widowControl w:val="0"/>
              <w:kinsoku/>
              <w:wordWrap/>
              <w:overflowPunct/>
              <w:topLinePunct w:val="0"/>
              <w:autoSpaceDE/>
              <w:autoSpaceDN/>
              <w:bidi w:val="0"/>
              <w:snapToGrid/>
              <w:spacing w:line="440" w:lineRule="exact"/>
              <w:ind w:firstLine="420" w:firstLineChars="200"/>
              <w:textAlignment w:val="auto"/>
              <w:rPr>
                <w:rFonts w:hint="eastAsia"/>
                <w:b w:val="0"/>
                <w:bCs/>
                <w:color w:val="auto"/>
                <w:highlight w:val="none"/>
                <w:lang w:val="en-US" w:eastAsia="zh-CN"/>
              </w:rPr>
            </w:pPr>
            <w:r>
              <w:rPr>
                <w:rFonts w:hint="eastAsia"/>
                <w:b w:val="0"/>
                <w:bCs/>
                <w:color w:val="auto"/>
                <w:highlight w:val="none"/>
                <w:lang w:val="en-US" w:eastAsia="zh-CN"/>
              </w:rPr>
              <w:t xml:space="preserve">(4)未经动物检疫部门检疫、检验或者检疫、检验不合格的肉类及其制品； </w:t>
            </w:r>
          </w:p>
          <w:p w14:paraId="70CE0B1A">
            <w:pPr>
              <w:keepNext w:val="0"/>
              <w:keepLines w:val="0"/>
              <w:pageBreakBefore w:val="0"/>
              <w:widowControl w:val="0"/>
              <w:kinsoku/>
              <w:wordWrap/>
              <w:overflowPunct/>
              <w:topLinePunct w:val="0"/>
              <w:autoSpaceDE/>
              <w:autoSpaceDN/>
              <w:bidi w:val="0"/>
              <w:snapToGrid/>
              <w:spacing w:line="440" w:lineRule="exact"/>
              <w:ind w:firstLine="420" w:firstLineChars="200"/>
              <w:textAlignment w:val="auto"/>
              <w:rPr>
                <w:rFonts w:hint="eastAsia"/>
                <w:b w:val="0"/>
                <w:bCs/>
                <w:color w:val="auto"/>
                <w:highlight w:val="none"/>
                <w:lang w:val="en-US" w:eastAsia="zh-CN"/>
              </w:rPr>
            </w:pPr>
            <w:r>
              <w:rPr>
                <w:rFonts w:hint="eastAsia"/>
                <w:b w:val="0"/>
                <w:bCs/>
                <w:color w:val="auto"/>
                <w:highlight w:val="none"/>
                <w:lang w:val="en-US" w:eastAsia="zh-CN"/>
              </w:rPr>
              <w:t xml:space="preserve">(5)病死、毒死或者死因不明的禽、畜、兽、水产动物等及其制品； </w:t>
            </w:r>
          </w:p>
          <w:p w14:paraId="6C5358BF">
            <w:pPr>
              <w:keepNext w:val="0"/>
              <w:keepLines w:val="0"/>
              <w:pageBreakBefore w:val="0"/>
              <w:widowControl w:val="0"/>
              <w:kinsoku/>
              <w:wordWrap/>
              <w:overflowPunct/>
              <w:topLinePunct w:val="0"/>
              <w:autoSpaceDE/>
              <w:autoSpaceDN/>
              <w:bidi w:val="0"/>
              <w:snapToGrid/>
              <w:spacing w:line="440" w:lineRule="exact"/>
              <w:ind w:firstLine="420" w:firstLineChars="200"/>
              <w:textAlignment w:val="auto"/>
              <w:rPr>
                <w:rFonts w:hint="eastAsia"/>
                <w:b w:val="0"/>
                <w:bCs/>
                <w:color w:val="auto"/>
                <w:highlight w:val="none"/>
                <w:lang w:val="en-US" w:eastAsia="zh-CN"/>
              </w:rPr>
            </w:pPr>
            <w:r>
              <w:rPr>
                <w:rFonts w:hint="eastAsia"/>
                <w:b w:val="0"/>
                <w:bCs/>
                <w:color w:val="auto"/>
                <w:highlight w:val="none"/>
                <w:lang w:val="en-US" w:eastAsia="zh-CN"/>
              </w:rPr>
              <w:t xml:space="preserve">(6)掺假、掺杂、伪造，影响营养、卫生的； </w:t>
            </w:r>
          </w:p>
          <w:p w14:paraId="4AF69700">
            <w:pPr>
              <w:keepNext w:val="0"/>
              <w:keepLines w:val="0"/>
              <w:pageBreakBefore w:val="0"/>
              <w:widowControl w:val="0"/>
              <w:kinsoku/>
              <w:wordWrap/>
              <w:overflowPunct/>
              <w:topLinePunct w:val="0"/>
              <w:autoSpaceDE/>
              <w:autoSpaceDN/>
              <w:bidi w:val="0"/>
              <w:snapToGrid/>
              <w:spacing w:line="440" w:lineRule="exact"/>
              <w:ind w:firstLine="420" w:firstLineChars="200"/>
              <w:textAlignment w:val="auto"/>
              <w:rPr>
                <w:rFonts w:hint="eastAsia"/>
                <w:b w:val="0"/>
                <w:bCs/>
                <w:color w:val="auto"/>
                <w:highlight w:val="none"/>
                <w:lang w:val="en-US" w:eastAsia="zh-CN"/>
              </w:rPr>
            </w:pPr>
            <w:r>
              <w:rPr>
                <w:rFonts w:hint="eastAsia"/>
                <w:b w:val="0"/>
                <w:bCs/>
                <w:color w:val="auto"/>
                <w:highlight w:val="none"/>
                <w:lang w:val="en-US" w:eastAsia="zh-CN"/>
              </w:rPr>
              <w:t xml:space="preserve">(7)用非食品原料加工的，加入非食品用化学物质或者将非食品当作食品的； </w:t>
            </w:r>
          </w:p>
          <w:p w14:paraId="7F8EE3A9">
            <w:pPr>
              <w:keepNext w:val="0"/>
              <w:keepLines w:val="0"/>
              <w:pageBreakBefore w:val="0"/>
              <w:widowControl w:val="0"/>
              <w:kinsoku/>
              <w:wordWrap/>
              <w:overflowPunct/>
              <w:topLinePunct w:val="0"/>
              <w:autoSpaceDE/>
              <w:autoSpaceDN/>
              <w:bidi w:val="0"/>
              <w:snapToGrid/>
              <w:spacing w:line="440" w:lineRule="exact"/>
              <w:ind w:firstLine="420" w:firstLineChars="200"/>
              <w:textAlignment w:val="auto"/>
              <w:rPr>
                <w:rFonts w:hint="eastAsia"/>
                <w:b w:val="0"/>
                <w:bCs/>
                <w:color w:val="auto"/>
                <w:highlight w:val="none"/>
                <w:lang w:val="en-US" w:eastAsia="zh-CN"/>
              </w:rPr>
            </w:pPr>
            <w:r>
              <w:rPr>
                <w:rFonts w:hint="eastAsia"/>
                <w:b w:val="0"/>
                <w:bCs/>
                <w:color w:val="auto"/>
                <w:highlight w:val="none"/>
                <w:lang w:val="en-US" w:eastAsia="zh-CN"/>
              </w:rPr>
              <w:t xml:space="preserve">(8)超过保质期限的。 </w:t>
            </w:r>
          </w:p>
          <w:p w14:paraId="0FBDF6FC">
            <w:pPr>
              <w:keepNext w:val="0"/>
              <w:keepLines w:val="0"/>
              <w:pageBreakBefore w:val="0"/>
              <w:widowControl w:val="0"/>
              <w:kinsoku/>
              <w:wordWrap/>
              <w:overflowPunct/>
              <w:topLinePunct w:val="0"/>
              <w:autoSpaceDE/>
              <w:autoSpaceDN/>
              <w:bidi w:val="0"/>
              <w:snapToGrid/>
              <w:spacing w:line="440" w:lineRule="exact"/>
              <w:ind w:firstLine="420" w:firstLineChars="200"/>
              <w:textAlignment w:val="auto"/>
              <w:rPr>
                <w:rFonts w:hint="eastAsia"/>
                <w:b w:val="0"/>
                <w:bCs/>
                <w:color w:val="auto"/>
                <w:highlight w:val="none"/>
                <w:lang w:val="en-US" w:eastAsia="zh-CN"/>
              </w:rPr>
            </w:pPr>
            <w:r>
              <w:rPr>
                <w:rFonts w:hint="eastAsia"/>
                <w:b w:val="0"/>
                <w:bCs/>
                <w:color w:val="auto"/>
                <w:highlight w:val="none"/>
                <w:lang w:val="en-US" w:eastAsia="zh-CN"/>
              </w:rPr>
              <w:t>5、</w:t>
            </w:r>
            <w:r>
              <w:rPr>
                <w:rFonts w:hint="eastAsia"/>
                <w:bCs/>
                <w:color w:val="auto"/>
                <w:highlight w:val="none"/>
              </w:rPr>
              <w:t>中标人在中标前未购买</w:t>
            </w:r>
            <w:r>
              <w:rPr>
                <w:rFonts w:hint="eastAsia" w:ascii="宋体" w:hAnsi="宋体" w:cs="宋体"/>
                <w:color w:val="auto"/>
                <w:szCs w:val="21"/>
                <w:highlight w:val="none"/>
              </w:rPr>
              <w:t>食品安全责任保险的</w:t>
            </w:r>
            <w:r>
              <w:rPr>
                <w:rFonts w:hint="eastAsia" w:ascii="宋体" w:hAnsi="宋体" w:cs="宋体"/>
                <w:color w:val="auto"/>
                <w:szCs w:val="21"/>
                <w:highlight w:val="none"/>
                <w:lang w:eastAsia="zh-CN"/>
              </w:rPr>
              <w:t>，</w:t>
            </w:r>
            <w:r>
              <w:rPr>
                <w:rFonts w:hint="eastAsia"/>
                <w:b w:val="0"/>
                <w:bCs/>
                <w:color w:val="auto"/>
                <w:highlight w:val="none"/>
                <w:lang w:val="en-US" w:eastAsia="zh-CN"/>
              </w:rPr>
              <w:t xml:space="preserve">中标人在签订合同后一个月内必须到相关的保险公司进行投保，投保险种为食品安全责任保险，否则采购单位有权终止合同。 </w:t>
            </w:r>
          </w:p>
          <w:p w14:paraId="4516D908">
            <w:pPr>
              <w:keepNext w:val="0"/>
              <w:keepLines w:val="0"/>
              <w:pageBreakBefore w:val="0"/>
              <w:widowControl w:val="0"/>
              <w:kinsoku/>
              <w:wordWrap/>
              <w:overflowPunct/>
              <w:topLinePunct w:val="0"/>
              <w:autoSpaceDE/>
              <w:autoSpaceDN/>
              <w:bidi w:val="0"/>
              <w:snapToGrid/>
              <w:spacing w:line="440" w:lineRule="exact"/>
              <w:ind w:firstLine="420" w:firstLineChars="200"/>
              <w:textAlignment w:val="auto"/>
              <w:rPr>
                <w:rFonts w:hint="eastAsia" w:ascii="Times New Roman" w:hAnsi="Times New Roman" w:eastAsia="宋体" w:cs="Times New Roman"/>
                <w:b w:val="0"/>
                <w:bCs/>
                <w:color w:val="auto"/>
                <w:highlight w:val="none"/>
                <w:lang w:val="en-US" w:eastAsia="zh-CN"/>
              </w:rPr>
            </w:pPr>
            <w:r>
              <w:rPr>
                <w:rFonts w:hint="eastAsia"/>
                <w:b w:val="0"/>
                <w:bCs/>
                <w:color w:val="auto"/>
                <w:highlight w:val="none"/>
                <w:lang w:val="en-US" w:eastAsia="zh-CN"/>
              </w:rPr>
              <w:t>6、安全监管要求：（1）建立健全并严格执行各项食品卫生安全管理制度。严格执行原材料进货查验 制度、购销登记制度、索证索票制度、商品质量承诺制度、检测检验制度以及其他按照行业管理规定必须 健全的各项管理制度。（2）如因供应商的食材质量问题，导致学校发生食品安全事故，因此造成的损失和责任由供应商全部承担；造成重大食品安全事故的，采购单位可以单方解除合同，供应商要赔偿因此造成的全部损失和并依法</w:t>
            </w:r>
            <w:r>
              <w:rPr>
                <w:rFonts w:hint="eastAsia" w:ascii="Times New Roman" w:hAnsi="Times New Roman" w:eastAsia="宋体" w:cs="Times New Roman"/>
                <w:b w:val="0"/>
                <w:bCs/>
                <w:color w:val="auto"/>
                <w:highlight w:val="none"/>
                <w:lang w:val="en-US" w:eastAsia="zh-CN"/>
              </w:rPr>
              <w:t xml:space="preserve">承担有关责任。 </w:t>
            </w:r>
          </w:p>
          <w:p w14:paraId="1803C87B">
            <w:pPr>
              <w:keepNext w:val="0"/>
              <w:keepLines w:val="0"/>
              <w:pageBreakBefore w:val="0"/>
              <w:widowControl w:val="0"/>
              <w:kinsoku/>
              <w:wordWrap/>
              <w:overflowPunct/>
              <w:topLinePunct w:val="0"/>
              <w:autoSpaceDE/>
              <w:autoSpaceDN/>
              <w:bidi w:val="0"/>
              <w:snapToGrid/>
              <w:spacing w:line="440" w:lineRule="exact"/>
              <w:ind w:firstLine="420" w:firstLineChars="200"/>
              <w:textAlignment w:val="auto"/>
              <w:rPr>
                <w:rFonts w:hint="eastAsia"/>
                <w:highlight w:val="none"/>
                <w:lang w:val="en-US" w:eastAsia="zh-CN"/>
              </w:rPr>
            </w:pPr>
            <w:r>
              <w:rPr>
                <w:rFonts w:hint="eastAsia" w:ascii="Times New Roman" w:hAnsi="Times New Roman" w:eastAsia="宋体" w:cs="Times New Roman"/>
                <w:b w:val="0"/>
                <w:bCs/>
                <w:color w:val="auto"/>
                <w:highlight w:val="none"/>
                <w:lang w:val="en-US" w:eastAsia="zh-CN"/>
              </w:rPr>
              <w:t>7、签订合同后，学校组织相关单位和人员对中标企业进行实地考察，实地考察无误后再与中标配送企业签订配送协议以及安全承诺书，若供应商配送场所的或设备达不到要求的，采购人有权上报监督部门。同时中标企业须向采购人（牵头学校）缴纳履约保证金人民币叁拾万元(¥300000.00），期间发生食品卫生安全事故，</w:t>
            </w:r>
            <w:bookmarkStart w:id="56" w:name="_Hlk183448658"/>
            <w:r>
              <w:rPr>
                <w:rFonts w:hint="eastAsia" w:ascii="Times New Roman" w:hAnsi="Times New Roman" w:eastAsia="宋体" w:cs="Times New Roman"/>
                <w:b w:val="0"/>
                <w:bCs/>
                <w:color w:val="auto"/>
                <w:highlight w:val="none"/>
                <w:lang w:val="en-US" w:eastAsia="zh-CN"/>
              </w:rPr>
              <w:t>招标单位</w:t>
            </w:r>
            <w:bookmarkEnd w:id="56"/>
            <w:r>
              <w:rPr>
                <w:rFonts w:hint="eastAsia" w:ascii="Times New Roman" w:hAnsi="Times New Roman" w:eastAsia="宋体" w:cs="Times New Roman"/>
                <w:b w:val="0"/>
                <w:bCs/>
                <w:color w:val="auto"/>
                <w:highlight w:val="none"/>
                <w:lang w:val="en-US" w:eastAsia="zh-CN"/>
              </w:rPr>
              <w:t>可将此笔履约保证金用于应急处置工作，</w:t>
            </w:r>
            <w:r>
              <w:rPr>
                <w:rFonts w:hint="eastAsia" w:cs="Times New Roman"/>
                <w:b w:val="0"/>
                <w:bCs/>
                <w:color w:val="auto"/>
                <w:highlight w:val="none"/>
                <w:lang w:val="en-US" w:eastAsia="zh-CN"/>
              </w:rPr>
              <w:t>中标企业正常配送未发生扣除履约保证金情况的，一年后</w:t>
            </w:r>
            <w:r>
              <w:rPr>
                <w:rFonts w:hint="eastAsia" w:ascii="Times New Roman" w:hAnsi="Times New Roman" w:eastAsia="宋体" w:cs="Times New Roman"/>
                <w:b w:val="0"/>
                <w:bCs/>
                <w:color w:val="auto"/>
                <w:highlight w:val="none"/>
                <w:lang w:val="en-US" w:eastAsia="zh-CN"/>
              </w:rPr>
              <w:t>采购人（牵头学校）</w:t>
            </w:r>
            <w:r>
              <w:rPr>
                <w:rFonts w:hint="eastAsia" w:cs="Times New Roman"/>
                <w:b w:val="0"/>
                <w:bCs/>
                <w:color w:val="auto"/>
                <w:highlight w:val="none"/>
                <w:lang w:val="en-US" w:eastAsia="zh-CN"/>
              </w:rPr>
              <w:t>退付</w:t>
            </w:r>
            <w:r>
              <w:rPr>
                <w:rFonts w:hint="eastAsia" w:ascii="Times New Roman" w:hAnsi="Times New Roman" w:eastAsia="宋体" w:cs="Times New Roman"/>
                <w:b w:val="0"/>
                <w:bCs/>
                <w:color w:val="auto"/>
                <w:highlight w:val="none"/>
                <w:lang w:val="en-US" w:eastAsia="zh-CN"/>
              </w:rPr>
              <w:t>人民币</w:t>
            </w:r>
            <w:r>
              <w:rPr>
                <w:rFonts w:hint="eastAsia" w:cs="Times New Roman"/>
                <w:b w:val="0"/>
                <w:bCs/>
                <w:color w:val="auto"/>
                <w:highlight w:val="none"/>
                <w:lang w:val="en-US" w:eastAsia="zh-CN"/>
              </w:rPr>
              <w:t>贰</w:t>
            </w:r>
            <w:r>
              <w:rPr>
                <w:rFonts w:hint="eastAsia" w:ascii="Times New Roman" w:hAnsi="Times New Roman" w:eastAsia="宋体" w:cs="Times New Roman"/>
                <w:b w:val="0"/>
                <w:bCs/>
                <w:color w:val="auto"/>
                <w:highlight w:val="none"/>
                <w:lang w:val="en-US" w:eastAsia="zh-CN"/>
              </w:rPr>
              <w:t>拾万元(¥</w:t>
            </w:r>
            <w:r>
              <w:rPr>
                <w:rFonts w:hint="eastAsia" w:cs="Times New Roman"/>
                <w:b w:val="0"/>
                <w:bCs/>
                <w:color w:val="auto"/>
                <w:highlight w:val="none"/>
                <w:lang w:val="en-US" w:eastAsia="zh-CN"/>
              </w:rPr>
              <w:t>2</w:t>
            </w:r>
            <w:r>
              <w:rPr>
                <w:rFonts w:hint="eastAsia" w:ascii="Times New Roman" w:hAnsi="Times New Roman" w:eastAsia="宋体" w:cs="Times New Roman"/>
                <w:b w:val="0"/>
                <w:bCs/>
                <w:color w:val="auto"/>
                <w:highlight w:val="none"/>
                <w:lang w:val="en-US" w:eastAsia="zh-CN"/>
              </w:rPr>
              <w:t>00000.00）</w:t>
            </w:r>
            <w:r>
              <w:rPr>
                <w:rFonts w:hint="eastAsia" w:cs="Times New Roman"/>
                <w:b w:val="0"/>
                <w:bCs/>
                <w:color w:val="auto"/>
                <w:highlight w:val="none"/>
                <w:lang w:val="en-US" w:eastAsia="zh-CN"/>
              </w:rPr>
              <w:t>履约保证金，</w:t>
            </w:r>
            <w:r>
              <w:rPr>
                <w:rFonts w:hint="eastAsia" w:ascii="Times New Roman" w:hAnsi="Times New Roman" w:eastAsia="宋体" w:cs="Times New Roman"/>
                <w:b w:val="0"/>
                <w:bCs/>
                <w:color w:val="auto"/>
                <w:highlight w:val="none"/>
                <w:lang w:val="en-US" w:eastAsia="zh-CN"/>
              </w:rPr>
              <w:t>合同期满后按实际结余额退还中标企业</w:t>
            </w:r>
            <w:r>
              <w:rPr>
                <w:rFonts w:hint="eastAsia" w:cs="Times New Roman"/>
                <w:b w:val="0"/>
                <w:bCs/>
                <w:color w:val="auto"/>
                <w:highlight w:val="none"/>
                <w:lang w:val="en-US" w:eastAsia="zh-CN"/>
              </w:rPr>
              <w:t>全部履约保证金</w:t>
            </w:r>
            <w:r>
              <w:rPr>
                <w:rFonts w:hint="eastAsia" w:ascii="Times New Roman" w:hAnsi="Times New Roman" w:eastAsia="宋体" w:cs="Times New Roman"/>
                <w:b w:val="0"/>
                <w:bCs/>
                <w:color w:val="auto"/>
                <w:highlight w:val="none"/>
                <w:lang w:val="en-US" w:eastAsia="zh-CN"/>
              </w:rPr>
              <w:t>(不计利息)；如果招标单位合同期间单方面终止合同，招标单位按实际结余额退还履约保证金(不计利息)；为不影响学校正常运转，如果中标企业合同期间单方面终止合同，招标单位不退还履约保证金。</w:t>
            </w:r>
          </w:p>
        </w:tc>
      </w:tr>
      <w:tr w14:paraId="57BF8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tcPr>
          <w:p w14:paraId="0713D4F3">
            <w:pPr>
              <w:numPr>
                <w:ilvl w:val="0"/>
                <w:numId w:val="0"/>
              </w:numPr>
              <w:spacing w:line="480" w:lineRule="auto"/>
              <w:rPr>
                <w:rFonts w:hint="eastAsia" w:ascii="Times New Roman" w:hAnsi="Times New Roman" w:eastAsia="宋体" w:cs="Times New Roman"/>
                <w:b/>
                <w:color w:val="auto"/>
                <w:sz w:val="30"/>
                <w:szCs w:val="30"/>
                <w:highlight w:val="none"/>
                <w:vertAlign w:val="baseline"/>
                <w:lang w:val="en-US" w:eastAsia="zh-CN"/>
              </w:rPr>
            </w:pPr>
            <w:r>
              <w:rPr>
                <w:rFonts w:hint="eastAsia"/>
                <w:b/>
                <w:bCs w:val="0"/>
                <w:color w:val="auto"/>
                <w:highlight w:val="none"/>
                <w:lang w:eastAsia="zh-CN"/>
              </w:rPr>
              <w:t>（</w:t>
            </w:r>
            <w:r>
              <w:rPr>
                <w:rFonts w:hint="eastAsia"/>
                <w:b/>
                <w:bCs w:val="0"/>
                <w:color w:val="auto"/>
                <w:highlight w:val="none"/>
                <w:lang w:val="en-US" w:eastAsia="zh-CN"/>
              </w:rPr>
              <w:t>六</w:t>
            </w:r>
            <w:r>
              <w:rPr>
                <w:rFonts w:hint="eastAsia"/>
                <w:b/>
                <w:bCs w:val="0"/>
                <w:color w:val="auto"/>
                <w:highlight w:val="none"/>
                <w:lang w:eastAsia="zh-CN"/>
              </w:rPr>
              <w:t>）</w:t>
            </w:r>
            <w:r>
              <w:rPr>
                <w:rFonts w:hint="eastAsia"/>
                <w:b/>
                <w:bCs w:val="0"/>
                <w:color w:val="auto"/>
                <w:highlight w:val="none"/>
              </w:rPr>
              <w:t>验收</w:t>
            </w:r>
            <w:r>
              <w:rPr>
                <w:rFonts w:hint="eastAsia"/>
                <w:b/>
                <w:bCs w:val="0"/>
                <w:color w:val="auto"/>
                <w:highlight w:val="none"/>
                <w:lang w:val="en-US" w:eastAsia="zh-CN"/>
              </w:rPr>
              <w:t>标准</w:t>
            </w:r>
          </w:p>
        </w:tc>
        <w:tc>
          <w:tcPr>
            <w:tcW w:w="6968" w:type="dxa"/>
          </w:tcPr>
          <w:p w14:paraId="6B3C0CC7">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1、凡是《食品安全法》禁止经营的食品一律不得采购和使用，严禁配送“三无"食品、有毒、有害、过期、变质、假冒伪劣等不合格食品。禁止提供冷荦熟食制品，禁止提供野生蘑菇、发芽马玲薯、四季豆等高风险食材给单位加工食用。</w:t>
            </w:r>
          </w:p>
          <w:p w14:paraId="14C53123">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2、物料的验收工作由采购方和供应商共同进行。供应商提供的产品须经过食堂验收人员的 感官检验、外观检验和试用检验，若产品外观、包装、形式不符合要求、感官检验不能达到食品卫生要求，当即拒收;供应商不能满足食品的质、量及售后服务要求时，采购方有权进行处罚或终止合同。</w:t>
            </w:r>
          </w:p>
          <w:p w14:paraId="6FC833C0">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3、验收工作的一般程序为：根据食品请购清单的具体要求，对所购物料进行清点、外观检查以及对物料的各项指标和性能进行实测，并逐项记录。检测结束后，验收人员在验收单上签字。对未能通过验收的，一律退货、更换直至验收合格。</w:t>
            </w:r>
          </w:p>
          <w:p w14:paraId="0949827F">
            <w:pPr>
              <w:pStyle w:val="11"/>
              <w:rPr>
                <w:rFonts w:hint="eastAsia"/>
                <w:highlight w:val="none"/>
                <w:lang w:val="en-US" w:eastAsia="zh-CN"/>
              </w:rPr>
            </w:pPr>
          </w:p>
        </w:tc>
      </w:tr>
      <w:tr w14:paraId="35A9B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tcPr>
          <w:p w14:paraId="6D91A5D9">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w:t>
            </w:r>
            <w:r>
              <w:rPr>
                <w:rFonts w:hint="eastAsia" w:ascii="宋体" w:hAnsi="宋体" w:cs="宋体"/>
                <w:b/>
                <w:bCs/>
                <w:color w:val="auto"/>
                <w:highlight w:val="none"/>
                <w:lang w:val="en-US" w:eastAsia="zh-CN"/>
              </w:rPr>
              <w:t>七</w:t>
            </w:r>
            <w:r>
              <w:rPr>
                <w:rFonts w:hint="eastAsia" w:ascii="宋体" w:hAnsi="宋体" w:eastAsia="宋体" w:cs="宋体"/>
                <w:b/>
                <w:bCs/>
                <w:color w:val="auto"/>
                <w:highlight w:val="none"/>
                <w:lang w:val="en-US" w:eastAsia="zh-CN"/>
              </w:rPr>
              <w:t>）对配送供应商供应能力要求</w:t>
            </w:r>
          </w:p>
          <w:p w14:paraId="3BEA456C">
            <w:pPr>
              <w:numPr>
                <w:ilvl w:val="0"/>
                <w:numId w:val="0"/>
              </w:numPr>
              <w:spacing w:line="480" w:lineRule="auto"/>
              <w:rPr>
                <w:rFonts w:hint="eastAsia" w:ascii="Times New Roman" w:hAnsi="Times New Roman" w:eastAsia="宋体" w:cs="Times New Roman"/>
                <w:b/>
                <w:color w:val="auto"/>
                <w:sz w:val="30"/>
                <w:szCs w:val="30"/>
                <w:highlight w:val="none"/>
                <w:vertAlign w:val="baseline"/>
                <w:lang w:val="en-US" w:eastAsia="zh-CN"/>
              </w:rPr>
            </w:pPr>
          </w:p>
        </w:tc>
        <w:tc>
          <w:tcPr>
            <w:tcW w:w="6968" w:type="dxa"/>
          </w:tcPr>
          <w:p w14:paraId="2E69DD32">
            <w:pPr>
              <w:spacing w:line="440" w:lineRule="exact"/>
              <w:jc w:val="left"/>
              <w:rPr>
                <w:rFonts w:hint="eastAsia"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highlight w:val="none"/>
                <w:lang w:eastAsia="zh-CN"/>
              </w:rPr>
              <w:t>、</w:t>
            </w:r>
            <w:r>
              <w:rPr>
                <w:rFonts w:hint="eastAsia" w:ascii="宋体" w:hAnsi="宋体" w:cs="宋体"/>
                <w:color w:val="auto"/>
                <w:highlight w:val="none"/>
              </w:rPr>
              <w:t>配送供应商须具备较强的基地生产或稳定食品原材料采购供应渠道。</w:t>
            </w:r>
          </w:p>
          <w:p w14:paraId="1611B50B">
            <w:pPr>
              <w:spacing w:line="440" w:lineRule="exact"/>
              <w:jc w:val="left"/>
              <w:rPr>
                <w:rFonts w:hint="eastAsia"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eastAsia="zh-CN"/>
              </w:rPr>
              <w:t>、</w:t>
            </w:r>
            <w:r>
              <w:rPr>
                <w:rFonts w:hint="eastAsia" w:ascii="宋体" w:hAnsi="宋体" w:cs="宋体"/>
                <w:color w:val="auto"/>
                <w:highlight w:val="none"/>
              </w:rPr>
              <w:t>要求每天配送一次，具备足够的符合安全卫生标准的封闭厢式保鲜专用配送车辆及符合食品运输要求的固定司机。司机相关证照、健康证等报主管部门备案。</w:t>
            </w:r>
          </w:p>
          <w:p w14:paraId="6B8FBCE9">
            <w:pPr>
              <w:spacing w:line="440" w:lineRule="exact"/>
              <w:jc w:val="left"/>
              <w:rPr>
                <w:rFonts w:hint="eastAsia" w:ascii="宋体" w:hAnsi="宋体" w:cs="宋体"/>
                <w:color w:val="auto"/>
                <w:highlight w:val="none"/>
              </w:rPr>
            </w:pPr>
            <w:r>
              <w:rPr>
                <w:rFonts w:hint="eastAsia" w:ascii="宋体" w:hAnsi="宋体" w:cs="宋体"/>
                <w:color w:val="auto"/>
                <w:highlight w:val="none"/>
              </w:rPr>
              <w:t>3</w:t>
            </w:r>
            <w:r>
              <w:rPr>
                <w:rFonts w:hint="eastAsia" w:ascii="宋体" w:hAnsi="宋体" w:cs="宋体"/>
                <w:color w:val="auto"/>
                <w:highlight w:val="none"/>
                <w:lang w:eastAsia="zh-CN"/>
              </w:rPr>
              <w:t>、</w:t>
            </w:r>
            <w:r>
              <w:rPr>
                <w:rFonts w:hint="eastAsia" w:ascii="宋体" w:hAnsi="宋体" w:cs="宋体"/>
                <w:color w:val="auto"/>
                <w:highlight w:val="none"/>
              </w:rPr>
              <w:t>可追溯体系和监管体系要求。</w:t>
            </w:r>
          </w:p>
          <w:p w14:paraId="711D65F0">
            <w:pPr>
              <w:numPr>
                <w:ilvl w:val="0"/>
                <w:numId w:val="0"/>
              </w:numPr>
              <w:spacing w:line="480" w:lineRule="auto"/>
              <w:rPr>
                <w:rFonts w:hint="eastAsia" w:ascii="Times New Roman" w:hAnsi="Times New Roman" w:eastAsia="宋体" w:cs="Times New Roman"/>
                <w:b/>
                <w:color w:val="auto"/>
                <w:sz w:val="30"/>
                <w:szCs w:val="30"/>
                <w:highlight w:val="none"/>
                <w:vertAlign w:val="baseline"/>
                <w:lang w:val="en-US" w:eastAsia="zh-CN"/>
              </w:rPr>
            </w:pPr>
            <w:r>
              <w:rPr>
                <w:rFonts w:hint="eastAsia" w:ascii="宋体" w:hAnsi="宋体" w:cs="宋体"/>
                <w:color w:val="auto"/>
                <w:highlight w:val="none"/>
              </w:rPr>
              <w:t>配送供应商能够对生产和销售的食品材料追溯种植源头，对原材料从生产到加工每个环节实行实时监督。实行商品质量责任制，有严格的质量管理、质量监督、质量保证体系，有稳定的进货渠道。销售商品在保质期内。商品质量、卫生检测合格，符合国家标准、行业标准。</w:t>
            </w:r>
          </w:p>
        </w:tc>
      </w:tr>
      <w:tr w14:paraId="189D1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tcPr>
          <w:p w14:paraId="7E373488">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imes New Roman" w:hAnsi="Times New Roman" w:eastAsia="宋体" w:cs="Times New Roman"/>
                <w:b/>
                <w:color w:val="auto"/>
                <w:sz w:val="30"/>
                <w:szCs w:val="30"/>
                <w:highlight w:val="none"/>
                <w:vertAlign w:val="baseline"/>
                <w:lang w:val="en-US" w:eastAsia="zh-CN"/>
              </w:rPr>
            </w:pPr>
            <w:r>
              <w:rPr>
                <w:rFonts w:hint="eastAsia" w:ascii="宋体" w:hAnsi="宋体" w:eastAsia="宋体" w:cs="宋体"/>
                <w:b/>
                <w:bCs/>
                <w:color w:val="auto"/>
                <w:highlight w:val="none"/>
                <w:lang w:val="en-US" w:eastAsia="zh-CN"/>
              </w:rPr>
              <w:t>（八）</w:t>
            </w:r>
            <w:r>
              <w:rPr>
                <w:rFonts w:hint="eastAsia"/>
                <w:b/>
                <w:color w:val="auto"/>
                <w:highlight w:val="none"/>
                <w:lang w:val="en-US" w:eastAsia="zh-CN"/>
              </w:rPr>
              <w:t>合同签订期、合同履行期限</w:t>
            </w:r>
          </w:p>
        </w:tc>
        <w:tc>
          <w:tcPr>
            <w:tcW w:w="6968" w:type="dxa"/>
          </w:tcPr>
          <w:p w14:paraId="6045FA1B">
            <w:pPr>
              <w:keepNext w:val="0"/>
              <w:keepLines w:val="0"/>
              <w:pageBreakBefore w:val="0"/>
              <w:widowControl w:val="0"/>
              <w:kinsoku/>
              <w:wordWrap/>
              <w:overflowPunct/>
              <w:topLinePunct w:val="0"/>
              <w:autoSpaceDE/>
              <w:autoSpaceDN/>
              <w:bidi w:val="0"/>
              <w:snapToGrid/>
              <w:spacing w:line="440" w:lineRule="exact"/>
              <w:jc w:val="both"/>
              <w:textAlignment w:val="auto"/>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1、合同签订期：自中标通知书发出之日起 2</w:t>
            </w:r>
            <w:r>
              <w:rPr>
                <w:rFonts w:hint="eastAsia" w:cs="Times New Roman"/>
                <w:color w:val="auto"/>
                <w:szCs w:val="21"/>
                <w:highlight w:val="none"/>
                <w:lang w:val="en-US" w:eastAsia="zh-CN"/>
              </w:rPr>
              <w:t>5</w:t>
            </w:r>
            <w:r>
              <w:rPr>
                <w:rFonts w:hint="eastAsia" w:ascii="Times New Roman" w:hAnsi="Times New Roman" w:eastAsia="宋体" w:cs="Times New Roman"/>
                <w:color w:val="auto"/>
                <w:szCs w:val="21"/>
                <w:highlight w:val="none"/>
                <w:lang w:val="en-US" w:eastAsia="zh-CN"/>
              </w:rPr>
              <w:t>个自然日内。</w:t>
            </w:r>
          </w:p>
          <w:p w14:paraId="42A8DCC6">
            <w:pPr>
              <w:keepNext w:val="0"/>
              <w:keepLines w:val="0"/>
              <w:pageBreakBefore w:val="0"/>
              <w:widowControl w:val="0"/>
              <w:kinsoku/>
              <w:wordWrap/>
              <w:overflowPunct/>
              <w:topLinePunct w:val="0"/>
              <w:autoSpaceDE/>
              <w:autoSpaceDN/>
              <w:bidi w:val="0"/>
              <w:snapToGrid/>
              <w:spacing w:line="440" w:lineRule="exact"/>
              <w:jc w:val="both"/>
              <w:textAlignment w:val="auto"/>
              <w:rPr>
                <w:rFonts w:hint="eastAsia" w:ascii="Times New Roman" w:hAnsi="Times New Roman" w:eastAsia="宋体" w:cs="Times New Roman"/>
                <w:b/>
                <w:color w:val="auto"/>
                <w:sz w:val="30"/>
                <w:szCs w:val="30"/>
                <w:highlight w:val="none"/>
                <w:vertAlign w:val="baseline"/>
                <w:lang w:val="en-US" w:eastAsia="zh-CN"/>
              </w:rPr>
            </w:pPr>
            <w:r>
              <w:rPr>
                <w:rFonts w:hint="eastAsia" w:ascii="Times New Roman" w:hAnsi="Times New Roman" w:eastAsia="宋体" w:cs="Times New Roman"/>
                <w:color w:val="auto"/>
                <w:szCs w:val="21"/>
                <w:highlight w:val="none"/>
                <w:lang w:val="en-US" w:eastAsia="zh-CN"/>
              </w:rPr>
              <w:t>2、合同履行期限：自合同签订之日起2年（具体起止时间以签订合同为准）。</w:t>
            </w:r>
          </w:p>
        </w:tc>
      </w:tr>
      <w:tr w14:paraId="0EAE2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tcPr>
          <w:p w14:paraId="77D862AD">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（九）监督办法与退出机制</w:t>
            </w:r>
          </w:p>
          <w:p w14:paraId="5C23B2CF">
            <w:pPr>
              <w:numPr>
                <w:ilvl w:val="0"/>
                <w:numId w:val="0"/>
              </w:numPr>
              <w:spacing w:line="480" w:lineRule="auto"/>
              <w:rPr>
                <w:rFonts w:hint="eastAsia" w:ascii="Times New Roman" w:hAnsi="Times New Roman" w:eastAsia="宋体" w:cs="Times New Roman"/>
                <w:b/>
                <w:color w:val="auto"/>
                <w:sz w:val="30"/>
                <w:szCs w:val="30"/>
                <w:highlight w:val="none"/>
                <w:vertAlign w:val="baseline"/>
                <w:lang w:val="en-US" w:eastAsia="zh-CN"/>
              </w:rPr>
            </w:pPr>
          </w:p>
        </w:tc>
        <w:tc>
          <w:tcPr>
            <w:tcW w:w="6968" w:type="dxa"/>
          </w:tcPr>
          <w:p w14:paraId="1C8B6F22">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b w:val="0"/>
                <w:bCs w:val="0"/>
                <w:color w:val="auto"/>
                <w:highlight w:val="none"/>
                <w:lang w:val="en-US" w:eastAsia="zh-CN"/>
              </w:rPr>
              <w:t>1、</w:t>
            </w:r>
            <w:r>
              <w:rPr>
                <w:rFonts w:hint="eastAsia" w:ascii="宋体" w:hAnsi="宋体" w:eastAsia="宋体" w:cs="宋体"/>
                <w:b w:val="0"/>
                <w:bCs w:val="0"/>
                <w:color w:val="auto"/>
                <w:highlight w:val="none"/>
                <w:lang w:val="en-US" w:eastAsia="zh-CN"/>
              </w:rPr>
              <w:t>中标企业有下列情况之一的，经核查属实，学校约谈中标企业，责令整改，</w:t>
            </w:r>
            <w:r>
              <w:rPr>
                <w:rFonts w:hint="eastAsia" w:ascii="宋体" w:hAnsi="宋体" w:cs="宋体"/>
                <w:color w:val="auto"/>
                <w:szCs w:val="21"/>
                <w:highlight w:val="none"/>
              </w:rPr>
              <w:t>中标企业有下列第（1）、（2）、（3）、（12）（13）、（14）情况之一的，学校停止中标企业供应资格，有除上述序号以外其他下列情况之一的，经核查属实，学校约谈中标企业，责令整改，整改不到位或一个学期同一问题发生达二次（含二次）以上的，学校有权单方面解除与中标企业签订的采购协议并由中标企业承担由此造成一切损失，学校启动应急预案</w:t>
            </w:r>
            <w:r>
              <w:rPr>
                <w:rFonts w:hint="eastAsia" w:ascii="宋体" w:hAnsi="宋体" w:cs="宋体"/>
                <w:color w:val="auto"/>
                <w:szCs w:val="21"/>
                <w:highlight w:val="none"/>
                <w:lang w:eastAsia="zh-CN"/>
              </w:rPr>
              <w:t>。</w:t>
            </w:r>
          </w:p>
          <w:p w14:paraId="4E9855F5">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w:t>
            </w:r>
            <w:r>
              <w:rPr>
                <w:rFonts w:hint="eastAsia" w:ascii="宋体" w:hAnsi="宋体" w:eastAsia="宋体" w:cs="宋体"/>
                <w:b w:val="0"/>
                <w:bCs w:val="0"/>
                <w:color w:val="auto"/>
                <w:highlight w:val="none"/>
                <w:lang w:val="en-US" w:eastAsia="zh-CN"/>
              </w:rPr>
              <w:t>违反食品安全法律法规，被市场监管部门吊销或注销食品生产或食品经营许可证的</w:t>
            </w:r>
            <w:r>
              <w:rPr>
                <w:rFonts w:hint="eastAsia" w:ascii="宋体" w:hAnsi="宋体" w:cs="宋体"/>
                <w:b w:val="0"/>
                <w:bCs w:val="0"/>
                <w:color w:val="auto"/>
                <w:highlight w:val="none"/>
                <w:lang w:val="en-US" w:eastAsia="zh-CN"/>
              </w:rPr>
              <w:t>；</w:t>
            </w:r>
            <w:r>
              <w:rPr>
                <w:rFonts w:hint="eastAsia" w:ascii="宋体" w:hAnsi="宋体" w:eastAsia="宋体" w:cs="宋体"/>
                <w:b w:val="0"/>
                <w:bCs w:val="0"/>
                <w:color w:val="auto"/>
                <w:highlight w:val="none"/>
                <w:lang w:val="en-US" w:eastAsia="zh-CN"/>
              </w:rPr>
              <w:t>违反相关法律法规，被登记机构吊销营业执照的。</w:t>
            </w:r>
          </w:p>
          <w:p w14:paraId="111172FF">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（2）</w:t>
            </w:r>
            <w:r>
              <w:rPr>
                <w:rFonts w:hint="eastAsia" w:ascii="宋体" w:hAnsi="宋体" w:eastAsia="宋体" w:cs="宋体"/>
                <w:b w:val="0"/>
                <w:bCs w:val="0"/>
                <w:color w:val="auto"/>
                <w:highlight w:val="none"/>
                <w:lang w:val="en-US" w:eastAsia="zh-CN"/>
              </w:rPr>
              <w:t>供货期内因食品安全质量问题引发食品安全事故的。</w:t>
            </w:r>
          </w:p>
          <w:p w14:paraId="5191563E">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（3）</w:t>
            </w:r>
            <w:r>
              <w:rPr>
                <w:rFonts w:hint="eastAsia" w:ascii="宋体" w:hAnsi="宋体" w:eastAsia="宋体" w:cs="宋体"/>
                <w:b w:val="0"/>
                <w:bCs w:val="0"/>
                <w:color w:val="auto"/>
                <w:highlight w:val="none"/>
                <w:lang w:val="en-US" w:eastAsia="zh-CN"/>
              </w:rPr>
              <w:t>给学校配送《食品安全法》规定禁止生产经营食品的。</w:t>
            </w:r>
          </w:p>
          <w:p w14:paraId="4172A05C">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（4）</w:t>
            </w:r>
            <w:r>
              <w:rPr>
                <w:rFonts w:hint="eastAsia" w:ascii="宋体" w:hAnsi="宋体" w:eastAsia="宋体" w:cs="宋体"/>
                <w:b w:val="0"/>
                <w:bCs w:val="0"/>
                <w:color w:val="auto"/>
                <w:highlight w:val="none"/>
                <w:lang w:val="en-US" w:eastAsia="zh-CN"/>
              </w:rPr>
              <w:t>生产、经营者的生产经营条件发生变化，不符合生产经营要求，有发生食品安全事故潜在风险，所配送产品不符合食品安全标准的。</w:t>
            </w:r>
          </w:p>
          <w:p w14:paraId="2E9E7233">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（5）</w:t>
            </w:r>
            <w:r>
              <w:rPr>
                <w:rFonts w:hint="eastAsia" w:ascii="宋体" w:hAnsi="宋体" w:eastAsia="宋体" w:cs="宋体"/>
                <w:b w:val="0"/>
                <w:bCs w:val="0"/>
                <w:color w:val="auto"/>
                <w:highlight w:val="none"/>
                <w:lang w:val="en-US" w:eastAsia="zh-CN"/>
              </w:rPr>
              <w:t>出现降低供货质量标准,擅自更换履约人等其他违反法律法规或合同的行为的。</w:t>
            </w:r>
          </w:p>
          <w:p w14:paraId="0103FC1B">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（6）</w:t>
            </w:r>
            <w:r>
              <w:rPr>
                <w:rFonts w:hint="eastAsia" w:ascii="宋体" w:hAnsi="宋体" w:eastAsia="宋体" w:cs="宋体"/>
                <w:b w:val="0"/>
                <w:bCs w:val="0"/>
                <w:color w:val="auto"/>
                <w:highlight w:val="none"/>
                <w:lang w:val="en-US" w:eastAsia="zh-CN"/>
              </w:rPr>
              <w:t>配送的食材价格高于县(市、区)及周边地区的同期市场价格(市场实际交易价)并拒绝调整的;擅自更换采购合同约定的品牌、型号、规格的;擅自更换和学校约定的食谱所需食材品种的;供货时无正当理由拒绝供货或不按约定时间、地点送货的。</w:t>
            </w:r>
          </w:p>
          <w:p w14:paraId="667C2231">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（7）</w:t>
            </w:r>
            <w:r>
              <w:rPr>
                <w:rFonts w:hint="eastAsia" w:ascii="宋体" w:hAnsi="宋体" w:eastAsia="宋体" w:cs="宋体"/>
                <w:b w:val="0"/>
                <w:bCs w:val="0"/>
                <w:color w:val="auto"/>
                <w:highlight w:val="none"/>
                <w:lang w:val="en-US" w:eastAsia="zh-CN"/>
              </w:rPr>
              <w:t>供货期间存在克扣、减量、延时、拒绝供货或服务态度恶劣等行为，情节较为严重的。</w:t>
            </w:r>
          </w:p>
          <w:p w14:paraId="74C7BA58">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（8）</w:t>
            </w:r>
            <w:r>
              <w:rPr>
                <w:rFonts w:hint="eastAsia" w:ascii="宋体" w:hAnsi="宋体" w:eastAsia="宋体" w:cs="宋体"/>
                <w:b w:val="0"/>
                <w:bCs w:val="0"/>
                <w:color w:val="auto"/>
                <w:highlight w:val="none"/>
                <w:lang w:val="en-US" w:eastAsia="zh-CN"/>
              </w:rPr>
              <w:t>未按照供货合同规定按时向学校提供相关证件、食材抽检报告、分批次自检报告、检疫证明、销售凭证等资料的。</w:t>
            </w:r>
          </w:p>
          <w:p w14:paraId="18341C6E">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（9）</w:t>
            </w:r>
            <w:r>
              <w:rPr>
                <w:rFonts w:hint="eastAsia" w:ascii="宋体" w:hAnsi="宋体" w:eastAsia="宋体" w:cs="宋体"/>
                <w:b w:val="0"/>
                <w:bCs w:val="0"/>
                <w:color w:val="auto"/>
                <w:highlight w:val="none"/>
                <w:lang w:val="en-US" w:eastAsia="zh-CN"/>
              </w:rPr>
              <w:t>在供货期间除不可抗力因素外不能按时交货，且给学校造成损失的。</w:t>
            </w:r>
          </w:p>
          <w:p w14:paraId="2B7F6DF4">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（10）</w:t>
            </w:r>
            <w:r>
              <w:rPr>
                <w:rFonts w:hint="eastAsia" w:ascii="宋体" w:hAnsi="宋体" w:eastAsia="宋体" w:cs="宋体"/>
                <w:b w:val="0"/>
                <w:bCs w:val="0"/>
                <w:color w:val="auto"/>
                <w:highlight w:val="none"/>
                <w:lang w:val="en-US" w:eastAsia="zh-CN"/>
              </w:rPr>
              <w:t>未按供货合同规定按时缴纳履约保证金，未按时提供发票、未履行服务承诺和食品安全保证书的。</w:t>
            </w:r>
          </w:p>
          <w:p w14:paraId="62B8D1FE">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（11）</w:t>
            </w:r>
            <w:r>
              <w:rPr>
                <w:rFonts w:hint="eastAsia" w:ascii="宋体" w:hAnsi="宋体" w:eastAsia="宋体" w:cs="宋体"/>
                <w:b w:val="0"/>
                <w:bCs w:val="0"/>
                <w:color w:val="auto"/>
                <w:highlight w:val="none"/>
                <w:lang w:val="en-US" w:eastAsia="zh-CN"/>
              </w:rPr>
              <w:t>拒绝接受政府相关即能部门监督检查要求的;向学校虚开销售凭证、发票的。</w:t>
            </w:r>
          </w:p>
          <w:p w14:paraId="299D5203">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（12）</w:t>
            </w:r>
            <w:r>
              <w:rPr>
                <w:rFonts w:hint="eastAsia" w:ascii="宋体" w:hAnsi="宋体" w:eastAsia="宋体" w:cs="宋体"/>
                <w:b w:val="0"/>
                <w:bCs w:val="0"/>
                <w:color w:val="auto"/>
                <w:highlight w:val="none"/>
                <w:lang w:val="en-US" w:eastAsia="zh-CN"/>
              </w:rPr>
              <w:t>因供货商自身原因不能继续履行合同的或在每一个合同期内二次评议不合格的。</w:t>
            </w:r>
          </w:p>
          <w:p w14:paraId="5D057F14">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（13）</w:t>
            </w:r>
            <w:r>
              <w:rPr>
                <w:rFonts w:hint="eastAsia" w:ascii="宋体" w:hAnsi="宋体" w:eastAsia="宋体" w:cs="宋体"/>
                <w:b w:val="0"/>
                <w:bCs w:val="0"/>
                <w:color w:val="auto"/>
                <w:highlight w:val="none"/>
                <w:lang w:val="en-US" w:eastAsia="zh-CN"/>
              </w:rPr>
              <w:t>中标企业食品价格不执行中标时约定的折扣。</w:t>
            </w:r>
          </w:p>
          <w:p w14:paraId="366105D6">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（14）</w:t>
            </w:r>
            <w:r>
              <w:rPr>
                <w:rFonts w:hint="eastAsia" w:ascii="宋体" w:hAnsi="宋体" w:eastAsia="宋体" w:cs="宋体"/>
                <w:b w:val="0"/>
                <w:bCs w:val="0"/>
                <w:color w:val="auto"/>
                <w:highlight w:val="none"/>
                <w:lang w:val="en-US" w:eastAsia="zh-CN"/>
              </w:rPr>
              <w:t>中标企业配送的食材不经教育局同意就上架向学校销售，或不服从教育局、市监局等相关部门常规管理，影响学校食材采购工作的。</w:t>
            </w:r>
          </w:p>
          <w:p w14:paraId="350D0E16">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（15）</w:t>
            </w:r>
            <w:r>
              <w:rPr>
                <w:rFonts w:hint="eastAsia" w:ascii="宋体" w:hAnsi="宋体" w:eastAsia="宋体" w:cs="宋体"/>
                <w:b w:val="0"/>
                <w:bCs w:val="0"/>
                <w:color w:val="auto"/>
                <w:highlight w:val="none"/>
                <w:lang w:val="en-US" w:eastAsia="zh-CN"/>
              </w:rPr>
              <w:t>中标企业配送超过保质期、腐败变质、不经检验检疫的食品。</w:t>
            </w:r>
          </w:p>
          <w:p w14:paraId="4249F1CD">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（16）</w:t>
            </w:r>
            <w:r>
              <w:rPr>
                <w:rFonts w:hint="eastAsia" w:ascii="宋体" w:hAnsi="宋体" w:eastAsia="宋体" w:cs="宋体"/>
                <w:b w:val="0"/>
                <w:bCs w:val="0"/>
                <w:color w:val="auto"/>
                <w:highlight w:val="none"/>
                <w:lang w:val="en-US" w:eastAsia="zh-CN"/>
              </w:rPr>
              <w:t>中标企业存在严重食品安全隐患，被相关管理部门责令整改。</w:t>
            </w:r>
          </w:p>
          <w:p w14:paraId="09475D66">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（17）</w:t>
            </w:r>
            <w:r>
              <w:rPr>
                <w:rFonts w:hint="eastAsia" w:ascii="宋体" w:hAnsi="宋体" w:eastAsia="宋体" w:cs="宋体"/>
                <w:b w:val="0"/>
                <w:bCs w:val="0"/>
                <w:color w:val="auto"/>
                <w:highlight w:val="none"/>
                <w:lang w:val="en-US" w:eastAsia="zh-CN"/>
              </w:rPr>
              <w:t>中标企业不按时按质按量配送或拒绝配送，以次充好，短斤缺两，服务态度恶劣。</w:t>
            </w:r>
          </w:p>
          <w:p w14:paraId="2FCAE084">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（18）</w:t>
            </w:r>
            <w:r>
              <w:rPr>
                <w:rFonts w:hint="eastAsia" w:ascii="宋体" w:hAnsi="宋体" w:eastAsia="宋体" w:cs="宋体"/>
                <w:b w:val="0"/>
                <w:bCs w:val="0"/>
                <w:color w:val="auto"/>
                <w:highlight w:val="none"/>
                <w:lang w:val="en-US" w:eastAsia="zh-CN"/>
              </w:rPr>
              <w:t>中标企业不经学校同意，擅自改变学校采购清单的种类、品牌、质量和数量</w:t>
            </w:r>
          </w:p>
          <w:p w14:paraId="116549A7">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b w:val="0"/>
                <w:bCs w:val="0"/>
                <w:color w:val="auto"/>
                <w:highlight w:val="none"/>
                <w:lang w:val="en-US" w:eastAsia="zh-CN"/>
              </w:rPr>
              <w:t>2、</w:t>
            </w:r>
            <w:r>
              <w:rPr>
                <w:rFonts w:hint="eastAsia" w:ascii="宋体" w:hAnsi="宋体" w:eastAsia="宋体" w:cs="宋体"/>
                <w:b w:val="0"/>
                <w:bCs w:val="0"/>
                <w:color w:val="auto"/>
                <w:highlight w:val="none"/>
                <w:lang w:val="en-US" w:eastAsia="zh-CN"/>
              </w:rPr>
              <w:t>条件运用(条件运用适用于日常管理，已满足退出条件的，不适用条件运用</w:t>
            </w:r>
          </w:p>
          <w:p w14:paraId="4F026046">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w:t>
            </w:r>
            <w:r>
              <w:rPr>
                <w:rFonts w:hint="eastAsia" w:ascii="宋体" w:hAnsi="宋体" w:eastAsia="宋体" w:cs="宋体"/>
                <w:b w:val="0"/>
                <w:bCs w:val="0"/>
                <w:color w:val="auto"/>
                <w:highlight w:val="none"/>
                <w:lang w:val="en-US" w:eastAsia="zh-CN"/>
              </w:rPr>
              <w:t>定期测评。每学期学校对中标企业进行测评，主要是食材质量、服务水平、价格、协议执行情况、承诺兑现等方面，测评分低于95分的，学校对中标企业进行约谈整改，测评分低于90分的，中标企业暂停供货一个月，测评分低于85分的，学校有权单方面解除与中标企业签订的采购协议。</w:t>
            </w:r>
          </w:p>
          <w:p w14:paraId="05E30A73">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（2）</w:t>
            </w:r>
            <w:r>
              <w:rPr>
                <w:rFonts w:hint="eastAsia" w:ascii="宋体" w:hAnsi="宋体" w:eastAsia="宋体" w:cs="宋体"/>
                <w:b w:val="0"/>
                <w:bCs w:val="0"/>
                <w:color w:val="auto"/>
                <w:highlight w:val="none"/>
                <w:lang w:val="en-US" w:eastAsia="zh-CN"/>
              </w:rPr>
              <w:t>投诉运用。供应商经营过程中，在国务院互联网+督查平台被投诉举报(核查属实)1次的停止其供货一个月，2次的终止其供货合同;供应商在12345政务服务便民热线平台被投诉举报(核查属实)1次的进行约谈整改，2次的停止其供货一个月，3次的终止其供货合同;供应商被学校师生投诉举报(核查属实)1次的进行提醒教育，2次的进行约谈，3次的停止其供</w:t>
            </w:r>
            <w:r>
              <w:rPr>
                <w:rFonts w:hint="eastAsia" w:ascii="宋体" w:hAnsi="宋体" w:cs="宋体"/>
                <w:b w:val="0"/>
                <w:bCs w:val="0"/>
                <w:color w:val="auto"/>
                <w:highlight w:val="none"/>
                <w:lang w:val="en-US" w:eastAsia="zh-CN"/>
              </w:rPr>
              <w:t>货一个月，4次的终止其供货合同。</w:t>
            </w:r>
          </w:p>
          <w:p w14:paraId="1C6DFDF2">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cs="宋体"/>
                <w:b w:val="0"/>
                <w:bCs w:val="0"/>
                <w:color w:val="auto"/>
                <w:highlight w:val="none"/>
                <w:lang w:val="en-US" w:eastAsia="zh-CN"/>
              </w:rPr>
            </w:pPr>
            <w:r>
              <w:rPr>
                <w:rFonts w:hint="eastAsia" w:ascii="宋体" w:hAnsi="宋体" w:cs="宋体"/>
                <w:b w:val="0"/>
                <w:bCs w:val="0"/>
                <w:color w:val="auto"/>
                <w:highlight w:val="none"/>
                <w:lang w:val="en-US" w:eastAsia="zh-CN"/>
              </w:rPr>
              <w:t>3、中标企业利用不正当手段拉拢学校管理人员、采购人员、或验收人员的，发现一次终止合同。</w:t>
            </w:r>
          </w:p>
          <w:p w14:paraId="2D80EC76">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cs="宋体"/>
                <w:b w:val="0"/>
                <w:bCs w:val="0"/>
                <w:color w:val="auto"/>
                <w:highlight w:val="none"/>
                <w:lang w:val="en-US" w:eastAsia="zh-CN"/>
              </w:rPr>
            </w:pPr>
            <w:r>
              <w:rPr>
                <w:rFonts w:hint="eastAsia" w:ascii="宋体" w:hAnsi="宋体" w:cs="宋体"/>
                <w:b w:val="0"/>
                <w:bCs w:val="0"/>
                <w:color w:val="auto"/>
                <w:highlight w:val="none"/>
                <w:lang w:val="en-US" w:eastAsia="zh-CN"/>
              </w:rPr>
              <w:t>4、中标企业如有下列问题，终止协议，情节严重的，没收履约金，桂平市教育局将其拉入黑名单，同时限制其相关公司及其股东参与的其它公司5年内不能参与桂平市学校食品类经营活动，造成责任事故的将追究其法律责任。</w:t>
            </w:r>
          </w:p>
          <w:p w14:paraId="35C14339">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cs="宋体"/>
                <w:b w:val="0"/>
                <w:bCs w:val="0"/>
                <w:color w:val="auto"/>
                <w:highlight w:val="none"/>
                <w:lang w:val="en-US" w:eastAsia="zh-CN"/>
              </w:rPr>
            </w:pPr>
            <w:r>
              <w:rPr>
                <w:rFonts w:hint="eastAsia" w:ascii="宋体" w:hAnsi="宋体" w:cs="宋体"/>
                <w:b w:val="0"/>
                <w:bCs w:val="0"/>
                <w:color w:val="auto"/>
                <w:highlight w:val="none"/>
                <w:lang w:val="en-US" w:eastAsia="zh-CN"/>
              </w:rPr>
              <w:t>（1）配送食品质量有问题的。</w:t>
            </w:r>
          </w:p>
          <w:p w14:paraId="541B88B6">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cs="宋体"/>
                <w:b w:val="0"/>
                <w:bCs w:val="0"/>
                <w:color w:val="auto"/>
                <w:highlight w:val="none"/>
                <w:lang w:val="en-US" w:eastAsia="zh-CN"/>
              </w:rPr>
            </w:pPr>
            <w:r>
              <w:rPr>
                <w:rFonts w:hint="eastAsia" w:ascii="宋体" w:hAnsi="宋体" w:cs="宋体"/>
                <w:b w:val="0"/>
                <w:bCs w:val="0"/>
                <w:color w:val="auto"/>
                <w:highlight w:val="none"/>
                <w:lang w:val="en-US" w:eastAsia="zh-CN"/>
              </w:rPr>
              <w:t>（2）被市场监督部门吊销营业执照或许可证的。</w:t>
            </w:r>
          </w:p>
          <w:p w14:paraId="0B21790B">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cs="宋体"/>
                <w:b w:val="0"/>
                <w:bCs w:val="0"/>
                <w:color w:val="auto"/>
                <w:highlight w:val="none"/>
                <w:lang w:val="en-US" w:eastAsia="zh-CN"/>
              </w:rPr>
            </w:pPr>
            <w:r>
              <w:rPr>
                <w:rFonts w:hint="eastAsia" w:ascii="宋体" w:hAnsi="宋体" w:cs="宋体"/>
                <w:b w:val="0"/>
                <w:bCs w:val="0"/>
                <w:color w:val="auto"/>
                <w:highlight w:val="none"/>
                <w:lang w:val="en-US" w:eastAsia="zh-CN"/>
              </w:rPr>
              <w:t>（3）有转包分包行为的。</w:t>
            </w:r>
          </w:p>
          <w:p w14:paraId="109E053D">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cs="宋体"/>
                <w:b w:val="0"/>
                <w:bCs w:val="0"/>
                <w:color w:val="auto"/>
                <w:highlight w:val="none"/>
                <w:lang w:val="en-US" w:eastAsia="zh-CN"/>
              </w:rPr>
            </w:pPr>
            <w:r>
              <w:rPr>
                <w:rFonts w:hint="eastAsia" w:ascii="宋体" w:hAnsi="宋体" w:cs="宋体"/>
                <w:b w:val="0"/>
                <w:bCs w:val="0"/>
                <w:color w:val="auto"/>
                <w:highlight w:val="none"/>
                <w:lang w:val="en-US" w:eastAsia="zh-CN"/>
              </w:rPr>
              <w:t>5、中标企业在履约期间，中标企业及其法人，被相关部门列入失信被执行人、列为重大税收违法案件当事人名单、政府采购严重违法失信行为记录名单或因食材安全质量问题被市场督管部门处罚的。</w:t>
            </w:r>
          </w:p>
          <w:p w14:paraId="0A9D9C34">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highlight w:val="none"/>
                <w:lang w:val="en-US" w:eastAsia="zh-CN"/>
              </w:rPr>
            </w:pPr>
            <w:r>
              <w:rPr>
                <w:rFonts w:hint="eastAsia" w:ascii="宋体" w:hAnsi="宋体" w:cs="宋体"/>
                <w:b w:val="0"/>
                <w:bCs w:val="0"/>
                <w:color w:val="auto"/>
                <w:highlight w:val="none"/>
                <w:lang w:val="en-US" w:eastAsia="zh-CN"/>
              </w:rPr>
              <w:t>6、若因上级政策调整或不可抗拒因素导致中标方不能继续经营，学校不负违约责任，有权调整或终止合同。</w:t>
            </w:r>
          </w:p>
        </w:tc>
      </w:tr>
      <w:tr w14:paraId="5A3B8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vAlign w:val="center"/>
          </w:tcPr>
          <w:p w14:paraId="4D959136">
            <w:pPr>
              <w:spacing w:line="360" w:lineRule="auto"/>
              <w:jc w:val="center"/>
              <w:rPr>
                <w:rFonts w:hint="eastAsia" w:ascii="Times New Roman" w:hAnsi="Times New Roman" w:eastAsia="宋体" w:cs="Times New Roman"/>
                <w:b/>
                <w:color w:val="auto"/>
                <w:sz w:val="30"/>
                <w:szCs w:val="30"/>
                <w:highlight w:val="none"/>
                <w:vertAlign w:val="baseline"/>
                <w:lang w:val="en-US" w:eastAsia="zh-CN"/>
              </w:rPr>
            </w:pPr>
            <w:r>
              <w:rPr>
                <w:rFonts w:hint="eastAsia" w:ascii="宋体" w:hAnsi="宋体" w:cs="宋体"/>
                <w:color w:val="auto"/>
                <w:szCs w:val="21"/>
                <w:highlight w:val="none"/>
              </w:rPr>
              <w:t>包装和运输（如有）</w:t>
            </w:r>
          </w:p>
        </w:tc>
        <w:tc>
          <w:tcPr>
            <w:tcW w:w="6968" w:type="dxa"/>
            <w:vAlign w:val="center"/>
          </w:tcPr>
          <w:p w14:paraId="52EE2562">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无</w:t>
            </w:r>
          </w:p>
        </w:tc>
      </w:tr>
      <w:tr w14:paraId="11988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vAlign w:val="center"/>
          </w:tcPr>
          <w:p w14:paraId="471CD23F">
            <w:pPr>
              <w:spacing w:line="360" w:lineRule="auto"/>
              <w:jc w:val="center"/>
              <w:rPr>
                <w:rFonts w:hint="eastAsia" w:ascii="Times New Roman" w:hAnsi="Times New Roman" w:eastAsia="宋体" w:cs="Times New Roman"/>
                <w:b/>
                <w:color w:val="auto"/>
                <w:sz w:val="30"/>
                <w:szCs w:val="30"/>
                <w:highlight w:val="none"/>
                <w:vertAlign w:val="baseline"/>
                <w:lang w:val="en-US" w:eastAsia="zh-CN"/>
              </w:rPr>
            </w:pPr>
            <w:r>
              <w:rPr>
                <w:rFonts w:hint="eastAsia" w:ascii="宋体" w:hAnsi="宋体" w:cs="宋体"/>
                <w:color w:val="auto"/>
                <w:szCs w:val="21"/>
                <w:highlight w:val="none"/>
              </w:rPr>
              <w:t>保险（如有）</w:t>
            </w:r>
          </w:p>
        </w:tc>
        <w:tc>
          <w:tcPr>
            <w:tcW w:w="6968" w:type="dxa"/>
            <w:vAlign w:val="center"/>
          </w:tcPr>
          <w:p w14:paraId="2BA3D8D4">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无</w:t>
            </w:r>
          </w:p>
        </w:tc>
      </w:tr>
      <w:tr w14:paraId="7A2C5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5" w:type="dxa"/>
            <w:gridSpan w:val="2"/>
            <w:vAlign w:val="center"/>
          </w:tcPr>
          <w:p w14:paraId="5D2305A8">
            <w:pPr>
              <w:snapToGrid w:val="0"/>
              <w:spacing w:line="460" w:lineRule="exact"/>
              <w:jc w:val="left"/>
              <w:rPr>
                <w:rFonts w:hint="eastAsia" w:ascii="宋体" w:hAnsi="宋体" w:cs="宋体"/>
                <w:color w:val="auto"/>
                <w:szCs w:val="21"/>
                <w:highlight w:val="none"/>
              </w:rPr>
            </w:pPr>
            <w:r>
              <w:rPr>
                <w:rFonts w:hint="eastAsia" w:ascii="宋体" w:hAnsi="宋体" w:cs="宋体"/>
                <w:b/>
                <w:bCs/>
                <w:color w:val="auto"/>
                <w:szCs w:val="21"/>
                <w:highlight w:val="none"/>
              </w:rPr>
              <w:t>与实现项目目标相关的其他要求</w:t>
            </w:r>
          </w:p>
        </w:tc>
      </w:tr>
      <w:tr w14:paraId="23124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5" w:type="dxa"/>
            <w:gridSpan w:val="2"/>
            <w:vAlign w:val="center"/>
          </w:tcPr>
          <w:p w14:paraId="53CC9FB1">
            <w:pPr>
              <w:snapToGrid w:val="0"/>
              <w:spacing w:line="460" w:lineRule="exact"/>
              <w:jc w:val="left"/>
              <w:rPr>
                <w:rFonts w:hint="eastAsia" w:ascii="宋体" w:hAnsi="宋体" w:cs="宋体"/>
                <w:color w:val="auto"/>
                <w:szCs w:val="21"/>
                <w:highlight w:val="none"/>
              </w:rPr>
            </w:pPr>
            <w:r>
              <w:rPr>
                <w:rFonts w:hint="eastAsia" w:ascii="宋体" w:hAnsi="宋体" w:cs="宋体"/>
                <w:b/>
                <w:color w:val="auto"/>
                <w:szCs w:val="21"/>
                <w:highlight w:val="none"/>
              </w:rPr>
              <w:t>（一）投标人的履约能力要求</w:t>
            </w:r>
          </w:p>
        </w:tc>
      </w:tr>
      <w:tr w14:paraId="17785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vAlign w:val="center"/>
          </w:tcPr>
          <w:p w14:paraId="675BCF5D">
            <w:pPr>
              <w:spacing w:line="360" w:lineRule="auto"/>
              <w:jc w:val="center"/>
              <w:rPr>
                <w:rFonts w:hint="eastAsia" w:ascii="Times New Roman" w:hAnsi="Times New Roman" w:eastAsia="宋体" w:cs="Times New Roman"/>
                <w:b/>
                <w:color w:val="auto"/>
                <w:sz w:val="30"/>
                <w:szCs w:val="30"/>
                <w:highlight w:val="none"/>
                <w:vertAlign w:val="baseline"/>
                <w:lang w:val="en-US" w:eastAsia="zh-CN"/>
              </w:rPr>
            </w:pPr>
            <w:r>
              <w:rPr>
                <w:rFonts w:hint="eastAsia" w:ascii="宋体" w:hAnsi="宋体" w:cs="宋体"/>
                <w:color w:val="auto"/>
                <w:szCs w:val="21"/>
                <w:highlight w:val="none"/>
              </w:rPr>
              <w:t>管理体系要求</w:t>
            </w:r>
          </w:p>
        </w:tc>
        <w:tc>
          <w:tcPr>
            <w:tcW w:w="6968" w:type="dxa"/>
            <w:vAlign w:val="center"/>
          </w:tcPr>
          <w:p w14:paraId="0710EFCD">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无</w:t>
            </w:r>
          </w:p>
        </w:tc>
      </w:tr>
      <w:tr w14:paraId="70D07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vAlign w:val="center"/>
          </w:tcPr>
          <w:p w14:paraId="1A50341D">
            <w:pPr>
              <w:spacing w:line="360" w:lineRule="auto"/>
              <w:jc w:val="center"/>
              <w:rPr>
                <w:rFonts w:hint="eastAsia" w:ascii="Times New Roman" w:hAnsi="Times New Roman" w:eastAsia="宋体" w:cs="Times New Roman"/>
                <w:b/>
                <w:color w:val="auto"/>
                <w:sz w:val="30"/>
                <w:szCs w:val="30"/>
                <w:highlight w:val="none"/>
                <w:vertAlign w:val="baseline"/>
                <w:lang w:val="en-US" w:eastAsia="zh-CN"/>
              </w:rPr>
            </w:pPr>
            <w:r>
              <w:rPr>
                <w:rFonts w:hint="eastAsia" w:ascii="宋体" w:hAnsi="宋体" w:cs="宋体"/>
                <w:color w:val="auto"/>
                <w:szCs w:val="21"/>
                <w:highlight w:val="none"/>
              </w:rPr>
              <w:t>业绩要求</w:t>
            </w:r>
          </w:p>
        </w:tc>
        <w:tc>
          <w:tcPr>
            <w:tcW w:w="6968" w:type="dxa"/>
            <w:vAlign w:val="center"/>
          </w:tcPr>
          <w:p w14:paraId="2BABE980">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无</w:t>
            </w:r>
          </w:p>
        </w:tc>
      </w:tr>
      <w:tr w14:paraId="1DD6B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5" w:type="dxa"/>
            <w:gridSpan w:val="2"/>
            <w:vAlign w:val="center"/>
          </w:tcPr>
          <w:p w14:paraId="1D7E7CE6">
            <w:pPr>
              <w:spacing w:line="360" w:lineRule="auto"/>
              <w:jc w:val="left"/>
              <w:rPr>
                <w:rFonts w:hint="eastAsia" w:ascii="宋体" w:hAnsi="宋体" w:cs="宋体"/>
                <w:color w:val="auto"/>
                <w:szCs w:val="21"/>
                <w:highlight w:val="none"/>
              </w:rPr>
            </w:pPr>
            <w:r>
              <w:rPr>
                <w:rFonts w:hint="eastAsia" w:ascii="宋体" w:hAnsi="宋体" w:cs="宋体"/>
                <w:b/>
                <w:bCs/>
                <w:color w:val="auto"/>
                <w:szCs w:val="21"/>
                <w:highlight w:val="none"/>
              </w:rPr>
              <w:t>（</w:t>
            </w:r>
            <w:r>
              <w:rPr>
                <w:rFonts w:hint="eastAsia" w:ascii="宋体" w:hAnsi="宋体" w:cs="宋体"/>
                <w:b/>
                <w:bCs/>
                <w:color w:val="auto"/>
                <w:szCs w:val="21"/>
                <w:highlight w:val="none"/>
                <w:lang w:val="en-US" w:eastAsia="zh-CN"/>
              </w:rPr>
              <w:t>二</w:t>
            </w:r>
            <w:r>
              <w:rPr>
                <w:rFonts w:hint="eastAsia" w:ascii="宋体" w:hAnsi="宋体" w:cs="宋体"/>
                <w:b/>
                <w:bCs/>
                <w:color w:val="auto"/>
                <w:szCs w:val="21"/>
                <w:highlight w:val="none"/>
              </w:rPr>
              <w:t>）其他要求</w:t>
            </w:r>
          </w:p>
        </w:tc>
      </w:tr>
      <w:tr w14:paraId="71AAD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vAlign w:val="center"/>
          </w:tcPr>
          <w:p w14:paraId="60525476">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其他要求</w:t>
            </w:r>
          </w:p>
        </w:tc>
        <w:tc>
          <w:tcPr>
            <w:tcW w:w="6968" w:type="dxa"/>
            <w:vAlign w:val="center"/>
          </w:tcPr>
          <w:p w14:paraId="4C7E1001">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投标人根据本项目招标文件要求，于投标文件中提供相应的</w:t>
            </w:r>
            <w:r>
              <w:rPr>
                <w:rFonts w:hint="eastAsia" w:ascii="宋体" w:hAnsi="宋体" w:cs="宋体"/>
                <w:b/>
                <w:bCs/>
                <w:color w:val="auto"/>
                <w:szCs w:val="21"/>
                <w:highlight w:val="none"/>
              </w:rPr>
              <w:t>“</w:t>
            </w:r>
            <w:r>
              <w:rPr>
                <w:rFonts w:hint="eastAsia" w:ascii="宋体" w:hAnsi="宋体" w:eastAsia="宋体" w:cs="宋体"/>
                <w:b/>
                <w:bCs/>
                <w:color w:val="auto"/>
                <w:szCs w:val="21"/>
                <w:highlight w:val="none"/>
                <w:shd w:val="clear" w:color="auto" w:fill="auto"/>
              </w:rPr>
              <w:t>项目实施方案</w:t>
            </w:r>
            <w:r>
              <w:rPr>
                <w:rFonts w:hint="eastAsia" w:ascii="宋体" w:hAnsi="宋体" w:cs="宋体"/>
                <w:b/>
                <w:bCs/>
                <w:color w:val="auto"/>
                <w:szCs w:val="21"/>
                <w:highlight w:val="none"/>
              </w:rPr>
              <w:t>、</w:t>
            </w:r>
            <w:r>
              <w:rPr>
                <w:rFonts w:hint="eastAsia" w:ascii="宋体" w:hAnsi="宋体" w:eastAsia="宋体" w:cs="宋体"/>
                <w:b/>
                <w:bCs/>
                <w:color w:val="auto"/>
                <w:szCs w:val="21"/>
                <w:highlight w:val="none"/>
                <w:shd w:val="clear" w:color="auto" w:fill="auto"/>
              </w:rPr>
              <w:t>食品安全与质量保障能力</w:t>
            </w:r>
            <w:r>
              <w:rPr>
                <w:rFonts w:hint="eastAsia" w:ascii="宋体" w:hAnsi="宋体" w:cs="宋体"/>
                <w:b/>
                <w:bCs/>
                <w:color w:val="auto"/>
                <w:szCs w:val="21"/>
                <w:highlight w:val="none"/>
              </w:rPr>
              <w:t>、</w:t>
            </w:r>
            <w:r>
              <w:rPr>
                <w:rFonts w:hint="eastAsia" w:ascii="宋体" w:hAnsi="宋体" w:eastAsia="宋体" w:cs="宋体"/>
                <w:b/>
                <w:bCs/>
                <w:color w:val="auto"/>
                <w:szCs w:val="21"/>
                <w:highlight w:val="none"/>
                <w:shd w:val="clear" w:color="auto" w:fill="auto"/>
              </w:rPr>
              <w:t>服务承诺与售后服务方案</w:t>
            </w:r>
            <w:r>
              <w:rPr>
                <w:rFonts w:hint="eastAsia" w:ascii="宋体" w:hAnsi="宋体" w:cs="宋体"/>
                <w:b/>
                <w:bCs/>
                <w:color w:val="auto"/>
                <w:szCs w:val="21"/>
                <w:highlight w:val="none"/>
              </w:rPr>
              <w:t>、管理制度、配送能力、拟投入人员、</w:t>
            </w:r>
            <w:r>
              <w:rPr>
                <w:rFonts w:hint="eastAsia" w:ascii="宋体" w:hAnsi="宋体" w:cs="宋体"/>
                <w:b/>
                <w:bCs/>
                <w:color w:val="auto"/>
                <w:szCs w:val="21"/>
                <w:highlight w:val="none"/>
                <w:lang w:val="en-US" w:eastAsia="zh-CN"/>
              </w:rPr>
              <w:t>配送</w:t>
            </w:r>
            <w:r>
              <w:rPr>
                <w:rFonts w:hint="eastAsia" w:ascii="宋体" w:hAnsi="宋体" w:cs="宋体"/>
                <w:b/>
                <w:bCs/>
                <w:color w:val="auto"/>
                <w:szCs w:val="21"/>
                <w:highlight w:val="none"/>
              </w:rPr>
              <w:t>场所、投标人承诺或购买《食品安全责任保险》</w:t>
            </w:r>
            <w:r>
              <w:rPr>
                <w:rFonts w:hint="eastAsia" w:ascii="宋体" w:hAnsi="宋体" w:cs="宋体"/>
                <w:b/>
                <w:bCs/>
                <w:color w:val="auto"/>
                <w:szCs w:val="21"/>
                <w:highlight w:val="none"/>
                <w:lang w:eastAsia="zh-CN"/>
              </w:rPr>
              <w:t>、业绩</w:t>
            </w:r>
            <w:r>
              <w:rPr>
                <w:rFonts w:hint="eastAsia" w:ascii="宋体" w:hAnsi="宋体" w:cs="宋体"/>
                <w:b/>
                <w:bCs/>
                <w:color w:val="auto"/>
                <w:szCs w:val="21"/>
                <w:highlight w:val="none"/>
              </w:rPr>
              <w:t>”</w:t>
            </w:r>
            <w:r>
              <w:rPr>
                <w:rFonts w:hint="eastAsia" w:ascii="宋体" w:hAnsi="宋体" w:cs="宋体"/>
                <w:color w:val="auto"/>
                <w:szCs w:val="21"/>
                <w:highlight w:val="none"/>
              </w:rPr>
              <w:t>等内容。</w:t>
            </w:r>
          </w:p>
        </w:tc>
      </w:tr>
    </w:tbl>
    <w:p w14:paraId="4817DB75">
      <w:pPr>
        <w:spacing w:line="428" w:lineRule="exact"/>
        <w:ind w:left="119"/>
        <w:rPr>
          <w:rFonts w:hint="eastAsia" w:ascii="宋体" w:hAnsi="宋体" w:eastAsia="宋体" w:cs="宋体"/>
          <w:color w:val="auto"/>
          <w:sz w:val="32"/>
          <w:szCs w:val="32"/>
          <w:highlight w:val="none"/>
        </w:rPr>
      </w:pPr>
    </w:p>
    <w:p w14:paraId="7B40503D">
      <w:pPr>
        <w:spacing w:line="428" w:lineRule="exact"/>
        <w:ind w:left="119"/>
        <w:rPr>
          <w:rFonts w:hint="eastAsia" w:ascii="宋体" w:hAnsi="宋体" w:eastAsia="宋体" w:cs="宋体"/>
          <w:color w:val="auto"/>
          <w:sz w:val="32"/>
          <w:szCs w:val="32"/>
          <w:highlight w:val="none"/>
        </w:rPr>
      </w:pPr>
    </w:p>
    <w:p w14:paraId="42297A53">
      <w:pPr>
        <w:spacing w:line="428" w:lineRule="exact"/>
        <w:ind w:left="119"/>
        <w:rPr>
          <w:rFonts w:hint="eastAsia" w:ascii="宋体" w:hAnsi="宋体" w:eastAsia="宋体" w:cs="宋体"/>
          <w:color w:val="auto"/>
          <w:sz w:val="32"/>
          <w:szCs w:val="32"/>
          <w:highlight w:val="none"/>
        </w:rPr>
      </w:pPr>
    </w:p>
    <w:p w14:paraId="282863E9">
      <w:pP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br w:type="page"/>
      </w:r>
    </w:p>
    <w:p w14:paraId="660FE5B0">
      <w:pPr>
        <w:spacing w:line="428" w:lineRule="exact"/>
        <w:ind w:left="11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附件1：</w:t>
      </w:r>
    </w:p>
    <w:p w14:paraId="58AF1D4B">
      <w:pPr>
        <w:spacing w:before="7"/>
        <w:rPr>
          <w:rFonts w:hint="eastAsia" w:ascii="宋体" w:hAnsi="宋体" w:eastAsia="宋体" w:cs="宋体"/>
          <w:color w:val="auto"/>
          <w:sz w:val="17"/>
          <w:szCs w:val="17"/>
          <w:highlight w:val="none"/>
        </w:rPr>
      </w:pPr>
    </w:p>
    <w:p w14:paraId="11823820">
      <w:pPr>
        <w:pStyle w:val="16"/>
        <w:jc w:val="left"/>
        <w:rPr>
          <w:rFonts w:hint="eastAsia" w:ascii="宋体" w:hAnsi="宋体" w:eastAsia="宋体" w:cs="宋体"/>
          <w:color w:val="auto"/>
          <w:sz w:val="32"/>
          <w:szCs w:val="32"/>
          <w:highlight w:val="none"/>
        </w:rPr>
      </w:pPr>
    </w:p>
    <w:p w14:paraId="6550078D">
      <w:pPr>
        <w:widowControl/>
        <w:spacing w:before="156" w:beforeLines="50" w:after="156" w:afterLines="50" w:line="280" w:lineRule="exact"/>
        <w:jc w:val="center"/>
        <w:rPr>
          <w:rFonts w:ascii="宋体" w:hAnsi="宋体" w:cs="宋体"/>
          <w:b/>
          <w:bCs/>
          <w:color w:val="auto"/>
          <w:kern w:val="0"/>
          <w:sz w:val="30"/>
          <w:szCs w:val="30"/>
          <w:highlight w:val="none"/>
        </w:rPr>
      </w:pPr>
      <w:bookmarkStart w:id="57" w:name="_Toc28361_WPSOffice_Level2"/>
      <w:r>
        <w:rPr>
          <w:rFonts w:hint="eastAsia" w:ascii="宋体" w:hAnsi="宋体" w:cs="宋体"/>
          <w:b/>
          <w:bCs/>
          <w:color w:val="auto"/>
          <w:kern w:val="0"/>
          <w:sz w:val="30"/>
          <w:szCs w:val="30"/>
          <w:highlight w:val="none"/>
        </w:rPr>
        <w:t>统计上大中小微型企业划分标准</w:t>
      </w:r>
      <w:bookmarkEnd w:id="57"/>
    </w:p>
    <w:tbl>
      <w:tblPr>
        <w:tblStyle w:val="27"/>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14:paraId="6E2CE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jc w:val="center"/>
        </w:trPr>
        <w:tc>
          <w:tcPr>
            <w:tcW w:w="2113" w:type="dxa"/>
            <w:shd w:val="clear" w:color="auto" w:fill="8DB3E2"/>
            <w:noWrap w:val="0"/>
            <w:vAlign w:val="center"/>
          </w:tcPr>
          <w:p w14:paraId="2E15810D">
            <w:pPr>
              <w:widowControl/>
              <w:spacing w:line="280" w:lineRule="exact"/>
              <w:jc w:val="center"/>
              <w:rPr>
                <w:rFonts w:ascii="宋体" w:hAnsi="宋体" w:cs="宋体"/>
                <w:b/>
                <w:bCs/>
                <w:color w:val="auto"/>
                <w:kern w:val="0"/>
                <w:sz w:val="18"/>
                <w:szCs w:val="21"/>
                <w:highlight w:val="none"/>
              </w:rPr>
            </w:pPr>
            <w:r>
              <w:rPr>
                <w:rFonts w:hint="eastAsia" w:ascii="宋体" w:hAnsi="宋体" w:cs="宋体"/>
                <w:b/>
                <w:bCs/>
                <w:color w:val="auto"/>
                <w:kern w:val="0"/>
                <w:sz w:val="18"/>
                <w:szCs w:val="21"/>
                <w:highlight w:val="none"/>
              </w:rPr>
              <w:t>行业名称</w:t>
            </w:r>
          </w:p>
        </w:tc>
        <w:tc>
          <w:tcPr>
            <w:tcW w:w="1369" w:type="dxa"/>
            <w:shd w:val="clear" w:color="auto" w:fill="8DB3E2"/>
            <w:noWrap w:val="0"/>
            <w:vAlign w:val="center"/>
          </w:tcPr>
          <w:p w14:paraId="0E944F70">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指标名称</w:t>
            </w:r>
          </w:p>
        </w:tc>
        <w:tc>
          <w:tcPr>
            <w:tcW w:w="709" w:type="dxa"/>
            <w:shd w:val="clear" w:color="auto" w:fill="8DB3E2"/>
            <w:noWrap w:val="0"/>
            <w:vAlign w:val="center"/>
          </w:tcPr>
          <w:p w14:paraId="41CECE22">
            <w:pPr>
              <w:widowControl/>
              <w:spacing w:line="280" w:lineRule="exact"/>
              <w:jc w:val="center"/>
              <w:rPr>
                <w:rFonts w:hint="eastAsia" w:ascii="宋体" w:hAnsi="宋体" w:eastAsia="宋体" w:cs="宋体"/>
                <w:b/>
                <w:bCs/>
                <w:color w:val="auto"/>
                <w:kern w:val="0"/>
                <w:sz w:val="18"/>
                <w:szCs w:val="18"/>
                <w:highlight w:val="none"/>
                <w:lang w:eastAsia="zh-CN"/>
              </w:rPr>
            </w:pPr>
            <w:r>
              <w:rPr>
                <w:rFonts w:hint="eastAsia" w:ascii="宋体" w:hAnsi="宋体" w:cs="宋体"/>
                <w:b/>
                <w:bCs/>
                <w:color w:val="auto"/>
                <w:kern w:val="0"/>
                <w:sz w:val="18"/>
                <w:szCs w:val="18"/>
                <w:highlight w:val="none"/>
              </w:rPr>
              <w:t>计量</w:t>
            </w:r>
          </w:p>
          <w:p w14:paraId="44739ABD">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单位</w:t>
            </w:r>
          </w:p>
        </w:tc>
        <w:tc>
          <w:tcPr>
            <w:tcW w:w="1125" w:type="dxa"/>
            <w:shd w:val="clear" w:color="auto" w:fill="8DB3E2"/>
            <w:noWrap w:val="0"/>
            <w:vAlign w:val="center"/>
          </w:tcPr>
          <w:p w14:paraId="2E506666">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大型</w:t>
            </w:r>
          </w:p>
        </w:tc>
        <w:tc>
          <w:tcPr>
            <w:tcW w:w="1701" w:type="dxa"/>
            <w:shd w:val="clear" w:color="auto" w:fill="8DB3E2"/>
            <w:noWrap w:val="0"/>
            <w:vAlign w:val="center"/>
          </w:tcPr>
          <w:p w14:paraId="1CF464C6">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中型</w:t>
            </w:r>
          </w:p>
        </w:tc>
        <w:tc>
          <w:tcPr>
            <w:tcW w:w="1426" w:type="dxa"/>
            <w:shd w:val="clear" w:color="auto" w:fill="8DB3E2"/>
            <w:noWrap w:val="0"/>
            <w:vAlign w:val="center"/>
          </w:tcPr>
          <w:p w14:paraId="4BC12F37">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小型</w:t>
            </w:r>
          </w:p>
        </w:tc>
        <w:tc>
          <w:tcPr>
            <w:tcW w:w="992" w:type="dxa"/>
            <w:shd w:val="clear" w:color="auto" w:fill="8DB3E2"/>
            <w:noWrap w:val="0"/>
            <w:vAlign w:val="center"/>
          </w:tcPr>
          <w:p w14:paraId="29F8FB7A">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微型</w:t>
            </w:r>
          </w:p>
        </w:tc>
      </w:tr>
      <w:tr w14:paraId="2C925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noWrap w:val="0"/>
            <w:vAlign w:val="center"/>
          </w:tcPr>
          <w:p w14:paraId="339DC618">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农、林、牧、渔业</w:t>
            </w:r>
          </w:p>
        </w:tc>
        <w:tc>
          <w:tcPr>
            <w:tcW w:w="1369" w:type="dxa"/>
            <w:noWrap w:val="0"/>
            <w:vAlign w:val="center"/>
          </w:tcPr>
          <w:p w14:paraId="7B5CB1D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5C0CC59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5B27D32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w:t>
            </w:r>
          </w:p>
        </w:tc>
        <w:tc>
          <w:tcPr>
            <w:tcW w:w="1701" w:type="dxa"/>
            <w:noWrap w:val="0"/>
            <w:vAlign w:val="center"/>
          </w:tcPr>
          <w:p w14:paraId="6274A67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426" w:type="dxa"/>
            <w:noWrap w:val="0"/>
            <w:vAlign w:val="center"/>
          </w:tcPr>
          <w:p w14:paraId="43A1D3F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50≤Y＜500</w:t>
            </w:r>
          </w:p>
        </w:tc>
        <w:tc>
          <w:tcPr>
            <w:tcW w:w="992" w:type="dxa"/>
            <w:noWrap w:val="0"/>
            <w:vAlign w:val="center"/>
          </w:tcPr>
          <w:p w14:paraId="76AFD28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6AC90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0F68ECCF">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工业 </w:t>
            </w:r>
          </w:p>
        </w:tc>
        <w:tc>
          <w:tcPr>
            <w:tcW w:w="1369" w:type="dxa"/>
            <w:noWrap w:val="0"/>
            <w:vAlign w:val="center"/>
          </w:tcPr>
          <w:p w14:paraId="75EDFE0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5B03995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1D35CE6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noWrap w:val="0"/>
            <w:vAlign w:val="center"/>
          </w:tcPr>
          <w:p w14:paraId="6BE8ABE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noWrap w:val="0"/>
            <w:vAlign w:val="center"/>
          </w:tcPr>
          <w:p w14:paraId="76032A7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992" w:type="dxa"/>
            <w:noWrap w:val="0"/>
            <w:vAlign w:val="center"/>
          </w:tcPr>
          <w:p w14:paraId="0789A7E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3BFA7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58ECD58C">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595FB1D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34E1533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4468F55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Y≥40000</w:t>
            </w:r>
          </w:p>
        </w:tc>
        <w:tc>
          <w:tcPr>
            <w:tcW w:w="1701" w:type="dxa"/>
            <w:noWrap w:val="0"/>
            <w:vAlign w:val="center"/>
          </w:tcPr>
          <w:p w14:paraId="2CFB233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2000≤Y＜40000</w:t>
            </w:r>
          </w:p>
        </w:tc>
        <w:tc>
          <w:tcPr>
            <w:tcW w:w="1426" w:type="dxa"/>
            <w:noWrap w:val="0"/>
            <w:vAlign w:val="center"/>
          </w:tcPr>
          <w:p w14:paraId="7E878E3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300≤Y＜2000</w:t>
            </w:r>
          </w:p>
        </w:tc>
        <w:tc>
          <w:tcPr>
            <w:tcW w:w="992" w:type="dxa"/>
            <w:noWrap w:val="0"/>
            <w:vAlign w:val="center"/>
          </w:tcPr>
          <w:p w14:paraId="334DDE7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386BC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14CC6EC6">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建筑业</w:t>
            </w:r>
          </w:p>
        </w:tc>
        <w:tc>
          <w:tcPr>
            <w:tcW w:w="1369" w:type="dxa"/>
            <w:noWrap w:val="0"/>
            <w:vAlign w:val="center"/>
          </w:tcPr>
          <w:p w14:paraId="2CA75DB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0F09F1F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5AF10B3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Y≥80000</w:t>
            </w:r>
          </w:p>
        </w:tc>
        <w:tc>
          <w:tcPr>
            <w:tcW w:w="1701" w:type="dxa"/>
            <w:noWrap w:val="0"/>
            <w:vAlign w:val="center"/>
          </w:tcPr>
          <w:p w14:paraId="4B7E600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6000≤Y＜80000</w:t>
            </w:r>
          </w:p>
        </w:tc>
        <w:tc>
          <w:tcPr>
            <w:tcW w:w="1426" w:type="dxa"/>
            <w:noWrap w:val="0"/>
            <w:vAlign w:val="center"/>
          </w:tcPr>
          <w:p w14:paraId="7AA7A08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300≤Y＜6000</w:t>
            </w:r>
          </w:p>
        </w:tc>
        <w:tc>
          <w:tcPr>
            <w:tcW w:w="992" w:type="dxa"/>
            <w:noWrap w:val="0"/>
            <w:vAlign w:val="center"/>
          </w:tcPr>
          <w:p w14:paraId="70B0EC7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64C7B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4FB3FDFC">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0A76420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noWrap w:val="0"/>
            <w:vAlign w:val="center"/>
          </w:tcPr>
          <w:p w14:paraId="618DDE8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01F6C5C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Z≥80000</w:t>
            </w:r>
          </w:p>
        </w:tc>
        <w:tc>
          <w:tcPr>
            <w:tcW w:w="1701" w:type="dxa"/>
            <w:noWrap w:val="0"/>
            <w:vAlign w:val="center"/>
          </w:tcPr>
          <w:p w14:paraId="3A33550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5000≤Z＜80000</w:t>
            </w:r>
          </w:p>
        </w:tc>
        <w:tc>
          <w:tcPr>
            <w:tcW w:w="1426" w:type="dxa"/>
            <w:noWrap w:val="0"/>
            <w:vAlign w:val="center"/>
          </w:tcPr>
          <w:p w14:paraId="69CC953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300≤Z＜5000</w:t>
            </w:r>
          </w:p>
        </w:tc>
        <w:tc>
          <w:tcPr>
            <w:tcW w:w="992" w:type="dxa"/>
            <w:noWrap w:val="0"/>
            <w:vAlign w:val="center"/>
          </w:tcPr>
          <w:p w14:paraId="2F9BF00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Z＜300</w:t>
            </w:r>
          </w:p>
        </w:tc>
      </w:tr>
      <w:tr w14:paraId="7993A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24B1D158">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批发业</w:t>
            </w:r>
          </w:p>
        </w:tc>
        <w:tc>
          <w:tcPr>
            <w:tcW w:w="1369" w:type="dxa"/>
            <w:noWrap w:val="0"/>
            <w:vAlign w:val="center"/>
          </w:tcPr>
          <w:p w14:paraId="13B2C3A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32B6E78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30F0C8C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w:t>
            </w:r>
          </w:p>
        </w:tc>
        <w:tc>
          <w:tcPr>
            <w:tcW w:w="1701" w:type="dxa"/>
            <w:noWrap w:val="0"/>
            <w:vAlign w:val="center"/>
          </w:tcPr>
          <w:p w14:paraId="0C7F391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20≤X＜200</w:t>
            </w:r>
          </w:p>
        </w:tc>
        <w:tc>
          <w:tcPr>
            <w:tcW w:w="1426" w:type="dxa"/>
            <w:noWrap w:val="0"/>
            <w:vAlign w:val="center"/>
          </w:tcPr>
          <w:p w14:paraId="669BA87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5≤X＜20</w:t>
            </w:r>
          </w:p>
        </w:tc>
        <w:tc>
          <w:tcPr>
            <w:tcW w:w="992" w:type="dxa"/>
            <w:noWrap w:val="0"/>
            <w:vAlign w:val="center"/>
          </w:tcPr>
          <w:p w14:paraId="7D10F4C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X＜5</w:t>
            </w:r>
          </w:p>
        </w:tc>
      </w:tr>
      <w:tr w14:paraId="2A5C3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0B7D58A1">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4C08EF1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75A9B3B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7BCCB2A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Y≥40000</w:t>
            </w:r>
          </w:p>
        </w:tc>
        <w:tc>
          <w:tcPr>
            <w:tcW w:w="1701" w:type="dxa"/>
            <w:noWrap w:val="0"/>
            <w:vAlign w:val="center"/>
          </w:tcPr>
          <w:p w14:paraId="1F7D163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5000≤Y＜40000</w:t>
            </w:r>
          </w:p>
        </w:tc>
        <w:tc>
          <w:tcPr>
            <w:tcW w:w="1426" w:type="dxa"/>
            <w:noWrap w:val="0"/>
            <w:vAlign w:val="center"/>
          </w:tcPr>
          <w:p w14:paraId="04C22269">
            <w:pPr>
              <w:widowControl/>
              <w:spacing w:line="280" w:lineRule="exact"/>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992" w:type="dxa"/>
            <w:noWrap w:val="0"/>
            <w:vAlign w:val="center"/>
          </w:tcPr>
          <w:p w14:paraId="618FD44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w:t>
            </w:r>
          </w:p>
        </w:tc>
      </w:tr>
      <w:tr w14:paraId="0E0A4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41E035C7">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零售业</w:t>
            </w:r>
          </w:p>
        </w:tc>
        <w:tc>
          <w:tcPr>
            <w:tcW w:w="1369" w:type="dxa"/>
            <w:noWrap w:val="0"/>
            <w:vAlign w:val="center"/>
          </w:tcPr>
          <w:p w14:paraId="740A624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27511E8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06A22F2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0"/>
            <w:vAlign w:val="center"/>
          </w:tcPr>
          <w:p w14:paraId="0300A49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50≤X＜300</w:t>
            </w:r>
          </w:p>
        </w:tc>
        <w:tc>
          <w:tcPr>
            <w:tcW w:w="1426" w:type="dxa"/>
            <w:noWrap w:val="0"/>
            <w:vAlign w:val="center"/>
          </w:tcPr>
          <w:p w14:paraId="1D3804DE">
            <w:pPr>
              <w:widowControl/>
              <w:spacing w:line="280" w:lineRule="exact"/>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10≤X＜50 </w:t>
            </w:r>
          </w:p>
        </w:tc>
        <w:tc>
          <w:tcPr>
            <w:tcW w:w="992" w:type="dxa"/>
            <w:noWrap w:val="0"/>
            <w:vAlign w:val="center"/>
          </w:tcPr>
          <w:p w14:paraId="7210876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74D7F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6062D5B6">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052BB80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190B067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7470E6D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w:t>
            </w:r>
          </w:p>
        </w:tc>
        <w:tc>
          <w:tcPr>
            <w:tcW w:w="1701" w:type="dxa"/>
            <w:noWrap w:val="0"/>
            <w:vAlign w:val="center"/>
          </w:tcPr>
          <w:p w14:paraId="4AC9FD4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426" w:type="dxa"/>
            <w:noWrap w:val="0"/>
            <w:vAlign w:val="center"/>
          </w:tcPr>
          <w:p w14:paraId="4B3056BE">
            <w:pPr>
              <w:widowControl/>
              <w:spacing w:line="280" w:lineRule="exact"/>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100≤Y＜500</w:t>
            </w:r>
          </w:p>
        </w:tc>
        <w:tc>
          <w:tcPr>
            <w:tcW w:w="992" w:type="dxa"/>
            <w:noWrap w:val="0"/>
            <w:vAlign w:val="center"/>
          </w:tcPr>
          <w:p w14:paraId="76C08ED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50EFC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63314E9A">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交通运输业 </w:t>
            </w:r>
          </w:p>
        </w:tc>
        <w:tc>
          <w:tcPr>
            <w:tcW w:w="1369" w:type="dxa"/>
            <w:noWrap w:val="0"/>
            <w:vAlign w:val="center"/>
          </w:tcPr>
          <w:p w14:paraId="38AE9BB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5D1F04B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699A805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noWrap w:val="0"/>
            <w:vAlign w:val="center"/>
          </w:tcPr>
          <w:p w14:paraId="6F7E2B6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noWrap w:val="0"/>
            <w:vAlign w:val="center"/>
          </w:tcPr>
          <w:p w14:paraId="2D4E81B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992" w:type="dxa"/>
            <w:noWrap w:val="0"/>
            <w:vAlign w:val="center"/>
          </w:tcPr>
          <w:p w14:paraId="75D6193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2392C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5E9AD514">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64A737D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1A1AF84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01B0547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noWrap w:val="0"/>
            <w:vAlign w:val="center"/>
          </w:tcPr>
          <w:p w14:paraId="4BBE3F4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3000≤Y＜30000</w:t>
            </w:r>
          </w:p>
        </w:tc>
        <w:tc>
          <w:tcPr>
            <w:tcW w:w="1426" w:type="dxa"/>
            <w:noWrap w:val="0"/>
            <w:vAlign w:val="center"/>
          </w:tcPr>
          <w:p w14:paraId="0D62E77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200≤Y＜3000</w:t>
            </w:r>
          </w:p>
        </w:tc>
        <w:tc>
          <w:tcPr>
            <w:tcW w:w="992" w:type="dxa"/>
            <w:noWrap w:val="0"/>
            <w:vAlign w:val="center"/>
          </w:tcPr>
          <w:p w14:paraId="63B817F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w:t>
            </w:r>
          </w:p>
        </w:tc>
      </w:tr>
      <w:tr w14:paraId="43020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62A2B10A">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仓储业</w:t>
            </w:r>
          </w:p>
        </w:tc>
        <w:tc>
          <w:tcPr>
            <w:tcW w:w="1369" w:type="dxa"/>
            <w:noWrap w:val="0"/>
            <w:vAlign w:val="center"/>
          </w:tcPr>
          <w:p w14:paraId="191569E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2CAB1F5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79C5FA2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w:t>
            </w:r>
          </w:p>
        </w:tc>
        <w:tc>
          <w:tcPr>
            <w:tcW w:w="1701" w:type="dxa"/>
            <w:noWrap w:val="0"/>
            <w:vAlign w:val="center"/>
          </w:tcPr>
          <w:p w14:paraId="6254B69A">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w:t>
            </w:r>
          </w:p>
        </w:tc>
        <w:tc>
          <w:tcPr>
            <w:tcW w:w="1426" w:type="dxa"/>
            <w:noWrap w:val="0"/>
            <w:vAlign w:val="center"/>
          </w:tcPr>
          <w:p w14:paraId="36E542A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20≤X＜100</w:t>
            </w:r>
          </w:p>
        </w:tc>
        <w:tc>
          <w:tcPr>
            <w:tcW w:w="992" w:type="dxa"/>
            <w:noWrap w:val="0"/>
            <w:vAlign w:val="center"/>
          </w:tcPr>
          <w:p w14:paraId="0B04595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07391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0A99B351">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3A126A2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3621C3C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2D13926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noWrap w:val="0"/>
            <w:vAlign w:val="center"/>
          </w:tcPr>
          <w:p w14:paraId="4405665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1000≤Y＜30000</w:t>
            </w:r>
          </w:p>
        </w:tc>
        <w:tc>
          <w:tcPr>
            <w:tcW w:w="1426" w:type="dxa"/>
            <w:noWrap w:val="0"/>
            <w:vAlign w:val="center"/>
          </w:tcPr>
          <w:p w14:paraId="079B33A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992" w:type="dxa"/>
            <w:noWrap w:val="0"/>
            <w:vAlign w:val="center"/>
          </w:tcPr>
          <w:p w14:paraId="0F848E6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493E7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77CCBD3C">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邮政业</w:t>
            </w:r>
          </w:p>
        </w:tc>
        <w:tc>
          <w:tcPr>
            <w:tcW w:w="1369" w:type="dxa"/>
            <w:noWrap w:val="0"/>
            <w:vAlign w:val="center"/>
          </w:tcPr>
          <w:p w14:paraId="33D94B3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07E1DDC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7E946BA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noWrap w:val="0"/>
            <w:vAlign w:val="center"/>
          </w:tcPr>
          <w:p w14:paraId="3D900C4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noWrap w:val="0"/>
            <w:vAlign w:val="center"/>
          </w:tcPr>
          <w:p w14:paraId="1FDE864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992" w:type="dxa"/>
            <w:noWrap w:val="0"/>
            <w:vAlign w:val="center"/>
          </w:tcPr>
          <w:p w14:paraId="0AB0EA3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4F260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13C9BD92">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13BEE84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0BAB752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48F1999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noWrap w:val="0"/>
            <w:vAlign w:val="center"/>
          </w:tcPr>
          <w:p w14:paraId="56B4D7A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2000≤Y＜30000</w:t>
            </w:r>
          </w:p>
        </w:tc>
        <w:tc>
          <w:tcPr>
            <w:tcW w:w="1426" w:type="dxa"/>
            <w:noWrap w:val="0"/>
            <w:vAlign w:val="center"/>
          </w:tcPr>
          <w:p w14:paraId="31DB9B3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992" w:type="dxa"/>
            <w:noWrap w:val="0"/>
            <w:vAlign w:val="center"/>
          </w:tcPr>
          <w:p w14:paraId="081FBF9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09AF6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75306FAD">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住宿业</w:t>
            </w:r>
          </w:p>
        </w:tc>
        <w:tc>
          <w:tcPr>
            <w:tcW w:w="1369" w:type="dxa"/>
            <w:noWrap w:val="0"/>
            <w:vAlign w:val="center"/>
          </w:tcPr>
          <w:p w14:paraId="7B1FDC5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794152D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44E4778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0"/>
            <w:vAlign w:val="center"/>
          </w:tcPr>
          <w:p w14:paraId="4E61FBED">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26" w:type="dxa"/>
            <w:noWrap w:val="0"/>
            <w:vAlign w:val="center"/>
          </w:tcPr>
          <w:p w14:paraId="3E38C17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0"/>
            <w:vAlign w:val="center"/>
          </w:tcPr>
          <w:p w14:paraId="3FB3710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18AEF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3AEDCEDE">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5669013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4C6C218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18B1B5D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noWrap w:val="0"/>
            <w:vAlign w:val="center"/>
          </w:tcPr>
          <w:p w14:paraId="578001B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426" w:type="dxa"/>
            <w:noWrap w:val="0"/>
            <w:vAlign w:val="center"/>
          </w:tcPr>
          <w:p w14:paraId="32DD21E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992" w:type="dxa"/>
            <w:noWrap w:val="0"/>
            <w:vAlign w:val="center"/>
          </w:tcPr>
          <w:p w14:paraId="0142BF1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79999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02746057">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餐饮业</w:t>
            </w:r>
          </w:p>
        </w:tc>
        <w:tc>
          <w:tcPr>
            <w:tcW w:w="1369" w:type="dxa"/>
            <w:noWrap w:val="0"/>
            <w:vAlign w:val="center"/>
          </w:tcPr>
          <w:p w14:paraId="3AB0907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3486A4E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5EC2637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0"/>
            <w:vAlign w:val="center"/>
          </w:tcPr>
          <w:p w14:paraId="6C8C60BE">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noWrap w:val="0"/>
            <w:vAlign w:val="center"/>
          </w:tcPr>
          <w:p w14:paraId="55DB9C8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0"/>
            <w:vAlign w:val="center"/>
          </w:tcPr>
          <w:p w14:paraId="1D05614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0BBC3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1EB4D7EE">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778CA8F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6E53AC9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0C066C4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noWrap w:val="0"/>
            <w:vAlign w:val="center"/>
          </w:tcPr>
          <w:p w14:paraId="40BCED4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426" w:type="dxa"/>
            <w:noWrap w:val="0"/>
            <w:vAlign w:val="center"/>
          </w:tcPr>
          <w:p w14:paraId="5416353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992" w:type="dxa"/>
            <w:noWrap w:val="0"/>
            <w:vAlign w:val="center"/>
          </w:tcPr>
          <w:p w14:paraId="63D0001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1EDE3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213C0019">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信息传输业 </w:t>
            </w:r>
          </w:p>
        </w:tc>
        <w:tc>
          <w:tcPr>
            <w:tcW w:w="1369" w:type="dxa"/>
            <w:noWrap w:val="0"/>
            <w:vAlign w:val="center"/>
          </w:tcPr>
          <w:p w14:paraId="1D059C0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4D902CF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1209F76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X≥2000</w:t>
            </w:r>
          </w:p>
        </w:tc>
        <w:tc>
          <w:tcPr>
            <w:tcW w:w="1701" w:type="dxa"/>
            <w:noWrap w:val="0"/>
            <w:vAlign w:val="center"/>
          </w:tcPr>
          <w:p w14:paraId="234CFA1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100≤X＜2000</w:t>
            </w:r>
          </w:p>
        </w:tc>
        <w:tc>
          <w:tcPr>
            <w:tcW w:w="1426" w:type="dxa"/>
            <w:noWrap w:val="0"/>
            <w:vAlign w:val="center"/>
          </w:tcPr>
          <w:p w14:paraId="3A40AAC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0"/>
            <w:vAlign w:val="center"/>
          </w:tcPr>
          <w:p w14:paraId="78C61B4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7B511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53FBE34D">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3364027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4F86A5D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6AC209E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Y≥100000</w:t>
            </w:r>
          </w:p>
        </w:tc>
        <w:tc>
          <w:tcPr>
            <w:tcW w:w="1701" w:type="dxa"/>
            <w:noWrap w:val="0"/>
            <w:vAlign w:val="center"/>
          </w:tcPr>
          <w:p w14:paraId="26BB109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1000≤Y＜100000</w:t>
            </w:r>
          </w:p>
        </w:tc>
        <w:tc>
          <w:tcPr>
            <w:tcW w:w="1426" w:type="dxa"/>
            <w:noWrap w:val="0"/>
            <w:vAlign w:val="center"/>
          </w:tcPr>
          <w:p w14:paraId="15B5AAA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992" w:type="dxa"/>
            <w:noWrap w:val="0"/>
            <w:vAlign w:val="center"/>
          </w:tcPr>
          <w:p w14:paraId="5DB9A8C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2D813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3C98A4CB">
            <w:pPr>
              <w:widowControl/>
              <w:spacing w:line="280" w:lineRule="exact"/>
              <w:jc w:val="left"/>
              <w:rPr>
                <w:rFonts w:ascii="宋体" w:hAnsi="宋体" w:cs="宋体"/>
                <w:color w:val="auto"/>
                <w:spacing w:val="-12"/>
                <w:kern w:val="0"/>
                <w:sz w:val="18"/>
                <w:szCs w:val="18"/>
                <w:highlight w:val="none"/>
              </w:rPr>
            </w:pPr>
            <w:r>
              <w:rPr>
                <w:rFonts w:hint="eastAsia" w:ascii="宋体" w:hAnsi="宋体" w:cs="宋体"/>
                <w:color w:val="auto"/>
                <w:spacing w:val="-12"/>
                <w:kern w:val="0"/>
                <w:sz w:val="18"/>
                <w:szCs w:val="18"/>
                <w:highlight w:val="none"/>
              </w:rPr>
              <w:t>软件和信息技术服</w:t>
            </w:r>
            <w:r>
              <w:rPr>
                <w:rFonts w:hint="eastAsia" w:ascii="宋体" w:hAnsi="宋体" w:cs="宋体"/>
                <w:color w:val="auto"/>
                <w:kern w:val="0"/>
                <w:sz w:val="18"/>
                <w:szCs w:val="18"/>
                <w:highlight w:val="none"/>
              </w:rPr>
              <w:t>务业</w:t>
            </w:r>
          </w:p>
        </w:tc>
        <w:tc>
          <w:tcPr>
            <w:tcW w:w="1369" w:type="dxa"/>
            <w:noWrap w:val="0"/>
            <w:vAlign w:val="center"/>
          </w:tcPr>
          <w:p w14:paraId="5DDF8AD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33439FA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18D74D9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0"/>
            <w:vAlign w:val="center"/>
          </w:tcPr>
          <w:p w14:paraId="1A5025F1">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noWrap w:val="0"/>
            <w:vAlign w:val="center"/>
          </w:tcPr>
          <w:p w14:paraId="79D9550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0"/>
            <w:vAlign w:val="center"/>
          </w:tcPr>
          <w:p w14:paraId="50D0B59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56D37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06D46D39">
            <w:pPr>
              <w:widowControl/>
              <w:spacing w:line="280" w:lineRule="exact"/>
              <w:jc w:val="left"/>
              <w:rPr>
                <w:rFonts w:ascii="宋体" w:hAnsi="宋体" w:cs="宋体"/>
                <w:color w:val="auto"/>
                <w:spacing w:val="-12"/>
                <w:kern w:val="0"/>
                <w:sz w:val="18"/>
                <w:szCs w:val="18"/>
                <w:highlight w:val="none"/>
              </w:rPr>
            </w:pPr>
          </w:p>
        </w:tc>
        <w:tc>
          <w:tcPr>
            <w:tcW w:w="1369" w:type="dxa"/>
            <w:noWrap w:val="0"/>
            <w:vAlign w:val="center"/>
          </w:tcPr>
          <w:p w14:paraId="4CD26AE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3BC2283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0178AD9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noWrap w:val="0"/>
            <w:vAlign w:val="center"/>
          </w:tcPr>
          <w:p w14:paraId="5E955FA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w:t>
            </w:r>
          </w:p>
        </w:tc>
        <w:tc>
          <w:tcPr>
            <w:tcW w:w="1426" w:type="dxa"/>
            <w:noWrap w:val="0"/>
            <w:vAlign w:val="center"/>
          </w:tcPr>
          <w:p w14:paraId="241F2DB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50≤Y＜1000</w:t>
            </w:r>
          </w:p>
        </w:tc>
        <w:tc>
          <w:tcPr>
            <w:tcW w:w="992" w:type="dxa"/>
            <w:noWrap w:val="0"/>
            <w:vAlign w:val="center"/>
          </w:tcPr>
          <w:p w14:paraId="245F076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3F0E6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2CB99510">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房地产开发经营</w:t>
            </w:r>
          </w:p>
        </w:tc>
        <w:tc>
          <w:tcPr>
            <w:tcW w:w="1369" w:type="dxa"/>
            <w:noWrap w:val="0"/>
            <w:vAlign w:val="center"/>
          </w:tcPr>
          <w:p w14:paraId="449535A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3798971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7133797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Y≥200000</w:t>
            </w:r>
          </w:p>
        </w:tc>
        <w:tc>
          <w:tcPr>
            <w:tcW w:w="1701" w:type="dxa"/>
            <w:noWrap w:val="0"/>
            <w:vAlign w:val="center"/>
          </w:tcPr>
          <w:p w14:paraId="48E6131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1000≤Y＜200000</w:t>
            </w:r>
          </w:p>
        </w:tc>
        <w:tc>
          <w:tcPr>
            <w:tcW w:w="1426" w:type="dxa"/>
            <w:noWrap w:val="0"/>
            <w:vAlign w:val="center"/>
          </w:tcPr>
          <w:p w14:paraId="023F470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992" w:type="dxa"/>
            <w:noWrap w:val="0"/>
            <w:vAlign w:val="center"/>
          </w:tcPr>
          <w:p w14:paraId="5E6EA14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1B531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276B2A12">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5108A22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noWrap w:val="0"/>
            <w:vAlign w:val="center"/>
          </w:tcPr>
          <w:p w14:paraId="32D7E47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6E54A58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Z≥10000</w:t>
            </w:r>
          </w:p>
        </w:tc>
        <w:tc>
          <w:tcPr>
            <w:tcW w:w="1701" w:type="dxa"/>
            <w:noWrap w:val="0"/>
            <w:vAlign w:val="center"/>
          </w:tcPr>
          <w:p w14:paraId="7AE3201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5000≤Z＜10000</w:t>
            </w:r>
          </w:p>
        </w:tc>
        <w:tc>
          <w:tcPr>
            <w:tcW w:w="1426" w:type="dxa"/>
            <w:noWrap w:val="0"/>
            <w:vAlign w:val="center"/>
          </w:tcPr>
          <w:p w14:paraId="1F1DF2A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2000≤Z＜5000</w:t>
            </w:r>
          </w:p>
        </w:tc>
        <w:tc>
          <w:tcPr>
            <w:tcW w:w="992" w:type="dxa"/>
            <w:noWrap w:val="0"/>
            <w:vAlign w:val="center"/>
          </w:tcPr>
          <w:p w14:paraId="16ECED6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Z＜2000</w:t>
            </w:r>
          </w:p>
        </w:tc>
      </w:tr>
      <w:tr w14:paraId="21FB8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1F05B0ED">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物业管理</w:t>
            </w:r>
          </w:p>
        </w:tc>
        <w:tc>
          <w:tcPr>
            <w:tcW w:w="1369" w:type="dxa"/>
            <w:noWrap w:val="0"/>
            <w:vAlign w:val="center"/>
          </w:tcPr>
          <w:p w14:paraId="444E8E7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6A66E75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2745260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noWrap w:val="0"/>
            <w:vAlign w:val="center"/>
          </w:tcPr>
          <w:p w14:paraId="3B8374B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noWrap w:val="0"/>
            <w:vAlign w:val="center"/>
          </w:tcPr>
          <w:p w14:paraId="02A28AA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992" w:type="dxa"/>
            <w:noWrap w:val="0"/>
            <w:vAlign w:val="center"/>
          </w:tcPr>
          <w:p w14:paraId="4B81AAF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14:paraId="3B9C6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19ED7036">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62F473F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14F1C7D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135B349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Y≥5000</w:t>
            </w:r>
          </w:p>
        </w:tc>
        <w:tc>
          <w:tcPr>
            <w:tcW w:w="1701" w:type="dxa"/>
            <w:noWrap w:val="0"/>
            <w:vAlign w:val="center"/>
          </w:tcPr>
          <w:p w14:paraId="287BA18E">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426" w:type="dxa"/>
            <w:noWrap w:val="0"/>
            <w:vAlign w:val="center"/>
          </w:tcPr>
          <w:p w14:paraId="2A4929E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500≤Y＜1000</w:t>
            </w:r>
          </w:p>
        </w:tc>
        <w:tc>
          <w:tcPr>
            <w:tcW w:w="992" w:type="dxa"/>
            <w:noWrap w:val="0"/>
            <w:vAlign w:val="center"/>
          </w:tcPr>
          <w:p w14:paraId="40EEBAA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w:t>
            </w:r>
          </w:p>
        </w:tc>
      </w:tr>
      <w:tr w14:paraId="3C0DE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1AD5AA67">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租赁和商务服务业</w:t>
            </w:r>
          </w:p>
        </w:tc>
        <w:tc>
          <w:tcPr>
            <w:tcW w:w="1369" w:type="dxa"/>
            <w:noWrap w:val="0"/>
            <w:vAlign w:val="center"/>
          </w:tcPr>
          <w:p w14:paraId="04BC0CB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684E01D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466196E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0"/>
            <w:vAlign w:val="center"/>
          </w:tcPr>
          <w:p w14:paraId="4777929F">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26" w:type="dxa"/>
            <w:noWrap w:val="0"/>
            <w:vAlign w:val="center"/>
          </w:tcPr>
          <w:p w14:paraId="17BCEB5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0"/>
            <w:vAlign w:val="center"/>
          </w:tcPr>
          <w:p w14:paraId="6871672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0A7D0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72272666">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09BE59F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noWrap w:val="0"/>
            <w:vAlign w:val="center"/>
          </w:tcPr>
          <w:p w14:paraId="3353494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231F038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Z≥120000</w:t>
            </w:r>
          </w:p>
        </w:tc>
        <w:tc>
          <w:tcPr>
            <w:tcW w:w="1701" w:type="dxa"/>
            <w:noWrap w:val="0"/>
            <w:vAlign w:val="center"/>
          </w:tcPr>
          <w:p w14:paraId="68DA592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8000≤Z＜120000</w:t>
            </w:r>
          </w:p>
        </w:tc>
        <w:tc>
          <w:tcPr>
            <w:tcW w:w="1426" w:type="dxa"/>
            <w:noWrap w:val="0"/>
            <w:vAlign w:val="center"/>
          </w:tcPr>
          <w:p w14:paraId="701FA70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100≤Z＜8000</w:t>
            </w:r>
          </w:p>
        </w:tc>
        <w:tc>
          <w:tcPr>
            <w:tcW w:w="992" w:type="dxa"/>
            <w:noWrap w:val="0"/>
            <w:vAlign w:val="center"/>
          </w:tcPr>
          <w:p w14:paraId="0377113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Z＜100</w:t>
            </w:r>
          </w:p>
        </w:tc>
      </w:tr>
      <w:tr w14:paraId="58A20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noWrap w:val="0"/>
            <w:vAlign w:val="center"/>
          </w:tcPr>
          <w:p w14:paraId="10256B6C">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其他未列明行业 </w:t>
            </w:r>
          </w:p>
        </w:tc>
        <w:tc>
          <w:tcPr>
            <w:tcW w:w="1369" w:type="dxa"/>
            <w:noWrap w:val="0"/>
            <w:vAlign w:val="center"/>
          </w:tcPr>
          <w:p w14:paraId="1FA74F3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47E9D09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750D0CE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0"/>
            <w:vAlign w:val="center"/>
          </w:tcPr>
          <w:p w14:paraId="4C38A5C5">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26" w:type="dxa"/>
            <w:noWrap w:val="0"/>
            <w:vAlign w:val="center"/>
          </w:tcPr>
          <w:p w14:paraId="357A9B7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0"/>
            <w:vAlign w:val="center"/>
          </w:tcPr>
          <w:p w14:paraId="1AB8E21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bl>
    <w:p w14:paraId="6F6AF316">
      <w:pPr>
        <w:widowControl/>
        <w:spacing w:line="280" w:lineRule="exact"/>
        <w:rPr>
          <w:rFonts w:ascii="宋体" w:hAnsi="宋体" w:cs="宋体"/>
          <w:color w:val="auto"/>
          <w:spacing w:val="8"/>
          <w:kern w:val="0"/>
          <w:sz w:val="24"/>
          <w:highlight w:val="none"/>
        </w:rPr>
      </w:pPr>
    </w:p>
    <w:p w14:paraId="08B3B352">
      <w:pPr>
        <w:widowControl/>
        <w:spacing w:line="360" w:lineRule="auto"/>
        <w:rPr>
          <w:rFonts w:hint="eastAsia" w:ascii="宋体" w:hAnsi="宋体" w:cs="宋体"/>
          <w:color w:val="auto"/>
          <w:spacing w:val="8"/>
          <w:kern w:val="0"/>
          <w:szCs w:val="21"/>
          <w:highlight w:val="none"/>
        </w:rPr>
      </w:pPr>
    </w:p>
    <w:p w14:paraId="50948731">
      <w:pPr>
        <w:widowControl/>
        <w:spacing w:line="360" w:lineRule="auto"/>
        <w:rPr>
          <w:rFonts w:ascii="宋体" w:hAnsi="宋体" w:cs="宋体"/>
          <w:color w:val="auto"/>
          <w:spacing w:val="8"/>
          <w:kern w:val="0"/>
          <w:szCs w:val="21"/>
          <w:highlight w:val="none"/>
        </w:rPr>
      </w:pPr>
      <w:r>
        <w:rPr>
          <w:rFonts w:hint="eastAsia" w:ascii="宋体" w:hAnsi="宋体" w:cs="宋体"/>
          <w:color w:val="auto"/>
          <w:spacing w:val="8"/>
          <w:kern w:val="0"/>
          <w:szCs w:val="21"/>
          <w:highlight w:val="none"/>
        </w:rPr>
        <w:t>说明：</w:t>
      </w:r>
    </w:p>
    <w:p w14:paraId="19226331">
      <w:pPr>
        <w:pStyle w:val="16"/>
        <w:adjustRightInd w:val="0"/>
        <w:spacing w:line="360" w:lineRule="auto"/>
        <w:ind w:firstLine="452" w:firstLineChars="200"/>
        <w:contextualSpacing/>
        <w:rPr>
          <w:rFonts w:hAnsi="宋体" w:cs="宋体"/>
          <w:color w:val="auto"/>
          <w:spacing w:val="8"/>
          <w:kern w:val="0"/>
          <w:szCs w:val="21"/>
          <w:highlight w:val="none"/>
        </w:rPr>
      </w:pPr>
      <w:r>
        <w:rPr>
          <w:rFonts w:hint="eastAsia" w:hAnsi="宋体" w:cs="宋体"/>
          <w:color w:val="auto"/>
          <w:spacing w:val="8"/>
          <w:kern w:val="0"/>
          <w:szCs w:val="21"/>
          <w:highlight w:val="none"/>
        </w:rPr>
        <w:t>1.大型、中型和小型企业须同时满足所列指标的下限，否则下划一档；微型企业只须满足所列指标中的一项即可。</w:t>
      </w:r>
    </w:p>
    <w:p w14:paraId="241DF81D">
      <w:pPr>
        <w:pStyle w:val="16"/>
        <w:adjustRightInd w:val="0"/>
        <w:spacing w:line="360" w:lineRule="auto"/>
        <w:ind w:firstLine="452" w:firstLineChars="200"/>
        <w:contextualSpacing/>
        <w:rPr>
          <w:rFonts w:hAnsi="宋体" w:cs="宋体"/>
          <w:color w:val="auto"/>
          <w:spacing w:val="8"/>
          <w:kern w:val="0"/>
          <w:szCs w:val="21"/>
          <w:highlight w:val="none"/>
        </w:rPr>
      </w:pPr>
      <w:r>
        <w:rPr>
          <w:rFonts w:hint="eastAsia" w:hAnsi="宋体" w:cs="宋体"/>
          <w:color w:val="auto"/>
          <w:spacing w:val="8"/>
          <w:kern w:val="0"/>
          <w:szCs w:val="21"/>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w:t>
      </w:r>
      <w:r>
        <w:rPr>
          <w:rFonts w:hint="eastAsia" w:hAnsi="宋体" w:cs="宋体"/>
          <w:color w:val="auto"/>
          <w:spacing w:val="8"/>
          <w:kern w:val="0"/>
          <w:szCs w:val="21"/>
          <w:highlight w:val="none"/>
          <w:lang w:eastAsia="zh-CN"/>
        </w:rPr>
        <w:t>；</w:t>
      </w:r>
      <w:r>
        <w:rPr>
          <w:rFonts w:hint="eastAsia" w:hAnsi="宋体" w:cs="宋体"/>
          <w:color w:val="auto"/>
          <w:spacing w:val="8"/>
          <w:kern w:val="0"/>
          <w:szCs w:val="21"/>
          <w:highlight w:val="none"/>
        </w:rPr>
        <w:t>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79D6D122">
      <w:pPr>
        <w:pStyle w:val="16"/>
        <w:spacing w:line="360" w:lineRule="auto"/>
        <w:ind w:firstLine="452" w:firstLineChars="200"/>
        <w:rPr>
          <w:rFonts w:hAnsi="宋体" w:cs="宋体"/>
          <w:color w:val="auto"/>
          <w:spacing w:val="8"/>
          <w:kern w:val="0"/>
          <w:sz w:val="24"/>
          <w:szCs w:val="24"/>
          <w:highlight w:val="none"/>
        </w:rPr>
      </w:pPr>
      <w:r>
        <w:rPr>
          <w:rFonts w:hint="eastAsia" w:hAnsi="宋体" w:cs="宋体"/>
          <w:color w:val="auto"/>
          <w:spacing w:val="8"/>
          <w:kern w:val="0"/>
          <w:szCs w:val="21"/>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33542FD6">
      <w:pPr>
        <w:jc w:val="left"/>
        <w:outlineLvl w:val="9"/>
        <w:rPr>
          <w:rFonts w:hint="default" w:ascii="Times New Roman" w:hAnsi="Times New Roman" w:eastAsia="宋体" w:cs="Times New Roman"/>
          <w:b w:val="0"/>
          <w:color w:val="auto"/>
          <w:sz w:val="21"/>
          <w:highlight w:val="none"/>
        </w:rPr>
      </w:pPr>
      <w:bookmarkStart w:id="58" w:name="_Toc6362"/>
      <w:bookmarkStart w:id="59" w:name="_Toc8975"/>
      <w:bookmarkStart w:id="60" w:name="_Toc3325"/>
      <w:bookmarkStart w:id="61" w:name="_Toc496"/>
      <w:bookmarkStart w:id="62" w:name="_Toc29172"/>
      <w:bookmarkStart w:id="63" w:name="_Toc26039"/>
      <w:bookmarkStart w:id="64" w:name="_Toc24489"/>
      <w:bookmarkStart w:id="65" w:name="_Toc28587"/>
      <w:bookmarkStart w:id="66" w:name="_Toc9063"/>
      <w:bookmarkStart w:id="67" w:name="_Toc532545044"/>
      <w:r>
        <w:rPr>
          <w:rFonts w:hint="default" w:ascii="Times New Roman" w:hAnsi="Times New Roman" w:eastAsia="宋体" w:cs="Times New Roman"/>
          <w:b w:val="0"/>
          <w:color w:val="auto"/>
          <w:sz w:val="21"/>
          <w:highlight w:val="none"/>
        </w:rPr>
        <w:br w:type="page"/>
      </w:r>
    </w:p>
    <w:p w14:paraId="126F7FA0">
      <w:pPr>
        <w:pStyle w:val="16"/>
        <w:jc w:val="center"/>
        <w:outlineLvl w:val="0"/>
        <w:rPr>
          <w:rFonts w:hint="eastAsia" w:hAnsi="宋体" w:eastAsia="宋体" w:cs="Times New Roman"/>
          <w:b/>
          <w:color w:val="auto"/>
          <w:sz w:val="36"/>
          <w:szCs w:val="36"/>
          <w:highlight w:val="none"/>
        </w:rPr>
      </w:pPr>
      <w:bookmarkStart w:id="68" w:name="_Toc15364"/>
      <w:bookmarkStart w:id="69" w:name="_Toc26044"/>
      <w:bookmarkStart w:id="70" w:name="_Toc20085"/>
      <w:bookmarkStart w:id="71" w:name="_Toc20953"/>
      <w:r>
        <w:rPr>
          <w:rFonts w:hint="eastAsia" w:ascii="Times New Roman" w:hAnsi="Times New Roman" w:eastAsia="宋体" w:cs="Times New Roman"/>
          <w:b/>
          <w:color w:val="auto"/>
          <w:sz w:val="36"/>
          <w:highlight w:val="none"/>
        </w:rPr>
        <w:t>第三章</w:t>
      </w:r>
      <w:r>
        <w:rPr>
          <w:rFonts w:ascii="Times New Roman" w:hAnsi="Times New Roman" w:eastAsia="宋体" w:cs="Times New Roman"/>
          <w:b/>
          <w:color w:val="auto"/>
          <w:sz w:val="36"/>
          <w:highlight w:val="none"/>
        </w:rPr>
        <w:t xml:space="preserve">  </w:t>
      </w:r>
      <w:r>
        <w:rPr>
          <w:rFonts w:hint="eastAsia" w:ascii="Times New Roman" w:hAnsi="Times New Roman" w:eastAsia="宋体" w:cs="Times New Roman"/>
          <w:b/>
          <w:color w:val="auto"/>
          <w:sz w:val="36"/>
          <w:highlight w:val="none"/>
        </w:rPr>
        <w:t>投标人须知</w:t>
      </w:r>
      <w:bookmarkEnd w:id="58"/>
      <w:bookmarkEnd w:id="59"/>
      <w:bookmarkEnd w:id="60"/>
      <w:bookmarkEnd w:id="61"/>
      <w:bookmarkEnd w:id="62"/>
      <w:bookmarkEnd w:id="63"/>
      <w:bookmarkEnd w:id="64"/>
      <w:bookmarkEnd w:id="65"/>
      <w:bookmarkEnd w:id="66"/>
      <w:bookmarkEnd w:id="67"/>
      <w:bookmarkEnd w:id="68"/>
      <w:bookmarkEnd w:id="69"/>
      <w:bookmarkEnd w:id="70"/>
      <w:bookmarkEnd w:id="71"/>
    </w:p>
    <w:p w14:paraId="2A6DD4AD">
      <w:pPr>
        <w:pStyle w:val="16"/>
        <w:spacing w:line="720" w:lineRule="auto"/>
        <w:jc w:val="center"/>
        <w:outlineLvl w:val="1"/>
        <w:rPr>
          <w:rFonts w:hint="eastAsia" w:ascii="Times New Roman" w:hAnsi="Times New Roman" w:eastAsia="宋体" w:cs="Times New Roman"/>
          <w:b/>
          <w:color w:val="auto"/>
          <w:sz w:val="30"/>
          <w:szCs w:val="30"/>
          <w:highlight w:val="none"/>
        </w:rPr>
      </w:pPr>
      <w:bookmarkStart w:id="72" w:name="_Toc8769"/>
      <w:bookmarkStart w:id="73" w:name="_Toc16388"/>
      <w:bookmarkStart w:id="74" w:name="_Toc10039"/>
      <w:bookmarkStart w:id="75" w:name="_Toc32208"/>
      <w:bookmarkStart w:id="76" w:name="_Toc24714"/>
      <w:bookmarkStart w:id="77" w:name="_Toc1597"/>
      <w:bookmarkStart w:id="78" w:name="_Toc29813"/>
      <w:bookmarkStart w:id="79" w:name="_Toc11515"/>
      <w:bookmarkStart w:id="80" w:name="_Toc29809"/>
      <w:bookmarkStart w:id="81" w:name="_Toc4562"/>
      <w:r>
        <w:rPr>
          <w:rFonts w:hint="eastAsia" w:ascii="Times New Roman" w:hAnsi="Times New Roman" w:eastAsia="宋体" w:cs="Times New Roman"/>
          <w:b/>
          <w:color w:val="auto"/>
          <w:sz w:val="30"/>
          <w:szCs w:val="30"/>
          <w:highlight w:val="none"/>
        </w:rPr>
        <w:t>第一节</w:t>
      </w:r>
      <w:r>
        <w:rPr>
          <w:rFonts w:ascii="Times New Roman" w:hAnsi="Times New Roman" w:eastAsia="宋体" w:cs="Times New Roman"/>
          <w:b/>
          <w:color w:val="auto"/>
          <w:sz w:val="30"/>
          <w:szCs w:val="30"/>
          <w:highlight w:val="none"/>
        </w:rPr>
        <w:t xml:space="preserve"> </w:t>
      </w:r>
      <w:r>
        <w:rPr>
          <w:rFonts w:hint="eastAsia" w:ascii="Times New Roman" w:hAnsi="Times New Roman" w:eastAsia="宋体" w:cs="Times New Roman"/>
          <w:b/>
          <w:color w:val="auto"/>
          <w:sz w:val="30"/>
          <w:szCs w:val="30"/>
          <w:highlight w:val="none"/>
        </w:rPr>
        <w:t>投标人须知前附表</w:t>
      </w:r>
      <w:bookmarkEnd w:id="72"/>
      <w:bookmarkEnd w:id="73"/>
      <w:bookmarkEnd w:id="74"/>
      <w:bookmarkEnd w:id="75"/>
      <w:bookmarkEnd w:id="76"/>
      <w:bookmarkEnd w:id="77"/>
      <w:bookmarkEnd w:id="78"/>
      <w:bookmarkEnd w:id="79"/>
      <w:bookmarkEnd w:id="80"/>
      <w:bookmarkEnd w:id="81"/>
    </w:p>
    <w:tbl>
      <w:tblPr>
        <w:tblStyle w:val="27"/>
        <w:tblW w:w="102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27"/>
        <w:gridCol w:w="1916"/>
        <w:gridCol w:w="7297"/>
      </w:tblGrid>
      <w:tr w14:paraId="198654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5ABB6C34">
            <w:pPr>
              <w:keepNext w:val="0"/>
              <w:keepLines w:val="0"/>
              <w:pageBreakBefore w:val="0"/>
              <w:kinsoku/>
              <w:overflowPunct/>
              <w:topLinePunct w:val="0"/>
              <w:bidi w:val="0"/>
              <w:adjustRightInd/>
              <w:snapToGrid w:val="0"/>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条款号</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094C7CA0">
            <w:pPr>
              <w:keepNext w:val="0"/>
              <w:keepLines w:val="0"/>
              <w:pageBreakBefore w:val="0"/>
              <w:kinsoku/>
              <w:overflowPunct/>
              <w:topLinePunct w:val="0"/>
              <w:bidi w:val="0"/>
              <w:adjustRightInd/>
              <w:snapToGrid w:val="0"/>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项目内容</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418D37B3">
            <w:pPr>
              <w:keepNext w:val="0"/>
              <w:keepLines w:val="0"/>
              <w:pageBreakBefore w:val="0"/>
              <w:kinsoku/>
              <w:overflowPunct/>
              <w:topLinePunct w:val="0"/>
              <w:bidi w:val="0"/>
              <w:adjustRightInd/>
              <w:snapToGrid w:val="0"/>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编列内容</w:t>
            </w:r>
          </w:p>
        </w:tc>
      </w:tr>
      <w:tr w14:paraId="5B75F6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4BC6FA2B">
            <w:pPr>
              <w:keepNext w:val="0"/>
              <w:keepLines w:val="0"/>
              <w:pageBreakBefore w:val="0"/>
              <w:kinsoku/>
              <w:overflowPunct/>
              <w:topLinePunct w:val="0"/>
              <w:bidi w:val="0"/>
              <w:adjustRightInd/>
              <w:spacing w:line="36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790FA08E">
            <w:pPr>
              <w:keepNext w:val="0"/>
              <w:keepLines w:val="0"/>
              <w:pageBreakBefore w:val="0"/>
              <w:kinsoku/>
              <w:overflowPunct/>
              <w:topLinePunct w:val="0"/>
              <w:bidi w:val="0"/>
              <w:adjustRightInd/>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投标人的资格要求</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158770DE">
            <w:pPr>
              <w:pStyle w:val="10"/>
              <w:keepNext w:val="0"/>
              <w:keepLines w:val="0"/>
              <w:pageBreakBefore w:val="0"/>
              <w:kinsoku/>
              <w:overflowPunct/>
              <w:topLinePunct w:val="0"/>
              <w:bidi w:val="0"/>
              <w:adjustRightInd/>
              <w:spacing w:line="36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Cs w:val="21"/>
                <w:highlight w:val="none"/>
              </w:rPr>
              <w:t>详见招标公告。</w:t>
            </w:r>
          </w:p>
        </w:tc>
      </w:tr>
      <w:tr w14:paraId="4D64BB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15AD809E">
            <w:pPr>
              <w:keepNext w:val="0"/>
              <w:keepLines w:val="0"/>
              <w:pageBreakBefore w:val="0"/>
              <w:kinsoku/>
              <w:overflowPunct/>
              <w:topLinePunct w:val="0"/>
              <w:bidi w:val="0"/>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4D5AD7F5">
            <w:pPr>
              <w:keepNext w:val="0"/>
              <w:keepLines w:val="0"/>
              <w:pageBreakBefore w:val="0"/>
              <w:kinsoku/>
              <w:overflowPunct/>
              <w:topLinePunct w:val="0"/>
              <w:bidi w:val="0"/>
              <w:adjustRightInd/>
              <w:spacing w:line="360" w:lineRule="exact"/>
              <w:rPr>
                <w:rFonts w:hint="eastAsia" w:ascii="宋体" w:hAnsi="宋体" w:eastAsia="宋体" w:cs="宋体"/>
                <w:color w:val="auto"/>
                <w:sz w:val="21"/>
                <w:szCs w:val="21"/>
                <w:highlight w:val="none"/>
              </w:rPr>
            </w:pPr>
            <w:bookmarkStart w:id="82" w:name="_9.2"/>
            <w:bookmarkEnd w:id="82"/>
            <w:bookmarkStart w:id="83" w:name="_8.1"/>
            <w:bookmarkEnd w:id="83"/>
            <w:bookmarkStart w:id="84" w:name="_5"/>
            <w:bookmarkEnd w:id="84"/>
            <w:r>
              <w:rPr>
                <w:rFonts w:hint="eastAsia" w:ascii="宋体" w:hAnsi="宋体" w:eastAsia="宋体" w:cs="宋体"/>
                <w:color w:val="auto"/>
                <w:sz w:val="21"/>
                <w:szCs w:val="21"/>
                <w:highlight w:val="none"/>
              </w:rPr>
              <w:t>是否</w:t>
            </w:r>
            <w:r>
              <w:rPr>
                <w:rFonts w:hint="eastAsia" w:ascii="宋体" w:hAnsi="宋体" w:eastAsia="宋体" w:cs="宋体"/>
                <w:color w:val="auto"/>
                <w:sz w:val="21"/>
                <w:szCs w:val="21"/>
                <w:highlight w:val="none"/>
                <w:lang w:eastAsia="zh-CN"/>
              </w:rPr>
              <w:t>接受联合体</w:t>
            </w:r>
            <w:r>
              <w:rPr>
                <w:rFonts w:hint="eastAsia" w:ascii="宋体" w:hAnsi="宋体" w:eastAsia="宋体" w:cs="宋体"/>
                <w:color w:val="auto"/>
                <w:sz w:val="21"/>
                <w:szCs w:val="21"/>
                <w:highlight w:val="none"/>
              </w:rPr>
              <w:t>投标</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21495D66">
            <w:pPr>
              <w:pStyle w:val="10"/>
              <w:keepNext w:val="0"/>
              <w:keepLines w:val="0"/>
              <w:pageBreakBefore w:val="0"/>
              <w:kinsoku/>
              <w:overflowPunct/>
              <w:topLinePunct w:val="0"/>
              <w:bidi w:val="0"/>
              <w:adjustRightInd/>
              <w:spacing w:line="360" w:lineRule="exact"/>
              <w:rPr>
                <w:rFonts w:hint="eastAsia" w:ascii="宋体" w:hAnsi="宋体" w:eastAsia="宋体" w:cs="宋体"/>
                <w:color w:val="auto"/>
                <w:sz w:val="21"/>
                <w:szCs w:val="21"/>
                <w:highlight w:val="none"/>
              </w:rPr>
            </w:pPr>
            <w:bookmarkStart w:id="85" w:name="PO_3000001866_PM007"/>
            <w:r>
              <w:rPr>
                <w:rFonts w:hint="eastAsia" w:ascii="宋体" w:hAnsi="宋体" w:eastAsia="宋体" w:cs="宋体"/>
                <w:color w:val="auto"/>
                <w:szCs w:val="21"/>
                <w:highlight w:val="none"/>
                <w:lang w:val="en-US" w:eastAsia="zh-CN"/>
              </w:rPr>
              <w:t>否</w:t>
            </w:r>
            <w:r>
              <w:rPr>
                <w:rFonts w:hint="eastAsia" w:ascii="宋体" w:hAnsi="宋体" w:eastAsia="宋体" w:cs="宋体"/>
                <w:color w:val="auto"/>
                <w:szCs w:val="21"/>
                <w:highlight w:val="none"/>
              </w:rPr>
              <w:t>。</w:t>
            </w:r>
            <w:bookmarkEnd w:id="85"/>
          </w:p>
        </w:tc>
      </w:tr>
      <w:tr w14:paraId="60D9B2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12F346B9">
            <w:pPr>
              <w:keepNext w:val="0"/>
              <w:keepLines w:val="0"/>
              <w:pageBreakBefore w:val="0"/>
              <w:kinsoku/>
              <w:overflowPunct/>
              <w:topLinePunct w:val="0"/>
              <w:bidi w:val="0"/>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7C5D9E37">
            <w:pPr>
              <w:keepNext w:val="0"/>
              <w:keepLines w:val="0"/>
              <w:pageBreakBefore w:val="0"/>
              <w:kinsoku/>
              <w:overflowPunct/>
              <w:topLinePunct w:val="0"/>
              <w:bidi w:val="0"/>
              <w:adjustRightInd/>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联合体投标要求</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3FFA6910">
            <w:pPr>
              <w:pStyle w:val="10"/>
              <w:keepNext w:val="0"/>
              <w:keepLines w:val="0"/>
              <w:pageBreakBefore w:val="0"/>
              <w:kinsoku/>
              <w:overflowPunct/>
              <w:topLinePunct w:val="0"/>
              <w:bidi w:val="0"/>
              <w:adjustRightInd/>
              <w:spacing w:line="36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Cs w:val="21"/>
                <w:highlight w:val="none"/>
                <w:lang w:val="en-US" w:eastAsia="zh-CN"/>
              </w:rPr>
              <w:t>无。</w:t>
            </w:r>
          </w:p>
        </w:tc>
      </w:tr>
      <w:tr w14:paraId="15FA5A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1185D291">
            <w:pPr>
              <w:keepNext w:val="0"/>
              <w:keepLines w:val="0"/>
              <w:pageBreakBefore w:val="0"/>
              <w:kinsoku/>
              <w:overflowPunct/>
              <w:topLinePunct w:val="0"/>
              <w:bidi w:val="0"/>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324D43D6">
            <w:pPr>
              <w:keepNext w:val="0"/>
              <w:keepLines w:val="0"/>
              <w:pageBreakBefore w:val="0"/>
              <w:kinsoku/>
              <w:overflowPunct/>
              <w:topLinePunct w:val="0"/>
              <w:bidi w:val="0"/>
              <w:adjustRightInd/>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是否允许转包/分包</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191CC5A2">
            <w:pPr>
              <w:pStyle w:val="10"/>
              <w:keepNext w:val="0"/>
              <w:keepLines w:val="0"/>
              <w:pageBreakBefore w:val="0"/>
              <w:kinsoku/>
              <w:overflowPunct/>
              <w:topLinePunct w:val="0"/>
              <w:bidi w:val="0"/>
              <w:adjustRightInd/>
              <w:spacing w:line="360" w:lineRule="exact"/>
              <w:rPr>
                <w:rFonts w:hint="eastAsia" w:ascii="宋体" w:hAnsi="宋体" w:eastAsia="宋体" w:cs="宋体"/>
                <w:color w:val="auto"/>
                <w:sz w:val="21"/>
                <w:szCs w:val="21"/>
                <w:highlight w:val="none"/>
                <w:lang w:eastAsia="zh-CN"/>
              </w:rPr>
            </w:pPr>
            <w:bookmarkStart w:id="86" w:name="PO_3000001866_PM044"/>
            <w:r>
              <w:rPr>
                <w:rFonts w:hint="eastAsia" w:ascii="宋体" w:hAnsi="宋体" w:eastAsia="宋体" w:cs="宋体"/>
                <w:color w:val="auto"/>
                <w:sz w:val="21"/>
                <w:szCs w:val="21"/>
                <w:highlight w:val="none"/>
                <w:lang w:eastAsia="zh-CN"/>
              </w:rPr>
              <w:t>☑不允许分包</w:t>
            </w:r>
            <w:bookmarkEnd w:id="86"/>
          </w:p>
          <w:p w14:paraId="4C57DEEB">
            <w:pPr>
              <w:pStyle w:val="10"/>
              <w:keepNext w:val="0"/>
              <w:keepLines w:val="0"/>
              <w:pageBreakBefore w:val="0"/>
              <w:kinsoku/>
              <w:overflowPunct/>
              <w:topLinePunct w:val="0"/>
              <w:bidi w:val="0"/>
              <w:adjustRightInd/>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转包/分包内容：</w:t>
            </w:r>
            <w:r>
              <w:rPr>
                <w:rFonts w:hint="eastAsia" w:ascii="宋体" w:hAnsi="宋体" w:eastAsia="宋体" w:cs="宋体"/>
                <w:color w:val="auto"/>
                <w:sz w:val="21"/>
                <w:szCs w:val="21"/>
                <w:highlight w:val="none"/>
                <w:u w:val="single"/>
              </w:rPr>
              <w:t xml:space="preserve">                                     。</w:t>
            </w:r>
          </w:p>
          <w:p w14:paraId="33ED882A">
            <w:pPr>
              <w:pStyle w:val="10"/>
              <w:keepNext w:val="0"/>
              <w:keepLines w:val="0"/>
              <w:pageBreakBefore w:val="0"/>
              <w:kinsoku/>
              <w:overflowPunct/>
              <w:topLinePunct w:val="0"/>
              <w:bidi w:val="0"/>
              <w:adjustRightInd/>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转包/分包金额或者比例：</w:t>
            </w:r>
            <w:r>
              <w:rPr>
                <w:rFonts w:hint="eastAsia" w:ascii="宋体" w:hAnsi="宋体" w:eastAsia="宋体" w:cs="宋体"/>
                <w:color w:val="auto"/>
                <w:sz w:val="21"/>
                <w:szCs w:val="21"/>
                <w:highlight w:val="none"/>
                <w:u w:val="single"/>
              </w:rPr>
              <w:t xml:space="preserve">                                     。</w:t>
            </w:r>
          </w:p>
        </w:tc>
      </w:tr>
      <w:tr w14:paraId="1B9687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6A73781D">
            <w:pPr>
              <w:keepNext w:val="0"/>
              <w:keepLines w:val="0"/>
              <w:pageBreakBefore w:val="0"/>
              <w:kinsoku/>
              <w:overflowPunct/>
              <w:topLinePunct w:val="0"/>
              <w:bidi w:val="0"/>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11.4</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0F484725">
            <w:pPr>
              <w:keepNext w:val="0"/>
              <w:keepLines w:val="0"/>
              <w:pageBreakBefore w:val="0"/>
              <w:kinsoku/>
              <w:overflowPunct/>
              <w:topLinePunct w:val="0"/>
              <w:bidi w:val="0"/>
              <w:adjustRightInd/>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媒体发布渠道</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3BE47127">
            <w:pPr>
              <w:keepNext w:val="0"/>
              <w:keepLines w:val="0"/>
              <w:pageBreakBefore w:val="0"/>
              <w:kinsoku/>
              <w:overflowPunct/>
              <w:topLinePunct w:val="0"/>
              <w:bidi w:val="0"/>
              <w:adjustRightInd/>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与本项目相关的政府采购业务澄清、更正及与之相关的事项将在</w:t>
            </w:r>
            <w:r>
              <w:rPr>
                <w:rFonts w:hint="eastAsia" w:ascii="宋体" w:hAnsi="宋体" w:eastAsia="宋体" w:cs="宋体"/>
                <w:color w:val="auto"/>
                <w:sz w:val="21"/>
                <w:szCs w:val="21"/>
                <w:highlight w:val="none"/>
                <w:lang w:eastAsia="zh-CN"/>
              </w:rPr>
              <w:t>招标</w:t>
            </w:r>
            <w:r>
              <w:rPr>
                <w:rFonts w:hint="eastAsia" w:ascii="宋体" w:hAnsi="宋体" w:eastAsia="宋体" w:cs="宋体"/>
                <w:color w:val="auto"/>
                <w:sz w:val="21"/>
                <w:szCs w:val="21"/>
                <w:highlight w:val="none"/>
              </w:rPr>
              <w:t>公告中“六、其他补充事宜”中网上查询地址上发布</w:t>
            </w:r>
            <w:r>
              <w:rPr>
                <w:rFonts w:hint="eastAsia" w:ascii="宋体" w:hAnsi="宋体" w:eastAsia="宋体" w:cs="宋体"/>
                <w:color w:val="auto"/>
                <w:kern w:val="0"/>
                <w:sz w:val="21"/>
                <w:szCs w:val="21"/>
                <w:highlight w:val="none"/>
              </w:rPr>
              <w:t>。</w:t>
            </w:r>
          </w:p>
        </w:tc>
      </w:tr>
      <w:tr w14:paraId="5511E5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45B47295">
            <w:pPr>
              <w:keepNext w:val="0"/>
              <w:keepLines w:val="0"/>
              <w:pageBreakBefore w:val="0"/>
              <w:kinsoku/>
              <w:overflowPunct/>
              <w:topLinePunct w:val="0"/>
              <w:bidi w:val="0"/>
              <w:adjustRightInd/>
              <w:spacing w:line="36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11.</w:t>
            </w:r>
            <w:r>
              <w:rPr>
                <w:rFonts w:hint="eastAsia" w:ascii="宋体" w:hAnsi="宋体" w:eastAsia="宋体" w:cs="宋体"/>
                <w:color w:val="auto"/>
                <w:sz w:val="21"/>
                <w:szCs w:val="21"/>
                <w:highlight w:val="none"/>
                <w:lang w:val="en-US" w:eastAsia="zh-CN"/>
              </w:rPr>
              <w:t>5</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7B0FFBD3">
            <w:pPr>
              <w:keepNext w:val="0"/>
              <w:keepLines w:val="0"/>
              <w:pageBreakBefore w:val="0"/>
              <w:kinsoku/>
              <w:overflowPunct/>
              <w:topLinePunct w:val="0"/>
              <w:bidi w:val="0"/>
              <w:adjustRightInd/>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是否组织标前答疑会</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6D4E68D6">
            <w:pPr>
              <w:keepNext w:val="0"/>
              <w:keepLines w:val="0"/>
              <w:pageBreakBefore w:val="0"/>
              <w:kinsoku/>
              <w:overflowPunct/>
              <w:topLinePunct w:val="0"/>
              <w:bidi w:val="0"/>
              <w:adjustRightInd/>
              <w:snapToGrid w:val="0"/>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不组织召开开标前答疑会</w:t>
            </w:r>
          </w:p>
          <w:p w14:paraId="1F1765B4">
            <w:pPr>
              <w:keepNext w:val="0"/>
              <w:keepLines w:val="0"/>
              <w:pageBreakBefore w:val="0"/>
              <w:kinsoku/>
              <w:overflowPunct/>
              <w:topLinePunct w:val="0"/>
              <w:bidi w:val="0"/>
              <w:adjustRightInd/>
              <w:snapToGrid w:val="0"/>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□组织召开开标前答疑会</w:t>
            </w:r>
          </w:p>
          <w:p w14:paraId="03A97683">
            <w:pPr>
              <w:keepNext w:val="0"/>
              <w:keepLines w:val="0"/>
              <w:pageBreakBefore w:val="0"/>
              <w:kinsoku/>
              <w:overflowPunct/>
              <w:topLinePunct w:val="0"/>
              <w:bidi w:val="0"/>
              <w:adjustRightInd/>
              <w:snapToGrid w:val="0"/>
              <w:spacing w:line="360" w:lineRule="exac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会议开始时间：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日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none"/>
              </w:rPr>
              <w:t>分</w:t>
            </w:r>
            <w:r>
              <w:rPr>
                <w:rFonts w:hint="eastAsia" w:ascii="宋体" w:hAnsi="宋体" w:eastAsia="宋体" w:cs="宋体"/>
                <w:color w:val="auto"/>
                <w:sz w:val="21"/>
                <w:szCs w:val="21"/>
                <w:highlight w:val="none"/>
              </w:rPr>
              <w:t>，逾期后果自负。会议地点：</w:t>
            </w:r>
            <w:r>
              <w:rPr>
                <w:rFonts w:hint="eastAsia" w:ascii="宋体" w:hAnsi="宋体" w:eastAsia="宋体" w:cs="宋体"/>
                <w:color w:val="auto"/>
                <w:sz w:val="21"/>
                <w:szCs w:val="21"/>
                <w:highlight w:val="none"/>
                <w:u w:val="single"/>
              </w:rPr>
              <w:t xml:space="preserve">              </w:t>
            </w:r>
          </w:p>
        </w:tc>
      </w:tr>
      <w:tr w14:paraId="39FA70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27" w:type="dxa"/>
            <w:vMerge w:val="restart"/>
            <w:tcBorders>
              <w:top w:val="nil"/>
              <w:left w:val="single" w:color="auto" w:sz="4" w:space="0"/>
              <w:right w:val="single" w:color="auto" w:sz="4" w:space="0"/>
            </w:tcBorders>
            <w:noWrap w:val="0"/>
            <w:vAlign w:val="center"/>
          </w:tcPr>
          <w:p w14:paraId="4117CC11">
            <w:pPr>
              <w:keepNext w:val="0"/>
              <w:keepLines w:val="0"/>
              <w:pageBreakBefore w:val="0"/>
              <w:kinsoku/>
              <w:overflowPunct/>
              <w:topLinePunct w:val="0"/>
              <w:bidi w:val="0"/>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13.1</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1F063E7B">
            <w:pPr>
              <w:keepNext w:val="0"/>
              <w:keepLines w:val="0"/>
              <w:pageBreakBefore w:val="0"/>
              <w:kinsoku/>
              <w:overflowPunct/>
              <w:topLinePunct w:val="0"/>
              <w:bidi w:val="0"/>
              <w:adjustRightInd/>
              <w:snapToGrid w:val="0"/>
              <w:spacing w:line="360" w:lineRule="exact"/>
              <w:jc w:val="left"/>
              <w:rPr>
                <w:rFonts w:hint="eastAsia" w:ascii="宋体" w:hAnsi="宋体" w:eastAsia="宋体" w:cs="宋体"/>
                <w:color w:val="auto"/>
                <w:sz w:val="21"/>
                <w:szCs w:val="21"/>
                <w:highlight w:val="none"/>
              </w:rPr>
            </w:pPr>
            <w:bookmarkStart w:id="87" w:name="_13.2"/>
            <w:bookmarkEnd w:id="87"/>
            <w:r>
              <w:rPr>
                <w:rFonts w:hint="eastAsia" w:ascii="宋体" w:hAnsi="宋体" w:eastAsia="宋体" w:cs="宋体"/>
                <w:color w:val="auto"/>
                <w:sz w:val="21"/>
                <w:szCs w:val="21"/>
                <w:highlight w:val="none"/>
              </w:rPr>
              <w:t>资格证明文件组成</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74B2154E">
            <w:pPr>
              <w:keepNext w:val="0"/>
              <w:keepLines w:val="0"/>
              <w:pageBreakBefore w:val="0"/>
              <w:widowControl/>
              <w:numPr>
                <w:ilvl w:val="0"/>
                <w:numId w:val="4"/>
              </w:numPr>
              <w:suppressLineNumbers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val="0"/>
                <w:color w:val="auto"/>
                <w:kern w:val="0"/>
                <w:sz w:val="21"/>
                <w:szCs w:val="21"/>
                <w:highlight w:val="none"/>
                <w:lang w:val="en-US" w:eastAsia="zh-CN" w:bidi="ar"/>
              </w:rPr>
            </w:pPr>
            <w:r>
              <w:rPr>
                <w:rFonts w:hint="eastAsia" w:ascii="宋体" w:hAnsi="宋体" w:eastAsia="宋体" w:cs="宋体"/>
                <w:b w:val="0"/>
                <w:color w:val="auto"/>
                <w:kern w:val="0"/>
                <w:sz w:val="21"/>
                <w:szCs w:val="21"/>
                <w:highlight w:val="none"/>
                <w:lang w:val="en-US" w:eastAsia="zh-CN" w:bidi="ar"/>
              </w:rPr>
              <w:t>有效的营业执照复印件（要求证件有效并清晰反映企业法人和经营范围）（</w:t>
            </w:r>
            <w:r>
              <w:rPr>
                <w:rFonts w:hint="eastAsia" w:ascii="宋体" w:hAnsi="宋体" w:eastAsia="宋体" w:cs="宋体"/>
                <w:b/>
                <w:color w:val="auto"/>
                <w:kern w:val="0"/>
                <w:sz w:val="21"/>
                <w:szCs w:val="21"/>
                <w:highlight w:val="none"/>
                <w:lang w:val="en-US" w:eastAsia="zh-CN" w:bidi="ar"/>
              </w:rPr>
              <w:t>必须提供，否则作无效投标处理</w:t>
            </w:r>
            <w:r>
              <w:rPr>
                <w:rFonts w:hint="eastAsia" w:ascii="宋体" w:hAnsi="宋体" w:eastAsia="宋体" w:cs="宋体"/>
                <w:b w:val="0"/>
                <w:color w:val="auto"/>
                <w:kern w:val="0"/>
                <w:sz w:val="21"/>
                <w:szCs w:val="21"/>
                <w:highlight w:val="none"/>
                <w:lang w:val="en-US" w:eastAsia="zh-CN" w:bidi="ar"/>
              </w:rPr>
              <w:t>）；</w:t>
            </w:r>
          </w:p>
          <w:p w14:paraId="20C1E4D1">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b w:val="0"/>
                <w:color w:val="auto"/>
                <w:kern w:val="0"/>
                <w:sz w:val="21"/>
                <w:szCs w:val="21"/>
                <w:highlight w:val="none"/>
                <w:lang w:val="en-US" w:eastAsia="zh-CN" w:bidi="ar"/>
              </w:rPr>
              <w:t>2、桂平市政府采购项目投标资格承诺函（格式后附）；</w:t>
            </w:r>
            <w:r>
              <w:rPr>
                <w:rFonts w:hint="eastAsia" w:ascii="宋体" w:hAnsi="宋体" w:eastAsia="宋体" w:cs="宋体"/>
                <w:b/>
                <w:color w:val="auto"/>
                <w:kern w:val="0"/>
                <w:sz w:val="21"/>
                <w:szCs w:val="21"/>
                <w:highlight w:val="none"/>
                <w:lang w:val="en-US" w:eastAsia="zh-CN" w:bidi="ar"/>
              </w:rPr>
              <w:t xml:space="preserve">（必须提供，否则作无效投标处理）； </w:t>
            </w:r>
          </w:p>
          <w:p w14:paraId="3EC5344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val="0"/>
                <w:color w:val="auto"/>
                <w:kern w:val="0"/>
                <w:sz w:val="21"/>
                <w:szCs w:val="21"/>
                <w:highlight w:val="none"/>
                <w:lang w:val="en-US" w:eastAsia="zh-CN" w:bidi="ar"/>
              </w:rPr>
            </w:pPr>
            <w:r>
              <w:rPr>
                <w:rFonts w:hint="eastAsia" w:ascii="宋体" w:hAnsi="宋体" w:eastAsia="宋体" w:cs="宋体"/>
                <w:b w:val="0"/>
                <w:color w:val="auto"/>
                <w:kern w:val="0"/>
                <w:sz w:val="21"/>
                <w:szCs w:val="21"/>
                <w:highlight w:val="none"/>
                <w:lang w:val="en-US" w:eastAsia="zh-CN" w:bidi="ar"/>
              </w:rPr>
              <w:t>3、声明函（格式后附）；（</w:t>
            </w:r>
            <w:r>
              <w:rPr>
                <w:rFonts w:hint="eastAsia" w:ascii="宋体" w:hAnsi="宋体" w:eastAsia="宋体" w:cs="宋体"/>
                <w:b/>
                <w:color w:val="auto"/>
                <w:kern w:val="0"/>
                <w:sz w:val="21"/>
                <w:szCs w:val="21"/>
                <w:highlight w:val="none"/>
                <w:lang w:val="en-US" w:eastAsia="zh-CN" w:bidi="ar"/>
              </w:rPr>
              <w:t>必须提供，否则作无效投标处理</w:t>
            </w:r>
            <w:r>
              <w:rPr>
                <w:rFonts w:hint="eastAsia" w:ascii="宋体" w:hAnsi="宋体" w:eastAsia="宋体" w:cs="宋体"/>
                <w:b w:val="0"/>
                <w:color w:val="auto"/>
                <w:kern w:val="0"/>
                <w:sz w:val="21"/>
                <w:szCs w:val="21"/>
                <w:highlight w:val="none"/>
                <w:lang w:val="en-US" w:eastAsia="zh-CN" w:bidi="ar"/>
              </w:rPr>
              <w:t>）</w:t>
            </w:r>
          </w:p>
          <w:p w14:paraId="6FFFE12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val="0"/>
                <w:color w:val="auto"/>
                <w:kern w:val="0"/>
                <w:sz w:val="21"/>
                <w:szCs w:val="21"/>
                <w:highlight w:val="none"/>
                <w:lang w:val="en-US" w:eastAsia="zh-CN" w:bidi="ar"/>
              </w:rPr>
            </w:pPr>
            <w:r>
              <w:rPr>
                <w:rFonts w:hint="eastAsia" w:ascii="宋体" w:hAnsi="宋体" w:eastAsia="宋体" w:cs="宋体"/>
                <w:b w:val="0"/>
                <w:color w:val="auto"/>
                <w:kern w:val="0"/>
                <w:sz w:val="21"/>
                <w:szCs w:val="21"/>
                <w:highlight w:val="none"/>
                <w:lang w:val="en-US" w:eastAsia="zh-CN" w:bidi="ar"/>
              </w:rPr>
              <w:t>4、本项目的特定资格要求：具备</w:t>
            </w:r>
            <w:r>
              <w:rPr>
                <w:rFonts w:hint="eastAsia" w:ascii="宋体" w:hAnsi="宋体" w:eastAsia="宋体" w:cs="宋体"/>
                <w:highlight w:val="none"/>
                <w:lang w:eastAsia="zh-CN"/>
              </w:rPr>
              <w:t>相应有效</w:t>
            </w:r>
            <w:r>
              <w:rPr>
                <w:rFonts w:hint="eastAsia" w:ascii="宋体" w:hAnsi="宋体" w:eastAsia="宋体" w:cs="宋体"/>
                <w:b w:val="0"/>
                <w:color w:val="auto"/>
                <w:kern w:val="0"/>
                <w:sz w:val="21"/>
                <w:szCs w:val="21"/>
                <w:highlight w:val="none"/>
                <w:lang w:val="en-US" w:eastAsia="zh-CN" w:bidi="ar"/>
              </w:rPr>
              <w:t>的食品经营许可证</w:t>
            </w:r>
            <w:r>
              <w:rPr>
                <w:rFonts w:hint="eastAsia" w:ascii="宋体" w:hAnsi="宋体" w:eastAsia="宋体" w:cs="宋体"/>
                <w:b/>
                <w:bCs/>
                <w:color w:val="auto"/>
                <w:kern w:val="0"/>
                <w:sz w:val="21"/>
                <w:szCs w:val="21"/>
                <w:highlight w:val="none"/>
                <w:lang w:val="en-US" w:eastAsia="zh-CN" w:bidi="ar"/>
              </w:rPr>
              <w:t>（必须提供，否则作无效投标处理）</w:t>
            </w:r>
          </w:p>
          <w:p w14:paraId="5413ADF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b w:val="0"/>
                <w:color w:val="auto"/>
                <w:kern w:val="0"/>
                <w:sz w:val="21"/>
                <w:szCs w:val="21"/>
                <w:highlight w:val="none"/>
                <w:lang w:val="en-US" w:eastAsia="zh-CN" w:bidi="ar"/>
              </w:rPr>
              <w:t>5、本项目为专门面向中小企业采购的项目。投标人必须提供中小企业声明函或者残疾人福利性单位声明函（格式后附）或者供应商属于监狱企业的需提供由省级以上监狱管理局、戒毒管理局（含新疆生产建设兵团）出具的属于监狱企业的证明文件；</w:t>
            </w:r>
            <w:r>
              <w:rPr>
                <w:rFonts w:hint="eastAsia" w:ascii="宋体" w:hAnsi="宋体" w:eastAsia="宋体" w:cs="宋体"/>
                <w:b/>
                <w:color w:val="auto"/>
                <w:kern w:val="0"/>
                <w:sz w:val="21"/>
                <w:szCs w:val="21"/>
                <w:highlight w:val="none"/>
                <w:lang w:val="en-US" w:eastAsia="zh-CN" w:bidi="ar"/>
              </w:rPr>
              <w:t xml:space="preserve">（必须提供，否则作无效投标处理） </w:t>
            </w:r>
          </w:p>
          <w:p w14:paraId="23A65176">
            <w:pPr>
              <w:keepNext w:val="0"/>
              <w:keepLines w:val="0"/>
              <w:pageBreakBefore w:val="0"/>
              <w:kinsoku/>
              <w:overflowPunct/>
              <w:topLinePunct w:val="0"/>
              <w:bidi w:val="0"/>
              <w:adjustRightInd/>
              <w:snapToGrid w:val="0"/>
              <w:spacing w:line="360" w:lineRule="exact"/>
              <w:jc w:val="left"/>
              <w:rPr>
                <w:rFonts w:hint="eastAsia" w:ascii="宋体" w:hAnsi="宋体" w:eastAsia="宋体" w:cs="宋体"/>
                <w:color w:val="auto"/>
                <w:highlight w:val="none"/>
              </w:rPr>
            </w:pPr>
            <w:r>
              <w:rPr>
                <w:rFonts w:hint="eastAsia" w:ascii="宋体" w:hAnsi="宋体" w:eastAsia="宋体" w:cs="宋体"/>
                <w:b w:val="0"/>
                <w:color w:val="auto"/>
                <w:kern w:val="0"/>
                <w:sz w:val="21"/>
                <w:szCs w:val="21"/>
                <w:highlight w:val="none"/>
                <w:lang w:val="en-US" w:eastAsia="zh-CN" w:bidi="ar"/>
              </w:rPr>
              <w:t>6、</w:t>
            </w:r>
            <w:r>
              <w:rPr>
                <w:rFonts w:hint="eastAsia" w:ascii="宋体" w:hAnsi="宋体" w:eastAsia="宋体" w:cs="宋体"/>
                <w:color w:val="auto"/>
                <w:highlight w:val="none"/>
              </w:rPr>
              <w:t>投标人直接控股、管理关系信息表（格式后附）；（</w:t>
            </w:r>
            <w:r>
              <w:rPr>
                <w:rFonts w:hint="eastAsia" w:ascii="宋体" w:hAnsi="宋体" w:eastAsia="宋体" w:cs="宋体"/>
                <w:b/>
                <w:bCs/>
                <w:color w:val="auto"/>
                <w:highlight w:val="none"/>
              </w:rPr>
              <w:t>必须提供，否则作无效投标处理</w:t>
            </w:r>
            <w:r>
              <w:rPr>
                <w:rFonts w:hint="eastAsia" w:ascii="宋体" w:hAnsi="宋体" w:eastAsia="宋体" w:cs="宋体"/>
                <w:color w:val="auto"/>
                <w:highlight w:val="none"/>
              </w:rPr>
              <w:t>）</w:t>
            </w:r>
          </w:p>
          <w:p w14:paraId="31F9D4A5">
            <w:pPr>
              <w:keepNext w:val="0"/>
              <w:keepLines w:val="0"/>
              <w:pageBreakBefore w:val="0"/>
              <w:kinsoku/>
              <w:overflowPunct/>
              <w:topLinePunct w:val="0"/>
              <w:bidi w:val="0"/>
              <w:adjustRightInd/>
              <w:snapToGrid w:val="0"/>
              <w:spacing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highlight w:val="none"/>
                <w:lang w:val="en-US" w:eastAsia="zh-CN"/>
              </w:rPr>
              <w:t>7、</w:t>
            </w:r>
            <w:r>
              <w:rPr>
                <w:rFonts w:hint="eastAsia" w:ascii="宋体" w:hAnsi="宋体" w:eastAsia="宋体" w:cs="宋体"/>
                <w:b w:val="0"/>
                <w:color w:val="auto"/>
                <w:kern w:val="0"/>
                <w:sz w:val="21"/>
                <w:szCs w:val="21"/>
                <w:highlight w:val="none"/>
                <w:lang w:val="en-US" w:eastAsia="zh-CN" w:bidi="ar"/>
              </w:rPr>
              <w:t xml:space="preserve">除招标文件规定必须提供以外，投标人认为需要提供的其他证明材料（格式自拟）。 </w:t>
            </w:r>
          </w:p>
          <w:p w14:paraId="721AADA8">
            <w:pPr>
              <w:keepNext w:val="0"/>
              <w:keepLines w:val="0"/>
              <w:pageBreakBefore w:val="0"/>
              <w:kinsoku/>
              <w:overflowPunct/>
              <w:topLinePunct w:val="0"/>
              <w:bidi w:val="0"/>
              <w:adjustRightInd/>
              <w:snapToGrid w:val="0"/>
              <w:spacing w:line="360" w:lineRule="exact"/>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w:t>
            </w:r>
            <w:r>
              <w:rPr>
                <w:rFonts w:hint="eastAsia" w:ascii="宋体" w:hAnsi="宋体" w:eastAsia="宋体" w:cs="宋体"/>
                <w:color w:val="auto"/>
                <w:sz w:val="21"/>
                <w:szCs w:val="21"/>
                <w:highlight w:val="none"/>
              </w:rPr>
              <w:t xml:space="preserve"> </w:t>
            </w:r>
            <w:r>
              <w:rPr>
                <w:rFonts w:hint="eastAsia" w:ascii="宋体" w:hAnsi="宋体" w:eastAsia="宋体" w:cs="宋体"/>
                <w:b/>
                <w:bCs/>
                <w:color w:val="auto"/>
                <w:sz w:val="21"/>
                <w:szCs w:val="21"/>
                <w:highlight w:val="none"/>
              </w:rPr>
              <w:t>以上标明“必须提供”的材料</w:t>
            </w:r>
            <w:r>
              <w:rPr>
                <w:rFonts w:hint="eastAsia" w:ascii="宋体" w:hAnsi="宋体" w:eastAsia="宋体" w:cs="宋体"/>
                <w:b/>
                <w:color w:val="auto"/>
                <w:sz w:val="21"/>
                <w:szCs w:val="21"/>
                <w:highlight w:val="none"/>
              </w:rPr>
              <w:t>属于扫描件的</w:t>
            </w:r>
            <w:r>
              <w:rPr>
                <w:rFonts w:hint="eastAsia" w:ascii="宋体" w:hAnsi="宋体" w:eastAsia="宋体" w:cs="宋体"/>
                <w:b/>
                <w:bCs/>
                <w:color w:val="auto"/>
                <w:sz w:val="21"/>
                <w:szCs w:val="21"/>
                <w:highlight w:val="none"/>
              </w:rPr>
              <w:t>，必须加盖</w:t>
            </w:r>
            <w:r>
              <w:rPr>
                <w:rFonts w:hint="eastAsia" w:ascii="宋体" w:hAnsi="宋体" w:eastAsia="宋体" w:cs="宋体"/>
                <w:b/>
                <w:bCs/>
                <w:color w:val="auto"/>
                <w:sz w:val="21"/>
                <w:szCs w:val="21"/>
                <w:highlight w:val="none"/>
                <w:lang w:eastAsia="zh-CN"/>
              </w:rPr>
              <w:t>投标人</w:t>
            </w:r>
            <w:r>
              <w:rPr>
                <w:rFonts w:hint="eastAsia" w:ascii="宋体" w:hAnsi="宋体" w:cs="宋体"/>
                <w:b/>
                <w:bCs/>
                <w:color w:val="auto"/>
                <w:sz w:val="21"/>
                <w:szCs w:val="21"/>
                <w:highlight w:val="none"/>
                <w:lang w:val="en-US" w:eastAsia="zh-CN"/>
              </w:rPr>
              <w:t>电子</w:t>
            </w:r>
            <w:r>
              <w:rPr>
                <w:rFonts w:hint="eastAsia" w:ascii="宋体" w:hAnsi="宋体" w:eastAsia="宋体" w:cs="宋体"/>
                <w:b/>
                <w:bCs/>
                <w:color w:val="auto"/>
                <w:sz w:val="21"/>
                <w:szCs w:val="21"/>
                <w:highlight w:val="none"/>
                <w:lang w:eastAsia="zh-CN"/>
              </w:rPr>
              <w:t>公章</w:t>
            </w:r>
            <w:r>
              <w:rPr>
                <w:rFonts w:hint="eastAsia" w:ascii="宋体" w:hAnsi="宋体" w:eastAsia="宋体" w:cs="宋体"/>
                <w:b/>
                <w:bCs/>
                <w:color w:val="auto"/>
                <w:sz w:val="21"/>
                <w:szCs w:val="21"/>
                <w:highlight w:val="none"/>
              </w:rPr>
              <w:t>，否则</w:t>
            </w:r>
            <w:r>
              <w:rPr>
                <w:rFonts w:hint="eastAsia" w:ascii="宋体" w:hAnsi="宋体" w:eastAsia="宋体" w:cs="宋体"/>
                <w:b/>
                <w:color w:val="auto"/>
                <w:sz w:val="21"/>
                <w:szCs w:val="21"/>
                <w:highlight w:val="none"/>
              </w:rPr>
              <w:t>作无效投标处理。</w:t>
            </w:r>
          </w:p>
        </w:tc>
      </w:tr>
      <w:tr w14:paraId="7D3674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vMerge w:val="continue"/>
            <w:tcBorders>
              <w:left w:val="single" w:color="auto" w:sz="4" w:space="0"/>
              <w:right w:val="single" w:color="auto" w:sz="4" w:space="0"/>
            </w:tcBorders>
            <w:noWrap w:val="0"/>
            <w:vAlign w:val="center"/>
          </w:tcPr>
          <w:p w14:paraId="608EF09A">
            <w:pPr>
              <w:keepNext w:val="0"/>
              <w:keepLines w:val="0"/>
              <w:pageBreakBefore w:val="0"/>
              <w:kinsoku/>
              <w:overflowPunct/>
              <w:topLinePunct w:val="0"/>
              <w:bidi w:val="0"/>
              <w:adjustRightInd/>
              <w:spacing w:line="360" w:lineRule="exact"/>
              <w:rPr>
                <w:rFonts w:hint="eastAsia" w:ascii="宋体" w:hAnsi="宋体" w:eastAsia="宋体" w:cs="宋体"/>
                <w:color w:val="auto"/>
                <w:sz w:val="21"/>
                <w:szCs w:val="21"/>
                <w:highlight w:val="none"/>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14:paraId="7D5823EB">
            <w:pPr>
              <w:keepNext w:val="0"/>
              <w:keepLines w:val="0"/>
              <w:pageBreakBefore w:val="0"/>
              <w:kinsoku/>
              <w:overflowPunct/>
              <w:topLinePunct w:val="0"/>
              <w:bidi w:val="0"/>
              <w:adjustRightInd/>
              <w:snapToGrid w:val="0"/>
              <w:spacing w:line="360" w:lineRule="exact"/>
              <w:jc w:val="left"/>
              <w:rPr>
                <w:rFonts w:hint="eastAsia" w:ascii="宋体" w:hAnsi="宋体" w:eastAsia="宋体" w:cs="宋体"/>
                <w:color w:val="auto"/>
                <w:sz w:val="21"/>
                <w:szCs w:val="21"/>
                <w:highlight w:val="none"/>
              </w:rPr>
            </w:pPr>
            <w:bookmarkStart w:id="88" w:name="_13.3"/>
            <w:bookmarkEnd w:id="88"/>
            <w:r>
              <w:rPr>
                <w:rFonts w:hint="eastAsia" w:ascii="宋体" w:hAnsi="宋体" w:eastAsia="宋体" w:cs="宋体"/>
                <w:color w:val="auto"/>
                <w:sz w:val="21"/>
                <w:szCs w:val="21"/>
                <w:highlight w:val="none"/>
              </w:rPr>
              <w:t>商务文件组成</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4734904E">
            <w:pPr>
              <w:keepNext w:val="0"/>
              <w:keepLines w:val="0"/>
              <w:pageBreakBefore w:val="0"/>
              <w:kinsoku/>
              <w:overflowPunct/>
              <w:topLinePunct w:val="0"/>
              <w:bidi w:val="0"/>
              <w:adjustRightInd/>
              <w:snapToGrid w:val="0"/>
              <w:spacing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1、无串通投标行为的承诺函（格式后附）；（</w:t>
            </w:r>
            <w:r>
              <w:rPr>
                <w:rFonts w:hint="eastAsia" w:ascii="宋体" w:hAnsi="宋体" w:eastAsia="宋体" w:cs="宋体"/>
                <w:b/>
                <w:color w:val="auto"/>
                <w:sz w:val="21"/>
                <w:szCs w:val="21"/>
                <w:highlight w:val="none"/>
              </w:rPr>
              <w:t>必须提供，否则作无效投标处理</w:t>
            </w:r>
            <w:r>
              <w:rPr>
                <w:rFonts w:hint="eastAsia" w:ascii="宋体" w:hAnsi="宋体" w:eastAsia="宋体" w:cs="宋体"/>
                <w:color w:val="auto"/>
                <w:sz w:val="21"/>
                <w:szCs w:val="21"/>
                <w:highlight w:val="none"/>
              </w:rPr>
              <w:t>）</w:t>
            </w:r>
          </w:p>
          <w:p w14:paraId="005F74D9">
            <w:pPr>
              <w:keepNext w:val="0"/>
              <w:keepLines w:val="0"/>
              <w:pageBreakBefore w:val="0"/>
              <w:kinsoku/>
              <w:overflowPunct/>
              <w:topLinePunct w:val="0"/>
              <w:bidi w:val="0"/>
              <w:adjustRightInd/>
              <w:snapToGrid w:val="0"/>
              <w:spacing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、法定代表人身份证明及法定代表人有效身份证正反面</w:t>
            </w:r>
            <w:r>
              <w:rPr>
                <w:rFonts w:hint="eastAsia" w:ascii="宋体" w:hAnsi="宋体" w:eastAsia="宋体" w:cs="宋体"/>
                <w:color w:val="auto"/>
                <w:szCs w:val="21"/>
                <w:highlight w:val="none"/>
                <w:lang w:val="en-US" w:eastAsia="zh-CN"/>
              </w:rPr>
              <w:t>扫描件</w:t>
            </w:r>
            <w:r>
              <w:rPr>
                <w:rFonts w:hint="eastAsia" w:ascii="宋体" w:hAnsi="宋体" w:eastAsia="宋体" w:cs="宋体"/>
                <w:color w:val="auto"/>
                <w:sz w:val="21"/>
                <w:szCs w:val="21"/>
                <w:highlight w:val="none"/>
              </w:rPr>
              <w:t>（格式后附）；（</w:t>
            </w:r>
            <w:r>
              <w:rPr>
                <w:rFonts w:hint="eastAsia" w:ascii="宋体" w:hAnsi="宋体" w:eastAsia="宋体" w:cs="宋体"/>
                <w:b/>
                <w:bCs/>
                <w:color w:val="auto"/>
                <w:sz w:val="21"/>
                <w:szCs w:val="21"/>
                <w:highlight w:val="none"/>
              </w:rPr>
              <w:t>除自然人投标外</w:t>
            </w:r>
            <w:r>
              <w:rPr>
                <w:rFonts w:hint="eastAsia" w:ascii="宋体" w:hAnsi="宋体" w:eastAsia="宋体" w:cs="宋体"/>
                <w:b/>
                <w:color w:val="auto"/>
                <w:sz w:val="21"/>
                <w:szCs w:val="21"/>
                <w:highlight w:val="none"/>
              </w:rPr>
              <w:t>必须提供，否则作无效投标处理</w:t>
            </w:r>
            <w:r>
              <w:rPr>
                <w:rFonts w:hint="eastAsia" w:ascii="宋体" w:hAnsi="宋体" w:eastAsia="宋体" w:cs="宋体"/>
                <w:color w:val="auto"/>
                <w:sz w:val="21"/>
                <w:szCs w:val="21"/>
                <w:highlight w:val="none"/>
              </w:rPr>
              <w:t>）</w:t>
            </w:r>
          </w:p>
          <w:p w14:paraId="1EBA10BB">
            <w:pPr>
              <w:keepNext w:val="0"/>
              <w:keepLines w:val="0"/>
              <w:pageBreakBefore w:val="0"/>
              <w:kinsoku/>
              <w:overflowPunct/>
              <w:topLinePunct w:val="0"/>
              <w:bidi w:val="0"/>
              <w:adjustRightInd/>
              <w:snapToGrid w:val="0"/>
              <w:spacing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、法定代表人授权委托书及委托代理人有效身份证正反面</w:t>
            </w:r>
            <w:r>
              <w:rPr>
                <w:rFonts w:hint="eastAsia" w:ascii="宋体" w:hAnsi="宋体" w:eastAsia="宋体" w:cs="宋体"/>
                <w:color w:val="auto"/>
                <w:szCs w:val="21"/>
                <w:highlight w:val="none"/>
                <w:lang w:val="en-US" w:eastAsia="zh-CN"/>
              </w:rPr>
              <w:t>扫描件</w:t>
            </w:r>
            <w:r>
              <w:rPr>
                <w:rFonts w:hint="eastAsia" w:ascii="宋体" w:hAnsi="宋体" w:eastAsia="宋体" w:cs="宋体"/>
                <w:color w:val="auto"/>
                <w:sz w:val="21"/>
                <w:szCs w:val="21"/>
                <w:highlight w:val="none"/>
              </w:rPr>
              <w:t>（格式后附）；（</w:t>
            </w:r>
            <w:r>
              <w:rPr>
                <w:rFonts w:hint="eastAsia" w:ascii="宋体" w:hAnsi="宋体" w:eastAsia="宋体" w:cs="宋体"/>
                <w:b/>
                <w:color w:val="auto"/>
                <w:sz w:val="21"/>
                <w:szCs w:val="21"/>
                <w:highlight w:val="none"/>
              </w:rPr>
              <w:t>委托时必须提供，否则作无效投标处理</w:t>
            </w:r>
            <w:r>
              <w:rPr>
                <w:rFonts w:hint="eastAsia" w:ascii="宋体" w:hAnsi="宋体" w:eastAsia="宋体" w:cs="宋体"/>
                <w:color w:val="auto"/>
                <w:sz w:val="21"/>
                <w:szCs w:val="21"/>
                <w:highlight w:val="none"/>
              </w:rPr>
              <w:t>）</w:t>
            </w:r>
          </w:p>
          <w:p w14:paraId="7551D4C3">
            <w:pPr>
              <w:keepNext w:val="0"/>
              <w:keepLines w:val="0"/>
              <w:pageBreakBefore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4、商务条款偏离表（格式后附）；</w:t>
            </w:r>
            <w:r>
              <w:rPr>
                <w:rFonts w:hint="eastAsia" w:ascii="宋体" w:hAnsi="宋体" w:eastAsia="宋体" w:cs="宋体"/>
                <w:b/>
                <w:bCs/>
                <w:color w:val="auto"/>
                <w:sz w:val="21"/>
                <w:szCs w:val="21"/>
                <w:highlight w:val="none"/>
                <w:lang w:val="en-US" w:eastAsia="zh-CN"/>
              </w:rPr>
              <w:t>（必须提供，否则作无效投标处理）</w:t>
            </w:r>
            <w:r>
              <w:rPr>
                <w:rFonts w:hint="eastAsia" w:ascii="宋体" w:hAnsi="宋体" w:eastAsia="宋体" w:cs="宋体"/>
                <w:color w:val="auto"/>
                <w:sz w:val="21"/>
                <w:szCs w:val="21"/>
                <w:highlight w:val="none"/>
                <w:lang w:val="en-US" w:eastAsia="zh-CN"/>
              </w:rPr>
              <w:t xml:space="preserve"> </w:t>
            </w:r>
          </w:p>
          <w:p w14:paraId="77819442">
            <w:pPr>
              <w:keepNext w:val="0"/>
              <w:keepLines w:val="0"/>
              <w:pageBreakBefore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5、企业综合实力证明材料（如有请提供，部分格式后附）；</w:t>
            </w:r>
          </w:p>
          <w:p w14:paraId="60527074">
            <w:pPr>
              <w:keepNext w:val="0"/>
              <w:keepLines w:val="0"/>
              <w:pageBreakBefore w:val="0"/>
              <w:kinsoku/>
              <w:overflowPunct/>
              <w:topLinePunct w:val="0"/>
              <w:bidi w:val="0"/>
              <w:adjustRightInd/>
              <w:snapToGrid w:val="0"/>
              <w:spacing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6、除招标文件规定必须提供以外，投标人认为需要提供的其他证明材料（格式自拟）。（投标人根据“第二章 采购需求”及“第四章评标方法和评标标准”提供有关证明材料）。</w:t>
            </w:r>
          </w:p>
          <w:p w14:paraId="6C8C453F">
            <w:pPr>
              <w:keepNext w:val="0"/>
              <w:keepLines w:val="0"/>
              <w:pageBreakBefore w:val="0"/>
              <w:kinsoku/>
              <w:overflowPunct/>
              <w:topLinePunct w:val="0"/>
              <w:bidi w:val="0"/>
              <w:adjustRightInd/>
              <w:snapToGrid w:val="0"/>
              <w:spacing w:line="360" w:lineRule="exact"/>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 1.法定代表人授权委托书必须由法定代表人及委托代理人签字或者盖章或者电子签名，并加盖投标人</w:t>
            </w:r>
            <w:r>
              <w:rPr>
                <w:rFonts w:hint="eastAsia" w:ascii="宋体" w:hAnsi="宋体" w:cs="宋体"/>
                <w:b/>
                <w:bCs/>
                <w:color w:val="auto"/>
                <w:sz w:val="21"/>
                <w:szCs w:val="21"/>
                <w:highlight w:val="none"/>
                <w:lang w:val="en-US" w:eastAsia="zh-CN"/>
              </w:rPr>
              <w:t>电子</w:t>
            </w:r>
            <w:r>
              <w:rPr>
                <w:rFonts w:hint="eastAsia" w:ascii="宋体" w:hAnsi="宋体" w:eastAsia="宋体" w:cs="宋体"/>
                <w:b/>
                <w:bCs/>
                <w:color w:val="auto"/>
                <w:sz w:val="21"/>
                <w:szCs w:val="21"/>
                <w:highlight w:val="none"/>
              </w:rPr>
              <w:t>公章，否则作无效投标处理。</w:t>
            </w:r>
          </w:p>
          <w:p w14:paraId="5F2A17C4">
            <w:pPr>
              <w:keepNext w:val="0"/>
              <w:keepLines w:val="0"/>
              <w:pageBreakBefore w:val="0"/>
              <w:kinsoku/>
              <w:overflowPunct/>
              <w:topLinePunct w:val="0"/>
              <w:bidi w:val="0"/>
              <w:adjustRightInd/>
              <w:snapToGrid w:val="0"/>
              <w:spacing w:line="360" w:lineRule="exact"/>
              <w:ind w:firstLine="422" w:firstLineChars="200"/>
              <w:jc w:val="left"/>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rPr>
              <w:t>2.</w:t>
            </w:r>
            <w:r>
              <w:rPr>
                <w:rFonts w:hint="eastAsia" w:ascii="宋体" w:hAnsi="宋体" w:eastAsia="宋体" w:cs="宋体"/>
                <w:color w:val="auto"/>
                <w:sz w:val="21"/>
                <w:szCs w:val="21"/>
                <w:highlight w:val="none"/>
              </w:rPr>
              <w:t xml:space="preserve"> </w:t>
            </w:r>
            <w:r>
              <w:rPr>
                <w:rFonts w:hint="eastAsia" w:ascii="宋体" w:hAnsi="宋体" w:eastAsia="宋体" w:cs="宋体"/>
                <w:b/>
                <w:bCs/>
                <w:color w:val="auto"/>
                <w:sz w:val="21"/>
                <w:szCs w:val="21"/>
                <w:highlight w:val="none"/>
              </w:rPr>
              <w:t>以上标明“必须提供”的材料</w:t>
            </w:r>
            <w:r>
              <w:rPr>
                <w:rFonts w:hint="eastAsia" w:ascii="宋体" w:hAnsi="宋体" w:eastAsia="宋体" w:cs="宋体"/>
                <w:b/>
                <w:color w:val="auto"/>
                <w:sz w:val="21"/>
                <w:szCs w:val="21"/>
                <w:highlight w:val="none"/>
              </w:rPr>
              <w:t>属于扫描件的</w:t>
            </w:r>
            <w:r>
              <w:rPr>
                <w:rFonts w:hint="eastAsia" w:ascii="宋体" w:hAnsi="宋体" w:eastAsia="宋体" w:cs="宋体"/>
                <w:b/>
                <w:bCs/>
                <w:color w:val="auto"/>
                <w:sz w:val="21"/>
                <w:szCs w:val="21"/>
                <w:highlight w:val="none"/>
              </w:rPr>
              <w:t>，必须加盖</w:t>
            </w:r>
            <w:r>
              <w:rPr>
                <w:rFonts w:hint="eastAsia" w:ascii="宋体" w:hAnsi="宋体" w:eastAsia="宋体" w:cs="宋体"/>
                <w:b/>
                <w:bCs/>
                <w:color w:val="auto"/>
                <w:sz w:val="21"/>
                <w:szCs w:val="21"/>
                <w:highlight w:val="none"/>
                <w:lang w:eastAsia="zh-CN"/>
              </w:rPr>
              <w:t>投标人</w:t>
            </w:r>
            <w:r>
              <w:rPr>
                <w:rFonts w:hint="eastAsia" w:ascii="宋体" w:hAnsi="宋体" w:cs="宋体"/>
                <w:b/>
                <w:bCs/>
                <w:color w:val="auto"/>
                <w:sz w:val="21"/>
                <w:szCs w:val="21"/>
                <w:highlight w:val="none"/>
                <w:lang w:val="en-US" w:eastAsia="zh-CN"/>
              </w:rPr>
              <w:t>电子</w:t>
            </w:r>
            <w:r>
              <w:rPr>
                <w:rFonts w:hint="eastAsia" w:ascii="宋体" w:hAnsi="宋体" w:eastAsia="宋体" w:cs="宋体"/>
                <w:b/>
                <w:bCs/>
                <w:color w:val="auto"/>
                <w:sz w:val="21"/>
                <w:szCs w:val="21"/>
                <w:highlight w:val="none"/>
                <w:lang w:eastAsia="zh-CN"/>
              </w:rPr>
              <w:t>公章</w:t>
            </w:r>
            <w:r>
              <w:rPr>
                <w:rFonts w:hint="eastAsia" w:ascii="宋体" w:hAnsi="宋体" w:eastAsia="宋体" w:cs="宋体"/>
                <w:b/>
                <w:bCs/>
                <w:color w:val="auto"/>
                <w:sz w:val="21"/>
                <w:szCs w:val="21"/>
                <w:highlight w:val="none"/>
              </w:rPr>
              <w:t>，否则</w:t>
            </w:r>
            <w:r>
              <w:rPr>
                <w:rFonts w:hint="eastAsia" w:ascii="宋体" w:hAnsi="宋体" w:eastAsia="宋体" w:cs="宋体"/>
                <w:b/>
                <w:color w:val="auto"/>
                <w:sz w:val="21"/>
                <w:szCs w:val="21"/>
                <w:highlight w:val="none"/>
              </w:rPr>
              <w:t>作无效投标处理</w:t>
            </w:r>
            <w:r>
              <w:rPr>
                <w:rFonts w:hint="eastAsia" w:ascii="宋体" w:hAnsi="宋体" w:eastAsia="宋体" w:cs="宋体"/>
                <w:b/>
                <w:bCs/>
                <w:color w:val="auto"/>
                <w:sz w:val="21"/>
                <w:szCs w:val="21"/>
                <w:highlight w:val="none"/>
              </w:rPr>
              <w:t>。</w:t>
            </w:r>
          </w:p>
        </w:tc>
      </w:tr>
      <w:tr w14:paraId="46F6A0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vMerge w:val="continue"/>
            <w:tcBorders>
              <w:left w:val="single" w:color="auto" w:sz="4" w:space="0"/>
              <w:right w:val="single" w:color="auto" w:sz="4" w:space="0"/>
            </w:tcBorders>
            <w:noWrap w:val="0"/>
            <w:vAlign w:val="center"/>
          </w:tcPr>
          <w:p w14:paraId="21A94F01">
            <w:pPr>
              <w:keepNext w:val="0"/>
              <w:keepLines w:val="0"/>
              <w:pageBreakBefore w:val="0"/>
              <w:kinsoku/>
              <w:overflowPunct/>
              <w:topLinePunct w:val="0"/>
              <w:bidi w:val="0"/>
              <w:adjustRightInd/>
              <w:spacing w:line="360" w:lineRule="exact"/>
              <w:rPr>
                <w:rFonts w:hint="eastAsia" w:ascii="宋体" w:hAnsi="宋体" w:eastAsia="宋体" w:cs="宋体"/>
                <w:color w:val="auto"/>
                <w:sz w:val="21"/>
                <w:szCs w:val="21"/>
                <w:highlight w:val="none"/>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14:paraId="00808B49">
            <w:pPr>
              <w:keepNext w:val="0"/>
              <w:keepLines w:val="0"/>
              <w:pageBreakBefore w:val="0"/>
              <w:kinsoku/>
              <w:overflowPunct/>
              <w:topLinePunct w:val="0"/>
              <w:bidi w:val="0"/>
              <w:adjustRightInd/>
              <w:snapToGrid w:val="0"/>
              <w:spacing w:line="360" w:lineRule="exact"/>
              <w:jc w:val="left"/>
              <w:rPr>
                <w:rFonts w:hint="eastAsia" w:ascii="宋体" w:hAnsi="宋体" w:eastAsia="宋体" w:cs="宋体"/>
                <w:color w:val="auto"/>
                <w:sz w:val="21"/>
                <w:szCs w:val="21"/>
                <w:highlight w:val="none"/>
              </w:rPr>
            </w:pPr>
            <w:bookmarkStart w:id="89" w:name="_13.4"/>
            <w:bookmarkEnd w:id="89"/>
            <w:r>
              <w:rPr>
                <w:rFonts w:hint="eastAsia" w:ascii="宋体" w:hAnsi="宋体" w:eastAsia="宋体" w:cs="宋体"/>
                <w:color w:val="auto"/>
                <w:sz w:val="21"/>
                <w:szCs w:val="21"/>
                <w:highlight w:val="none"/>
              </w:rPr>
              <w:t>技术文件组成</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1A9C0C22">
            <w:pPr>
              <w:keepNext w:val="0"/>
              <w:keepLines w:val="0"/>
              <w:pageBreakBefore w:val="0"/>
              <w:kinsoku/>
              <w:overflowPunct/>
              <w:topLinePunct w:val="0"/>
              <w:bidi w:val="0"/>
              <w:adjustRightInd/>
              <w:snapToGrid w:val="0"/>
              <w:spacing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技术</w:t>
            </w:r>
            <w:r>
              <w:rPr>
                <w:rFonts w:hint="eastAsia" w:ascii="宋体" w:hAnsi="宋体" w:eastAsia="宋体" w:cs="宋体"/>
                <w:color w:val="auto"/>
                <w:sz w:val="21"/>
                <w:szCs w:val="21"/>
                <w:highlight w:val="none"/>
                <w:lang w:eastAsia="zh-CN"/>
              </w:rPr>
              <w:t>要求</w:t>
            </w:r>
            <w:r>
              <w:rPr>
                <w:rFonts w:hint="eastAsia" w:ascii="宋体" w:hAnsi="宋体" w:eastAsia="宋体" w:cs="宋体"/>
                <w:color w:val="auto"/>
                <w:sz w:val="21"/>
                <w:szCs w:val="21"/>
                <w:highlight w:val="none"/>
              </w:rPr>
              <w:t>偏离表（格式后附）；（</w:t>
            </w:r>
            <w:r>
              <w:rPr>
                <w:rFonts w:hint="eastAsia" w:ascii="宋体" w:hAnsi="宋体" w:eastAsia="宋体" w:cs="宋体"/>
                <w:b/>
                <w:color w:val="auto"/>
                <w:sz w:val="21"/>
                <w:szCs w:val="21"/>
                <w:highlight w:val="none"/>
              </w:rPr>
              <w:t>必须提供，否则作无效投标处理</w:t>
            </w:r>
            <w:r>
              <w:rPr>
                <w:rFonts w:hint="eastAsia" w:ascii="宋体" w:hAnsi="宋体" w:eastAsia="宋体" w:cs="宋体"/>
                <w:color w:val="auto"/>
                <w:sz w:val="21"/>
                <w:szCs w:val="21"/>
                <w:highlight w:val="none"/>
              </w:rPr>
              <w:t>）</w:t>
            </w:r>
          </w:p>
          <w:p w14:paraId="42D41E9A">
            <w:pPr>
              <w:keepNext w:val="0"/>
              <w:keepLines w:val="0"/>
              <w:pageBreakBefore w:val="0"/>
              <w:kinsoku/>
              <w:overflowPunct/>
              <w:topLinePunct w:val="0"/>
              <w:bidi w:val="0"/>
              <w:adjustRightInd/>
              <w:snapToGrid w:val="0"/>
              <w:spacing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服务实施方案（格式自拟）</w:t>
            </w:r>
            <w:r>
              <w:rPr>
                <w:rFonts w:hint="eastAsia" w:ascii="宋体" w:hAnsi="宋体" w:eastAsia="宋体" w:cs="宋体"/>
                <w:color w:val="auto"/>
                <w:sz w:val="21"/>
                <w:szCs w:val="21"/>
                <w:highlight w:val="none"/>
              </w:rPr>
              <w:t>；</w:t>
            </w:r>
          </w:p>
          <w:p w14:paraId="2309E396">
            <w:pPr>
              <w:keepNext w:val="0"/>
              <w:keepLines w:val="0"/>
              <w:pageBreakBefore w:val="0"/>
              <w:kinsoku/>
              <w:overflowPunct/>
              <w:topLinePunct w:val="0"/>
              <w:bidi w:val="0"/>
              <w:adjustRightInd/>
              <w:snapToGrid w:val="0"/>
              <w:spacing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3、管理制度（格式自拟）；</w:t>
            </w:r>
          </w:p>
          <w:p w14:paraId="1937D24E">
            <w:pPr>
              <w:keepNext w:val="0"/>
              <w:keepLines w:val="0"/>
              <w:pageBreakBefore w:val="0"/>
              <w:kinsoku/>
              <w:overflowPunct/>
              <w:topLinePunct w:val="0"/>
              <w:bidi w:val="0"/>
              <w:adjustRightInd/>
              <w:snapToGrid w:val="0"/>
              <w:spacing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4、项目实施人员一览表（格式后附）；</w:t>
            </w:r>
          </w:p>
          <w:p w14:paraId="4791857E">
            <w:pPr>
              <w:keepNext w:val="0"/>
              <w:keepLines w:val="0"/>
              <w:pageBreakBefore w:val="0"/>
              <w:kinsoku/>
              <w:overflowPunct/>
              <w:topLinePunct w:val="0"/>
              <w:bidi w:val="0"/>
              <w:adjustRightInd/>
              <w:snapToGrid w:val="0"/>
              <w:spacing w:line="360" w:lineRule="exact"/>
              <w:jc w:val="left"/>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、除招标文件规定必须提供以外，投标人需要说明的其他文件和说明（格式自拟）。</w:t>
            </w:r>
          </w:p>
          <w:p w14:paraId="18743205">
            <w:pPr>
              <w:keepNext w:val="0"/>
              <w:keepLines w:val="0"/>
              <w:pageBreakBefore w:val="0"/>
              <w:kinsoku/>
              <w:overflowPunct/>
              <w:topLinePunct w:val="0"/>
              <w:bidi w:val="0"/>
              <w:adjustRightInd/>
              <w:snapToGrid w:val="0"/>
              <w:spacing w:line="360" w:lineRule="exact"/>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注：以上标明“必须提供”的材料</w:t>
            </w:r>
            <w:r>
              <w:rPr>
                <w:rFonts w:hint="eastAsia" w:ascii="宋体" w:hAnsi="宋体" w:eastAsia="宋体" w:cs="宋体"/>
                <w:b/>
                <w:color w:val="auto"/>
                <w:sz w:val="21"/>
                <w:szCs w:val="21"/>
                <w:highlight w:val="none"/>
              </w:rPr>
              <w:t>扫描件</w:t>
            </w:r>
            <w:r>
              <w:rPr>
                <w:rFonts w:hint="eastAsia" w:ascii="宋体" w:hAnsi="宋体" w:eastAsia="宋体" w:cs="宋体"/>
                <w:b/>
                <w:bCs/>
                <w:color w:val="auto"/>
                <w:sz w:val="21"/>
                <w:szCs w:val="21"/>
                <w:highlight w:val="none"/>
              </w:rPr>
              <w:t>，必须加盖</w:t>
            </w:r>
            <w:r>
              <w:rPr>
                <w:rFonts w:hint="eastAsia" w:ascii="宋体" w:hAnsi="宋体" w:eastAsia="宋体" w:cs="宋体"/>
                <w:b/>
                <w:bCs/>
                <w:color w:val="auto"/>
                <w:sz w:val="21"/>
                <w:szCs w:val="21"/>
                <w:highlight w:val="none"/>
                <w:lang w:eastAsia="zh-CN"/>
              </w:rPr>
              <w:t>投标人</w:t>
            </w:r>
            <w:r>
              <w:rPr>
                <w:rFonts w:hint="eastAsia" w:ascii="宋体" w:hAnsi="宋体" w:cs="宋体"/>
                <w:b/>
                <w:bCs/>
                <w:color w:val="auto"/>
                <w:sz w:val="21"/>
                <w:szCs w:val="21"/>
                <w:highlight w:val="none"/>
                <w:lang w:val="en-US" w:eastAsia="zh-CN"/>
              </w:rPr>
              <w:t>电子</w:t>
            </w:r>
            <w:r>
              <w:rPr>
                <w:rFonts w:hint="eastAsia" w:ascii="宋体" w:hAnsi="宋体" w:eastAsia="宋体" w:cs="宋体"/>
                <w:b/>
                <w:bCs/>
                <w:color w:val="auto"/>
                <w:sz w:val="21"/>
                <w:szCs w:val="21"/>
                <w:highlight w:val="none"/>
                <w:lang w:eastAsia="zh-CN"/>
              </w:rPr>
              <w:t>公章</w:t>
            </w:r>
            <w:r>
              <w:rPr>
                <w:rFonts w:hint="eastAsia" w:ascii="宋体" w:hAnsi="宋体" w:eastAsia="宋体" w:cs="宋体"/>
                <w:b/>
                <w:bCs/>
                <w:color w:val="auto"/>
                <w:sz w:val="21"/>
                <w:szCs w:val="21"/>
                <w:highlight w:val="none"/>
              </w:rPr>
              <w:t>，否则</w:t>
            </w:r>
            <w:r>
              <w:rPr>
                <w:rFonts w:hint="eastAsia" w:ascii="宋体" w:hAnsi="宋体" w:eastAsia="宋体" w:cs="宋体"/>
                <w:b/>
                <w:color w:val="auto"/>
                <w:sz w:val="21"/>
                <w:szCs w:val="21"/>
                <w:highlight w:val="none"/>
              </w:rPr>
              <w:t>作无效投标处理</w:t>
            </w:r>
            <w:r>
              <w:rPr>
                <w:rFonts w:hint="eastAsia" w:ascii="宋体" w:hAnsi="宋体" w:eastAsia="宋体" w:cs="宋体"/>
                <w:b/>
                <w:bCs/>
                <w:color w:val="auto"/>
                <w:sz w:val="21"/>
                <w:szCs w:val="21"/>
                <w:highlight w:val="none"/>
              </w:rPr>
              <w:t>。</w:t>
            </w:r>
          </w:p>
        </w:tc>
      </w:tr>
      <w:tr w14:paraId="75E3FE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vMerge w:val="continue"/>
            <w:tcBorders>
              <w:left w:val="single" w:color="auto" w:sz="4" w:space="0"/>
              <w:bottom w:val="single" w:color="auto" w:sz="4" w:space="0"/>
              <w:right w:val="single" w:color="auto" w:sz="4" w:space="0"/>
            </w:tcBorders>
            <w:noWrap w:val="0"/>
            <w:vAlign w:val="center"/>
          </w:tcPr>
          <w:p w14:paraId="3EFEE93E">
            <w:pPr>
              <w:keepNext w:val="0"/>
              <w:keepLines w:val="0"/>
              <w:pageBreakBefore w:val="0"/>
              <w:widowControl/>
              <w:kinsoku/>
              <w:overflowPunct/>
              <w:topLinePunct w:val="0"/>
              <w:bidi w:val="0"/>
              <w:adjustRightInd/>
              <w:spacing w:line="360" w:lineRule="exact"/>
              <w:jc w:val="left"/>
              <w:rPr>
                <w:rFonts w:hint="eastAsia" w:ascii="宋体" w:hAnsi="宋体" w:eastAsia="宋体" w:cs="宋体"/>
                <w:color w:val="auto"/>
                <w:sz w:val="21"/>
                <w:szCs w:val="21"/>
                <w:highlight w:val="none"/>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14:paraId="69B9DBE8">
            <w:pPr>
              <w:keepNext w:val="0"/>
              <w:keepLines w:val="0"/>
              <w:pageBreakBefore w:val="0"/>
              <w:kinsoku/>
              <w:overflowPunct/>
              <w:topLinePunct w:val="0"/>
              <w:bidi w:val="0"/>
              <w:adjustRightInd/>
              <w:snapToGrid w:val="0"/>
              <w:spacing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报价文件组成</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002D74DE">
            <w:pPr>
              <w:keepNext w:val="0"/>
              <w:keepLines w:val="0"/>
              <w:pageBreakBefore w:val="0"/>
              <w:tabs>
                <w:tab w:val="left" w:pos="459"/>
              </w:tabs>
              <w:kinsoku/>
              <w:overflowPunct/>
              <w:topLinePunct w:val="0"/>
              <w:bidi w:val="0"/>
              <w:adjustRightInd/>
              <w:snapToGrid w:val="0"/>
              <w:spacing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1、投标函（格式后附）；</w:t>
            </w:r>
            <w:r>
              <w:rPr>
                <w:rFonts w:hint="eastAsia" w:ascii="宋体" w:hAnsi="宋体" w:eastAsia="宋体" w:cs="宋体"/>
                <w:b/>
                <w:bCs/>
                <w:color w:val="auto"/>
                <w:sz w:val="21"/>
                <w:szCs w:val="21"/>
                <w:highlight w:val="none"/>
              </w:rPr>
              <w:t>（必须提供，否则作无效投标处理）</w:t>
            </w:r>
          </w:p>
          <w:p w14:paraId="7A892882">
            <w:pPr>
              <w:keepNext w:val="0"/>
              <w:keepLines w:val="0"/>
              <w:pageBreakBefore w:val="0"/>
              <w:tabs>
                <w:tab w:val="left" w:pos="459"/>
              </w:tabs>
              <w:kinsoku/>
              <w:overflowPunct/>
              <w:topLinePunct w:val="0"/>
              <w:bidi w:val="0"/>
              <w:adjustRightInd/>
              <w:snapToGrid w:val="0"/>
              <w:spacing w:line="360" w:lineRule="exact"/>
              <w:jc w:val="left"/>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2、开标一览表（格式后附）；</w:t>
            </w:r>
            <w:r>
              <w:rPr>
                <w:rFonts w:hint="eastAsia" w:ascii="宋体" w:hAnsi="宋体" w:eastAsia="宋体" w:cs="宋体"/>
                <w:b/>
                <w:bCs/>
                <w:color w:val="auto"/>
                <w:sz w:val="21"/>
                <w:szCs w:val="21"/>
                <w:highlight w:val="none"/>
              </w:rPr>
              <w:t>（必须提供，否则作无效投标处理）</w:t>
            </w:r>
          </w:p>
          <w:p w14:paraId="2D0128D6">
            <w:pPr>
              <w:keepNext w:val="0"/>
              <w:keepLines w:val="0"/>
              <w:pageBreakBefore w:val="0"/>
              <w:tabs>
                <w:tab w:val="left" w:pos="459"/>
              </w:tabs>
              <w:kinsoku/>
              <w:overflowPunct/>
              <w:topLinePunct w:val="0"/>
              <w:bidi w:val="0"/>
              <w:adjustRightInd/>
              <w:snapToGrid w:val="0"/>
              <w:spacing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、投标人针对报价需要说明的其他文件和说明（格式自拟）。</w:t>
            </w:r>
          </w:p>
          <w:p w14:paraId="33F9A33D">
            <w:pPr>
              <w:keepNext w:val="0"/>
              <w:keepLines w:val="0"/>
              <w:pageBreakBefore w:val="0"/>
              <w:tabs>
                <w:tab w:val="left" w:pos="459"/>
              </w:tabs>
              <w:kinsoku/>
              <w:overflowPunct/>
              <w:topLinePunct w:val="0"/>
              <w:bidi w:val="0"/>
              <w:adjustRightInd/>
              <w:snapToGrid w:val="0"/>
              <w:spacing w:line="360" w:lineRule="exact"/>
              <w:jc w:val="left"/>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注：以上标明“必须提供”的材料</w:t>
            </w:r>
            <w:r>
              <w:rPr>
                <w:rFonts w:hint="eastAsia" w:ascii="宋体" w:hAnsi="宋体" w:eastAsia="宋体" w:cs="宋体"/>
                <w:b/>
                <w:color w:val="auto"/>
                <w:sz w:val="21"/>
                <w:szCs w:val="21"/>
                <w:highlight w:val="none"/>
              </w:rPr>
              <w:t>扫描件</w:t>
            </w:r>
            <w:r>
              <w:rPr>
                <w:rFonts w:hint="eastAsia" w:ascii="宋体" w:hAnsi="宋体" w:eastAsia="宋体" w:cs="宋体"/>
                <w:b/>
                <w:bCs/>
                <w:color w:val="auto"/>
                <w:sz w:val="21"/>
                <w:szCs w:val="21"/>
                <w:highlight w:val="none"/>
              </w:rPr>
              <w:t>，必须加盖</w:t>
            </w:r>
            <w:r>
              <w:rPr>
                <w:rFonts w:hint="eastAsia" w:ascii="宋体" w:hAnsi="宋体" w:eastAsia="宋体" w:cs="宋体"/>
                <w:b/>
                <w:bCs/>
                <w:color w:val="auto"/>
                <w:sz w:val="21"/>
                <w:szCs w:val="21"/>
                <w:highlight w:val="none"/>
                <w:lang w:eastAsia="zh-CN"/>
              </w:rPr>
              <w:t>投标人</w:t>
            </w:r>
            <w:r>
              <w:rPr>
                <w:rFonts w:hint="eastAsia" w:ascii="宋体" w:hAnsi="宋体" w:cs="宋体"/>
                <w:b/>
                <w:bCs/>
                <w:color w:val="auto"/>
                <w:sz w:val="21"/>
                <w:szCs w:val="21"/>
                <w:highlight w:val="none"/>
                <w:lang w:val="en-US" w:eastAsia="zh-CN"/>
              </w:rPr>
              <w:t>电子</w:t>
            </w:r>
            <w:r>
              <w:rPr>
                <w:rFonts w:hint="eastAsia" w:ascii="宋体" w:hAnsi="宋体" w:eastAsia="宋体" w:cs="宋体"/>
                <w:b/>
                <w:bCs/>
                <w:color w:val="auto"/>
                <w:sz w:val="21"/>
                <w:szCs w:val="21"/>
                <w:highlight w:val="none"/>
                <w:lang w:eastAsia="zh-CN"/>
              </w:rPr>
              <w:t>公章</w:t>
            </w:r>
            <w:r>
              <w:rPr>
                <w:rFonts w:hint="eastAsia" w:ascii="宋体" w:hAnsi="宋体" w:eastAsia="宋体" w:cs="宋体"/>
                <w:b/>
                <w:bCs/>
                <w:color w:val="auto"/>
                <w:sz w:val="21"/>
                <w:szCs w:val="21"/>
                <w:highlight w:val="none"/>
              </w:rPr>
              <w:t>，否则</w:t>
            </w:r>
            <w:r>
              <w:rPr>
                <w:rFonts w:hint="eastAsia" w:ascii="宋体" w:hAnsi="宋体" w:eastAsia="宋体" w:cs="宋体"/>
                <w:b/>
                <w:color w:val="auto"/>
                <w:sz w:val="21"/>
                <w:szCs w:val="21"/>
                <w:highlight w:val="none"/>
              </w:rPr>
              <w:t>作无效投标处理</w:t>
            </w:r>
            <w:r>
              <w:rPr>
                <w:rFonts w:hint="eastAsia" w:ascii="宋体" w:hAnsi="宋体" w:eastAsia="宋体" w:cs="宋体"/>
                <w:b/>
                <w:bCs/>
                <w:color w:val="auto"/>
                <w:sz w:val="21"/>
                <w:szCs w:val="21"/>
                <w:highlight w:val="none"/>
              </w:rPr>
              <w:t>。</w:t>
            </w:r>
          </w:p>
        </w:tc>
      </w:tr>
      <w:tr w14:paraId="6ABD4F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62BF8820">
            <w:pPr>
              <w:keepNext w:val="0"/>
              <w:keepLines w:val="0"/>
              <w:pageBreakBefore w:val="0"/>
              <w:kinsoku/>
              <w:overflowPunct/>
              <w:topLinePunct w:val="0"/>
              <w:bidi w:val="0"/>
              <w:adjustRightInd/>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16.2</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0870A12E">
            <w:pPr>
              <w:keepNext w:val="0"/>
              <w:keepLines w:val="0"/>
              <w:pageBreakBefore w:val="0"/>
              <w:kinsoku/>
              <w:overflowPunct/>
              <w:topLinePunct w:val="0"/>
              <w:bidi w:val="0"/>
              <w:adjustRightInd/>
              <w:spacing w:line="360" w:lineRule="exact"/>
              <w:rPr>
                <w:rFonts w:hint="eastAsia" w:ascii="宋体" w:hAnsi="宋体" w:eastAsia="宋体" w:cs="宋体"/>
                <w:color w:val="auto"/>
                <w:sz w:val="21"/>
                <w:szCs w:val="21"/>
                <w:highlight w:val="none"/>
              </w:rPr>
            </w:pPr>
            <w:bookmarkStart w:id="90" w:name="_16.2"/>
            <w:bookmarkEnd w:id="90"/>
            <w:r>
              <w:rPr>
                <w:rFonts w:hint="eastAsia" w:ascii="宋体" w:hAnsi="宋体" w:eastAsia="宋体" w:cs="宋体"/>
                <w:color w:val="auto"/>
                <w:sz w:val="21"/>
                <w:szCs w:val="21"/>
                <w:highlight w:val="none"/>
              </w:rPr>
              <w:t>投标报价要求</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5D242D0C">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1、本项目投标应以价格折扣率报价（以%表示，折扣率报价精确到个位数）。投标报价范围：≤100%（如：供货产品打九七折即投标折扣率为97%，以此类推），否则，作无效报价处理。 </w:t>
            </w:r>
          </w:p>
          <w:p w14:paraId="744567B8">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2、实际采购时，上述数量仅作投标报价使用，结算时按实际采购数量结算。基准价设定为X，签订的合同折扣率设定为 Y%，则该原料供货单价为 X× Y%（例如：市场零售价 X=100 元，合同折扣率 Y%=97%，该原料供货单价=100× 0.97=97 元）。</w:t>
            </w:r>
          </w:p>
          <w:p w14:paraId="337187F7">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3、投标人必须就《招标项目采购需求》中的全部内容作完整唯一报价。否则，其报价将被拒绝。如果投标人所填报的内容与招标文件相比较有存在漏项的状况且在评审时被接受，则将被认为该遗漏项目已包含在报价中，中标人在服务时应严格按投标文件要求的内容完整提供，不得要求招标人对其漏报的款项追加支付货款。 </w:t>
            </w:r>
          </w:p>
          <w:p w14:paraId="5B0EBE4F">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4、投标人的报价大写折扣率和小写折扣率不一致的，以大写折扣率为准；对不同文字文本投标文件的解释发生异议的，以中文文本为准。如果因投标人原因引起的报价失误，并在评审时被接受，其后果由投标人自负。 </w:t>
            </w:r>
          </w:p>
          <w:p w14:paraId="55C1C6A1">
            <w:pPr>
              <w:pStyle w:val="18"/>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宋体"/>
                <w:color w:val="auto"/>
                <w:highlight w:val="none"/>
              </w:rPr>
            </w:pPr>
            <w:r>
              <w:rPr>
                <w:rFonts w:hint="eastAsia" w:ascii="宋体" w:hAnsi="宋体" w:eastAsia="宋体" w:cs="宋体"/>
                <w:color w:val="auto"/>
                <w:sz w:val="21"/>
                <w:szCs w:val="21"/>
                <w:highlight w:val="none"/>
                <w:lang w:val="en-US" w:eastAsia="zh-CN"/>
              </w:rPr>
              <w:t>5、不论投标结果如何，投标人均应自行承担所有与投标有关的全部费用。</w:t>
            </w:r>
          </w:p>
        </w:tc>
      </w:tr>
      <w:tr w14:paraId="289D37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29D878F6">
            <w:pPr>
              <w:keepNext w:val="0"/>
              <w:keepLines w:val="0"/>
              <w:pageBreakBefore w:val="0"/>
              <w:kinsoku/>
              <w:overflowPunct/>
              <w:topLinePunct w:val="0"/>
              <w:bidi w:val="0"/>
              <w:adjustRightInd/>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3FBD4EDB">
            <w:pPr>
              <w:keepNext w:val="0"/>
              <w:keepLines w:val="0"/>
              <w:pageBreakBefore w:val="0"/>
              <w:kinsoku/>
              <w:overflowPunct/>
              <w:topLinePunct w:val="0"/>
              <w:bidi w:val="0"/>
              <w:adjustRightInd/>
              <w:spacing w:line="360" w:lineRule="exact"/>
              <w:rPr>
                <w:rFonts w:hint="eastAsia" w:ascii="宋体" w:hAnsi="宋体" w:eastAsia="宋体" w:cs="宋体"/>
                <w:color w:val="auto"/>
                <w:sz w:val="21"/>
                <w:szCs w:val="21"/>
                <w:highlight w:val="none"/>
              </w:rPr>
            </w:pPr>
            <w:bookmarkStart w:id="91" w:name="_17.1"/>
            <w:bookmarkEnd w:id="91"/>
            <w:r>
              <w:rPr>
                <w:rFonts w:hint="eastAsia" w:ascii="宋体" w:hAnsi="宋体" w:eastAsia="宋体" w:cs="宋体"/>
                <w:color w:val="auto"/>
                <w:sz w:val="21"/>
                <w:szCs w:val="21"/>
                <w:highlight w:val="none"/>
              </w:rPr>
              <w:t>投标有效期</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2A191775">
            <w:pPr>
              <w:keepNext w:val="0"/>
              <w:keepLines w:val="0"/>
              <w:pageBreakBefore w:val="0"/>
              <w:kinsoku/>
              <w:overflowPunct/>
              <w:topLinePunct w:val="0"/>
              <w:bidi w:val="0"/>
              <w:adjustRightInd/>
              <w:snapToGrid w:val="0"/>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自投标截止之日起</w:t>
            </w:r>
            <w:r>
              <w:rPr>
                <w:rFonts w:hint="eastAsia" w:ascii="宋体" w:hAnsi="宋体" w:eastAsia="宋体" w:cs="宋体"/>
                <w:color w:val="auto"/>
                <w:sz w:val="21"/>
                <w:szCs w:val="21"/>
                <w:highlight w:val="none"/>
                <w:u w:val="single"/>
                <w:lang w:val="en-US" w:eastAsia="zh-CN"/>
              </w:rPr>
              <w:t xml:space="preserve">  90  </w:t>
            </w:r>
            <w:r>
              <w:rPr>
                <w:rFonts w:hint="eastAsia" w:ascii="宋体" w:hAnsi="宋体" w:eastAsia="宋体" w:cs="宋体"/>
                <w:color w:val="auto"/>
                <w:sz w:val="21"/>
                <w:szCs w:val="21"/>
                <w:highlight w:val="none"/>
                <w:u w:val="none"/>
                <w:lang w:val="en-US" w:eastAsia="zh-CN"/>
              </w:rPr>
              <w:t>日</w:t>
            </w:r>
            <w:r>
              <w:rPr>
                <w:rFonts w:hint="eastAsia" w:ascii="宋体" w:hAnsi="宋体" w:eastAsia="宋体" w:cs="宋体"/>
                <w:color w:val="auto"/>
                <w:sz w:val="21"/>
                <w:szCs w:val="21"/>
                <w:highlight w:val="none"/>
              </w:rPr>
              <w:t>。</w:t>
            </w:r>
          </w:p>
        </w:tc>
      </w:tr>
      <w:tr w14:paraId="2D5C1F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797FE454">
            <w:pPr>
              <w:keepNext w:val="0"/>
              <w:keepLines w:val="0"/>
              <w:pageBreakBefore w:val="0"/>
              <w:kinsoku/>
              <w:overflowPunct/>
              <w:topLinePunct w:val="0"/>
              <w:bidi w:val="0"/>
              <w:adjustRightInd/>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7E552B75">
            <w:pPr>
              <w:keepNext w:val="0"/>
              <w:keepLines w:val="0"/>
              <w:pageBreakBefore w:val="0"/>
              <w:kinsoku/>
              <w:overflowPunct/>
              <w:topLinePunct w:val="0"/>
              <w:bidi w:val="0"/>
              <w:adjustRightInd/>
              <w:spacing w:line="360" w:lineRule="exact"/>
              <w:rPr>
                <w:rFonts w:hint="eastAsia" w:ascii="宋体" w:hAnsi="宋体" w:eastAsia="宋体" w:cs="宋体"/>
                <w:color w:val="auto"/>
                <w:sz w:val="21"/>
                <w:szCs w:val="21"/>
                <w:highlight w:val="none"/>
              </w:rPr>
            </w:pPr>
            <w:bookmarkStart w:id="92" w:name="_18"/>
            <w:bookmarkEnd w:id="92"/>
            <w:r>
              <w:rPr>
                <w:rFonts w:hint="eastAsia" w:ascii="宋体" w:hAnsi="宋体" w:eastAsia="宋体" w:cs="宋体"/>
                <w:color w:val="auto"/>
                <w:sz w:val="21"/>
                <w:szCs w:val="21"/>
                <w:highlight w:val="none"/>
              </w:rPr>
              <w:t>投标保证金金额</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68915085">
            <w:pPr>
              <w:keepNext w:val="0"/>
              <w:keepLines w:val="0"/>
              <w:pageBreakBefore w:val="0"/>
              <w:kinsoku/>
              <w:overflowPunct/>
              <w:topLinePunct w:val="0"/>
              <w:autoSpaceDE w:val="0"/>
              <w:autoSpaceDN w:val="0"/>
              <w:bidi w:val="0"/>
              <w:adjustRightInd/>
              <w:snapToGrid w:val="0"/>
              <w:spacing w:line="360" w:lineRule="exact"/>
              <w:textAlignment w:val="bottom"/>
              <w:rPr>
                <w:rFonts w:hint="eastAsia" w:ascii="宋体" w:hAnsi="宋体" w:eastAsia="宋体" w:cs="宋体"/>
                <w:color w:val="auto"/>
                <w:sz w:val="21"/>
                <w:szCs w:val="21"/>
                <w:highlight w:val="none"/>
              </w:rPr>
            </w:pPr>
            <w:r>
              <w:rPr>
                <w:rFonts w:hint="eastAsia" w:ascii="宋体" w:hAnsi="宋体" w:eastAsia="宋体" w:cs="宋体"/>
                <w:b/>
                <w:bCs/>
                <w:color w:val="auto"/>
                <w:szCs w:val="21"/>
                <w:highlight w:val="none"/>
              </w:rPr>
              <w:t>本项目不需要缴纳投标保证金。</w:t>
            </w:r>
          </w:p>
        </w:tc>
      </w:tr>
      <w:tr w14:paraId="4BEC51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3971A413">
            <w:pPr>
              <w:keepNext w:val="0"/>
              <w:keepLines w:val="0"/>
              <w:pageBreakBefore w:val="0"/>
              <w:kinsoku/>
              <w:overflowPunct/>
              <w:topLinePunct w:val="0"/>
              <w:bidi w:val="0"/>
              <w:adjustRightInd/>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19.1</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64AD669C">
            <w:pPr>
              <w:keepNext w:val="0"/>
              <w:keepLines w:val="0"/>
              <w:pageBreakBefore w:val="0"/>
              <w:kinsoku/>
              <w:overflowPunct/>
              <w:topLinePunct w:val="0"/>
              <w:bidi w:val="0"/>
              <w:adjustRightInd/>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投标文件编制要求</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79FBA250">
            <w:pPr>
              <w:keepNext w:val="0"/>
              <w:keepLines w:val="0"/>
              <w:pageBreakBefore w:val="0"/>
              <w:kinsoku/>
              <w:overflowPunct/>
              <w:topLinePunct w:val="0"/>
              <w:bidi w:val="0"/>
              <w:adjustRightInd/>
              <w:spacing w:line="360" w:lineRule="exact"/>
              <w:rPr>
                <w:rFonts w:hint="eastAsia" w:ascii="宋体" w:hAnsi="宋体" w:eastAsia="宋体" w:cs="宋体"/>
                <w:b/>
                <w:color w:val="auto"/>
                <w:sz w:val="21"/>
                <w:szCs w:val="21"/>
                <w:highlight w:val="none"/>
                <w:u w:val="single"/>
              </w:rPr>
            </w:pPr>
            <w:r>
              <w:rPr>
                <w:rFonts w:hint="eastAsia" w:ascii="宋体" w:hAnsi="宋体" w:eastAsia="宋体" w:cs="宋体"/>
                <w:color w:val="auto"/>
                <w:sz w:val="21"/>
                <w:szCs w:val="21"/>
                <w:highlight w:val="none"/>
              </w:rPr>
              <w:t>投标文件应按报价文件、资格证明文件、商务文件、技术文件分别编制，报价文件、资格证明文件分别生</w:t>
            </w:r>
            <w:r>
              <w:rPr>
                <w:rFonts w:hint="eastAsia" w:ascii="宋体" w:hAnsi="宋体" w:eastAsia="宋体" w:cs="宋体"/>
                <w:color w:val="auto"/>
                <w:sz w:val="21"/>
                <w:szCs w:val="21"/>
                <w:highlight w:val="none"/>
                <w:lang w:eastAsia="zh-CN"/>
              </w:rPr>
              <w:t>成</w:t>
            </w:r>
            <w:r>
              <w:rPr>
                <w:rFonts w:hint="eastAsia" w:ascii="宋体" w:hAnsi="宋体" w:eastAsia="宋体" w:cs="宋体"/>
                <w:color w:val="auto"/>
                <w:sz w:val="21"/>
                <w:szCs w:val="21"/>
                <w:highlight w:val="none"/>
              </w:rPr>
              <w:t>电子文件，商务文件和技术文件按顺序合并生成电子文件。</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Cs w:val="21"/>
                <w:highlight w:val="none"/>
                <w:lang w:eastAsia="zh-CN"/>
              </w:rPr>
              <w:t>注：</w:t>
            </w:r>
            <w:r>
              <w:rPr>
                <w:rFonts w:hint="eastAsia" w:ascii="宋体" w:hAnsi="宋体" w:eastAsia="宋体" w:cs="宋体"/>
                <w:b/>
                <w:bCs/>
                <w:color w:val="auto"/>
                <w:szCs w:val="21"/>
                <w:highlight w:val="none"/>
              </w:rPr>
              <w:t>按照本</w:t>
            </w:r>
            <w:r>
              <w:rPr>
                <w:rFonts w:hint="eastAsia" w:ascii="宋体" w:hAnsi="宋体" w:eastAsia="宋体" w:cs="宋体"/>
                <w:b/>
                <w:bCs/>
                <w:color w:val="auto"/>
                <w:szCs w:val="21"/>
                <w:highlight w:val="none"/>
                <w:lang w:eastAsia="zh-CN"/>
              </w:rPr>
              <w:t>招标</w:t>
            </w:r>
            <w:r>
              <w:rPr>
                <w:rFonts w:hint="eastAsia" w:ascii="宋体" w:hAnsi="宋体" w:eastAsia="宋体" w:cs="宋体"/>
                <w:b/>
                <w:bCs/>
                <w:color w:val="auto"/>
                <w:szCs w:val="21"/>
                <w:highlight w:val="none"/>
              </w:rPr>
              <w:t>文件“第六章 投标文件格式”编写</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rPr>
              <w:t>第</w:t>
            </w:r>
            <w:r>
              <w:rPr>
                <w:rFonts w:hint="eastAsia" w:ascii="宋体" w:hAnsi="宋体" w:eastAsia="宋体" w:cs="宋体"/>
                <w:b/>
                <w:bCs/>
                <w:color w:val="auto"/>
                <w:szCs w:val="21"/>
                <w:highlight w:val="none"/>
                <w:lang w:eastAsia="zh-CN"/>
              </w:rPr>
              <w:t>六</w:t>
            </w:r>
            <w:r>
              <w:rPr>
                <w:rFonts w:hint="eastAsia" w:ascii="宋体" w:hAnsi="宋体" w:eastAsia="宋体" w:cs="宋体"/>
                <w:b/>
                <w:bCs/>
                <w:color w:val="auto"/>
                <w:szCs w:val="21"/>
                <w:highlight w:val="none"/>
              </w:rPr>
              <w:t>章未附格式的，由</w:t>
            </w:r>
            <w:r>
              <w:rPr>
                <w:rFonts w:hint="eastAsia" w:ascii="宋体" w:hAnsi="宋体" w:eastAsia="宋体" w:cs="宋体"/>
                <w:b/>
                <w:bCs/>
                <w:color w:val="auto"/>
                <w:szCs w:val="21"/>
                <w:highlight w:val="none"/>
                <w:lang w:eastAsia="zh-CN"/>
              </w:rPr>
              <w:t>投标人</w:t>
            </w:r>
            <w:r>
              <w:rPr>
                <w:rFonts w:hint="eastAsia" w:ascii="宋体" w:hAnsi="宋体" w:eastAsia="宋体" w:cs="宋体"/>
                <w:b/>
                <w:bCs/>
                <w:color w:val="auto"/>
                <w:szCs w:val="21"/>
                <w:highlight w:val="none"/>
              </w:rPr>
              <w:t>自行拟定</w:t>
            </w:r>
            <w:r>
              <w:rPr>
                <w:rFonts w:hint="eastAsia" w:ascii="宋体" w:hAnsi="宋体" w:eastAsia="宋体" w:cs="宋体"/>
                <w:b/>
                <w:bCs/>
                <w:color w:val="auto"/>
                <w:szCs w:val="21"/>
                <w:highlight w:val="none"/>
                <w:lang w:eastAsia="zh-CN"/>
              </w:rPr>
              <w:t>。）</w:t>
            </w:r>
          </w:p>
        </w:tc>
      </w:tr>
      <w:tr w14:paraId="174ED5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139712EF">
            <w:pPr>
              <w:keepNext w:val="0"/>
              <w:keepLines w:val="0"/>
              <w:pageBreakBefore w:val="0"/>
              <w:kinsoku/>
              <w:overflowPunct/>
              <w:topLinePunct w:val="0"/>
              <w:bidi w:val="0"/>
              <w:adjustRightInd/>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7C308D9D">
            <w:pPr>
              <w:keepNext w:val="0"/>
              <w:keepLines w:val="0"/>
              <w:pageBreakBefore w:val="0"/>
              <w:kinsoku/>
              <w:overflowPunct/>
              <w:topLinePunct w:val="0"/>
              <w:bidi w:val="0"/>
              <w:adjustRightInd/>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备份投标文件</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44662756">
            <w:pPr>
              <w:keepNext w:val="0"/>
              <w:keepLines w:val="0"/>
              <w:pageBreakBefore w:val="0"/>
              <w:kinsoku/>
              <w:overflowPunct/>
              <w:topLinePunct w:val="0"/>
              <w:autoSpaceDE w:val="0"/>
              <w:autoSpaceDN w:val="0"/>
              <w:bidi w:val="0"/>
              <w:adjustRightInd/>
              <w:snapToGrid w:val="0"/>
              <w:spacing w:line="360" w:lineRule="exact"/>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本项目不接受备份投标文件。</w:t>
            </w:r>
          </w:p>
        </w:tc>
      </w:tr>
      <w:tr w14:paraId="0B80DB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1027" w:type="dxa"/>
            <w:vMerge w:val="restart"/>
            <w:tcBorders>
              <w:top w:val="single" w:color="auto" w:sz="4" w:space="0"/>
              <w:left w:val="single" w:color="auto" w:sz="4" w:space="0"/>
              <w:bottom w:val="nil"/>
              <w:right w:val="single" w:color="auto" w:sz="4" w:space="0"/>
            </w:tcBorders>
            <w:noWrap w:val="0"/>
            <w:vAlign w:val="center"/>
          </w:tcPr>
          <w:p w14:paraId="67D516F6">
            <w:pPr>
              <w:keepNext w:val="0"/>
              <w:keepLines w:val="0"/>
              <w:pageBreakBefore w:val="0"/>
              <w:kinsoku/>
              <w:overflowPunct/>
              <w:topLinePunct w:val="0"/>
              <w:bidi w:val="0"/>
              <w:adjustRightInd/>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181C4E16">
            <w:pPr>
              <w:keepNext w:val="0"/>
              <w:keepLines w:val="0"/>
              <w:pageBreakBefore w:val="0"/>
              <w:kinsoku/>
              <w:overflowPunct/>
              <w:topLinePunct w:val="0"/>
              <w:bidi w:val="0"/>
              <w:adjustRightInd/>
              <w:spacing w:line="360" w:lineRule="exact"/>
              <w:rPr>
                <w:rFonts w:hint="eastAsia" w:ascii="宋体" w:hAnsi="宋体" w:eastAsia="宋体" w:cs="宋体"/>
                <w:color w:val="auto"/>
                <w:sz w:val="21"/>
                <w:szCs w:val="21"/>
                <w:highlight w:val="none"/>
              </w:rPr>
            </w:pPr>
            <w:bookmarkStart w:id="93" w:name="_21.1"/>
            <w:bookmarkEnd w:id="93"/>
            <w:r>
              <w:rPr>
                <w:rFonts w:hint="eastAsia" w:ascii="宋体" w:hAnsi="宋体" w:eastAsia="宋体" w:cs="宋体"/>
                <w:color w:val="auto"/>
                <w:sz w:val="21"/>
                <w:szCs w:val="21"/>
                <w:highlight w:val="none"/>
              </w:rPr>
              <w:t>投标截止时间</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34374775">
            <w:pPr>
              <w:keepNext w:val="0"/>
              <w:keepLines w:val="0"/>
              <w:pageBreakBefore w:val="0"/>
              <w:kinsoku/>
              <w:overflowPunct/>
              <w:topLinePunct w:val="0"/>
              <w:bidi w:val="0"/>
              <w:adjustRightInd/>
              <w:snapToGrid w:val="0"/>
              <w:spacing w:line="360" w:lineRule="exac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详见招标公告</w:t>
            </w:r>
          </w:p>
        </w:tc>
      </w:tr>
      <w:tr w14:paraId="06F723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1027" w:type="dxa"/>
            <w:vMerge w:val="continue"/>
            <w:tcBorders>
              <w:top w:val="single" w:color="auto" w:sz="4" w:space="0"/>
              <w:left w:val="single" w:color="auto" w:sz="4" w:space="0"/>
              <w:bottom w:val="nil"/>
              <w:right w:val="single" w:color="auto" w:sz="4" w:space="0"/>
            </w:tcBorders>
            <w:noWrap w:val="0"/>
            <w:vAlign w:val="center"/>
          </w:tcPr>
          <w:p w14:paraId="21A31AC6">
            <w:pPr>
              <w:keepNext w:val="0"/>
              <w:keepLines w:val="0"/>
              <w:pageBreakBefore w:val="0"/>
              <w:widowControl/>
              <w:kinsoku/>
              <w:overflowPunct/>
              <w:topLinePunct w:val="0"/>
              <w:bidi w:val="0"/>
              <w:adjustRightInd/>
              <w:spacing w:line="360" w:lineRule="exact"/>
              <w:jc w:val="left"/>
              <w:rPr>
                <w:rFonts w:hint="eastAsia" w:ascii="宋体" w:hAnsi="宋体" w:eastAsia="宋体" w:cs="宋体"/>
                <w:color w:val="auto"/>
                <w:sz w:val="21"/>
                <w:szCs w:val="21"/>
                <w:highlight w:val="none"/>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14:paraId="13C75F52">
            <w:pPr>
              <w:keepNext w:val="0"/>
              <w:keepLines w:val="0"/>
              <w:pageBreakBefore w:val="0"/>
              <w:kinsoku/>
              <w:overflowPunct/>
              <w:topLinePunct w:val="0"/>
              <w:bidi w:val="0"/>
              <w:adjustRightInd/>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投标地点</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03F833CD">
            <w:pPr>
              <w:keepNext w:val="0"/>
              <w:keepLines w:val="0"/>
              <w:pageBreakBefore w:val="0"/>
              <w:kinsoku/>
              <w:overflowPunct/>
              <w:topLinePunct w:val="0"/>
              <w:bidi w:val="0"/>
              <w:adjustRightInd/>
              <w:snapToGrid w:val="0"/>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详见招标公告</w:t>
            </w:r>
          </w:p>
        </w:tc>
      </w:tr>
      <w:tr w14:paraId="40A585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1027" w:type="dxa"/>
            <w:vMerge w:val="continue"/>
            <w:tcBorders>
              <w:top w:val="single" w:color="auto" w:sz="4" w:space="0"/>
              <w:left w:val="single" w:color="auto" w:sz="4" w:space="0"/>
              <w:bottom w:val="nil"/>
              <w:right w:val="single" w:color="auto" w:sz="4" w:space="0"/>
            </w:tcBorders>
            <w:noWrap w:val="0"/>
            <w:vAlign w:val="center"/>
          </w:tcPr>
          <w:p w14:paraId="16EAF84C">
            <w:pPr>
              <w:keepNext w:val="0"/>
              <w:keepLines w:val="0"/>
              <w:pageBreakBefore w:val="0"/>
              <w:widowControl/>
              <w:kinsoku/>
              <w:overflowPunct/>
              <w:topLinePunct w:val="0"/>
              <w:bidi w:val="0"/>
              <w:adjustRightInd/>
              <w:spacing w:line="360" w:lineRule="exact"/>
              <w:jc w:val="left"/>
              <w:rPr>
                <w:rFonts w:hint="eastAsia" w:ascii="宋体" w:hAnsi="宋体" w:eastAsia="宋体" w:cs="宋体"/>
                <w:color w:val="auto"/>
                <w:sz w:val="21"/>
                <w:szCs w:val="21"/>
                <w:highlight w:val="none"/>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14:paraId="36EE1738">
            <w:pPr>
              <w:keepNext w:val="0"/>
              <w:keepLines w:val="0"/>
              <w:pageBreakBefore w:val="0"/>
              <w:kinsoku/>
              <w:overflowPunct/>
              <w:topLinePunct w:val="0"/>
              <w:bidi w:val="0"/>
              <w:adjustRightInd/>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投标人递交投标样品截止时间及地点</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64BA12D2">
            <w:pPr>
              <w:keepNext w:val="0"/>
              <w:keepLines w:val="0"/>
              <w:pageBreakBefore w:val="0"/>
              <w:kinsoku/>
              <w:overflowPunct/>
              <w:topLinePunct w:val="0"/>
              <w:bidi w:val="0"/>
              <w:adjustRightInd/>
              <w:snapToGrid w:val="0"/>
              <w:spacing w:line="360" w:lineRule="exact"/>
              <w:rPr>
                <w:rFonts w:hint="eastAsia" w:ascii="宋体" w:hAnsi="宋体" w:eastAsia="宋体" w:cs="宋体"/>
                <w:color w:val="auto"/>
                <w:sz w:val="21"/>
                <w:szCs w:val="21"/>
                <w:highlight w:val="none"/>
                <w:lang w:eastAsia="zh-CN"/>
              </w:rPr>
            </w:pPr>
            <w:r>
              <w:rPr>
                <w:rFonts w:hint="eastAsia" w:ascii="宋体" w:hAnsi="宋体" w:eastAsia="宋体" w:cs="宋体"/>
                <w:bCs/>
                <w:color w:val="auto"/>
                <w:szCs w:val="21"/>
                <w:highlight w:val="none"/>
                <w:lang w:eastAsia="zh-CN"/>
              </w:rPr>
              <w:t>无</w:t>
            </w:r>
          </w:p>
        </w:tc>
      </w:tr>
      <w:tr w14:paraId="7F838B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559E64CA">
            <w:pPr>
              <w:keepNext w:val="0"/>
              <w:keepLines w:val="0"/>
              <w:pageBreakBefore w:val="0"/>
              <w:kinsoku/>
              <w:overflowPunct/>
              <w:topLinePunct w:val="0"/>
              <w:bidi w:val="0"/>
              <w:adjustRightInd/>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2CC7ECB9">
            <w:pPr>
              <w:keepNext w:val="0"/>
              <w:keepLines w:val="0"/>
              <w:pageBreakBefore w:val="0"/>
              <w:kinsoku/>
              <w:overflowPunct/>
              <w:topLinePunct w:val="0"/>
              <w:bidi w:val="0"/>
              <w:adjustRightInd/>
              <w:spacing w:line="360" w:lineRule="exact"/>
              <w:rPr>
                <w:rFonts w:hint="eastAsia" w:ascii="宋体" w:hAnsi="宋体" w:eastAsia="宋体" w:cs="宋体"/>
                <w:color w:val="auto"/>
                <w:sz w:val="21"/>
                <w:szCs w:val="21"/>
                <w:highlight w:val="none"/>
              </w:rPr>
            </w:pPr>
            <w:bookmarkStart w:id="94" w:name="_23"/>
            <w:bookmarkEnd w:id="94"/>
            <w:r>
              <w:rPr>
                <w:rFonts w:hint="eastAsia" w:ascii="宋体" w:hAnsi="宋体" w:eastAsia="宋体" w:cs="宋体"/>
                <w:color w:val="auto"/>
                <w:sz w:val="21"/>
                <w:szCs w:val="21"/>
                <w:highlight w:val="none"/>
              </w:rPr>
              <w:t>开标时间、地点</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0DE5FFE5">
            <w:pPr>
              <w:keepNext w:val="0"/>
              <w:keepLines w:val="0"/>
              <w:pageBreakBefore w:val="0"/>
              <w:kinsoku/>
              <w:overflowPunct/>
              <w:topLinePunct w:val="0"/>
              <w:bidi w:val="0"/>
              <w:adjustRightInd/>
              <w:snapToGrid w:val="0"/>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详见招标公告 </w:t>
            </w:r>
          </w:p>
        </w:tc>
      </w:tr>
      <w:tr w14:paraId="060BCA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87" w:hRule="atLeast"/>
          <w:jc w:val="center"/>
        </w:trPr>
        <w:tc>
          <w:tcPr>
            <w:tcW w:w="1027" w:type="dxa"/>
            <w:vMerge w:val="restart"/>
            <w:tcBorders>
              <w:top w:val="single" w:color="auto" w:sz="4" w:space="0"/>
              <w:left w:val="single" w:color="auto" w:sz="4" w:space="0"/>
              <w:bottom w:val="single" w:color="auto" w:sz="4" w:space="0"/>
              <w:right w:val="single" w:color="auto" w:sz="4" w:space="0"/>
            </w:tcBorders>
            <w:noWrap w:val="0"/>
            <w:vAlign w:val="center"/>
          </w:tcPr>
          <w:p w14:paraId="3FCEB948">
            <w:pPr>
              <w:keepNext w:val="0"/>
              <w:keepLines w:val="0"/>
              <w:pageBreakBefore w:val="0"/>
              <w:kinsoku/>
              <w:overflowPunct/>
              <w:topLinePunct w:val="0"/>
              <w:bidi w:val="0"/>
              <w:adjustRightInd/>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25.3（2）</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79C62D8D">
            <w:pPr>
              <w:keepNext w:val="0"/>
              <w:keepLines w:val="0"/>
              <w:pageBreakBefore w:val="0"/>
              <w:kinsoku/>
              <w:overflowPunct/>
              <w:topLinePunct w:val="0"/>
              <w:bidi w:val="0"/>
              <w:adjustRightInd/>
              <w:spacing w:line="360" w:lineRule="exact"/>
              <w:rPr>
                <w:rFonts w:hint="eastAsia" w:ascii="宋体" w:hAnsi="宋体" w:eastAsia="宋体" w:cs="宋体"/>
                <w:color w:val="auto"/>
                <w:sz w:val="21"/>
                <w:szCs w:val="21"/>
                <w:highlight w:val="none"/>
              </w:rPr>
            </w:pPr>
            <w:bookmarkStart w:id="95" w:name="_25.3"/>
            <w:bookmarkEnd w:id="95"/>
            <w:r>
              <w:rPr>
                <w:rFonts w:hint="eastAsia" w:ascii="宋体" w:hAnsi="宋体" w:eastAsia="宋体" w:cs="宋体"/>
                <w:color w:val="auto"/>
                <w:sz w:val="21"/>
                <w:szCs w:val="21"/>
                <w:highlight w:val="none"/>
              </w:rPr>
              <w:t>投标人信用查询渠道</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1B3851C9">
            <w:pPr>
              <w:keepNext w:val="0"/>
              <w:keepLines w:val="0"/>
              <w:pageBreakBefore w:val="0"/>
              <w:kinsoku/>
              <w:overflowPunct/>
              <w:topLinePunct w:val="0"/>
              <w:bidi w:val="0"/>
              <w:adjustRightInd/>
              <w:snapToGrid w:val="0"/>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采购人或者采购代理机构在资格审查结束前，对投标人进行信用查询。</w:t>
            </w:r>
          </w:p>
          <w:p w14:paraId="497FC392">
            <w:pPr>
              <w:keepNext w:val="0"/>
              <w:keepLines w:val="0"/>
              <w:pageBreakBefore w:val="0"/>
              <w:kinsoku/>
              <w:overflowPunct/>
              <w:topLinePunct w:val="0"/>
              <w:bidi w:val="0"/>
              <w:adjustRightInd/>
              <w:snapToGrid w:val="0"/>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查询渠道：“信用中国”网站(www.creditchina.gov.cn) 、中国政府采购网(www.ccgp.gov.cn)。</w:t>
            </w:r>
          </w:p>
        </w:tc>
      </w:tr>
      <w:tr w14:paraId="7EF460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1027" w:type="dxa"/>
            <w:vMerge w:val="continue"/>
            <w:tcBorders>
              <w:top w:val="single" w:color="auto" w:sz="4" w:space="0"/>
              <w:left w:val="single" w:color="auto" w:sz="4" w:space="0"/>
              <w:bottom w:val="single" w:color="auto" w:sz="4" w:space="0"/>
              <w:right w:val="single" w:color="auto" w:sz="4" w:space="0"/>
            </w:tcBorders>
            <w:noWrap w:val="0"/>
            <w:vAlign w:val="center"/>
          </w:tcPr>
          <w:p w14:paraId="478DFA38">
            <w:pPr>
              <w:keepNext w:val="0"/>
              <w:keepLines w:val="0"/>
              <w:pageBreakBefore w:val="0"/>
              <w:widowControl/>
              <w:kinsoku/>
              <w:overflowPunct/>
              <w:topLinePunct w:val="0"/>
              <w:bidi w:val="0"/>
              <w:adjustRightInd/>
              <w:spacing w:line="360" w:lineRule="exact"/>
              <w:jc w:val="left"/>
              <w:rPr>
                <w:rFonts w:hint="eastAsia" w:ascii="宋体" w:hAnsi="宋体" w:eastAsia="宋体" w:cs="宋体"/>
                <w:color w:val="auto"/>
                <w:sz w:val="21"/>
                <w:szCs w:val="21"/>
                <w:highlight w:val="none"/>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14:paraId="54892E56">
            <w:pPr>
              <w:keepNext w:val="0"/>
              <w:keepLines w:val="0"/>
              <w:pageBreakBefore w:val="0"/>
              <w:kinsoku/>
              <w:overflowPunct/>
              <w:topLinePunct w:val="0"/>
              <w:bidi w:val="0"/>
              <w:adjustRightInd/>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信用查询截止时点</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12D6A6DA">
            <w:pPr>
              <w:keepNext w:val="0"/>
              <w:keepLines w:val="0"/>
              <w:pageBreakBefore w:val="0"/>
              <w:kinsoku/>
              <w:overflowPunct/>
              <w:topLinePunct w:val="0"/>
              <w:bidi w:val="0"/>
              <w:adjustRightInd/>
              <w:snapToGrid w:val="0"/>
              <w:spacing w:line="36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资格审查结束前</w:t>
            </w:r>
            <w:r>
              <w:rPr>
                <w:rFonts w:hint="eastAsia" w:ascii="宋体" w:hAnsi="宋体" w:eastAsia="宋体" w:cs="宋体"/>
                <w:color w:val="auto"/>
                <w:sz w:val="21"/>
                <w:szCs w:val="21"/>
                <w:highlight w:val="none"/>
                <w:lang w:eastAsia="zh-CN"/>
              </w:rPr>
              <w:t>。</w:t>
            </w:r>
          </w:p>
        </w:tc>
      </w:tr>
      <w:tr w14:paraId="1239AE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8" w:hRule="atLeast"/>
          <w:jc w:val="center"/>
        </w:trPr>
        <w:tc>
          <w:tcPr>
            <w:tcW w:w="1027" w:type="dxa"/>
            <w:vMerge w:val="continue"/>
            <w:tcBorders>
              <w:top w:val="single" w:color="auto" w:sz="4" w:space="0"/>
              <w:left w:val="single" w:color="auto" w:sz="4" w:space="0"/>
              <w:bottom w:val="single" w:color="auto" w:sz="4" w:space="0"/>
              <w:right w:val="single" w:color="auto" w:sz="4" w:space="0"/>
            </w:tcBorders>
            <w:noWrap w:val="0"/>
            <w:vAlign w:val="center"/>
          </w:tcPr>
          <w:p w14:paraId="46C1674A">
            <w:pPr>
              <w:keepNext w:val="0"/>
              <w:keepLines w:val="0"/>
              <w:pageBreakBefore w:val="0"/>
              <w:widowControl/>
              <w:kinsoku/>
              <w:overflowPunct/>
              <w:topLinePunct w:val="0"/>
              <w:bidi w:val="0"/>
              <w:adjustRightInd/>
              <w:spacing w:line="360" w:lineRule="exact"/>
              <w:jc w:val="left"/>
              <w:rPr>
                <w:rFonts w:hint="eastAsia" w:ascii="宋体" w:hAnsi="宋体" w:eastAsia="宋体" w:cs="宋体"/>
                <w:color w:val="auto"/>
                <w:sz w:val="21"/>
                <w:szCs w:val="21"/>
                <w:highlight w:val="none"/>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14:paraId="1D7151F2">
            <w:pPr>
              <w:keepNext w:val="0"/>
              <w:keepLines w:val="0"/>
              <w:pageBreakBefore w:val="0"/>
              <w:kinsoku/>
              <w:overflowPunct/>
              <w:topLinePunct w:val="0"/>
              <w:bidi w:val="0"/>
              <w:adjustRightInd/>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查询记录和证据留存方式</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6EAFF271">
            <w:pPr>
              <w:keepNext w:val="0"/>
              <w:keepLines w:val="0"/>
              <w:pageBreakBefore w:val="0"/>
              <w:kinsoku/>
              <w:overflowPunct/>
              <w:topLinePunct w:val="0"/>
              <w:bidi w:val="0"/>
              <w:adjustRightInd/>
              <w:snapToGrid w:val="0"/>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在查询网站中直接截图查询记录，截图作为</w:t>
            </w:r>
            <w:r>
              <w:rPr>
                <w:rFonts w:hint="eastAsia" w:ascii="宋体" w:hAnsi="宋体" w:eastAsia="宋体" w:cs="宋体"/>
                <w:color w:val="auto"/>
                <w:szCs w:val="21"/>
                <w:highlight w:val="none"/>
                <w:lang w:val="en-US" w:eastAsia="zh-CN"/>
              </w:rPr>
              <w:t>附件</w:t>
            </w:r>
            <w:r>
              <w:rPr>
                <w:rFonts w:hint="eastAsia" w:ascii="宋体" w:hAnsi="宋体" w:eastAsia="宋体" w:cs="宋体"/>
                <w:color w:val="auto"/>
                <w:szCs w:val="21"/>
                <w:highlight w:val="none"/>
              </w:rPr>
              <w:t>在</w:t>
            </w:r>
            <w:r>
              <w:rPr>
                <w:rFonts w:hint="eastAsia" w:ascii="宋体" w:hAnsi="宋体" w:eastAsia="宋体" w:cs="宋体"/>
                <w:b w:val="0"/>
                <w:bCs w:val="0"/>
                <w:color w:val="auto"/>
                <w:sz w:val="21"/>
                <w:szCs w:val="21"/>
                <w:highlight w:val="none"/>
                <w:lang w:val="en-US" w:eastAsia="zh-CN"/>
              </w:rPr>
              <w:t>广西政府采购云平台</w:t>
            </w:r>
            <w:r>
              <w:rPr>
                <w:rFonts w:hint="eastAsia" w:ascii="宋体" w:hAnsi="宋体" w:eastAsia="宋体" w:cs="宋体"/>
                <w:color w:val="auto"/>
                <w:sz w:val="21"/>
                <w:szCs w:val="21"/>
                <w:highlight w:val="none"/>
              </w:rPr>
              <w:t>上传保存。</w:t>
            </w:r>
          </w:p>
        </w:tc>
      </w:tr>
      <w:tr w14:paraId="31764E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1027" w:type="dxa"/>
            <w:vMerge w:val="continue"/>
            <w:tcBorders>
              <w:top w:val="single" w:color="auto" w:sz="4" w:space="0"/>
              <w:left w:val="single" w:color="auto" w:sz="4" w:space="0"/>
              <w:bottom w:val="single" w:color="auto" w:sz="4" w:space="0"/>
              <w:right w:val="single" w:color="auto" w:sz="4" w:space="0"/>
            </w:tcBorders>
            <w:noWrap w:val="0"/>
            <w:vAlign w:val="center"/>
          </w:tcPr>
          <w:p w14:paraId="321A8178">
            <w:pPr>
              <w:keepNext w:val="0"/>
              <w:keepLines w:val="0"/>
              <w:pageBreakBefore w:val="0"/>
              <w:widowControl/>
              <w:kinsoku/>
              <w:overflowPunct/>
              <w:topLinePunct w:val="0"/>
              <w:bidi w:val="0"/>
              <w:adjustRightInd/>
              <w:spacing w:line="360" w:lineRule="exact"/>
              <w:jc w:val="left"/>
              <w:rPr>
                <w:rFonts w:hint="eastAsia" w:ascii="宋体" w:hAnsi="宋体" w:eastAsia="宋体" w:cs="宋体"/>
                <w:color w:val="auto"/>
                <w:sz w:val="21"/>
                <w:szCs w:val="21"/>
                <w:highlight w:val="none"/>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14:paraId="01379F3F">
            <w:pPr>
              <w:keepNext w:val="0"/>
              <w:keepLines w:val="0"/>
              <w:pageBreakBefore w:val="0"/>
              <w:kinsoku/>
              <w:overflowPunct/>
              <w:topLinePunct w:val="0"/>
              <w:bidi w:val="0"/>
              <w:adjustRightInd/>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信用信息使用规则</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28818946">
            <w:pPr>
              <w:keepNext w:val="0"/>
              <w:keepLines w:val="0"/>
              <w:pageBreakBefore w:val="0"/>
              <w:kinsoku/>
              <w:overflowPunct/>
              <w:topLinePunct w:val="0"/>
              <w:bidi w:val="0"/>
              <w:adjustRightInd/>
              <w:snapToGrid w:val="0"/>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对在“信用中国”网站(www.creditchina.gov.cn) 、中国政府采购网(www.ccgp.gov.cn)被列入失信被执行人、</w:t>
            </w:r>
            <w:r>
              <w:rPr>
                <w:rFonts w:hint="eastAsia" w:ascii="宋体" w:hAnsi="宋体" w:eastAsia="宋体" w:cs="宋体"/>
                <w:color w:val="auto"/>
                <w:sz w:val="21"/>
                <w:szCs w:val="21"/>
                <w:highlight w:val="none"/>
                <w:lang w:eastAsia="zh-CN"/>
              </w:rPr>
              <w:t>重大税收违法失信主体</w:t>
            </w:r>
            <w:r>
              <w:rPr>
                <w:rFonts w:hint="eastAsia" w:ascii="宋体" w:hAnsi="宋体" w:eastAsia="宋体" w:cs="宋体"/>
                <w:color w:val="auto"/>
                <w:sz w:val="21"/>
                <w:szCs w:val="21"/>
                <w:highlight w:val="none"/>
              </w:rPr>
              <w:t>、政府采购严重违法失信行为记录名单及其他不符合《中华人民共和国政府采购法》第二十二条规定条件的供应商，采购人或者采购代理机构应当拒绝其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18A73D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0CC6823F">
            <w:pPr>
              <w:keepNext w:val="0"/>
              <w:keepLines w:val="0"/>
              <w:pageBreakBefore w:val="0"/>
              <w:widowControl/>
              <w:kinsoku/>
              <w:overflowPunct/>
              <w:topLinePunct w:val="0"/>
              <w:bidi w:val="0"/>
              <w:adjustRightInd/>
              <w:spacing w:line="36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26</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68C65A75">
            <w:pPr>
              <w:keepNext w:val="0"/>
              <w:keepLines w:val="0"/>
              <w:pageBreakBefore w:val="0"/>
              <w:kinsoku/>
              <w:overflowPunct/>
              <w:topLinePunct w:val="0"/>
              <w:bidi w:val="0"/>
              <w:adjustRightInd/>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评标方式</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337F9F81">
            <w:pPr>
              <w:keepNext w:val="0"/>
              <w:keepLines w:val="0"/>
              <w:pageBreakBefore w:val="0"/>
              <w:kinsoku/>
              <w:overflowPunct/>
              <w:topLinePunct w:val="0"/>
              <w:bidi w:val="0"/>
              <w:adjustRightInd/>
              <w:snapToGrid w:val="0"/>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本项目采用远程异地评标方式。</w:t>
            </w:r>
          </w:p>
        </w:tc>
      </w:tr>
      <w:tr w14:paraId="7BCF83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2B1CA7D0">
            <w:pPr>
              <w:keepNext w:val="0"/>
              <w:keepLines w:val="0"/>
              <w:pageBreakBefore w:val="0"/>
              <w:widowControl/>
              <w:kinsoku/>
              <w:overflowPunct/>
              <w:topLinePunct w:val="0"/>
              <w:bidi w:val="0"/>
              <w:adjustRightInd/>
              <w:spacing w:line="36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27</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0ABBF70D">
            <w:pPr>
              <w:keepNext w:val="0"/>
              <w:keepLines w:val="0"/>
              <w:pageBreakBefore w:val="0"/>
              <w:kinsoku/>
              <w:overflowPunct/>
              <w:topLinePunct w:val="0"/>
              <w:bidi w:val="0"/>
              <w:adjustRightInd/>
              <w:spacing w:line="36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highlight w:val="none"/>
              </w:rPr>
              <w:t>评标委员会的人数</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5370803E">
            <w:pPr>
              <w:keepNext w:val="0"/>
              <w:keepLines w:val="0"/>
              <w:pageBreakBefore w:val="0"/>
              <w:kinsoku/>
              <w:overflowPunct/>
              <w:topLinePunct w:val="0"/>
              <w:bidi w:val="0"/>
              <w:adjustRightInd/>
              <w:snapToGrid w:val="0"/>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bCs/>
                <w:color w:val="auto"/>
                <w:szCs w:val="21"/>
                <w:highlight w:val="none"/>
              </w:rPr>
              <w:t>本招标采购项目的评委分别由依法组成的评审专家、招标单位代表共</w:t>
            </w:r>
            <w:r>
              <w:rPr>
                <w:rFonts w:hint="eastAsia" w:ascii="宋体" w:hAnsi="宋体" w:eastAsia="宋体" w:cs="宋体"/>
                <w:bCs/>
                <w:color w:val="auto"/>
                <w:szCs w:val="21"/>
                <w:highlight w:val="none"/>
                <w:lang w:val="en-US" w:eastAsia="zh-CN"/>
              </w:rPr>
              <w:t>7</w:t>
            </w:r>
            <w:r>
              <w:rPr>
                <w:rFonts w:hint="eastAsia" w:ascii="宋体" w:hAnsi="宋体" w:eastAsia="宋体" w:cs="宋体"/>
                <w:bCs/>
                <w:color w:val="auto"/>
                <w:szCs w:val="21"/>
                <w:highlight w:val="none"/>
              </w:rPr>
              <w:t>人以上单数构成，其中专家人数不少于成员总数的三分之二。</w:t>
            </w:r>
          </w:p>
        </w:tc>
      </w:tr>
      <w:tr w14:paraId="68500E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223F00EA">
            <w:pPr>
              <w:keepNext w:val="0"/>
              <w:keepLines w:val="0"/>
              <w:pageBreakBefore w:val="0"/>
              <w:kinsoku/>
              <w:overflowPunct/>
              <w:topLinePunct w:val="0"/>
              <w:bidi w:val="0"/>
              <w:adjustRightInd/>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29.1</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6AC4A58B">
            <w:pPr>
              <w:keepNext w:val="0"/>
              <w:keepLines w:val="0"/>
              <w:pageBreakBefore w:val="0"/>
              <w:kinsoku/>
              <w:overflowPunct/>
              <w:topLinePunct w:val="0"/>
              <w:bidi w:val="0"/>
              <w:adjustRightInd/>
              <w:spacing w:line="360" w:lineRule="exact"/>
              <w:rPr>
                <w:rFonts w:hint="eastAsia" w:ascii="宋体" w:hAnsi="宋体" w:eastAsia="宋体" w:cs="宋体"/>
                <w:color w:val="auto"/>
                <w:sz w:val="21"/>
                <w:szCs w:val="21"/>
                <w:highlight w:val="none"/>
              </w:rPr>
            </w:pPr>
            <w:bookmarkStart w:id="96" w:name="_26"/>
            <w:bookmarkEnd w:id="96"/>
            <w:bookmarkStart w:id="97" w:name="_28.3"/>
            <w:bookmarkEnd w:id="97"/>
            <w:r>
              <w:rPr>
                <w:rFonts w:hint="eastAsia" w:ascii="宋体" w:hAnsi="宋体" w:eastAsia="宋体" w:cs="宋体"/>
                <w:color w:val="auto"/>
                <w:sz w:val="21"/>
                <w:szCs w:val="21"/>
                <w:highlight w:val="none"/>
              </w:rPr>
              <w:t>评标方法</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1830885C">
            <w:pPr>
              <w:keepNext w:val="0"/>
              <w:keepLines w:val="0"/>
              <w:pageBreakBefore w:val="0"/>
              <w:kinsoku/>
              <w:overflowPunct/>
              <w:topLinePunct w:val="0"/>
              <w:autoSpaceDE w:val="0"/>
              <w:autoSpaceDN w:val="0"/>
              <w:bidi w:val="0"/>
              <w:adjustRightInd/>
              <w:snapToGrid w:val="0"/>
              <w:spacing w:line="360" w:lineRule="exact"/>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综合评分法</w:t>
            </w:r>
          </w:p>
          <w:p w14:paraId="751043F8">
            <w:pPr>
              <w:keepNext w:val="0"/>
              <w:keepLines w:val="0"/>
              <w:pageBreakBefore w:val="0"/>
              <w:kinsoku/>
              <w:overflowPunct/>
              <w:topLinePunct w:val="0"/>
              <w:autoSpaceDE w:val="0"/>
              <w:autoSpaceDN w:val="0"/>
              <w:bidi w:val="0"/>
              <w:adjustRightInd/>
              <w:snapToGrid w:val="0"/>
              <w:spacing w:line="360" w:lineRule="exact"/>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□最低评标价法</w:t>
            </w:r>
          </w:p>
        </w:tc>
      </w:tr>
      <w:tr w14:paraId="001758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1027" w:type="dxa"/>
            <w:tcBorders>
              <w:top w:val="single" w:color="auto" w:sz="4" w:space="0"/>
              <w:left w:val="single" w:color="auto" w:sz="4" w:space="0"/>
              <w:bottom w:val="nil"/>
              <w:right w:val="single" w:color="auto" w:sz="4" w:space="0"/>
            </w:tcBorders>
            <w:noWrap w:val="0"/>
            <w:vAlign w:val="center"/>
          </w:tcPr>
          <w:p w14:paraId="741F1CD7">
            <w:pPr>
              <w:keepNext w:val="0"/>
              <w:keepLines w:val="0"/>
              <w:pageBreakBefore w:val="0"/>
              <w:kinsoku/>
              <w:overflowPunct/>
              <w:topLinePunct w:val="0"/>
              <w:bidi w:val="0"/>
              <w:adjustRightInd/>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29.2</w:t>
            </w:r>
          </w:p>
        </w:tc>
        <w:tc>
          <w:tcPr>
            <w:tcW w:w="1916" w:type="dxa"/>
            <w:tcBorders>
              <w:top w:val="single" w:color="auto" w:sz="4" w:space="0"/>
              <w:left w:val="single" w:color="auto" w:sz="4" w:space="0"/>
              <w:bottom w:val="nil"/>
              <w:right w:val="single" w:color="auto" w:sz="4" w:space="0"/>
            </w:tcBorders>
            <w:noWrap w:val="0"/>
            <w:vAlign w:val="center"/>
          </w:tcPr>
          <w:p w14:paraId="3C4CE392">
            <w:pPr>
              <w:keepNext w:val="0"/>
              <w:keepLines w:val="0"/>
              <w:pageBreakBefore w:val="0"/>
              <w:kinsoku/>
              <w:overflowPunct/>
              <w:topLinePunct w:val="0"/>
              <w:bidi w:val="0"/>
              <w:adjustRightInd/>
              <w:spacing w:line="360" w:lineRule="exact"/>
              <w:rPr>
                <w:rFonts w:hint="eastAsia" w:ascii="宋体" w:hAnsi="宋体" w:eastAsia="宋体" w:cs="宋体"/>
                <w:color w:val="auto"/>
                <w:sz w:val="21"/>
                <w:szCs w:val="21"/>
                <w:highlight w:val="none"/>
              </w:rPr>
            </w:pPr>
            <w:bookmarkStart w:id="98" w:name="_29.2.2（2）"/>
            <w:bookmarkEnd w:id="98"/>
            <w:r>
              <w:rPr>
                <w:rFonts w:hint="eastAsia" w:ascii="宋体" w:hAnsi="宋体" w:eastAsia="宋体" w:cs="宋体"/>
                <w:color w:val="auto"/>
                <w:sz w:val="21"/>
                <w:szCs w:val="21"/>
                <w:highlight w:val="none"/>
              </w:rPr>
              <w:t>允许负偏离项</w:t>
            </w:r>
          </w:p>
        </w:tc>
        <w:tc>
          <w:tcPr>
            <w:tcW w:w="7297" w:type="dxa"/>
            <w:tcBorders>
              <w:top w:val="single" w:color="auto" w:sz="4" w:space="0"/>
              <w:left w:val="single" w:color="auto" w:sz="4" w:space="0"/>
              <w:bottom w:val="nil"/>
              <w:right w:val="single" w:color="auto" w:sz="4" w:space="0"/>
            </w:tcBorders>
            <w:noWrap w:val="0"/>
            <w:vAlign w:val="center"/>
          </w:tcPr>
          <w:p w14:paraId="4F026744">
            <w:pPr>
              <w:keepNext w:val="0"/>
              <w:keepLines w:val="0"/>
              <w:pageBreakBefore w:val="0"/>
              <w:kinsoku/>
              <w:overflowPunct/>
              <w:topLinePunct w:val="0"/>
              <w:bidi w:val="0"/>
              <w:adjustRightInd/>
              <w:snapToGrid w:val="0"/>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商务条款评审中允许负偏离的条款数为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0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w:t>
            </w:r>
          </w:p>
          <w:p w14:paraId="2EACD332">
            <w:pPr>
              <w:keepNext w:val="0"/>
              <w:keepLines w:val="0"/>
              <w:pageBreakBefore w:val="0"/>
              <w:kinsoku/>
              <w:overflowPunct/>
              <w:topLinePunct w:val="0"/>
              <w:bidi w:val="0"/>
              <w:adjustRightInd/>
              <w:snapToGrid w:val="0"/>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技术需求评审中允许负偏离的条款数为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0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w:t>
            </w:r>
          </w:p>
        </w:tc>
      </w:tr>
      <w:tr w14:paraId="192D54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49F19996">
            <w:pPr>
              <w:keepNext w:val="0"/>
              <w:keepLines w:val="0"/>
              <w:pageBreakBefore w:val="0"/>
              <w:kinsoku/>
              <w:overflowPunct/>
              <w:topLinePunct w:val="0"/>
              <w:bidi w:val="0"/>
              <w:adjustRightInd/>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30.1</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777AB6E8">
            <w:pPr>
              <w:keepNext w:val="0"/>
              <w:keepLines w:val="0"/>
              <w:pageBreakBefore w:val="0"/>
              <w:kinsoku/>
              <w:overflowPunct/>
              <w:topLinePunct w:val="0"/>
              <w:autoSpaceDE w:val="0"/>
              <w:autoSpaceDN w:val="0"/>
              <w:bidi w:val="0"/>
              <w:adjustRightInd/>
              <w:snapToGrid w:val="0"/>
              <w:spacing w:line="360" w:lineRule="exact"/>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确定中标人时，出现中标候选人</w:t>
            </w:r>
            <w:r>
              <w:rPr>
                <w:rFonts w:hint="eastAsia" w:ascii="宋体" w:hAnsi="宋体" w:eastAsia="宋体" w:cs="宋体"/>
                <w:color w:val="auto"/>
                <w:szCs w:val="21"/>
                <w:highlight w:val="none"/>
                <w:lang w:eastAsia="zh-CN"/>
              </w:rPr>
              <w:t>排名</w:t>
            </w:r>
            <w:r>
              <w:rPr>
                <w:rFonts w:hint="eastAsia" w:ascii="宋体" w:hAnsi="宋体" w:eastAsia="宋体" w:cs="宋体"/>
                <w:color w:val="auto"/>
                <w:sz w:val="21"/>
                <w:szCs w:val="21"/>
                <w:highlight w:val="none"/>
              </w:rPr>
              <w:t xml:space="preserve">并列的情形，确定中标人方式 </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09418DE9">
            <w:pPr>
              <w:pStyle w:val="10"/>
              <w:keepNext w:val="0"/>
              <w:keepLines w:val="0"/>
              <w:pageBreakBefore w:val="0"/>
              <w:kinsoku/>
              <w:overflowPunct/>
              <w:topLinePunct w:val="0"/>
              <w:bidi w:val="0"/>
              <w:adjustRightInd/>
              <w:spacing w:line="360" w:lineRule="exact"/>
              <w:rPr>
                <w:rFonts w:hint="eastAsia" w:ascii="宋体" w:hAnsi="宋体" w:eastAsia="宋体" w:cs="宋体"/>
                <w:b/>
                <w:bCs/>
                <w:color w:val="auto"/>
                <w:highlight w:val="none"/>
                <w:lang w:eastAsia="zh-CN"/>
              </w:rPr>
            </w:pPr>
            <w:r>
              <w:rPr>
                <w:rFonts w:hint="eastAsia" w:ascii="宋体" w:hAnsi="宋体" w:eastAsia="宋体" w:cs="宋体"/>
                <w:color w:val="auto"/>
                <w:szCs w:val="21"/>
                <w:highlight w:val="none"/>
              </w:rPr>
              <w:t>采购人确定中标人时，出现中标候选人并列的情形，采购人按以下的方式确定中标人：</w:t>
            </w:r>
          </w:p>
          <w:p w14:paraId="31214123">
            <w:pPr>
              <w:keepNext w:val="0"/>
              <w:keepLines w:val="0"/>
              <w:pageBreakBefore w:val="0"/>
              <w:kinsoku/>
              <w:overflowPunct/>
              <w:topLinePunct w:val="0"/>
              <w:autoSpaceDE w:val="0"/>
              <w:autoSpaceDN w:val="0"/>
              <w:bidi w:val="0"/>
              <w:adjustRightInd/>
              <w:snapToGrid w:val="0"/>
              <w:spacing w:line="360" w:lineRule="exact"/>
              <w:textAlignment w:val="bottom"/>
              <w:rPr>
                <w:rFonts w:hint="eastAsia" w:ascii="宋体" w:hAnsi="宋体" w:eastAsia="宋体" w:cs="宋体"/>
                <w:i/>
                <w:iCs/>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技术分</w:t>
            </w:r>
            <w:r>
              <w:rPr>
                <w:rFonts w:hint="eastAsia" w:ascii="宋体" w:hAnsi="宋体" w:eastAsia="宋体" w:cs="宋体"/>
                <w:color w:val="auto"/>
                <w:szCs w:val="21"/>
                <w:highlight w:val="none"/>
                <w:lang w:eastAsia="zh-CN"/>
              </w:rPr>
              <w:t>得分</w:t>
            </w:r>
            <w:r>
              <w:rPr>
                <w:rFonts w:hint="eastAsia" w:ascii="宋体" w:hAnsi="宋体" w:eastAsia="宋体" w:cs="宋体"/>
                <w:color w:val="auto"/>
                <w:szCs w:val="21"/>
                <w:highlight w:val="none"/>
              </w:rPr>
              <w:t>高的优先、商务分</w:t>
            </w:r>
            <w:r>
              <w:rPr>
                <w:rFonts w:hint="eastAsia" w:ascii="宋体" w:hAnsi="宋体" w:eastAsia="宋体" w:cs="宋体"/>
                <w:color w:val="auto"/>
                <w:szCs w:val="21"/>
                <w:highlight w:val="none"/>
                <w:lang w:eastAsia="zh-CN"/>
              </w:rPr>
              <w:t>得分</w:t>
            </w:r>
            <w:r>
              <w:rPr>
                <w:rFonts w:hint="eastAsia" w:ascii="宋体" w:hAnsi="宋体" w:eastAsia="宋体" w:cs="宋体"/>
                <w:color w:val="auto"/>
                <w:szCs w:val="21"/>
                <w:highlight w:val="none"/>
              </w:rPr>
              <w:t>高的优先</w:t>
            </w:r>
            <w:r>
              <w:rPr>
                <w:rFonts w:hint="eastAsia" w:ascii="宋体" w:hAnsi="宋体" w:eastAsia="宋体" w:cs="宋体"/>
                <w:color w:val="auto"/>
                <w:szCs w:val="21"/>
                <w:highlight w:val="none"/>
                <w:lang w:eastAsia="zh-CN"/>
              </w:rPr>
              <w:t>的</w:t>
            </w:r>
            <w:r>
              <w:rPr>
                <w:rFonts w:hint="eastAsia" w:ascii="宋体" w:hAnsi="宋体" w:eastAsia="宋体" w:cs="宋体"/>
                <w:color w:val="auto"/>
                <w:szCs w:val="21"/>
                <w:highlight w:val="none"/>
              </w:rPr>
              <w:t>顺序</w:t>
            </w:r>
            <w:r>
              <w:rPr>
                <w:rFonts w:hint="eastAsia" w:ascii="宋体" w:hAnsi="宋体" w:eastAsia="宋体" w:cs="宋体"/>
                <w:color w:val="auto"/>
                <w:szCs w:val="21"/>
                <w:highlight w:val="none"/>
                <w:lang w:eastAsia="zh-CN"/>
              </w:rPr>
              <w:t>。</w:t>
            </w:r>
          </w:p>
          <w:p w14:paraId="3B240576">
            <w:pPr>
              <w:pStyle w:val="10"/>
              <w:keepNext w:val="0"/>
              <w:keepLines w:val="0"/>
              <w:pageBreakBefore w:val="0"/>
              <w:kinsoku/>
              <w:overflowPunct/>
              <w:topLinePunct w:val="0"/>
              <w:bidi w:val="0"/>
              <w:adjustRightInd/>
              <w:spacing w:line="360" w:lineRule="exact"/>
              <w:rPr>
                <w:rFonts w:hint="eastAsia" w:ascii="宋体" w:hAnsi="宋体" w:eastAsia="宋体" w:cs="宋体"/>
                <w:b/>
                <w:color w:val="auto"/>
                <w:sz w:val="21"/>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 w:val="21"/>
                <w:highlight w:val="none"/>
              </w:rPr>
              <w:t>采取随机抽取的方式确定</w:t>
            </w:r>
            <w:r>
              <w:rPr>
                <w:rFonts w:hint="eastAsia" w:ascii="宋体" w:hAnsi="宋体" w:eastAsia="宋体" w:cs="宋体"/>
                <w:color w:val="auto"/>
                <w:sz w:val="21"/>
                <w:highlight w:val="none"/>
                <w:lang w:eastAsia="zh-CN"/>
              </w:rPr>
              <w:t>。</w:t>
            </w:r>
          </w:p>
        </w:tc>
      </w:tr>
      <w:tr w14:paraId="48B97A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2F167E1E">
            <w:pPr>
              <w:keepNext w:val="0"/>
              <w:keepLines w:val="0"/>
              <w:pageBreakBefore w:val="0"/>
              <w:kinsoku/>
              <w:overflowPunct/>
              <w:topLinePunct w:val="0"/>
              <w:bidi w:val="0"/>
              <w:adjustRightInd/>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7B6B7932">
            <w:pPr>
              <w:keepNext w:val="0"/>
              <w:keepLines w:val="0"/>
              <w:pageBreakBefore w:val="0"/>
              <w:kinsoku/>
              <w:overflowPunct/>
              <w:topLinePunct w:val="0"/>
              <w:bidi w:val="0"/>
              <w:adjustRightInd/>
              <w:spacing w:line="360" w:lineRule="exact"/>
              <w:rPr>
                <w:rFonts w:hint="eastAsia" w:ascii="宋体" w:hAnsi="宋体" w:eastAsia="宋体" w:cs="宋体"/>
                <w:color w:val="auto"/>
                <w:sz w:val="21"/>
                <w:szCs w:val="21"/>
                <w:highlight w:val="none"/>
              </w:rPr>
            </w:pPr>
            <w:bookmarkStart w:id="99" w:name="_39.1"/>
            <w:bookmarkEnd w:id="99"/>
            <w:r>
              <w:rPr>
                <w:rFonts w:hint="eastAsia" w:ascii="宋体" w:hAnsi="宋体" w:eastAsia="宋体" w:cs="宋体"/>
                <w:color w:val="auto"/>
                <w:sz w:val="21"/>
                <w:szCs w:val="21"/>
                <w:highlight w:val="none"/>
              </w:rPr>
              <w:t>履约保证金金额</w:t>
            </w:r>
          </w:p>
        </w:tc>
        <w:tc>
          <w:tcPr>
            <w:tcW w:w="7297" w:type="dxa"/>
            <w:tcBorders>
              <w:top w:val="single" w:color="auto" w:sz="4" w:space="0"/>
              <w:left w:val="single" w:color="auto" w:sz="4" w:space="0"/>
              <w:bottom w:val="single" w:color="auto" w:sz="4" w:space="0"/>
              <w:right w:val="single" w:color="auto" w:sz="4" w:space="0"/>
            </w:tcBorders>
            <w:noWrap w:val="0"/>
            <w:vAlign w:val="bottom"/>
          </w:tcPr>
          <w:p w14:paraId="4FF93DED">
            <w:pPr>
              <w:keepNext w:val="0"/>
              <w:keepLines w:val="0"/>
              <w:pageBreakBefore w:val="0"/>
              <w:kinsoku/>
              <w:overflowPunct/>
              <w:topLinePunct w:val="0"/>
              <w:bidi w:val="0"/>
              <w:adjustRightInd/>
              <w:spacing w:line="360" w:lineRule="exact"/>
              <w:rPr>
                <w:rFonts w:hint="eastAsia" w:ascii="宋体" w:hAnsi="宋体" w:eastAsia="宋体" w:cs="宋体"/>
                <w:color w:val="auto"/>
                <w:highlight w:val="none"/>
              </w:rPr>
            </w:pPr>
            <w:r>
              <w:rPr>
                <w:rFonts w:hint="eastAsia" w:ascii="宋体" w:hAnsi="宋体" w:eastAsia="宋体" w:cs="宋体"/>
                <w:color w:val="auto"/>
                <w:highlight w:val="none"/>
              </w:rPr>
              <w:t>☑本项目收取履约保证金。</w:t>
            </w:r>
          </w:p>
          <w:p w14:paraId="7FCDBE17">
            <w:pPr>
              <w:keepNext w:val="0"/>
              <w:keepLines w:val="0"/>
              <w:pageBreakBefore w:val="0"/>
              <w:kinsoku/>
              <w:overflowPunct/>
              <w:topLinePunct w:val="0"/>
              <w:bidi w:val="0"/>
              <w:adjustRightInd/>
              <w:spacing w:line="360" w:lineRule="exact"/>
              <w:rPr>
                <w:rFonts w:hint="eastAsia" w:ascii="宋体" w:hAnsi="宋体" w:eastAsia="宋体" w:cs="宋体"/>
                <w:color w:val="auto"/>
                <w:highlight w:val="none"/>
              </w:rPr>
            </w:pPr>
            <w:r>
              <w:rPr>
                <w:rFonts w:hint="eastAsia" w:ascii="宋体" w:hAnsi="宋体" w:eastAsia="宋体" w:cs="宋体"/>
                <w:color w:val="auto"/>
                <w:highlight w:val="none"/>
              </w:rPr>
              <w:t>履约保证金金额：人民币</w:t>
            </w:r>
            <w:r>
              <w:rPr>
                <w:rFonts w:hint="eastAsia" w:ascii="宋体" w:hAnsi="宋体" w:eastAsia="宋体" w:cs="宋体"/>
                <w:color w:val="auto"/>
                <w:highlight w:val="none"/>
                <w:lang w:val="en-US" w:eastAsia="zh-CN"/>
              </w:rPr>
              <w:t>叁</w:t>
            </w:r>
            <w:r>
              <w:rPr>
                <w:rFonts w:hint="eastAsia" w:ascii="宋体" w:hAnsi="宋体" w:eastAsia="宋体" w:cs="宋体"/>
                <w:color w:val="auto"/>
                <w:highlight w:val="none"/>
              </w:rPr>
              <w:t>拾万元整（¥</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00000.00）。</w:t>
            </w:r>
          </w:p>
          <w:p w14:paraId="5BC89D6E">
            <w:pPr>
              <w:keepNext w:val="0"/>
              <w:keepLines w:val="0"/>
              <w:pageBreakBefore w:val="0"/>
              <w:kinsoku/>
              <w:overflowPunct/>
              <w:topLinePunct w:val="0"/>
              <w:bidi w:val="0"/>
              <w:adjustRightInd/>
              <w:spacing w:line="360" w:lineRule="exact"/>
              <w:rPr>
                <w:rFonts w:hint="eastAsia" w:ascii="宋体" w:hAnsi="宋体" w:eastAsia="宋体" w:cs="宋体"/>
                <w:color w:val="auto"/>
                <w:highlight w:val="none"/>
              </w:rPr>
            </w:pPr>
            <w:r>
              <w:rPr>
                <w:rFonts w:hint="eastAsia" w:ascii="宋体" w:hAnsi="宋体" w:eastAsia="宋体" w:cs="宋体"/>
                <w:color w:val="auto"/>
                <w:highlight w:val="none"/>
              </w:rPr>
              <w:t>履约保证金递交方式：银行转账、支票、汇票、本票等非现金方式。</w:t>
            </w:r>
          </w:p>
          <w:p w14:paraId="5E27332C">
            <w:pPr>
              <w:keepNext w:val="0"/>
              <w:keepLines w:val="0"/>
              <w:pageBreakBefore w:val="0"/>
              <w:kinsoku/>
              <w:overflowPunct/>
              <w:topLinePunct w:val="0"/>
              <w:bidi w:val="0"/>
              <w:adjustRightInd/>
              <w:spacing w:line="360" w:lineRule="exact"/>
              <w:rPr>
                <w:rFonts w:hint="eastAsia" w:ascii="宋体" w:hAnsi="宋体" w:eastAsia="宋体" w:cs="宋体"/>
                <w:color w:val="auto"/>
                <w:highlight w:val="none"/>
              </w:rPr>
            </w:pPr>
            <w:r>
              <w:rPr>
                <w:rFonts w:hint="eastAsia" w:ascii="宋体" w:hAnsi="宋体" w:eastAsia="宋体" w:cs="宋体"/>
                <w:color w:val="auto"/>
                <w:highlight w:val="none"/>
              </w:rPr>
              <w:t>履约保证金退付方式、时间及条件：</w:t>
            </w:r>
          </w:p>
          <w:p w14:paraId="15458256">
            <w:pPr>
              <w:keepNext w:val="0"/>
              <w:keepLines w:val="0"/>
              <w:pageBreakBefore w:val="0"/>
              <w:kinsoku/>
              <w:overflowPunct/>
              <w:topLinePunct w:val="0"/>
              <w:bidi w:val="0"/>
              <w:adjustRightInd/>
              <w:spacing w:line="360" w:lineRule="exact"/>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t>合同签订前，中标人按人民币</w:t>
            </w:r>
            <w:r>
              <w:rPr>
                <w:rFonts w:hint="eastAsia" w:ascii="宋体" w:hAnsi="宋体" w:eastAsia="宋体" w:cs="宋体"/>
                <w:color w:val="auto"/>
                <w:highlight w:val="none"/>
                <w:lang w:val="en-US" w:eastAsia="zh-CN"/>
              </w:rPr>
              <w:t>叁</w:t>
            </w:r>
            <w:r>
              <w:rPr>
                <w:rFonts w:hint="eastAsia" w:ascii="宋体" w:hAnsi="宋体" w:eastAsia="宋体" w:cs="宋体"/>
                <w:color w:val="auto"/>
                <w:highlight w:val="none"/>
              </w:rPr>
              <w:t>拾万元整向</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指定账户交纳履约保证金。</w:t>
            </w:r>
            <w:r>
              <w:rPr>
                <w:rFonts w:hint="eastAsia" w:ascii="宋体" w:hAnsi="宋体" w:eastAsia="宋体" w:cs="宋体"/>
                <w:b w:val="0"/>
                <w:bCs/>
                <w:color w:val="auto"/>
                <w:highlight w:val="none"/>
                <w:lang w:val="en-US" w:eastAsia="zh-CN"/>
              </w:rPr>
              <w:t>中标人正常配送未发生扣除履约保证金情况的，一年后采购人（牵头学校）退付人民币贰拾万元(¥200000.00）履约保证金，合同期满后</w:t>
            </w:r>
            <w:r>
              <w:rPr>
                <w:rFonts w:hint="eastAsia" w:ascii="宋体" w:hAnsi="宋体" w:eastAsia="宋体" w:cs="宋体"/>
                <w:color w:val="auto"/>
                <w:highlight w:val="none"/>
              </w:rPr>
              <w:t>经</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验收合格后，</w:t>
            </w:r>
            <w:r>
              <w:rPr>
                <w:rFonts w:hint="eastAsia" w:ascii="宋体" w:hAnsi="宋体" w:eastAsia="宋体" w:cs="宋体"/>
                <w:b w:val="0"/>
                <w:color w:val="auto"/>
                <w:sz w:val="21"/>
                <w:szCs w:val="21"/>
                <w:highlight w:val="none"/>
                <w:lang w:val="en-US" w:eastAsia="zh-CN"/>
              </w:rPr>
              <w:t>在5个工作日内退还</w:t>
            </w:r>
            <w:r>
              <w:rPr>
                <w:rFonts w:hint="eastAsia" w:ascii="宋体" w:hAnsi="宋体" w:eastAsia="宋体" w:cs="宋体"/>
                <w:color w:val="auto"/>
                <w:highlight w:val="none"/>
              </w:rPr>
              <w:t>全额履约保证金（不计利息）。</w:t>
            </w:r>
            <w:r>
              <w:rPr>
                <w:rFonts w:hint="eastAsia" w:ascii="宋体" w:hAnsi="宋体" w:eastAsia="宋体" w:cs="宋体"/>
                <w:color w:val="auto"/>
                <w:highlight w:val="none"/>
                <w:lang w:val="en-US" w:eastAsia="zh-CN"/>
              </w:rPr>
              <w:t>逾期退还履约保证金的，除应当退还保证金本金外，还应当按中国人民银行同期贷款基准利率上浮20%后的利率支付超期资金占用费，但因投标人自身原因导致无法及时退还的除外。</w:t>
            </w:r>
          </w:p>
        </w:tc>
      </w:tr>
      <w:tr w14:paraId="011866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393EE155">
            <w:pPr>
              <w:keepNext w:val="0"/>
              <w:keepLines w:val="0"/>
              <w:pageBreakBefore w:val="0"/>
              <w:kinsoku/>
              <w:overflowPunct/>
              <w:topLinePunct w:val="0"/>
              <w:bidi w:val="0"/>
              <w:adjustRightInd/>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36.1</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1E8A0EDD">
            <w:pPr>
              <w:keepNext w:val="0"/>
              <w:keepLines w:val="0"/>
              <w:pageBreakBefore w:val="0"/>
              <w:kinsoku/>
              <w:overflowPunct/>
              <w:topLinePunct w:val="0"/>
              <w:bidi w:val="0"/>
              <w:adjustRightInd/>
              <w:spacing w:line="360" w:lineRule="exact"/>
              <w:rPr>
                <w:rFonts w:hint="eastAsia" w:ascii="宋体" w:hAnsi="宋体" w:eastAsia="宋体" w:cs="宋体"/>
                <w:color w:val="auto"/>
                <w:sz w:val="21"/>
                <w:szCs w:val="21"/>
                <w:highlight w:val="none"/>
              </w:rPr>
            </w:pPr>
            <w:bookmarkStart w:id="100" w:name="_40.1"/>
            <w:bookmarkEnd w:id="100"/>
            <w:r>
              <w:rPr>
                <w:rFonts w:hint="eastAsia" w:ascii="宋体" w:hAnsi="宋体" w:eastAsia="宋体" w:cs="宋体"/>
                <w:color w:val="auto"/>
                <w:sz w:val="21"/>
                <w:szCs w:val="21"/>
                <w:highlight w:val="none"/>
              </w:rPr>
              <w:t>签订合同携带的材料</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1F2AA6A9">
            <w:pPr>
              <w:keepNext w:val="0"/>
              <w:keepLines w:val="0"/>
              <w:pageBreakBefore w:val="0"/>
              <w:widowControl w:val="0"/>
              <w:kinsoku/>
              <w:wordWrap/>
              <w:overflowPunct/>
              <w:topLinePunct w:val="0"/>
              <w:autoSpaceDE w:val="0"/>
              <w:autoSpaceDN w:val="0"/>
              <w:bidi w:val="0"/>
              <w:adjustRightInd/>
              <w:snapToGrid w:val="0"/>
              <w:spacing w:line="360" w:lineRule="exact"/>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委托代理人负责签订合同的，须携带</w:t>
            </w:r>
            <w:r>
              <w:rPr>
                <w:rFonts w:hint="eastAsia" w:ascii="宋体" w:hAnsi="宋体" w:eastAsia="宋体" w:cs="宋体"/>
                <w:color w:val="auto"/>
                <w:szCs w:val="21"/>
                <w:highlight w:val="none"/>
                <w:lang w:eastAsia="zh-CN"/>
              </w:rPr>
              <w:t>有效的法定代表人</w:t>
            </w:r>
            <w:r>
              <w:rPr>
                <w:rFonts w:hint="eastAsia" w:ascii="宋体" w:hAnsi="宋体" w:eastAsia="宋体" w:cs="宋体"/>
                <w:color w:val="auto"/>
                <w:szCs w:val="21"/>
                <w:highlight w:val="none"/>
              </w:rPr>
              <w:t>授权委托书及</w:t>
            </w:r>
            <w:r>
              <w:rPr>
                <w:rFonts w:hint="eastAsia" w:ascii="宋体" w:hAnsi="宋体" w:eastAsia="宋体" w:cs="宋体"/>
                <w:color w:val="auto"/>
                <w:szCs w:val="21"/>
                <w:highlight w:val="none"/>
                <w:lang w:eastAsia="zh-CN"/>
              </w:rPr>
              <w:t>其</w:t>
            </w:r>
            <w:r>
              <w:rPr>
                <w:rFonts w:hint="eastAsia" w:ascii="宋体" w:hAnsi="宋体" w:eastAsia="宋体" w:cs="宋体"/>
                <w:color w:val="auto"/>
                <w:szCs w:val="21"/>
                <w:highlight w:val="none"/>
              </w:rPr>
              <w:t>委托代理人身份证原件等</w:t>
            </w:r>
            <w:r>
              <w:rPr>
                <w:rFonts w:hint="eastAsia" w:ascii="宋体" w:hAnsi="宋体" w:eastAsia="宋体" w:cs="宋体"/>
                <w:color w:val="auto"/>
                <w:szCs w:val="21"/>
                <w:highlight w:val="none"/>
                <w:lang w:eastAsia="zh-CN"/>
              </w:rPr>
              <w:t>其他</w:t>
            </w:r>
            <w:r>
              <w:rPr>
                <w:rFonts w:hint="eastAsia" w:ascii="宋体" w:hAnsi="宋体" w:eastAsia="宋体" w:cs="宋体"/>
                <w:color w:val="auto"/>
                <w:szCs w:val="21"/>
                <w:highlight w:val="none"/>
              </w:rPr>
              <w:t>资格证件。</w:t>
            </w:r>
          </w:p>
          <w:p w14:paraId="0142AA0B">
            <w:pPr>
              <w:keepNext w:val="0"/>
              <w:keepLines w:val="0"/>
              <w:pageBreakBefore w:val="0"/>
              <w:widowControl w:val="0"/>
              <w:kinsoku/>
              <w:wordWrap/>
              <w:overflowPunct/>
              <w:topLinePunct w:val="0"/>
              <w:autoSpaceDE w:val="0"/>
              <w:autoSpaceDN w:val="0"/>
              <w:bidi w:val="0"/>
              <w:adjustRightInd/>
              <w:snapToGrid w:val="0"/>
              <w:spacing w:line="360" w:lineRule="exact"/>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法定代表人负责签订合同的，须携带法定代表人身份证明原件及身份证原件等</w:t>
            </w:r>
            <w:r>
              <w:rPr>
                <w:rFonts w:hint="eastAsia" w:ascii="宋体" w:hAnsi="宋体" w:eastAsia="宋体" w:cs="宋体"/>
                <w:color w:val="auto"/>
                <w:sz w:val="21"/>
                <w:szCs w:val="21"/>
                <w:highlight w:val="none"/>
                <w:lang w:eastAsia="zh-CN"/>
              </w:rPr>
              <w:t>其他</w:t>
            </w:r>
            <w:r>
              <w:rPr>
                <w:rFonts w:hint="eastAsia" w:ascii="宋体" w:hAnsi="宋体" w:eastAsia="宋体" w:cs="宋体"/>
                <w:color w:val="auto"/>
                <w:sz w:val="21"/>
                <w:szCs w:val="21"/>
                <w:highlight w:val="none"/>
              </w:rPr>
              <w:t>证明材料。</w:t>
            </w:r>
          </w:p>
        </w:tc>
      </w:tr>
      <w:tr w14:paraId="761EBD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1" w:hRule="atLeast"/>
          <w:jc w:val="center"/>
        </w:trPr>
        <w:tc>
          <w:tcPr>
            <w:tcW w:w="1027" w:type="dxa"/>
            <w:vMerge w:val="restart"/>
            <w:tcBorders>
              <w:top w:val="single" w:color="auto" w:sz="4" w:space="0"/>
              <w:left w:val="single" w:color="auto" w:sz="4" w:space="0"/>
              <w:bottom w:val="single" w:color="auto" w:sz="4" w:space="0"/>
              <w:right w:val="single" w:color="auto" w:sz="4" w:space="0"/>
            </w:tcBorders>
            <w:noWrap w:val="0"/>
            <w:vAlign w:val="center"/>
          </w:tcPr>
          <w:p w14:paraId="08E3129E">
            <w:pPr>
              <w:keepNext w:val="0"/>
              <w:keepLines w:val="0"/>
              <w:pageBreakBefore w:val="0"/>
              <w:kinsoku/>
              <w:overflowPunct/>
              <w:topLinePunct w:val="0"/>
              <w:bidi w:val="0"/>
              <w:adjustRightInd/>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38.2.1</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778133E1">
            <w:pPr>
              <w:keepNext w:val="0"/>
              <w:keepLines w:val="0"/>
              <w:pageBreakBefore w:val="0"/>
              <w:kinsoku/>
              <w:overflowPunct/>
              <w:topLinePunct w:val="0"/>
              <w:bidi w:val="0"/>
              <w:adjustRightInd/>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接收质疑函方式</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417CDEA4">
            <w:pPr>
              <w:keepNext w:val="0"/>
              <w:keepLines w:val="0"/>
              <w:pageBreakBefore w:val="0"/>
              <w:widowControl w:val="0"/>
              <w:kinsoku/>
              <w:wordWrap/>
              <w:overflowPunct/>
              <w:topLinePunct w:val="0"/>
              <w:bidi w:val="0"/>
              <w:adjustRightInd/>
              <w:snapToGrid w:val="0"/>
              <w:spacing w:line="36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以书面形式</w:t>
            </w:r>
            <w:r>
              <w:rPr>
                <w:rFonts w:hint="eastAsia" w:ascii="宋体" w:hAnsi="宋体" w:eastAsia="宋体" w:cs="宋体"/>
                <w:color w:val="auto"/>
                <w:sz w:val="21"/>
                <w:szCs w:val="21"/>
                <w:highlight w:val="none"/>
                <w:lang w:eastAsia="zh-CN"/>
              </w:rPr>
              <w:t>。</w:t>
            </w:r>
          </w:p>
        </w:tc>
      </w:tr>
      <w:tr w14:paraId="167B22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1027" w:type="dxa"/>
            <w:vMerge w:val="continue"/>
            <w:tcBorders>
              <w:top w:val="single" w:color="auto" w:sz="4" w:space="0"/>
              <w:left w:val="single" w:color="auto" w:sz="4" w:space="0"/>
              <w:bottom w:val="single" w:color="auto" w:sz="4" w:space="0"/>
              <w:right w:val="single" w:color="auto" w:sz="4" w:space="0"/>
            </w:tcBorders>
            <w:noWrap w:val="0"/>
            <w:vAlign w:val="center"/>
          </w:tcPr>
          <w:p w14:paraId="1E00313F">
            <w:pPr>
              <w:keepNext w:val="0"/>
              <w:keepLines w:val="0"/>
              <w:pageBreakBefore w:val="0"/>
              <w:widowControl/>
              <w:kinsoku/>
              <w:overflowPunct/>
              <w:topLinePunct w:val="0"/>
              <w:bidi w:val="0"/>
              <w:adjustRightInd/>
              <w:spacing w:line="360" w:lineRule="exact"/>
              <w:jc w:val="left"/>
              <w:rPr>
                <w:rFonts w:hint="eastAsia" w:ascii="宋体" w:hAnsi="宋体" w:eastAsia="宋体" w:cs="宋体"/>
                <w:color w:val="auto"/>
                <w:sz w:val="21"/>
                <w:szCs w:val="21"/>
                <w:highlight w:val="none"/>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14:paraId="335FD5D4">
            <w:pPr>
              <w:keepNext w:val="0"/>
              <w:keepLines w:val="0"/>
              <w:pageBreakBefore w:val="0"/>
              <w:kinsoku/>
              <w:overflowPunct/>
              <w:topLinePunct w:val="0"/>
              <w:bidi w:val="0"/>
              <w:adjustRightInd/>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质疑联系部门及联系方式</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08BC116E">
            <w:pPr>
              <w:keepNext w:val="0"/>
              <w:keepLines w:val="0"/>
              <w:pageBreakBefore w:val="0"/>
              <w:widowControl w:val="0"/>
              <w:kinsoku/>
              <w:wordWrap/>
              <w:overflowPunct/>
              <w:topLinePunct w:val="0"/>
              <w:bidi w:val="0"/>
              <w:adjustRightInd/>
              <w:snapToGrid w:val="0"/>
              <w:spacing w:line="36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eastAsia="zh-CN"/>
              </w:rPr>
              <w:t>（1）名称：桂平市西山镇中心小学（采购人）</w:t>
            </w:r>
          </w:p>
          <w:p w14:paraId="0ECF3833">
            <w:pPr>
              <w:keepNext w:val="0"/>
              <w:keepLines w:val="0"/>
              <w:pageBreakBefore w:val="0"/>
              <w:widowControl w:val="0"/>
              <w:kinsoku/>
              <w:wordWrap/>
              <w:overflowPunct/>
              <w:topLinePunct w:val="0"/>
              <w:bidi w:val="0"/>
              <w:adjustRightInd/>
              <w:snapToGrid w:val="0"/>
              <w:spacing w:line="36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eastAsia="zh-CN"/>
              </w:rPr>
              <w:t>联系电话：0775-3383872</w:t>
            </w:r>
            <w:r>
              <w:rPr>
                <w:rFonts w:hint="eastAsia" w:ascii="宋体" w:hAnsi="宋体" w:eastAsia="宋体" w:cs="宋体"/>
                <w:color w:val="auto"/>
                <w:szCs w:val="21"/>
                <w:highlight w:val="none"/>
                <w:lang w:val="en-US" w:eastAsia="zh-CN"/>
              </w:rPr>
              <w:t xml:space="preserve"> </w:t>
            </w:r>
          </w:p>
          <w:p w14:paraId="60A749CD">
            <w:pPr>
              <w:keepNext w:val="0"/>
              <w:keepLines w:val="0"/>
              <w:pageBreakBefore w:val="0"/>
              <w:widowControl w:val="0"/>
              <w:kinsoku/>
              <w:wordWrap/>
              <w:overflowPunct/>
              <w:topLinePunct w:val="0"/>
              <w:bidi w:val="0"/>
              <w:adjustRightInd/>
              <w:snapToGrid w:val="0"/>
              <w:spacing w:line="36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eastAsia="zh-CN"/>
              </w:rPr>
              <w:t>通讯地址：桂平市西山镇县府街155号</w:t>
            </w:r>
          </w:p>
          <w:p w14:paraId="73478ECA">
            <w:pPr>
              <w:keepNext w:val="0"/>
              <w:keepLines w:val="0"/>
              <w:pageBreakBefore w:val="0"/>
              <w:widowControl w:val="0"/>
              <w:kinsoku/>
              <w:wordWrap/>
              <w:overflowPunct/>
              <w:topLinePunct w:val="0"/>
              <w:bidi w:val="0"/>
              <w:adjustRightInd/>
              <w:snapToGrid w:val="0"/>
              <w:spacing w:line="36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eastAsia="zh-CN"/>
              </w:rPr>
              <w:t>（2）名称：广西建设工程机电设备招标中心有限公司（采购代理机构）</w:t>
            </w:r>
            <w:r>
              <w:rPr>
                <w:rFonts w:hint="eastAsia" w:ascii="宋体" w:hAnsi="宋体" w:eastAsia="宋体" w:cs="宋体"/>
                <w:color w:val="auto"/>
                <w:szCs w:val="21"/>
                <w:highlight w:val="none"/>
                <w:lang w:val="en-US" w:eastAsia="zh-CN"/>
              </w:rPr>
              <w:t xml:space="preserve"> </w:t>
            </w:r>
          </w:p>
          <w:p w14:paraId="29175058">
            <w:pPr>
              <w:keepNext w:val="0"/>
              <w:keepLines w:val="0"/>
              <w:pageBreakBefore w:val="0"/>
              <w:widowControl w:val="0"/>
              <w:kinsoku/>
              <w:wordWrap/>
              <w:overflowPunct/>
              <w:topLinePunct w:val="0"/>
              <w:bidi w:val="0"/>
              <w:adjustRightInd/>
              <w:snapToGrid w:val="0"/>
              <w:spacing w:line="36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eastAsia="zh-CN"/>
              </w:rPr>
              <w:t>联系电话：077</w:t>
            </w:r>
            <w:r>
              <w:rPr>
                <w:rFonts w:hint="eastAsia" w:ascii="宋体" w:hAnsi="宋体" w:eastAsia="宋体" w:cs="宋体"/>
                <w:color w:val="auto"/>
                <w:szCs w:val="21"/>
                <w:highlight w:val="none"/>
                <w:lang w:val="en-US" w:eastAsia="zh-CN"/>
              </w:rPr>
              <w:t>1-2821389</w:t>
            </w:r>
          </w:p>
          <w:p w14:paraId="576024BB">
            <w:pPr>
              <w:keepNext w:val="0"/>
              <w:keepLines w:val="0"/>
              <w:pageBreakBefore w:val="0"/>
              <w:widowControl w:val="0"/>
              <w:kinsoku/>
              <w:wordWrap/>
              <w:overflowPunct/>
              <w:topLinePunct w:val="0"/>
              <w:bidi w:val="0"/>
              <w:adjustRightInd/>
              <w:snapToGrid w:val="0"/>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lang w:eastAsia="zh-CN"/>
              </w:rPr>
              <w:t>通讯地址：南宁市青秀区枫林路18号宏桂大厦裙楼3楼</w:t>
            </w:r>
            <w:r>
              <w:rPr>
                <w:rFonts w:hint="eastAsia" w:ascii="宋体" w:hAnsi="宋体" w:eastAsia="宋体" w:cs="宋体"/>
                <w:color w:val="auto"/>
                <w:szCs w:val="21"/>
                <w:highlight w:val="none"/>
                <w:lang w:val="en-US" w:eastAsia="zh-CN"/>
              </w:rPr>
              <w:t xml:space="preserve"> </w:t>
            </w:r>
          </w:p>
        </w:tc>
      </w:tr>
      <w:tr w14:paraId="0D00AD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2" w:hRule="atLeast"/>
          <w:jc w:val="center"/>
        </w:trPr>
        <w:tc>
          <w:tcPr>
            <w:tcW w:w="1027" w:type="dxa"/>
            <w:vMerge w:val="continue"/>
            <w:tcBorders>
              <w:top w:val="single" w:color="auto" w:sz="4" w:space="0"/>
              <w:left w:val="single" w:color="auto" w:sz="4" w:space="0"/>
              <w:bottom w:val="single" w:color="auto" w:sz="4" w:space="0"/>
              <w:right w:val="single" w:color="auto" w:sz="4" w:space="0"/>
            </w:tcBorders>
            <w:noWrap w:val="0"/>
            <w:vAlign w:val="center"/>
          </w:tcPr>
          <w:p w14:paraId="63209B7E">
            <w:pPr>
              <w:keepNext w:val="0"/>
              <w:keepLines w:val="0"/>
              <w:pageBreakBefore w:val="0"/>
              <w:widowControl/>
              <w:kinsoku/>
              <w:overflowPunct/>
              <w:topLinePunct w:val="0"/>
              <w:bidi w:val="0"/>
              <w:adjustRightInd/>
              <w:spacing w:line="360" w:lineRule="exact"/>
              <w:jc w:val="left"/>
              <w:rPr>
                <w:rFonts w:hint="eastAsia" w:ascii="宋体" w:hAnsi="宋体" w:eastAsia="宋体" w:cs="宋体"/>
                <w:color w:val="auto"/>
                <w:sz w:val="21"/>
                <w:szCs w:val="21"/>
                <w:highlight w:val="none"/>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14:paraId="1F63937C">
            <w:pPr>
              <w:keepNext w:val="0"/>
              <w:keepLines w:val="0"/>
              <w:pageBreakBefore w:val="0"/>
              <w:kinsoku/>
              <w:overflowPunct/>
              <w:topLinePunct w:val="0"/>
              <w:bidi w:val="0"/>
              <w:adjustRightInd/>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现场提交质疑办理业务时间</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23EC0CA8">
            <w:pPr>
              <w:keepNext w:val="0"/>
              <w:keepLines w:val="0"/>
              <w:pageBreakBefore w:val="0"/>
              <w:widowControl w:val="0"/>
              <w:kinsoku/>
              <w:wordWrap/>
              <w:overflowPunct/>
              <w:topLinePunct w:val="0"/>
              <w:bidi w:val="0"/>
              <w:adjustRightInd/>
              <w:snapToGrid w:val="0"/>
              <w:spacing w:line="36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质疑期内每个工作日（北京时间）</w:t>
            </w:r>
            <w:r>
              <w:rPr>
                <w:rFonts w:hint="eastAsia" w:ascii="宋体" w:hAnsi="宋体" w:eastAsia="宋体" w:cs="宋体"/>
                <w:color w:val="auto"/>
                <w:sz w:val="21"/>
                <w:szCs w:val="21"/>
                <w:highlight w:val="none"/>
                <w:lang w:eastAsia="zh-CN"/>
              </w:rPr>
              <w:t>上午</w:t>
            </w:r>
            <w:r>
              <w:rPr>
                <w:rFonts w:hint="eastAsia" w:ascii="宋体" w:hAnsi="宋体" w:eastAsia="宋体" w:cs="宋体"/>
                <w:color w:val="auto"/>
                <w:sz w:val="21"/>
                <w:szCs w:val="21"/>
                <w:highlight w:val="none"/>
                <w:u w:val="single"/>
              </w:rPr>
              <w:t>8</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u w:val="single"/>
              </w:rPr>
              <w:t>00</w:t>
            </w:r>
            <w:r>
              <w:rPr>
                <w:rFonts w:hint="eastAsia" w:ascii="宋体" w:hAnsi="宋体" w:eastAsia="宋体" w:cs="宋体"/>
                <w:color w:val="auto"/>
                <w:sz w:val="21"/>
                <w:szCs w:val="21"/>
                <w:highlight w:val="none"/>
              </w:rPr>
              <w:t>分到</w:t>
            </w:r>
            <w:r>
              <w:rPr>
                <w:rFonts w:hint="eastAsia" w:ascii="宋体" w:hAnsi="宋体" w:eastAsia="宋体" w:cs="宋体"/>
                <w:color w:val="auto"/>
                <w:sz w:val="21"/>
                <w:szCs w:val="21"/>
                <w:highlight w:val="none"/>
                <w:u w:val="single"/>
              </w:rPr>
              <w:t>12</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u w:val="single"/>
              </w:rPr>
              <w:t>00</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下午</w:t>
            </w:r>
            <w:r>
              <w:rPr>
                <w:rFonts w:hint="eastAsia" w:ascii="宋体" w:hAnsi="宋体" w:eastAsia="宋体" w:cs="宋体"/>
                <w:color w:val="auto"/>
                <w:sz w:val="21"/>
                <w:szCs w:val="21"/>
                <w:highlight w:val="none"/>
                <w:u w:val="single"/>
              </w:rPr>
              <w:t>15</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u w:val="single"/>
              </w:rPr>
              <w:t>00</w:t>
            </w:r>
            <w:r>
              <w:rPr>
                <w:rFonts w:hint="eastAsia" w:ascii="宋体" w:hAnsi="宋体" w:eastAsia="宋体" w:cs="宋体"/>
                <w:color w:val="auto"/>
                <w:sz w:val="21"/>
                <w:szCs w:val="21"/>
                <w:highlight w:val="none"/>
              </w:rPr>
              <w:t>分到</w:t>
            </w:r>
            <w:r>
              <w:rPr>
                <w:rFonts w:hint="eastAsia" w:ascii="宋体" w:hAnsi="宋体" w:eastAsia="宋体" w:cs="宋体"/>
                <w:color w:val="auto"/>
                <w:sz w:val="21"/>
                <w:szCs w:val="21"/>
                <w:highlight w:val="none"/>
                <w:u w:val="single"/>
              </w:rPr>
              <w:t>18</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u w:val="single"/>
              </w:rPr>
              <w:t>00</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tc>
      </w:tr>
      <w:tr w14:paraId="29EDC6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04" w:hRule="atLeast"/>
          <w:jc w:val="center"/>
        </w:trPr>
        <w:tc>
          <w:tcPr>
            <w:tcW w:w="1027" w:type="dxa"/>
            <w:tcBorders>
              <w:top w:val="nil"/>
              <w:left w:val="single" w:color="auto" w:sz="4" w:space="0"/>
              <w:bottom w:val="single" w:color="auto" w:sz="4" w:space="0"/>
              <w:right w:val="single" w:color="auto" w:sz="4" w:space="0"/>
            </w:tcBorders>
            <w:noWrap w:val="0"/>
            <w:vAlign w:val="center"/>
          </w:tcPr>
          <w:p w14:paraId="707D7FB5">
            <w:pPr>
              <w:keepNext w:val="0"/>
              <w:keepLines w:val="0"/>
              <w:pageBreakBefore w:val="0"/>
              <w:kinsoku/>
              <w:overflowPunct/>
              <w:topLinePunct w:val="0"/>
              <w:bidi w:val="0"/>
              <w:adjustRightInd/>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38.3.1</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1CB548F2">
            <w:pPr>
              <w:keepNext w:val="0"/>
              <w:keepLines w:val="0"/>
              <w:pageBreakBefore w:val="0"/>
              <w:kinsoku/>
              <w:overflowPunct/>
              <w:topLinePunct w:val="0"/>
              <w:bidi w:val="0"/>
              <w:adjustRightInd/>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投诉受理方式</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2EAA0C74">
            <w:pPr>
              <w:keepNext w:val="0"/>
              <w:keepLines w:val="0"/>
              <w:pageBreakBefore w:val="0"/>
              <w:widowControl w:val="0"/>
              <w:kinsoku/>
              <w:wordWrap/>
              <w:overflowPunct/>
              <w:topLinePunct w:val="0"/>
              <w:bidi w:val="0"/>
              <w:adjustRightInd/>
              <w:snapToGrid w:val="0"/>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1、受理方式：纸质方式受理，投诉书正、副本（经过质疑的事项才可投诉）。</w:t>
            </w:r>
          </w:p>
          <w:p w14:paraId="18A66432">
            <w:pPr>
              <w:keepNext w:val="0"/>
              <w:keepLines w:val="0"/>
              <w:pageBreakBefore w:val="0"/>
              <w:widowControl w:val="0"/>
              <w:kinsoku/>
              <w:wordWrap/>
              <w:overflowPunct/>
              <w:topLinePunct w:val="0"/>
              <w:bidi w:val="0"/>
              <w:adjustRightInd/>
              <w:snapToGrid w:val="0"/>
              <w:spacing w:line="360" w:lineRule="exact"/>
              <w:rPr>
                <w:rFonts w:hint="eastAsia" w:ascii="宋体" w:hAnsi="宋体" w:eastAsia="宋体" w:cs="宋体"/>
                <w:color w:val="auto"/>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Cs w:val="21"/>
                <w:highlight w:val="none"/>
                <w:lang w:eastAsia="zh-CN"/>
              </w:rPr>
              <w:t>通讯</w:t>
            </w:r>
            <w:r>
              <w:rPr>
                <w:rFonts w:hint="eastAsia" w:ascii="宋体" w:hAnsi="宋体" w:eastAsia="宋体" w:cs="宋体"/>
                <w:color w:val="auto"/>
                <w:highlight w:val="none"/>
                <w:lang w:eastAsia="zh-CN"/>
              </w:rPr>
              <w:t>方式</w:t>
            </w:r>
          </w:p>
          <w:p w14:paraId="244AF0FA">
            <w:pPr>
              <w:keepNext w:val="0"/>
              <w:keepLines w:val="0"/>
              <w:pageBreakBefore w:val="0"/>
              <w:shd w:val="clear" w:color="auto" w:fill="auto"/>
              <w:kinsoku/>
              <w:wordWrap w:val="0"/>
              <w:overflowPunct/>
              <w:topLinePunct w:val="0"/>
              <w:bidi w:val="0"/>
              <w:adjustRightInd/>
              <w:spacing w:line="360" w:lineRule="exact"/>
              <w:jc w:val="left"/>
              <w:rPr>
                <w:rFonts w:hint="eastAsia" w:ascii="宋体" w:hAnsi="宋体" w:eastAsia="宋体" w:cs="宋体"/>
                <w:color w:val="auto"/>
                <w:sz w:val="18"/>
                <w:szCs w:val="21"/>
                <w:highlight w:val="none"/>
                <w:lang w:eastAsia="zh-CN"/>
              </w:rPr>
            </w:pPr>
            <w:r>
              <w:rPr>
                <w:rFonts w:hint="eastAsia" w:ascii="宋体" w:hAnsi="宋体" w:eastAsia="宋体" w:cs="宋体"/>
                <w:color w:val="auto"/>
                <w:highlight w:val="none"/>
              </w:rPr>
              <w:t>名称：桂平市财政局政府采购监督管理股</w:t>
            </w:r>
          </w:p>
          <w:p w14:paraId="54C24394">
            <w:pPr>
              <w:keepNext w:val="0"/>
              <w:keepLines w:val="0"/>
              <w:pageBreakBefore w:val="0"/>
              <w:widowControl w:val="0"/>
              <w:kinsoku/>
              <w:wordWrap/>
              <w:overflowPunct/>
              <w:topLinePunct w:val="0"/>
              <w:bidi w:val="0"/>
              <w:adjustRightInd/>
              <w:snapToGrid w:val="0"/>
              <w:spacing w:line="360" w:lineRule="exact"/>
              <w:rPr>
                <w:rFonts w:hint="eastAsia" w:ascii="宋体" w:hAnsi="宋体" w:eastAsia="宋体" w:cs="宋体"/>
                <w:color w:val="auto"/>
                <w:sz w:val="18"/>
                <w:szCs w:val="21"/>
                <w:highlight w:val="none"/>
              </w:rPr>
            </w:pPr>
            <w:r>
              <w:rPr>
                <w:rFonts w:hint="eastAsia" w:ascii="宋体" w:hAnsi="宋体" w:eastAsia="宋体" w:cs="宋体"/>
                <w:color w:val="auto"/>
                <w:sz w:val="21"/>
                <w:szCs w:val="24"/>
                <w:highlight w:val="none"/>
              </w:rPr>
              <w:t>地址</w:t>
            </w:r>
            <w:r>
              <w:rPr>
                <w:rFonts w:hint="eastAsia" w:ascii="宋体" w:hAnsi="宋体" w:eastAsia="宋体" w:cs="宋体"/>
                <w:color w:val="auto"/>
                <w:sz w:val="18"/>
                <w:szCs w:val="21"/>
                <w:highlight w:val="none"/>
              </w:rPr>
              <w:t>：</w:t>
            </w:r>
            <w:r>
              <w:rPr>
                <w:rFonts w:hint="eastAsia" w:ascii="宋体" w:hAnsi="宋体" w:eastAsia="宋体" w:cs="宋体"/>
                <w:b w:val="0"/>
                <w:bCs w:val="0"/>
                <w:i w:val="0"/>
                <w:iCs w:val="0"/>
                <w:caps w:val="0"/>
                <w:color w:val="auto"/>
                <w:spacing w:val="0"/>
                <w:sz w:val="22"/>
                <w:szCs w:val="22"/>
                <w:highlight w:val="none"/>
                <w:lang w:eastAsia="zh-CN"/>
              </w:rPr>
              <w:t>桂平市</w:t>
            </w:r>
            <w:r>
              <w:rPr>
                <w:rFonts w:hint="eastAsia" w:ascii="宋体" w:hAnsi="宋体" w:eastAsia="宋体" w:cs="宋体"/>
                <w:color w:val="auto"/>
                <w:highlight w:val="none"/>
              </w:rPr>
              <w:t>财政局</w:t>
            </w:r>
          </w:p>
          <w:p w14:paraId="66FDD814">
            <w:pPr>
              <w:keepNext w:val="0"/>
              <w:keepLines w:val="0"/>
              <w:pageBreakBefore w:val="0"/>
              <w:widowControl w:val="0"/>
              <w:kinsoku/>
              <w:wordWrap/>
              <w:overflowPunct/>
              <w:topLinePunct w:val="0"/>
              <w:bidi w:val="0"/>
              <w:adjustRightInd/>
              <w:snapToGrid w:val="0"/>
              <w:spacing w:line="36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2"/>
                <w:szCs w:val="28"/>
                <w:highlight w:val="none"/>
              </w:rPr>
              <w:t>联系电话：</w:t>
            </w:r>
            <w:r>
              <w:rPr>
                <w:rFonts w:hint="eastAsia" w:ascii="宋体" w:hAnsi="宋体" w:eastAsia="宋体" w:cs="宋体"/>
                <w:color w:val="auto"/>
                <w:highlight w:val="none"/>
              </w:rPr>
              <w:t>0775-3380263</w:t>
            </w:r>
          </w:p>
        </w:tc>
      </w:tr>
      <w:tr w14:paraId="046348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56" w:hRule="atLeast"/>
          <w:jc w:val="center"/>
        </w:trPr>
        <w:tc>
          <w:tcPr>
            <w:tcW w:w="1027" w:type="dxa"/>
            <w:vMerge w:val="restart"/>
            <w:tcBorders>
              <w:top w:val="single" w:color="auto" w:sz="4" w:space="0"/>
              <w:left w:val="single" w:color="auto" w:sz="4" w:space="0"/>
              <w:bottom w:val="single" w:color="auto" w:sz="4" w:space="0"/>
              <w:right w:val="single" w:color="auto" w:sz="4" w:space="0"/>
            </w:tcBorders>
            <w:noWrap w:val="0"/>
            <w:vAlign w:val="center"/>
          </w:tcPr>
          <w:p w14:paraId="354089D8">
            <w:pPr>
              <w:keepNext w:val="0"/>
              <w:keepLines w:val="0"/>
              <w:pageBreakBefore w:val="0"/>
              <w:kinsoku/>
              <w:overflowPunct/>
              <w:topLinePunct w:val="0"/>
              <w:bidi w:val="0"/>
              <w:adjustRightInd/>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069B9347">
            <w:pPr>
              <w:keepNext w:val="0"/>
              <w:keepLines w:val="0"/>
              <w:pageBreakBefore w:val="0"/>
              <w:kinsoku/>
              <w:overflowPunct/>
              <w:topLinePunct w:val="0"/>
              <w:bidi w:val="0"/>
              <w:adjustRightInd/>
              <w:spacing w:line="360" w:lineRule="exact"/>
              <w:rPr>
                <w:rFonts w:hint="eastAsia" w:ascii="宋体" w:hAnsi="宋体" w:eastAsia="宋体" w:cs="宋体"/>
                <w:color w:val="auto"/>
                <w:sz w:val="21"/>
                <w:szCs w:val="21"/>
                <w:highlight w:val="none"/>
              </w:rPr>
            </w:pPr>
            <w:bookmarkStart w:id="101" w:name="_41"/>
            <w:bookmarkEnd w:id="101"/>
            <w:bookmarkStart w:id="102" w:name="_42"/>
            <w:bookmarkEnd w:id="102"/>
            <w:r>
              <w:rPr>
                <w:rFonts w:hint="eastAsia" w:ascii="宋体" w:hAnsi="宋体" w:eastAsia="宋体" w:cs="宋体"/>
                <w:color w:val="auto"/>
                <w:sz w:val="21"/>
                <w:szCs w:val="21"/>
                <w:highlight w:val="none"/>
              </w:rPr>
              <w:t>采购代理</w:t>
            </w:r>
            <w:r>
              <w:rPr>
                <w:rFonts w:hint="eastAsia" w:ascii="宋体" w:hAnsi="宋体" w:eastAsia="宋体" w:cs="宋体"/>
                <w:color w:val="auto"/>
                <w:sz w:val="21"/>
                <w:szCs w:val="21"/>
                <w:highlight w:val="none"/>
                <w:lang w:eastAsia="zh-CN"/>
              </w:rPr>
              <w:t>服务</w:t>
            </w:r>
            <w:r>
              <w:rPr>
                <w:rFonts w:hint="eastAsia" w:ascii="宋体" w:hAnsi="宋体" w:eastAsia="宋体" w:cs="宋体"/>
                <w:color w:val="auto"/>
                <w:sz w:val="21"/>
                <w:szCs w:val="21"/>
                <w:highlight w:val="none"/>
              </w:rPr>
              <w:t>费支付方式</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079D93F8">
            <w:pPr>
              <w:pStyle w:val="16"/>
              <w:keepNext w:val="0"/>
              <w:keepLines w:val="0"/>
              <w:pageBreakBefore w:val="0"/>
              <w:widowControl w:val="0"/>
              <w:kinsoku/>
              <w:wordWrap/>
              <w:overflowPunct/>
              <w:topLinePunct w:val="0"/>
              <w:bidi w:val="0"/>
              <w:adjustRightInd/>
              <w:snapToGrid w:val="0"/>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本项目</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代理服务费由</w:t>
            </w:r>
            <w:r>
              <w:rPr>
                <w:rFonts w:hint="eastAsia" w:ascii="宋体" w:hAnsi="宋体" w:eastAsia="宋体" w:cs="宋体"/>
                <w:color w:val="auto"/>
                <w:sz w:val="21"/>
                <w:szCs w:val="21"/>
                <w:highlight w:val="none"/>
                <w:u w:val="single"/>
              </w:rPr>
              <w:t>中标人</w:t>
            </w:r>
            <w:r>
              <w:rPr>
                <w:rFonts w:hint="eastAsia" w:ascii="宋体" w:hAnsi="宋体" w:eastAsia="宋体" w:cs="宋体"/>
                <w:color w:val="auto"/>
                <w:highlight w:val="none"/>
              </w:rPr>
              <w:t>在</w:t>
            </w:r>
            <w:r>
              <w:rPr>
                <w:rFonts w:hint="eastAsia" w:ascii="宋体" w:hAnsi="宋体" w:eastAsia="宋体" w:cs="宋体"/>
                <w:color w:val="auto"/>
                <w:sz w:val="21"/>
                <w:highlight w:val="none"/>
                <w:lang w:val="en-US" w:eastAsia="zh-CN"/>
              </w:rPr>
              <w:t>签订合同</w:t>
            </w:r>
            <w:r>
              <w:rPr>
                <w:rFonts w:hint="eastAsia" w:ascii="宋体" w:hAnsi="宋体" w:eastAsia="宋体" w:cs="宋体"/>
                <w:color w:val="auto"/>
                <w:highlight w:val="none"/>
              </w:rPr>
              <w:t>前，</w:t>
            </w:r>
            <w:r>
              <w:rPr>
                <w:rFonts w:hint="eastAsia" w:ascii="宋体" w:hAnsi="宋体" w:eastAsia="宋体" w:cs="宋体"/>
                <w:color w:val="auto"/>
                <w:sz w:val="21"/>
                <w:highlight w:val="none"/>
                <w:lang w:val="en-US" w:eastAsia="zh-CN"/>
              </w:rPr>
              <w:t>以银行转账、电汇等方式</w:t>
            </w:r>
            <w:r>
              <w:rPr>
                <w:rFonts w:hint="eastAsia" w:ascii="宋体" w:hAnsi="宋体" w:eastAsia="宋体" w:cs="宋体"/>
                <w:color w:val="auto"/>
                <w:highlight w:val="none"/>
              </w:rPr>
              <w:t>一次性向采购代理机构支付</w:t>
            </w:r>
            <w:r>
              <w:rPr>
                <w:rFonts w:hint="eastAsia" w:ascii="宋体" w:hAnsi="宋体" w:eastAsia="宋体" w:cs="宋体"/>
                <w:color w:val="auto"/>
                <w:sz w:val="21"/>
                <w:szCs w:val="21"/>
                <w:highlight w:val="none"/>
              </w:rPr>
              <w:t>。</w:t>
            </w:r>
          </w:p>
          <w:p w14:paraId="0F9736A0">
            <w:pPr>
              <w:pStyle w:val="16"/>
              <w:keepNext w:val="0"/>
              <w:keepLines w:val="0"/>
              <w:pageBreakBefore w:val="0"/>
              <w:widowControl w:val="0"/>
              <w:kinsoku/>
              <w:wordWrap/>
              <w:overflowPunct/>
              <w:topLinePunct w:val="0"/>
              <w:bidi w:val="0"/>
              <w:adjustRightInd/>
              <w:snapToGrid w:val="0"/>
              <w:spacing w:line="36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采购人支付</w:t>
            </w:r>
            <w:r>
              <w:rPr>
                <w:rFonts w:hint="eastAsia" w:ascii="宋体" w:hAnsi="宋体" w:eastAsia="宋体" w:cs="宋体"/>
                <w:color w:val="auto"/>
                <w:sz w:val="21"/>
                <w:szCs w:val="21"/>
                <w:highlight w:val="none"/>
                <w:lang w:eastAsia="zh-CN"/>
              </w:rPr>
              <w:t>。</w:t>
            </w:r>
          </w:p>
          <w:p w14:paraId="2C3FFF5D">
            <w:pPr>
              <w:pStyle w:val="16"/>
              <w:keepNext w:val="0"/>
              <w:keepLines w:val="0"/>
              <w:pageBreakBefore w:val="0"/>
              <w:widowControl w:val="0"/>
              <w:kinsoku/>
              <w:wordWrap/>
              <w:overflowPunct/>
              <w:topLinePunct w:val="0"/>
              <w:bidi w:val="0"/>
              <w:adjustRightInd/>
              <w:snapToGrid w:val="0"/>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□本项目不收取</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代理服务费。</w:t>
            </w:r>
          </w:p>
        </w:tc>
      </w:tr>
      <w:tr w14:paraId="03B900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27" w:type="dxa"/>
            <w:vMerge w:val="continue"/>
            <w:tcBorders>
              <w:top w:val="single" w:color="auto" w:sz="4" w:space="0"/>
              <w:left w:val="single" w:color="auto" w:sz="4" w:space="0"/>
              <w:bottom w:val="single" w:color="auto" w:sz="4" w:space="0"/>
              <w:right w:val="single" w:color="auto" w:sz="4" w:space="0"/>
            </w:tcBorders>
            <w:noWrap w:val="0"/>
            <w:vAlign w:val="center"/>
          </w:tcPr>
          <w:p w14:paraId="7716A6E0">
            <w:pPr>
              <w:keepNext w:val="0"/>
              <w:keepLines w:val="0"/>
              <w:pageBreakBefore w:val="0"/>
              <w:widowControl/>
              <w:kinsoku/>
              <w:overflowPunct/>
              <w:topLinePunct w:val="0"/>
              <w:bidi w:val="0"/>
              <w:adjustRightInd/>
              <w:spacing w:line="360" w:lineRule="exact"/>
              <w:jc w:val="left"/>
              <w:rPr>
                <w:rFonts w:hint="eastAsia" w:ascii="宋体" w:hAnsi="宋体" w:eastAsia="宋体" w:cs="宋体"/>
                <w:color w:val="auto"/>
                <w:sz w:val="21"/>
                <w:szCs w:val="21"/>
                <w:highlight w:val="none"/>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14:paraId="74C209C4">
            <w:pPr>
              <w:keepNext w:val="0"/>
              <w:keepLines w:val="0"/>
              <w:pageBreakBefore w:val="0"/>
              <w:kinsoku/>
              <w:overflowPunct/>
              <w:topLinePunct w:val="0"/>
              <w:bidi w:val="0"/>
              <w:adjustRightInd/>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采购代理费收取标准</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5C9D8ABC">
            <w:pPr>
              <w:keepNext w:val="0"/>
              <w:keepLines w:val="0"/>
              <w:pageBreakBefore w:val="0"/>
              <w:kinsoku/>
              <w:overflowPunct/>
              <w:topLinePunct w:val="0"/>
              <w:bidi w:val="0"/>
              <w:adjustRightInd/>
              <w:spacing w:line="360" w:lineRule="exact"/>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☑本项目采购代理服务费</w:t>
            </w:r>
            <w:r>
              <w:rPr>
                <w:rFonts w:hint="eastAsia" w:ascii="宋体" w:hAnsi="宋体" w:cs="宋体"/>
                <w:color w:val="auto"/>
                <w:highlight w:val="none"/>
                <w:lang w:val="en-US" w:eastAsia="zh-CN"/>
              </w:rPr>
              <w:t>由</w:t>
            </w:r>
            <w:r>
              <w:rPr>
                <w:rFonts w:hint="eastAsia" w:ascii="宋体" w:hAnsi="宋体" w:eastAsia="宋体" w:cs="宋体"/>
                <w:color w:val="auto"/>
                <w:highlight w:val="none"/>
                <w:lang w:val="en-US" w:eastAsia="zh-CN"/>
              </w:rPr>
              <w:t>中标人支付，由中标人在在领中标通知书前，以银行转账、电汇等方式一次性向采购代理机构支付。</w:t>
            </w:r>
          </w:p>
          <w:p w14:paraId="79C5FCB2">
            <w:pPr>
              <w:keepNext w:val="0"/>
              <w:keepLines w:val="0"/>
              <w:pageBreakBefore w:val="0"/>
              <w:kinsoku/>
              <w:overflowPunct/>
              <w:topLinePunct w:val="0"/>
              <w:bidi w:val="0"/>
              <w:adjustRightInd/>
              <w:spacing w:line="360" w:lineRule="exact"/>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□本项目不收取采购代理服务费。</w:t>
            </w:r>
          </w:p>
          <w:p w14:paraId="21A1469E">
            <w:pPr>
              <w:keepNext w:val="0"/>
              <w:keepLines w:val="0"/>
              <w:pageBreakBefore w:val="0"/>
              <w:kinsoku/>
              <w:overflowPunct/>
              <w:topLinePunct w:val="0"/>
              <w:bidi w:val="0"/>
              <w:adjustRightInd/>
              <w:spacing w:line="360" w:lineRule="exact"/>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☑本项目的采购代理服务费参照国家发展改革委《关于进一步放开建设项目专业服务价格的通知 》发改价格(2015)299号文执行，按固定金额收费标准:本项目中标服务费为人民币</w:t>
            </w:r>
            <w:r>
              <w:rPr>
                <w:rFonts w:hint="eastAsia" w:ascii="宋体" w:hAnsi="宋体" w:cs="宋体"/>
                <w:color w:val="auto"/>
                <w:highlight w:val="none"/>
                <w:lang w:val="en-US" w:eastAsia="zh-CN"/>
              </w:rPr>
              <w:t>壹拾捌万伍仟伍佰元整</w:t>
            </w:r>
            <w:r>
              <w:rPr>
                <w:rFonts w:hint="eastAsia" w:ascii="宋体" w:hAnsi="宋体" w:eastAsia="宋体" w:cs="宋体"/>
                <w:color w:val="auto"/>
                <w:highlight w:val="none"/>
                <w:lang w:val="en-US" w:eastAsia="zh-CN"/>
              </w:rPr>
              <w:t>(￥</w:t>
            </w:r>
            <w:r>
              <w:rPr>
                <w:rFonts w:hint="eastAsia" w:ascii="宋体" w:hAnsi="宋体" w:cs="宋体"/>
                <w:color w:val="auto"/>
                <w:highlight w:val="none"/>
                <w:lang w:val="en-US" w:eastAsia="zh-CN"/>
              </w:rPr>
              <w:t>185500.00</w:t>
            </w:r>
            <w:r>
              <w:rPr>
                <w:rFonts w:hint="eastAsia" w:ascii="宋体" w:hAnsi="宋体" w:eastAsia="宋体" w:cs="宋体"/>
                <w:color w:val="auto"/>
                <w:highlight w:val="none"/>
                <w:lang w:val="en-US" w:eastAsia="zh-CN"/>
              </w:rPr>
              <w:t>)，由中标人在领取中标通知书时一次性支付给采购代理机构。</w:t>
            </w:r>
          </w:p>
        </w:tc>
      </w:tr>
      <w:tr w14:paraId="4EE282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3" w:hRule="atLeast"/>
          <w:jc w:val="center"/>
        </w:trPr>
        <w:tc>
          <w:tcPr>
            <w:tcW w:w="1027" w:type="dxa"/>
            <w:vMerge w:val="continue"/>
            <w:tcBorders>
              <w:top w:val="single" w:color="auto" w:sz="4" w:space="0"/>
              <w:left w:val="single" w:color="auto" w:sz="4" w:space="0"/>
              <w:bottom w:val="single" w:color="auto" w:sz="4" w:space="0"/>
              <w:right w:val="single" w:color="auto" w:sz="4" w:space="0"/>
            </w:tcBorders>
            <w:noWrap w:val="0"/>
            <w:vAlign w:val="center"/>
          </w:tcPr>
          <w:p w14:paraId="058A82F2">
            <w:pPr>
              <w:keepNext w:val="0"/>
              <w:keepLines w:val="0"/>
              <w:pageBreakBefore w:val="0"/>
              <w:widowControl/>
              <w:kinsoku/>
              <w:overflowPunct/>
              <w:topLinePunct w:val="0"/>
              <w:bidi w:val="0"/>
              <w:adjustRightInd/>
              <w:spacing w:line="360" w:lineRule="exact"/>
              <w:jc w:val="left"/>
              <w:rPr>
                <w:rFonts w:hint="eastAsia" w:ascii="宋体" w:hAnsi="宋体" w:eastAsia="宋体" w:cs="宋体"/>
                <w:color w:val="auto"/>
                <w:sz w:val="21"/>
                <w:szCs w:val="21"/>
                <w:highlight w:val="none"/>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14:paraId="30D36CD4">
            <w:pPr>
              <w:keepNext w:val="0"/>
              <w:keepLines w:val="0"/>
              <w:pageBreakBefore w:val="0"/>
              <w:kinsoku/>
              <w:overflowPunct/>
              <w:topLinePunct w:val="0"/>
              <w:bidi w:val="0"/>
              <w:adjustRightInd/>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代理服务费收款账户信息</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767A30D9">
            <w:pPr>
              <w:pStyle w:val="16"/>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账户名称：广西建设工程机电设备招标中心有限公司</w:t>
            </w:r>
          </w:p>
          <w:p w14:paraId="71CA67A7">
            <w:pPr>
              <w:pStyle w:val="16"/>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开户银行：招商银行南宁分行营业部 </w:t>
            </w:r>
          </w:p>
          <w:p w14:paraId="1DA457D4">
            <w:pPr>
              <w:pStyle w:val="16"/>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银行账号： 771901423310201</w:t>
            </w:r>
          </w:p>
          <w:p w14:paraId="6310F083">
            <w:pPr>
              <w:pStyle w:val="16"/>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开户行行号：308611000032</w:t>
            </w:r>
          </w:p>
        </w:tc>
      </w:tr>
      <w:tr w14:paraId="18DE94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3A9C0766">
            <w:pPr>
              <w:keepNext w:val="0"/>
              <w:keepLines w:val="0"/>
              <w:pageBreakBefore w:val="0"/>
              <w:kinsoku/>
              <w:overflowPunct/>
              <w:topLinePunct w:val="0"/>
              <w:bidi w:val="0"/>
              <w:adjustRightInd/>
              <w:snapToGrid w:val="0"/>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41.1</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70292996">
            <w:pPr>
              <w:keepNext w:val="0"/>
              <w:keepLines w:val="0"/>
              <w:pageBreakBefore w:val="0"/>
              <w:kinsoku/>
              <w:overflowPunct/>
              <w:topLinePunct w:val="0"/>
              <w:bidi w:val="0"/>
              <w:adjustRightInd/>
              <w:snapToGrid w:val="0"/>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解释</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276FBBAB">
            <w:pPr>
              <w:keepNext w:val="0"/>
              <w:keepLines w:val="0"/>
              <w:pageBreakBefore w:val="0"/>
              <w:kinsoku/>
              <w:overflowPunct/>
              <w:topLinePunct w:val="0"/>
              <w:bidi w:val="0"/>
              <w:adjustRightInd/>
              <w:snapToGrid w:val="0"/>
              <w:spacing w:line="36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解释：</w:t>
            </w:r>
            <w:r>
              <w:rPr>
                <w:rFonts w:hint="eastAsia" w:ascii="宋体" w:hAnsi="宋体" w:eastAsia="宋体" w:cs="宋体"/>
                <w:color w:val="auto"/>
                <w:sz w:val="21"/>
                <w:szCs w:val="21"/>
                <w:highlight w:val="none"/>
              </w:rPr>
              <w:t>构成本招标文件的各个组成文件应互为解释，互为说明；除招标文件中有特别规定外，仅适用于招标投标阶段的规定，按更正公告（澄清公告）、招标公告、采购需求、投标人须知、评标方法</w:t>
            </w:r>
            <w:r>
              <w:rPr>
                <w:rFonts w:hint="eastAsia" w:ascii="宋体" w:hAnsi="宋体" w:eastAsia="宋体" w:cs="宋体"/>
                <w:color w:val="auto"/>
                <w:sz w:val="21"/>
                <w:szCs w:val="21"/>
                <w:highlight w:val="none"/>
                <w:lang w:eastAsia="zh-CN"/>
              </w:rPr>
              <w:t>和</w:t>
            </w:r>
            <w:r>
              <w:rPr>
                <w:rFonts w:hint="eastAsia" w:ascii="宋体" w:hAnsi="宋体" w:eastAsia="宋体" w:cs="宋体"/>
                <w:color w:val="auto"/>
                <w:sz w:val="21"/>
                <w:szCs w:val="21"/>
                <w:highlight w:val="none"/>
              </w:rPr>
              <w:t>评标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w:t>
            </w:r>
            <w:r>
              <w:rPr>
                <w:rFonts w:hint="eastAsia" w:ascii="宋体" w:hAnsi="宋体" w:eastAsia="宋体" w:cs="宋体"/>
                <w:b/>
                <w:color w:val="auto"/>
                <w:sz w:val="21"/>
                <w:szCs w:val="21"/>
                <w:highlight w:val="none"/>
              </w:rPr>
              <w:t>，由采购人或者采购代理机构负责解释。</w:t>
            </w:r>
          </w:p>
          <w:p w14:paraId="0D208CEA">
            <w:pPr>
              <w:keepNext w:val="0"/>
              <w:keepLines w:val="0"/>
              <w:pageBreakBefore w:val="0"/>
              <w:kinsoku/>
              <w:overflowPunct/>
              <w:topLinePunct w:val="0"/>
              <w:bidi w:val="0"/>
              <w:adjustRightInd/>
              <w:snapToGrid w:val="0"/>
              <w:spacing w:line="36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法律责任：</w:t>
            </w:r>
          </w:p>
          <w:p w14:paraId="526F2641">
            <w:pPr>
              <w:keepNext w:val="0"/>
              <w:keepLines w:val="0"/>
              <w:pageBreakBefore w:val="0"/>
              <w:kinsoku/>
              <w:overflowPunct/>
              <w:topLinePunct w:val="0"/>
              <w:bidi w:val="0"/>
              <w:adjustRightInd/>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本采购文件根据《中华人民共和国政府采购法》、《中华人民共和国民法典》</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《中华人民共和国政府采购法实施条例》、《</w:t>
            </w:r>
            <w:r>
              <w:rPr>
                <w:rFonts w:hint="eastAsia" w:ascii="宋体" w:hAnsi="宋体" w:eastAsia="宋体" w:cs="宋体"/>
                <w:color w:val="auto"/>
                <w:szCs w:val="21"/>
                <w:highlight w:val="none"/>
              </w:rPr>
              <w:t>政府采购货物和服务招标投标管理办法</w:t>
            </w:r>
            <w:r>
              <w:rPr>
                <w:rFonts w:hint="eastAsia" w:ascii="宋体" w:hAnsi="宋体" w:eastAsia="宋体" w:cs="宋体"/>
                <w:color w:val="auto"/>
                <w:sz w:val="21"/>
                <w:szCs w:val="21"/>
                <w:highlight w:val="none"/>
              </w:rPr>
              <w:t>》等有关法律、法规编制，参与本项目的各政府采购当事人依法享有上述法律法规所赋予的权利与义务。</w:t>
            </w:r>
          </w:p>
        </w:tc>
      </w:tr>
      <w:tr w14:paraId="3389A0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4" w:hRule="atLeast"/>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6DB43958">
            <w:pPr>
              <w:keepNext w:val="0"/>
              <w:keepLines w:val="0"/>
              <w:pageBreakBefore w:val="0"/>
              <w:kinsoku/>
              <w:overflowPunct/>
              <w:topLinePunct w:val="0"/>
              <w:bidi w:val="0"/>
              <w:adjustRightInd/>
              <w:snapToGrid w:val="0"/>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41.2</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15AC94E5">
            <w:pPr>
              <w:keepNext w:val="0"/>
              <w:keepLines w:val="0"/>
              <w:pageBreakBefore w:val="0"/>
              <w:kinsoku/>
              <w:overflowPunct/>
              <w:topLinePunct w:val="0"/>
              <w:bidi w:val="0"/>
              <w:adjustRightInd/>
              <w:snapToGrid w:val="0"/>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其他释义</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13DEB60F">
            <w:pPr>
              <w:pStyle w:val="10"/>
              <w:keepNext w:val="0"/>
              <w:keepLines w:val="0"/>
              <w:pageBreakBefore w:val="0"/>
              <w:kinsoku/>
              <w:overflowPunct/>
              <w:topLinePunct w:val="0"/>
              <w:bidi w:val="0"/>
              <w:adjustRightInd/>
              <w:spacing w:line="360" w:lineRule="exact"/>
              <w:ind w:firstLine="420" w:firstLineChars="200"/>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1.本</w:t>
            </w:r>
            <w:r>
              <w:rPr>
                <w:rFonts w:hint="eastAsia" w:ascii="宋体" w:hAnsi="宋体" w:eastAsia="宋体" w:cs="宋体"/>
                <w:color w:val="auto"/>
                <w:kern w:val="2"/>
                <w:szCs w:val="21"/>
                <w:highlight w:val="none"/>
                <w:lang w:eastAsia="zh-CN"/>
              </w:rPr>
              <w:t>招标</w:t>
            </w:r>
            <w:r>
              <w:rPr>
                <w:rFonts w:hint="eastAsia" w:ascii="宋体" w:hAnsi="宋体" w:eastAsia="宋体" w:cs="宋体"/>
                <w:color w:val="auto"/>
                <w:kern w:val="2"/>
                <w:szCs w:val="21"/>
                <w:highlight w:val="none"/>
              </w:rPr>
              <w:t>文件中描述</w:t>
            </w:r>
            <w:r>
              <w:rPr>
                <w:rFonts w:hint="eastAsia" w:ascii="宋体" w:hAnsi="宋体" w:eastAsia="宋体" w:cs="宋体"/>
                <w:color w:val="auto"/>
                <w:kern w:val="2"/>
                <w:szCs w:val="21"/>
                <w:highlight w:val="none"/>
                <w:lang w:eastAsia="zh-CN"/>
              </w:rPr>
              <w:t>投标人</w:t>
            </w:r>
            <w:r>
              <w:rPr>
                <w:rFonts w:hint="eastAsia" w:ascii="宋体" w:hAnsi="宋体" w:eastAsia="宋体" w:cs="宋体"/>
                <w:color w:val="auto"/>
                <w:kern w:val="2"/>
                <w:szCs w:val="21"/>
                <w:highlight w:val="none"/>
              </w:rPr>
              <w:t>的“公章”是指根据我国对公章的管理规定，用投标人法定主体行为名称制作的</w:t>
            </w:r>
            <w:r>
              <w:rPr>
                <w:rFonts w:hint="eastAsia" w:ascii="宋体" w:hAnsi="宋体" w:eastAsia="宋体" w:cs="宋体"/>
                <w:color w:val="auto"/>
                <w:kern w:val="2"/>
                <w:szCs w:val="21"/>
                <w:highlight w:val="none"/>
                <w:lang w:eastAsia="zh-CN"/>
              </w:rPr>
              <w:t>实物</w:t>
            </w:r>
            <w:r>
              <w:rPr>
                <w:rFonts w:hint="eastAsia" w:ascii="宋体" w:hAnsi="宋体" w:eastAsia="宋体" w:cs="宋体"/>
                <w:color w:val="auto"/>
                <w:kern w:val="2"/>
                <w:szCs w:val="21"/>
                <w:highlight w:val="none"/>
              </w:rPr>
              <w:t>印章</w:t>
            </w:r>
            <w:r>
              <w:rPr>
                <w:rFonts w:hint="eastAsia" w:ascii="宋体" w:hAnsi="宋体" w:eastAsia="宋体" w:cs="宋体"/>
                <w:color w:val="auto"/>
                <w:kern w:val="2"/>
                <w:szCs w:val="21"/>
                <w:highlight w:val="none"/>
                <w:lang w:eastAsia="zh-CN"/>
              </w:rPr>
              <w:t>或投标人</w:t>
            </w:r>
            <w:r>
              <w:rPr>
                <w:rFonts w:hint="eastAsia" w:ascii="宋体" w:hAnsi="宋体" w:eastAsia="宋体" w:cs="宋体"/>
                <w:color w:val="auto"/>
                <w:kern w:val="2"/>
                <w:szCs w:val="21"/>
                <w:highlight w:val="none"/>
              </w:rPr>
              <w:t>通过指定电子化政府采购平台办理数字证书（CA认证）获得的以法定主体行为名称制作的电子印章。除本招标文件有特殊规定外，投标人的财务章、部门章、分公司章、工会章、合同章、投标专用章、业务专用章及银行的转账章、现金收讫章、现金付讫章等其他形式印章均不能代替公章。</w:t>
            </w:r>
          </w:p>
          <w:p w14:paraId="58AEA229">
            <w:pPr>
              <w:pStyle w:val="10"/>
              <w:keepNext w:val="0"/>
              <w:keepLines w:val="0"/>
              <w:pageBreakBefore w:val="0"/>
              <w:kinsoku/>
              <w:overflowPunct/>
              <w:topLinePunct w:val="0"/>
              <w:bidi w:val="0"/>
              <w:adjustRightInd/>
              <w:spacing w:line="360" w:lineRule="exact"/>
              <w:ind w:firstLine="420" w:firstLineChars="200"/>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2.本</w:t>
            </w:r>
            <w:r>
              <w:rPr>
                <w:rFonts w:hint="eastAsia" w:ascii="宋体" w:hAnsi="宋体" w:eastAsia="宋体" w:cs="宋体"/>
                <w:color w:val="auto"/>
                <w:kern w:val="2"/>
                <w:szCs w:val="21"/>
                <w:highlight w:val="none"/>
                <w:lang w:eastAsia="zh-CN"/>
              </w:rPr>
              <w:t>招标</w:t>
            </w:r>
            <w:r>
              <w:rPr>
                <w:rFonts w:hint="eastAsia" w:ascii="宋体" w:hAnsi="宋体" w:eastAsia="宋体" w:cs="宋体"/>
                <w:color w:val="auto"/>
                <w:kern w:val="2"/>
                <w:szCs w:val="21"/>
                <w:highlight w:val="none"/>
              </w:rPr>
              <w:t>文件中描述</w:t>
            </w:r>
            <w:r>
              <w:rPr>
                <w:rFonts w:hint="eastAsia" w:ascii="宋体" w:hAnsi="宋体" w:eastAsia="宋体" w:cs="宋体"/>
                <w:color w:val="auto"/>
                <w:kern w:val="2"/>
                <w:szCs w:val="21"/>
                <w:highlight w:val="none"/>
                <w:lang w:eastAsia="zh-CN"/>
              </w:rPr>
              <w:t>投标人</w:t>
            </w:r>
            <w:r>
              <w:rPr>
                <w:rFonts w:hint="eastAsia" w:ascii="宋体" w:hAnsi="宋体" w:eastAsia="宋体" w:cs="宋体"/>
                <w:color w:val="auto"/>
                <w:kern w:val="2"/>
                <w:szCs w:val="21"/>
                <w:highlight w:val="none"/>
              </w:rPr>
              <w:t>的“签字”是指</w:t>
            </w:r>
            <w:r>
              <w:rPr>
                <w:rFonts w:hint="eastAsia" w:ascii="宋体" w:hAnsi="宋体" w:eastAsia="宋体" w:cs="宋体"/>
                <w:color w:val="auto"/>
                <w:kern w:val="2"/>
                <w:szCs w:val="21"/>
                <w:highlight w:val="none"/>
                <w:lang w:eastAsia="zh-CN"/>
              </w:rPr>
              <w:t>投标人</w:t>
            </w:r>
            <w:r>
              <w:rPr>
                <w:rFonts w:hint="eastAsia" w:ascii="宋体" w:hAnsi="宋体" w:eastAsia="宋体" w:cs="宋体"/>
                <w:color w:val="auto"/>
                <w:kern w:val="2"/>
                <w:szCs w:val="21"/>
                <w:highlight w:val="none"/>
              </w:rPr>
              <w:t>通过指定电子化政府采购平台办理数字证书（CA认证）获得的以</w:t>
            </w:r>
            <w:r>
              <w:rPr>
                <w:rFonts w:hint="eastAsia" w:ascii="宋体" w:hAnsi="宋体" w:eastAsia="宋体" w:cs="宋体"/>
                <w:color w:val="auto"/>
                <w:kern w:val="2"/>
                <w:szCs w:val="21"/>
                <w:highlight w:val="none"/>
                <w:lang w:eastAsia="zh-CN"/>
              </w:rPr>
              <w:t>投标人</w:t>
            </w:r>
            <w:r>
              <w:rPr>
                <w:rFonts w:hint="eastAsia" w:ascii="宋体" w:hAnsi="宋体" w:eastAsia="宋体" w:cs="宋体"/>
                <w:color w:val="auto"/>
                <w:kern w:val="2"/>
                <w:szCs w:val="21"/>
                <w:highlight w:val="none"/>
              </w:rPr>
              <w:t>法定代表人或者委托代理人姓名制作的电子印章或手写签字。</w:t>
            </w:r>
          </w:p>
          <w:p w14:paraId="74D8FD65">
            <w:pPr>
              <w:pStyle w:val="10"/>
              <w:keepNext w:val="0"/>
              <w:keepLines w:val="0"/>
              <w:pageBreakBefore w:val="0"/>
              <w:tabs>
                <w:tab w:val="center" w:pos="4153"/>
                <w:tab w:val="right" w:pos="8306"/>
              </w:tabs>
              <w:kinsoku/>
              <w:overflowPunct/>
              <w:topLinePunct w:val="0"/>
              <w:bidi w:val="0"/>
              <w:adjustRightInd/>
              <w:spacing w:line="360" w:lineRule="exact"/>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kern w:val="2"/>
                <w:szCs w:val="21"/>
                <w:highlight w:val="none"/>
                <w:lang w:val="en-US" w:eastAsia="zh-CN"/>
              </w:rPr>
              <w:t>3.本招标文件所称的“电子签章”“电子签名”，是指经</w:t>
            </w:r>
            <w:r>
              <w:rPr>
                <w:rFonts w:hint="eastAsia" w:ascii="宋体" w:hAnsi="宋体" w:eastAsia="宋体" w:cs="宋体"/>
                <w:b w:val="0"/>
                <w:bCs w:val="0"/>
                <w:color w:val="auto"/>
                <w:sz w:val="21"/>
                <w:szCs w:val="21"/>
                <w:highlight w:val="none"/>
                <w:lang w:val="en-US" w:eastAsia="zh-CN"/>
              </w:rPr>
              <w:t>广西政府采购云平台</w:t>
            </w:r>
            <w:r>
              <w:rPr>
                <w:rFonts w:hint="eastAsia" w:ascii="宋体" w:hAnsi="宋体" w:eastAsia="宋体" w:cs="宋体"/>
                <w:color w:val="auto"/>
                <w:kern w:val="2"/>
                <w:szCs w:val="21"/>
                <w:highlight w:val="none"/>
                <w:lang w:val="en-US" w:eastAsia="zh-CN"/>
              </w:rPr>
              <w:t>认可的CA认证的电子签名数据为表现形式的印章，可用于签署电子投标文件，电子印章与实物印章具有同等法律效力，不因其采用电子化表现形式而否定其法律效力。</w:t>
            </w:r>
          </w:p>
          <w:p w14:paraId="681C6EE1">
            <w:pPr>
              <w:pStyle w:val="10"/>
              <w:keepNext w:val="0"/>
              <w:keepLines w:val="0"/>
              <w:pageBreakBefore w:val="0"/>
              <w:kinsoku/>
              <w:overflowPunct/>
              <w:topLinePunct w:val="0"/>
              <w:bidi w:val="0"/>
              <w:adjustRightInd/>
              <w:spacing w:line="360" w:lineRule="exact"/>
              <w:ind w:firstLine="420" w:firstLineChars="200"/>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lang w:val="en-US" w:eastAsia="zh-CN"/>
              </w:rPr>
              <w:t>4</w:t>
            </w:r>
            <w:r>
              <w:rPr>
                <w:rFonts w:hint="eastAsia" w:ascii="宋体" w:hAnsi="宋体" w:eastAsia="宋体" w:cs="宋体"/>
                <w:color w:val="auto"/>
                <w:kern w:val="2"/>
                <w:szCs w:val="21"/>
                <w:highlight w:val="none"/>
              </w:rPr>
              <w:t>.</w:t>
            </w:r>
            <w:r>
              <w:rPr>
                <w:rFonts w:hint="eastAsia" w:ascii="宋体" w:hAnsi="宋体" w:eastAsia="宋体" w:cs="宋体"/>
                <w:color w:val="auto"/>
                <w:kern w:val="2"/>
                <w:szCs w:val="21"/>
                <w:highlight w:val="none"/>
                <w:lang w:eastAsia="zh-CN"/>
              </w:rPr>
              <w:t>投标人</w:t>
            </w:r>
            <w:r>
              <w:rPr>
                <w:rFonts w:hint="eastAsia" w:ascii="宋体" w:hAnsi="宋体" w:eastAsia="宋体" w:cs="宋体"/>
                <w:color w:val="auto"/>
                <w:kern w:val="2"/>
                <w:szCs w:val="21"/>
                <w:highlight w:val="none"/>
              </w:rPr>
              <w:t>为其他组织或者自然人时，本</w:t>
            </w:r>
            <w:r>
              <w:rPr>
                <w:rFonts w:hint="eastAsia" w:ascii="宋体" w:hAnsi="宋体" w:eastAsia="宋体" w:cs="宋体"/>
                <w:color w:val="auto"/>
                <w:kern w:val="2"/>
                <w:szCs w:val="21"/>
                <w:highlight w:val="none"/>
                <w:lang w:eastAsia="zh-CN"/>
              </w:rPr>
              <w:t>招标文件</w:t>
            </w:r>
            <w:r>
              <w:rPr>
                <w:rFonts w:hint="eastAsia" w:ascii="宋体" w:hAnsi="宋体" w:eastAsia="宋体" w:cs="宋体"/>
                <w:color w:val="auto"/>
                <w:kern w:val="2"/>
                <w:szCs w:val="21"/>
                <w:highlight w:val="none"/>
              </w:rPr>
              <w:t>规定的法定代表人指负责人或者自然人。本</w:t>
            </w:r>
            <w:r>
              <w:rPr>
                <w:rFonts w:hint="eastAsia" w:ascii="宋体" w:hAnsi="宋体" w:eastAsia="宋体" w:cs="宋体"/>
                <w:color w:val="auto"/>
                <w:kern w:val="2"/>
                <w:szCs w:val="21"/>
                <w:highlight w:val="none"/>
                <w:lang w:eastAsia="zh-CN"/>
              </w:rPr>
              <w:t>招标文件</w:t>
            </w:r>
            <w:r>
              <w:rPr>
                <w:rFonts w:hint="eastAsia" w:ascii="宋体" w:hAnsi="宋体" w:eastAsia="宋体" w:cs="宋体"/>
                <w:color w:val="auto"/>
                <w:kern w:val="2"/>
                <w:szCs w:val="21"/>
                <w:highlight w:val="none"/>
              </w:rPr>
              <w:t>所称负责人是指参加</w:t>
            </w:r>
            <w:r>
              <w:rPr>
                <w:rFonts w:hint="eastAsia" w:ascii="宋体" w:hAnsi="宋体" w:eastAsia="宋体" w:cs="宋体"/>
                <w:color w:val="auto"/>
                <w:kern w:val="2"/>
                <w:szCs w:val="21"/>
                <w:highlight w:val="none"/>
                <w:lang w:eastAsia="zh-CN"/>
              </w:rPr>
              <w:t>投</w:t>
            </w:r>
            <w:r>
              <w:rPr>
                <w:rFonts w:hint="eastAsia" w:ascii="宋体" w:hAnsi="宋体" w:eastAsia="宋体" w:cs="宋体"/>
                <w:color w:val="auto"/>
                <w:kern w:val="2"/>
                <w:szCs w:val="21"/>
                <w:highlight w:val="none"/>
              </w:rPr>
              <w:t>标的其他组织营业执照上的负责人，本</w:t>
            </w:r>
            <w:r>
              <w:rPr>
                <w:rFonts w:hint="eastAsia" w:ascii="宋体" w:hAnsi="宋体" w:eastAsia="宋体" w:cs="宋体"/>
                <w:color w:val="auto"/>
                <w:kern w:val="2"/>
                <w:szCs w:val="21"/>
                <w:highlight w:val="none"/>
                <w:lang w:eastAsia="zh-CN"/>
              </w:rPr>
              <w:t>招标文件</w:t>
            </w:r>
            <w:r>
              <w:rPr>
                <w:rFonts w:hint="eastAsia" w:ascii="宋体" w:hAnsi="宋体" w:eastAsia="宋体" w:cs="宋体"/>
                <w:color w:val="auto"/>
                <w:kern w:val="2"/>
                <w:szCs w:val="21"/>
                <w:highlight w:val="none"/>
              </w:rPr>
              <w:t>所称自然人指参与</w:t>
            </w:r>
            <w:r>
              <w:rPr>
                <w:rFonts w:hint="eastAsia" w:ascii="宋体" w:hAnsi="宋体" w:eastAsia="宋体" w:cs="宋体"/>
                <w:color w:val="auto"/>
                <w:kern w:val="2"/>
                <w:szCs w:val="21"/>
                <w:highlight w:val="none"/>
                <w:lang w:eastAsia="zh-CN"/>
              </w:rPr>
              <w:t>投</w:t>
            </w:r>
            <w:r>
              <w:rPr>
                <w:rFonts w:hint="eastAsia" w:ascii="宋体" w:hAnsi="宋体" w:eastAsia="宋体" w:cs="宋体"/>
                <w:color w:val="auto"/>
                <w:kern w:val="2"/>
                <w:szCs w:val="21"/>
                <w:highlight w:val="none"/>
              </w:rPr>
              <w:t>标的自然人本人。</w:t>
            </w:r>
          </w:p>
          <w:p w14:paraId="133915D3">
            <w:pPr>
              <w:pStyle w:val="10"/>
              <w:keepNext w:val="0"/>
              <w:keepLines w:val="0"/>
              <w:pageBreakBefore w:val="0"/>
              <w:kinsoku/>
              <w:overflowPunct/>
              <w:topLinePunct w:val="0"/>
              <w:bidi w:val="0"/>
              <w:adjustRightInd/>
              <w:spacing w:line="360" w:lineRule="exact"/>
              <w:ind w:firstLine="420" w:firstLineChars="200"/>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lang w:val="en-US" w:eastAsia="zh-CN"/>
              </w:rPr>
              <w:t>5</w:t>
            </w:r>
            <w:r>
              <w:rPr>
                <w:rFonts w:hint="eastAsia" w:ascii="宋体" w:hAnsi="宋体" w:eastAsia="宋体" w:cs="宋体"/>
                <w:color w:val="auto"/>
                <w:kern w:val="2"/>
                <w:szCs w:val="21"/>
                <w:highlight w:val="none"/>
              </w:rPr>
              <w:t>.自然人</w:t>
            </w:r>
            <w:r>
              <w:rPr>
                <w:rFonts w:hint="eastAsia" w:ascii="宋体" w:hAnsi="宋体" w:eastAsia="宋体" w:cs="宋体"/>
                <w:color w:val="auto"/>
                <w:kern w:val="2"/>
                <w:szCs w:val="21"/>
                <w:highlight w:val="none"/>
                <w:lang w:eastAsia="zh-CN"/>
              </w:rPr>
              <w:t>投</w:t>
            </w:r>
            <w:r>
              <w:rPr>
                <w:rFonts w:hint="eastAsia" w:ascii="宋体" w:hAnsi="宋体" w:eastAsia="宋体" w:cs="宋体"/>
                <w:color w:val="auto"/>
                <w:kern w:val="2"/>
                <w:szCs w:val="21"/>
                <w:highlight w:val="none"/>
              </w:rPr>
              <w:t>标的，</w:t>
            </w:r>
            <w:r>
              <w:rPr>
                <w:rFonts w:hint="eastAsia" w:ascii="宋体" w:hAnsi="宋体" w:eastAsia="宋体" w:cs="宋体"/>
                <w:color w:val="auto"/>
                <w:kern w:val="2"/>
                <w:szCs w:val="21"/>
                <w:highlight w:val="none"/>
                <w:lang w:eastAsia="zh-CN"/>
              </w:rPr>
              <w:t>招标文件</w:t>
            </w:r>
            <w:r>
              <w:rPr>
                <w:rFonts w:hint="eastAsia" w:ascii="宋体" w:hAnsi="宋体" w:eastAsia="宋体" w:cs="宋体"/>
                <w:color w:val="auto"/>
                <w:kern w:val="2"/>
                <w:szCs w:val="21"/>
                <w:highlight w:val="none"/>
              </w:rPr>
              <w:t>规定盖公章处由自然人摁手指指印。</w:t>
            </w:r>
          </w:p>
          <w:p w14:paraId="0F571478">
            <w:pPr>
              <w:pStyle w:val="10"/>
              <w:keepNext w:val="0"/>
              <w:keepLines w:val="0"/>
              <w:pageBreakBefore w:val="0"/>
              <w:kinsoku/>
              <w:overflowPunct/>
              <w:topLinePunct w:val="0"/>
              <w:bidi w:val="0"/>
              <w:adjustRightInd/>
              <w:spacing w:line="360" w:lineRule="exact"/>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kern w:val="2"/>
                <w:szCs w:val="21"/>
                <w:highlight w:val="none"/>
                <w:lang w:val="en-US" w:eastAsia="zh-CN"/>
              </w:rPr>
              <w:t>6.</w:t>
            </w:r>
            <w:r>
              <w:rPr>
                <w:rFonts w:hint="eastAsia" w:ascii="宋体" w:hAnsi="宋体" w:eastAsia="宋体" w:cs="宋体"/>
                <w:color w:val="auto"/>
                <w:kern w:val="2"/>
                <w:szCs w:val="21"/>
                <w:highlight w:val="none"/>
              </w:rPr>
              <w:t>本</w:t>
            </w:r>
            <w:r>
              <w:rPr>
                <w:rFonts w:hint="eastAsia" w:ascii="宋体" w:hAnsi="宋体" w:eastAsia="宋体" w:cs="宋体"/>
                <w:color w:val="auto"/>
                <w:kern w:val="2"/>
                <w:szCs w:val="21"/>
                <w:highlight w:val="none"/>
                <w:lang w:eastAsia="zh-CN"/>
              </w:rPr>
              <w:t>招标文件</w:t>
            </w:r>
            <w:r>
              <w:rPr>
                <w:rFonts w:hint="eastAsia" w:ascii="宋体" w:hAnsi="宋体" w:eastAsia="宋体" w:cs="宋体"/>
                <w:color w:val="auto"/>
                <w:kern w:val="2"/>
                <w:szCs w:val="21"/>
                <w:highlight w:val="none"/>
              </w:rPr>
              <w:t>所称的“以上”“以下”“以内”“届满”，包括本数；所称的“不满”“超过”“以外”，不包括本数。</w:t>
            </w:r>
          </w:p>
        </w:tc>
      </w:tr>
      <w:tr w14:paraId="5E164F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5422676A">
            <w:pPr>
              <w:keepNext w:val="0"/>
              <w:keepLines w:val="0"/>
              <w:pageBreakBefore w:val="0"/>
              <w:kinsoku/>
              <w:overflowPunct/>
              <w:topLinePunct w:val="0"/>
              <w:bidi w:val="0"/>
              <w:adjustRightInd/>
              <w:snapToGrid w:val="0"/>
              <w:spacing w:line="36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42</w:t>
            </w:r>
          </w:p>
        </w:tc>
        <w:tc>
          <w:tcPr>
            <w:tcW w:w="9213" w:type="dxa"/>
            <w:gridSpan w:val="2"/>
            <w:tcBorders>
              <w:top w:val="single" w:color="auto" w:sz="4" w:space="0"/>
              <w:left w:val="single" w:color="auto" w:sz="4" w:space="0"/>
              <w:bottom w:val="single" w:color="auto" w:sz="4" w:space="0"/>
              <w:right w:val="single" w:color="auto" w:sz="4" w:space="0"/>
            </w:tcBorders>
            <w:noWrap w:val="0"/>
            <w:vAlign w:val="center"/>
          </w:tcPr>
          <w:p w14:paraId="5F593854">
            <w:pPr>
              <w:keepNext w:val="0"/>
              <w:keepLines w:val="0"/>
              <w:pageBreakBefore w:val="0"/>
              <w:widowControl/>
              <w:kinsoku/>
              <w:overflowPunct/>
              <w:topLinePunct w:val="0"/>
              <w:bidi w:val="0"/>
              <w:adjustRightInd/>
              <w:snapToGrid w:val="0"/>
              <w:spacing w:line="360" w:lineRule="exact"/>
              <w:ind w:firstLine="420" w:firstLineChars="20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广西线上“政采贷”政策告知函</w:t>
            </w:r>
          </w:p>
          <w:p w14:paraId="57D67572">
            <w:pPr>
              <w:keepNext w:val="0"/>
              <w:keepLines w:val="0"/>
              <w:pageBreakBefore w:val="0"/>
              <w:widowControl/>
              <w:kinsoku/>
              <w:overflowPunct/>
              <w:topLinePunct w:val="0"/>
              <w:bidi w:val="0"/>
              <w:adjustRightInd/>
              <w:snapToGrid w:val="0"/>
              <w:spacing w:line="36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各供应商：</w:t>
            </w:r>
          </w:p>
          <w:p w14:paraId="5EB7E938">
            <w:pPr>
              <w:keepNext w:val="0"/>
              <w:keepLines w:val="0"/>
              <w:pageBreakBefore w:val="0"/>
              <w:widowControl/>
              <w:kinsoku/>
              <w:overflowPunct/>
              <w:topLinePunct w:val="0"/>
              <w:bidi w:val="0"/>
              <w:adjustRightInd/>
              <w:snapToGrid w:val="0"/>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欢迎贵公司参与广西政府采购活动！</w:t>
            </w:r>
          </w:p>
          <w:p w14:paraId="79E4B899">
            <w:pPr>
              <w:keepNext w:val="0"/>
              <w:keepLines w:val="0"/>
              <w:pageBreakBefore w:val="0"/>
              <w:widowControl/>
              <w:kinsoku/>
              <w:overflowPunct/>
              <w:topLinePunct w:val="0"/>
              <w:bidi w:val="0"/>
              <w:adjustRightInd/>
              <w:snapToGrid w:val="0"/>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银行业金融机构申请贷款，融资机构将根据《中国人民银行南宁中心支行 广西壮族自治区财政厅关于推广线上“政采贷”融资模式的通知》（南宁银发〔2021〕258号），按照双方自愿的原则提供便捷、优惠的贷款服务。</w:t>
            </w:r>
          </w:p>
          <w:p w14:paraId="74AA9B78">
            <w:pPr>
              <w:pStyle w:val="16"/>
              <w:keepNext w:val="0"/>
              <w:keepLines w:val="0"/>
              <w:pageBreakBefore w:val="0"/>
              <w:kinsoku/>
              <w:overflowPunct/>
              <w:topLinePunct w:val="0"/>
              <w:bidi w:val="0"/>
              <w:adjustRightInd/>
              <w:snapToGrid w:val="0"/>
              <w:spacing w:line="360" w:lineRule="exact"/>
              <w:jc w:val="center"/>
              <w:rPr>
                <w:rFonts w:hint="eastAsia" w:ascii="宋体" w:hAnsi="宋体" w:eastAsia="宋体" w:cs="宋体"/>
                <w:color w:val="auto"/>
                <w:kern w:val="2"/>
                <w:szCs w:val="21"/>
                <w:highlight w:val="none"/>
                <w:lang w:val="en-US" w:eastAsia="zh-CN"/>
              </w:rPr>
            </w:pPr>
            <w:r>
              <w:rPr>
                <w:rFonts w:hint="eastAsia" w:ascii="宋体" w:hAnsi="宋体" w:eastAsia="宋体" w:cs="宋体"/>
                <w:color w:val="auto"/>
                <w:sz w:val="21"/>
                <w:highlight w:val="none"/>
              </w:rPr>
              <w:t>相关金融产品和银行业金融机构联系方式，可在中征应收账款融资服务平台查询（网址：</w:t>
            </w:r>
            <w:r>
              <w:rPr>
                <w:rFonts w:hint="eastAsia" w:ascii="宋体" w:hAnsi="宋体" w:eastAsia="宋体" w:cs="宋体"/>
                <w:color w:val="auto"/>
                <w:sz w:val="21"/>
                <w:highlight w:val="none"/>
              </w:rPr>
              <w:fldChar w:fldCharType="begin"/>
            </w:r>
            <w:r>
              <w:rPr>
                <w:rFonts w:hint="eastAsia" w:ascii="宋体" w:hAnsi="宋体" w:eastAsia="宋体" w:cs="宋体"/>
                <w:color w:val="auto"/>
                <w:sz w:val="21"/>
                <w:highlight w:val="none"/>
              </w:rPr>
              <w:instrText xml:space="preserve"> HYPERLINK "https://www.crcrfsp.com/" </w:instrText>
            </w:r>
            <w:r>
              <w:rPr>
                <w:rFonts w:hint="eastAsia" w:ascii="宋体" w:hAnsi="宋体" w:eastAsia="宋体" w:cs="宋体"/>
                <w:color w:val="auto"/>
                <w:sz w:val="21"/>
                <w:highlight w:val="none"/>
              </w:rPr>
              <w:fldChar w:fldCharType="separate"/>
            </w:r>
            <w:r>
              <w:rPr>
                <w:rFonts w:hint="eastAsia" w:ascii="宋体" w:hAnsi="宋体" w:eastAsia="宋体" w:cs="宋体"/>
                <w:color w:val="auto"/>
                <w:sz w:val="21"/>
                <w:highlight w:val="none"/>
              </w:rPr>
              <w:t>https://www.crcrfsp.com/</w:t>
            </w:r>
            <w:r>
              <w:rPr>
                <w:rFonts w:hint="eastAsia" w:ascii="宋体" w:hAnsi="宋体" w:eastAsia="宋体" w:cs="宋体"/>
                <w:color w:val="auto"/>
                <w:sz w:val="21"/>
                <w:highlight w:val="none"/>
              </w:rPr>
              <w:fldChar w:fldCharType="end"/>
            </w:r>
            <w:r>
              <w:rPr>
                <w:rFonts w:hint="eastAsia" w:ascii="宋体" w:hAnsi="宋体" w:eastAsia="宋体" w:cs="宋体"/>
                <w:color w:val="auto"/>
                <w:sz w:val="21"/>
                <w:highlight w:val="none"/>
              </w:rPr>
              <w:t>，客服电话：400-009-0001）。</w:t>
            </w:r>
          </w:p>
        </w:tc>
      </w:tr>
      <w:tr w14:paraId="1482BE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09" w:hRule="atLeast"/>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09E743D8">
            <w:pPr>
              <w:keepNext w:val="0"/>
              <w:keepLines w:val="0"/>
              <w:pageBreakBefore w:val="0"/>
              <w:kinsoku/>
              <w:overflowPunct/>
              <w:topLinePunct w:val="0"/>
              <w:bidi w:val="0"/>
              <w:adjustRightInd/>
              <w:snapToGrid w:val="0"/>
              <w:spacing w:line="36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43</w:t>
            </w:r>
          </w:p>
        </w:tc>
        <w:tc>
          <w:tcPr>
            <w:tcW w:w="9213" w:type="dxa"/>
            <w:gridSpan w:val="2"/>
            <w:tcBorders>
              <w:top w:val="single" w:color="auto" w:sz="4" w:space="0"/>
              <w:left w:val="single" w:color="auto" w:sz="4" w:space="0"/>
              <w:bottom w:val="single" w:color="auto" w:sz="4" w:space="0"/>
              <w:right w:val="single" w:color="auto" w:sz="4" w:space="0"/>
            </w:tcBorders>
            <w:noWrap w:val="0"/>
            <w:vAlign w:val="center"/>
          </w:tcPr>
          <w:p w14:paraId="4C09EF91">
            <w:pPr>
              <w:pStyle w:val="16"/>
              <w:keepNext w:val="0"/>
              <w:keepLines w:val="0"/>
              <w:pageBreakBefore w:val="0"/>
              <w:kinsoku/>
              <w:overflowPunct/>
              <w:topLinePunct w:val="0"/>
              <w:bidi w:val="0"/>
              <w:adjustRightInd/>
              <w:snapToGrid w:val="0"/>
              <w:spacing w:line="360" w:lineRule="exact"/>
              <w:jc w:val="left"/>
              <w:rPr>
                <w:rFonts w:hint="eastAsia" w:ascii="宋体" w:hAnsi="宋体" w:eastAsia="宋体" w:cs="宋体"/>
                <w:color w:val="auto"/>
                <w:kern w:val="2"/>
                <w:szCs w:val="21"/>
                <w:highlight w:val="none"/>
                <w:lang w:val="en-US" w:eastAsia="zh-CN"/>
              </w:rPr>
            </w:pPr>
            <w:r>
              <w:rPr>
                <w:rFonts w:hint="eastAsia" w:ascii="宋体" w:hAnsi="宋体" w:eastAsia="宋体" w:cs="宋体"/>
                <w:color w:val="auto"/>
                <w:sz w:val="21"/>
                <w:highlight w:val="none"/>
              </w:rPr>
              <w:t>采购人应当在政府采购合同中约定预付款,预付款比例原则上不低于合同金额的 30%；项目分年安排预算的,每年预付款比例不低于项目年度计划支付资金额的 30%。采购项目实施以人工投入为主的,可适当降低预付款比例,但不得低于10%。在保证履约与采购质量的前提下,与疫情防控有关的采购合同可适当提高预付比例。在签订合同时,供应商明确表示无需预付款或者主动要求降低预付款比例的,采购人可不适用前述规定。政府采购工程以及与工程建设有关的货物、服务,采用招标方式采购的,预付款从其相关规定。</w:t>
            </w:r>
          </w:p>
        </w:tc>
      </w:tr>
    </w:tbl>
    <w:p w14:paraId="5BE5F520">
      <w:pPr>
        <w:widowControl/>
        <w:spacing w:line="412" w:lineRule="auto"/>
        <w:jc w:val="left"/>
        <w:rPr>
          <w:rFonts w:ascii="Arial" w:hAnsi="Arial" w:eastAsia="黑体"/>
          <w:b/>
          <w:bCs/>
          <w:color w:val="auto"/>
          <w:sz w:val="32"/>
          <w:szCs w:val="32"/>
          <w:highlight w:val="none"/>
        </w:rPr>
        <w:sectPr>
          <w:footerReference r:id="rId6" w:type="default"/>
          <w:pgSz w:w="11905" w:h="16838"/>
          <w:pgMar w:top="1134" w:right="1134" w:bottom="1134" w:left="1134" w:header="850" w:footer="850" w:gutter="0"/>
          <w:pgNumType w:fmt="decimal"/>
          <w:cols w:space="720" w:num="1"/>
          <w:titlePg/>
          <w:rtlGutter w:val="0"/>
          <w:docGrid w:linePitch="331" w:charSpace="0"/>
        </w:sectPr>
      </w:pPr>
    </w:p>
    <w:p w14:paraId="77913C73">
      <w:pPr>
        <w:pStyle w:val="3"/>
        <w:jc w:val="center"/>
        <w:rPr>
          <w:rFonts w:cs="Times New Roman"/>
          <w:color w:val="auto"/>
          <w:highlight w:val="none"/>
        </w:rPr>
      </w:pPr>
      <w:bookmarkStart w:id="103" w:name="_Toc453"/>
      <w:bookmarkStart w:id="104" w:name="_Toc8807"/>
      <w:bookmarkStart w:id="105" w:name="_Toc1030"/>
      <w:bookmarkStart w:id="106" w:name="_Toc13813"/>
      <w:bookmarkStart w:id="107" w:name="_Toc24313"/>
      <w:bookmarkStart w:id="108" w:name="_Toc7784"/>
      <w:bookmarkStart w:id="109" w:name="_Toc29311"/>
      <w:bookmarkStart w:id="110" w:name="_Toc25117"/>
      <w:bookmarkStart w:id="111" w:name="_Toc30841"/>
      <w:bookmarkStart w:id="112" w:name="_Toc11336"/>
      <w:r>
        <w:rPr>
          <w:rFonts w:hint="eastAsia" w:cs="Times New Roman"/>
          <w:color w:val="auto"/>
          <w:highlight w:val="none"/>
        </w:rPr>
        <w:t>第二节</w:t>
      </w:r>
      <w:r>
        <w:rPr>
          <w:rFonts w:cs="Times New Roman"/>
          <w:color w:val="auto"/>
          <w:highlight w:val="none"/>
        </w:rPr>
        <w:t xml:space="preserve"> </w:t>
      </w:r>
      <w:r>
        <w:rPr>
          <w:rFonts w:hint="eastAsia" w:cs="Times New Roman"/>
          <w:color w:val="auto"/>
          <w:highlight w:val="none"/>
        </w:rPr>
        <w:t>投标人须知正文</w:t>
      </w:r>
      <w:bookmarkEnd w:id="103"/>
      <w:bookmarkEnd w:id="104"/>
      <w:bookmarkEnd w:id="105"/>
      <w:bookmarkEnd w:id="106"/>
      <w:bookmarkEnd w:id="107"/>
      <w:bookmarkEnd w:id="108"/>
      <w:bookmarkEnd w:id="109"/>
      <w:bookmarkEnd w:id="110"/>
      <w:bookmarkEnd w:id="111"/>
      <w:bookmarkEnd w:id="112"/>
    </w:p>
    <w:p w14:paraId="19D5F730">
      <w:pPr>
        <w:pStyle w:val="4"/>
        <w:keepNext w:val="0"/>
        <w:keepLines w:val="0"/>
        <w:spacing w:line="400" w:lineRule="exact"/>
        <w:jc w:val="center"/>
        <w:rPr>
          <w:rFonts w:ascii="Times New Roman" w:hAnsi="Times New Roman" w:eastAsia="宋体" w:cs="Times New Roman"/>
          <w:color w:val="auto"/>
          <w:highlight w:val="none"/>
        </w:rPr>
      </w:pPr>
      <w:bookmarkStart w:id="113" w:name="_Toc28360"/>
      <w:bookmarkStart w:id="114" w:name="_Toc3607"/>
      <w:bookmarkStart w:id="115" w:name="_Toc21176"/>
      <w:bookmarkStart w:id="116" w:name="_Toc30794"/>
      <w:bookmarkStart w:id="117" w:name="_Toc15523"/>
      <w:bookmarkStart w:id="118" w:name="_Toc22266"/>
      <w:bookmarkStart w:id="119" w:name="_Toc3522"/>
      <w:bookmarkStart w:id="120" w:name="_Toc6594"/>
      <w:bookmarkStart w:id="121" w:name="_Toc18594"/>
      <w:bookmarkStart w:id="122" w:name="_Toc19454"/>
      <w:r>
        <w:rPr>
          <w:rFonts w:hint="eastAsia" w:ascii="Times New Roman" w:hAnsi="Times New Roman" w:eastAsia="宋体" w:cs="Times New Roman"/>
          <w:color w:val="auto"/>
          <w:highlight w:val="none"/>
        </w:rPr>
        <w:t>一、总</w:t>
      </w:r>
      <w:r>
        <w:rPr>
          <w:rFonts w:ascii="Times New Roman" w:hAnsi="Times New Roman" w:eastAsia="宋体" w:cs="Times New Roman"/>
          <w:color w:val="auto"/>
          <w:highlight w:val="none"/>
        </w:rPr>
        <w:t xml:space="preserve">  </w:t>
      </w:r>
      <w:r>
        <w:rPr>
          <w:rFonts w:hint="eastAsia" w:ascii="Times New Roman" w:hAnsi="Times New Roman" w:eastAsia="宋体" w:cs="Times New Roman"/>
          <w:color w:val="auto"/>
          <w:highlight w:val="none"/>
        </w:rPr>
        <w:t>则</w:t>
      </w:r>
      <w:bookmarkEnd w:id="113"/>
      <w:bookmarkEnd w:id="114"/>
      <w:bookmarkEnd w:id="115"/>
      <w:bookmarkEnd w:id="116"/>
      <w:bookmarkEnd w:id="117"/>
      <w:bookmarkEnd w:id="118"/>
      <w:bookmarkEnd w:id="119"/>
      <w:bookmarkEnd w:id="120"/>
      <w:bookmarkEnd w:id="121"/>
      <w:bookmarkEnd w:id="122"/>
    </w:p>
    <w:p w14:paraId="0F8F6428">
      <w:pPr>
        <w:rPr>
          <w:rFonts w:hint="eastAsia"/>
          <w:color w:val="auto"/>
          <w:highlight w:val="none"/>
        </w:rPr>
      </w:pPr>
      <w:bookmarkStart w:id="123" w:name="_Toc254970668"/>
      <w:bookmarkStart w:id="124" w:name="_Toc254970527"/>
    </w:p>
    <w:p w14:paraId="56B6A67F">
      <w:pPr>
        <w:spacing w:line="360" w:lineRule="auto"/>
        <w:ind w:firstLine="480"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1.适用范围</w:t>
      </w:r>
      <w:bookmarkEnd w:id="123"/>
      <w:bookmarkEnd w:id="124"/>
    </w:p>
    <w:p w14:paraId="6F569FD8">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14:paraId="1F77AAC8">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1.2本招标文件</w:t>
      </w:r>
      <w:r>
        <w:rPr>
          <w:rFonts w:hint="eastAsia" w:ascii="宋体" w:hAnsi="宋体" w:eastAsia="宋体" w:cs="宋体"/>
          <w:color w:val="auto"/>
          <w:spacing w:val="-6"/>
          <w:szCs w:val="21"/>
          <w:highlight w:val="none"/>
        </w:rPr>
        <w:t>适用于本项目的所有采购程序和环节（法律、法规另有规定的，从其规定）。</w:t>
      </w:r>
    </w:p>
    <w:p w14:paraId="5345922A">
      <w:pPr>
        <w:spacing w:line="360" w:lineRule="auto"/>
        <w:ind w:firstLine="480" w:firstLineChars="200"/>
        <w:rPr>
          <w:rFonts w:hint="eastAsia" w:ascii="黑体" w:hAnsi="黑体" w:eastAsia="黑体" w:cs="Times New Roman"/>
          <w:color w:val="auto"/>
          <w:sz w:val="24"/>
          <w:highlight w:val="none"/>
        </w:rPr>
      </w:pPr>
      <w:bookmarkStart w:id="125" w:name="_Toc254970528"/>
      <w:bookmarkStart w:id="126" w:name="_Toc254970669"/>
      <w:r>
        <w:rPr>
          <w:rFonts w:hint="eastAsia" w:ascii="黑体" w:hAnsi="黑体" w:eastAsia="黑体" w:cs="Times New Roman"/>
          <w:color w:val="auto"/>
          <w:sz w:val="24"/>
          <w:highlight w:val="none"/>
        </w:rPr>
        <w:t>2.定义</w:t>
      </w:r>
      <w:bookmarkEnd w:id="125"/>
      <w:bookmarkEnd w:id="126"/>
    </w:p>
    <w:p w14:paraId="3E8F680D">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2.1“采购人”是指依法进行政府采购的国家机关、事业单位、团体组织。</w:t>
      </w:r>
    </w:p>
    <w:p w14:paraId="25B21BFE">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2.2“采购代理机构” 指政府采购集中采购机构和集中采购机构以外的采购代理机构。</w:t>
      </w:r>
    </w:p>
    <w:p w14:paraId="02C311E9">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2.3“供应商”是指向采购人提供货物、工程或者服务的法人、其他组织或者自然人。</w:t>
      </w:r>
    </w:p>
    <w:p w14:paraId="123104FA">
      <w:pPr>
        <w:spacing w:line="360" w:lineRule="auto"/>
        <w:ind w:firstLine="422" w:firstLineChars="200"/>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2.4“投标人”是指响应招标、参加投标竞争的法人、非法人组织或者自然人。</w:t>
      </w:r>
    </w:p>
    <w:p w14:paraId="387EE8D3">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2.5“服务”是指除货物和工程以外的其他政府采购对象。</w:t>
      </w:r>
    </w:p>
    <w:p w14:paraId="59841D56">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2.6“书面形式”是指合同书、信件和数据电文（包括电报、电传、传真、短信、电子数据交换和电子邮件）等可以有形地表现所载内容的形式。</w:t>
      </w:r>
    </w:p>
    <w:p w14:paraId="01F2EB75">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2.7“实质性要求”是指招标文件中已经指明不满足则投标无效的条款，或者不能负偏离的条款，或者采购需求中带“</w:t>
      </w:r>
      <w:r>
        <w:rPr>
          <w:rFonts w:hint="eastAsia" w:ascii="宋体" w:hAnsi="宋体" w:eastAsia="宋体" w:cs="Times New Roman"/>
          <w:b/>
          <w:bCs/>
          <w:color w:val="auto"/>
          <w:szCs w:val="21"/>
          <w:highlight w:val="none"/>
        </w:rPr>
        <w:t>▲</w:t>
      </w:r>
      <w:r>
        <w:rPr>
          <w:rFonts w:hint="eastAsia" w:ascii="宋体" w:hAnsi="宋体" w:eastAsia="宋体" w:cs="Times New Roman"/>
          <w:b/>
          <w:color w:val="auto"/>
          <w:szCs w:val="21"/>
          <w:highlight w:val="none"/>
        </w:rPr>
        <w:t>”的条款。</w:t>
      </w:r>
    </w:p>
    <w:p w14:paraId="3B2B2E5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Times New Roman"/>
          <w:color w:val="auto"/>
          <w:szCs w:val="21"/>
          <w:highlight w:val="none"/>
        </w:rPr>
        <w:t>2.8</w:t>
      </w:r>
      <w:r>
        <w:rPr>
          <w:rFonts w:hint="eastAsia" w:ascii="宋体" w:hAnsi="宋体" w:eastAsia="宋体" w:cs="宋体"/>
          <w:color w:val="auto"/>
          <w:szCs w:val="21"/>
          <w:highlight w:val="none"/>
        </w:rPr>
        <w:t>“正偏离”，是指投标文件对招标文件“采购需求”中有关条款作出的响应优于条款要求并有利于采购人的情形。</w:t>
      </w:r>
    </w:p>
    <w:p w14:paraId="657DD97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2.9“负偏离”，是指投标文件对招标文件“采购需求”中有关条款作出的响应不满足条款要求，导致采购人要求不能得到满足的情形。</w:t>
      </w:r>
    </w:p>
    <w:p w14:paraId="3C3ED2C4">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2.10</w:t>
      </w:r>
      <w:r>
        <w:rPr>
          <w:rFonts w:hint="eastAsia" w:ascii="宋体" w:hAnsi="宋体" w:eastAsia="宋体" w:cs="宋体"/>
          <w:color w:val="auto"/>
          <w:szCs w:val="21"/>
          <w:highlight w:val="none"/>
        </w:rPr>
        <w:t>“允许负偏离的条款”是指采购需求中的不属于“实质性要求”的条款。</w:t>
      </w:r>
      <w:bookmarkStart w:id="127" w:name="_Toc254970670"/>
      <w:bookmarkStart w:id="128" w:name="_Toc254970529"/>
    </w:p>
    <w:p w14:paraId="4710EDAC">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3.</w:t>
      </w:r>
      <w:bookmarkEnd w:id="127"/>
      <w:bookmarkEnd w:id="128"/>
      <w:r>
        <w:rPr>
          <w:rFonts w:hint="eastAsia" w:ascii="黑体" w:hAnsi="黑体" w:eastAsia="黑体" w:cs="Times New Roman"/>
          <w:color w:val="auto"/>
          <w:sz w:val="24"/>
          <w:highlight w:val="none"/>
        </w:rPr>
        <w:t>投标人的资格要求</w:t>
      </w:r>
    </w:p>
    <w:p w14:paraId="2ADC0AB1">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投标人的资格要求详见“招标公告”。</w:t>
      </w:r>
    </w:p>
    <w:p w14:paraId="7143AE23">
      <w:pPr>
        <w:spacing w:line="360" w:lineRule="auto"/>
        <w:ind w:firstLine="480" w:firstLineChars="200"/>
        <w:rPr>
          <w:rFonts w:hint="eastAsia" w:ascii="黑体" w:hAnsi="黑体" w:eastAsia="黑体" w:cs="Times New Roman"/>
          <w:color w:val="auto"/>
          <w:sz w:val="24"/>
          <w:highlight w:val="none"/>
        </w:rPr>
      </w:pPr>
      <w:bookmarkStart w:id="129" w:name="_Toc254970530"/>
      <w:bookmarkStart w:id="130" w:name="_Toc254970671"/>
      <w:r>
        <w:rPr>
          <w:rFonts w:hint="eastAsia" w:ascii="黑体" w:hAnsi="黑体" w:eastAsia="黑体" w:cs="Times New Roman"/>
          <w:color w:val="auto"/>
          <w:sz w:val="24"/>
          <w:highlight w:val="none"/>
        </w:rPr>
        <w:t>4.投标委托</w:t>
      </w:r>
      <w:bookmarkEnd w:id="129"/>
      <w:bookmarkEnd w:id="130"/>
    </w:p>
    <w:p w14:paraId="3767632E">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投标人代表参加投标活动过程中必须携带个人有效身份证件。如投标人代表不是法定代表人，须持有法定代表人授权委托书（按第六章要求格式填写）。</w:t>
      </w:r>
    </w:p>
    <w:p w14:paraId="6F46C643">
      <w:pPr>
        <w:spacing w:line="360" w:lineRule="auto"/>
        <w:ind w:firstLine="480" w:firstLineChars="200"/>
        <w:rPr>
          <w:rFonts w:hint="eastAsia" w:ascii="黑体" w:hAnsi="黑体" w:eastAsia="黑体" w:cs="Times New Roman"/>
          <w:color w:val="auto"/>
          <w:sz w:val="24"/>
          <w:highlight w:val="none"/>
        </w:rPr>
      </w:pPr>
      <w:bookmarkStart w:id="131" w:name="_5.投标费用"/>
      <w:bookmarkEnd w:id="131"/>
      <w:bookmarkStart w:id="132" w:name="_Toc254970672"/>
      <w:bookmarkStart w:id="133" w:name="_Toc254970531"/>
      <w:r>
        <w:rPr>
          <w:rFonts w:hint="eastAsia" w:ascii="黑体" w:hAnsi="黑体" w:eastAsia="黑体" w:cs="Times New Roman"/>
          <w:color w:val="auto"/>
          <w:sz w:val="24"/>
          <w:highlight w:val="none"/>
        </w:rPr>
        <w:t>5.投标费用</w:t>
      </w:r>
      <w:bookmarkEnd w:id="132"/>
      <w:bookmarkEnd w:id="133"/>
    </w:p>
    <w:p w14:paraId="28C00F07">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宋体"/>
          <w:color w:val="auto"/>
          <w:szCs w:val="21"/>
          <w:highlight w:val="none"/>
        </w:rPr>
        <w:t>投标费用：投标人应承担参与本次采购活动有关的所有费用，包括但不限于勘查现场、编制投标文件、参加澄清说明、签订合同等，不论投标结果如何，均应自行承担。</w:t>
      </w:r>
    </w:p>
    <w:p w14:paraId="1BCE4D8E">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6.联合体投标</w:t>
      </w:r>
    </w:p>
    <w:p w14:paraId="2A3B4AF4">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6.1本项目是否</w:t>
      </w:r>
      <w:r>
        <w:rPr>
          <w:rFonts w:hint="eastAsia" w:ascii="宋体" w:hAnsi="宋体" w:cs="Times New Roman"/>
          <w:color w:val="auto"/>
          <w:szCs w:val="21"/>
          <w:highlight w:val="none"/>
          <w:lang w:eastAsia="zh-CN"/>
        </w:rPr>
        <w:t>接受联合体</w:t>
      </w:r>
      <w:r>
        <w:rPr>
          <w:rFonts w:hint="eastAsia" w:ascii="宋体" w:hAnsi="宋体" w:eastAsia="宋体" w:cs="Times New Roman"/>
          <w:color w:val="auto"/>
          <w:szCs w:val="21"/>
          <w:highlight w:val="none"/>
        </w:rPr>
        <w:t>投标，详见“投标人须知前附表”。</w:t>
      </w:r>
    </w:p>
    <w:p w14:paraId="4DD2459B">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6.2如</w:t>
      </w:r>
      <w:r>
        <w:rPr>
          <w:rFonts w:hint="eastAsia" w:ascii="宋体" w:hAnsi="宋体" w:cs="Times New Roman"/>
          <w:bCs/>
          <w:color w:val="auto"/>
          <w:szCs w:val="21"/>
          <w:highlight w:val="none"/>
          <w:lang w:eastAsia="zh-CN"/>
        </w:rPr>
        <w:t>接受联合体</w:t>
      </w:r>
      <w:r>
        <w:rPr>
          <w:rFonts w:hint="eastAsia" w:ascii="宋体" w:hAnsi="宋体" w:eastAsia="宋体" w:cs="Times New Roman"/>
          <w:bCs/>
          <w:color w:val="auto"/>
          <w:szCs w:val="21"/>
          <w:highlight w:val="none"/>
        </w:rPr>
        <w:t>投标，联合体投标要求详见“投标人须知前附表”。</w:t>
      </w:r>
    </w:p>
    <w:p w14:paraId="006992E1">
      <w:pPr>
        <w:spacing w:line="360" w:lineRule="auto"/>
        <w:ind w:firstLine="420" w:firstLineChars="200"/>
        <w:rPr>
          <w:rFonts w:hint="eastAsia" w:ascii="宋体" w:hAnsi="宋体" w:eastAsia="宋体" w:cs="宋体"/>
          <w:bCs/>
          <w:color w:val="auto"/>
          <w:sz w:val="24"/>
          <w:szCs w:val="21"/>
          <w:highlight w:val="none"/>
          <w:shd w:val="clear" w:color="auto" w:fill="FFFFFF"/>
        </w:rPr>
      </w:pPr>
      <w:r>
        <w:rPr>
          <w:rFonts w:hint="eastAsia" w:ascii="宋体" w:hAnsi="宋体" w:eastAsia="宋体" w:cs="宋体"/>
          <w:bCs/>
          <w:color w:val="auto"/>
          <w:szCs w:val="21"/>
          <w:highlight w:val="none"/>
        </w:rPr>
        <w:t>6.3根据《政府采购促进中小企业发展管理办法》（财库[2020]46号）第九条、</w:t>
      </w:r>
      <w:r>
        <w:rPr>
          <w:rFonts w:hint="eastAsia" w:ascii="宋体" w:hAnsi="宋体" w:eastAsia="宋体" w:cs="宋体"/>
          <w:color w:val="auto"/>
          <w:highlight w:val="none"/>
        </w:rPr>
        <w:t>《广西壮族自治区财政厅关于贯彻落实政府采购支持中小企业发展政策的通知》（桂财采〔2022〕31号）</w:t>
      </w:r>
      <w:r>
        <w:rPr>
          <w:rFonts w:hint="eastAsia" w:ascii="宋体" w:hAnsi="宋体" w:eastAsia="宋体" w:cs="宋体"/>
          <w:bCs/>
          <w:color w:val="auto"/>
          <w:szCs w:val="21"/>
          <w:highlight w:val="none"/>
        </w:rPr>
        <w:t>规定，接受大中型企业与小微企业组成联合体的采购项目，对于联合协议约定小微企业的合同份额占到合同总金额30%以上的，采购人、采购代理机构应当对联合体的报价给予4%-6%的扣除，用扣除后的价格参加评审。组成联合体的小微企业与联合体内其他企业、分包企业之间存在直接控股、管理关系的，不享受价格扣除优惠政策。</w:t>
      </w:r>
    </w:p>
    <w:p w14:paraId="237014CC">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7.转包与分包</w:t>
      </w:r>
    </w:p>
    <w:p w14:paraId="71729379">
      <w:pPr>
        <w:spacing w:line="360" w:lineRule="auto"/>
        <w:ind w:firstLine="422" w:firstLineChars="200"/>
        <w:rPr>
          <w:rFonts w:hint="default" w:ascii="宋体" w:hAnsi="宋体" w:eastAsia="宋体" w:cs="Times New Roman"/>
          <w:b/>
          <w:color w:val="auto"/>
          <w:szCs w:val="21"/>
          <w:highlight w:val="none"/>
          <w:lang w:val="en-US" w:eastAsia="zh-CN"/>
        </w:rPr>
      </w:pPr>
      <w:r>
        <w:rPr>
          <w:rFonts w:hint="eastAsia" w:ascii="宋体" w:hAnsi="宋体" w:cs="Times New Roman"/>
          <w:b/>
          <w:color w:val="auto"/>
          <w:szCs w:val="21"/>
          <w:highlight w:val="none"/>
          <w:lang w:val="en-US" w:eastAsia="zh-CN"/>
        </w:rPr>
        <w:t>7.1 本项目不允许转包。</w:t>
      </w:r>
    </w:p>
    <w:p w14:paraId="196534BD">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7.</w:t>
      </w:r>
      <w:r>
        <w:rPr>
          <w:rFonts w:hint="eastAsia" w:ascii="宋体" w:hAnsi="宋体" w:cs="Times New Roman"/>
          <w:b/>
          <w:color w:val="auto"/>
          <w:szCs w:val="21"/>
          <w:highlight w:val="none"/>
          <w:lang w:val="en-US" w:eastAsia="zh-CN"/>
        </w:rPr>
        <w:t>2</w:t>
      </w:r>
      <w:r>
        <w:rPr>
          <w:rFonts w:hint="eastAsia" w:ascii="宋体" w:hAnsi="宋体" w:eastAsia="宋体" w:cs="Times New Roman"/>
          <w:b/>
          <w:color w:val="auto"/>
          <w:szCs w:val="21"/>
          <w:highlight w:val="none"/>
        </w:rPr>
        <w:t>本项目是否允许分包详见“投标人须知前附表”，本项目不允许违法分包。投标人根据招标文件的规定和采购项目的实际情况，拟在中标后将中标项目的非主体、非关键性工作分包的，应当在投标文件中载明分包承担主体，分包承担主体应当具备相应资质条件且不得再次分包。</w:t>
      </w:r>
    </w:p>
    <w:p w14:paraId="0A8D280C">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7.</w:t>
      </w:r>
      <w:r>
        <w:rPr>
          <w:rFonts w:hint="eastAsia" w:ascii="宋体" w:hAnsi="宋体" w:cs="宋体"/>
          <w:bCs/>
          <w:color w:val="auto"/>
          <w:szCs w:val="21"/>
          <w:highlight w:val="none"/>
          <w:lang w:val="en-US" w:eastAsia="zh-CN"/>
        </w:rPr>
        <w:t>3</w:t>
      </w:r>
      <w:r>
        <w:rPr>
          <w:rFonts w:hint="eastAsia" w:ascii="宋体" w:hAnsi="宋体" w:eastAsia="宋体" w:cs="宋体"/>
          <w:bCs/>
          <w:color w:val="auto"/>
          <w:szCs w:val="21"/>
          <w:highlight w:val="none"/>
        </w:rPr>
        <w:t>根据《政府采购促进中小企业发展管理办法》（财库[2020]46号）第九条及</w:t>
      </w:r>
      <w:r>
        <w:rPr>
          <w:rFonts w:hint="eastAsia" w:ascii="宋体" w:hAnsi="宋体" w:eastAsia="宋体" w:cs="宋体"/>
          <w:color w:val="auto"/>
          <w:highlight w:val="none"/>
        </w:rPr>
        <w:t>《广西壮族自治区财政厅关于贯彻落实政府采购支持中小企业发展政策的通知》（桂财采〔2022〕31号）</w:t>
      </w:r>
      <w:r>
        <w:rPr>
          <w:rFonts w:hint="eastAsia" w:ascii="宋体" w:hAnsi="宋体" w:eastAsia="宋体" w:cs="宋体"/>
          <w:bCs/>
          <w:color w:val="auto"/>
          <w:szCs w:val="21"/>
          <w:highlight w:val="none"/>
        </w:rPr>
        <w:t>规定，允许大中型企业向一家或者多家小微企业分包的采购项目，对于分包意向协议约定小微企业的合同份额占到合同总金额30%以上的，采购人、采购代理机构应当对大中型企业的报价给予4%-6%的扣除，用扣除后的价格参加评审。接受分包的小微企业与分包企业之间存在直接控股、管理关系的，不享受价格扣除优惠政策。</w:t>
      </w:r>
    </w:p>
    <w:p w14:paraId="3380BB89">
      <w:pPr>
        <w:spacing w:line="360" w:lineRule="auto"/>
        <w:ind w:firstLine="480" w:firstLineChars="200"/>
        <w:rPr>
          <w:rFonts w:hint="eastAsia" w:ascii="黑体" w:hAnsi="黑体" w:eastAsia="黑体" w:cs="Times New Roman"/>
          <w:color w:val="auto"/>
          <w:sz w:val="24"/>
          <w:highlight w:val="none"/>
        </w:rPr>
      </w:pPr>
      <w:bookmarkStart w:id="134" w:name="_Toc254970532"/>
      <w:bookmarkStart w:id="135" w:name="_Toc254970673"/>
      <w:r>
        <w:rPr>
          <w:rFonts w:hint="eastAsia" w:ascii="黑体" w:hAnsi="黑体" w:eastAsia="黑体" w:cs="Times New Roman"/>
          <w:color w:val="auto"/>
          <w:sz w:val="24"/>
          <w:highlight w:val="none"/>
        </w:rPr>
        <w:t>8.特别说明</w:t>
      </w:r>
      <w:bookmarkEnd w:id="134"/>
      <w:bookmarkEnd w:id="135"/>
      <w:bookmarkStart w:id="136" w:name="_8.1提供相同品牌产品且通过资格审查、符合性审查的不同投标人参加同一合"/>
      <w:bookmarkEnd w:id="136"/>
    </w:p>
    <w:p w14:paraId="54BC718C">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8.1如果本招标文件要求投标人提供资格、信誉、荣誉、业绩与企业认证等材料的，则投标人所提供的以上材料必须为</w:t>
      </w:r>
      <w:r>
        <w:rPr>
          <w:rFonts w:hint="eastAsia" w:ascii="宋体" w:hAnsi="宋体" w:cs="Times New Roman"/>
          <w:b/>
          <w:color w:val="auto"/>
          <w:szCs w:val="21"/>
          <w:highlight w:val="none"/>
          <w:lang w:eastAsia="zh-CN"/>
        </w:rPr>
        <w:t>该</w:t>
      </w:r>
      <w:r>
        <w:rPr>
          <w:rFonts w:hint="eastAsia" w:ascii="宋体" w:hAnsi="宋体" w:eastAsia="宋体" w:cs="Times New Roman"/>
          <w:b/>
          <w:color w:val="auto"/>
          <w:szCs w:val="21"/>
          <w:highlight w:val="none"/>
        </w:rPr>
        <w:t>投标人所拥有。</w:t>
      </w:r>
    </w:p>
    <w:p w14:paraId="250387C5">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8.2投标人应仔细阅读招标文件的所有内容，按照招标文件的要求提交投标文件，并对所提供的全部资料的真实性承担法律责任。</w:t>
      </w:r>
    </w:p>
    <w:p w14:paraId="7B8D372F">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8.3投标人在投标活动中提供任何虚假材料，将报监管部门查处；中标后发现的，中标人须依照《中华人民共和国消费者权益保护法》规定赔偿采购人，且民事赔偿并不免除违法投标人的行政与刑事责任。</w:t>
      </w:r>
    </w:p>
    <w:p w14:paraId="3DB5B075">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9.回避与串通投标</w:t>
      </w:r>
    </w:p>
    <w:p w14:paraId="14BBC363">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9.1在政府采购活动中，采购人员及相关人员与供应商有下列利害关系之一的，应当回避：</w:t>
      </w:r>
    </w:p>
    <w:p w14:paraId="61EDC9EB">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（1）参加采购活动前3年内与供应商存在劳动关系；</w:t>
      </w:r>
    </w:p>
    <w:p w14:paraId="4C4DDFA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（2）参加采购活动前3年内担任供应商的董事、监事；</w:t>
      </w:r>
    </w:p>
    <w:p w14:paraId="0DD813CE">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（3）参加采购活动前3年内是供应商的控股股东或者实际控制人；</w:t>
      </w:r>
    </w:p>
    <w:p w14:paraId="264A300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（4）与供应商的法定代表人或者负责人有夫妻、直系血亲、三代以内旁系血亲或者近姻亲关系；</w:t>
      </w:r>
    </w:p>
    <w:p w14:paraId="50139E3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（5）与供应商有其他可能影响政府采购活动公平、公正进行的关系。</w:t>
      </w:r>
    </w:p>
    <w:p w14:paraId="0943C953">
      <w:pPr>
        <w:spacing w:line="360" w:lineRule="auto"/>
        <w:ind w:firstLine="420" w:firstLineChars="200"/>
        <w:rPr>
          <w:rFonts w:ascii="Times New Roman" w:hAnsi="宋体" w:eastAsia="宋体" w:cs="Times New Roman"/>
          <w:color w:val="auto"/>
          <w:highlight w:val="none"/>
        </w:rPr>
      </w:pPr>
      <w:r>
        <w:rPr>
          <w:rFonts w:hint="eastAsia" w:ascii="Times New Roman" w:hAnsi="宋体" w:eastAsia="宋体" w:cs="Times New Roman"/>
          <w:color w:val="auto"/>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0621CB86">
      <w:pPr>
        <w:spacing w:line="360" w:lineRule="auto"/>
        <w:ind w:firstLine="422" w:firstLineChars="200"/>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9.2有下列情形之一的视为投标人相互串通投标，投标文件将被视为无效：</w:t>
      </w:r>
    </w:p>
    <w:p w14:paraId="18242C3B">
      <w:pPr>
        <w:spacing w:line="360" w:lineRule="auto"/>
        <w:ind w:firstLine="422" w:firstLineChars="200"/>
        <w:rPr>
          <w:rFonts w:hint="eastAsia" w:ascii="宋体" w:hAnsi="宋体" w:eastAsia="宋体" w:cs="宋体"/>
          <w:b/>
          <w:color w:val="auto"/>
          <w:highlight w:val="none"/>
          <w:lang w:eastAsia="zh-CN"/>
        </w:rPr>
      </w:pPr>
      <w:r>
        <w:rPr>
          <w:rFonts w:hint="eastAsia" w:ascii="宋体" w:hAnsi="宋体" w:eastAsia="宋体" w:cs="宋体"/>
          <w:b/>
          <w:color w:val="auto"/>
          <w:highlight w:val="none"/>
        </w:rPr>
        <w:t>（1）不同投标人的投标文件由同一单位或者个人编制；</w:t>
      </w:r>
      <w:r>
        <w:rPr>
          <w:rFonts w:hint="eastAsia" w:cs="宋体"/>
          <w:b/>
          <w:color w:val="auto"/>
          <w:szCs w:val="21"/>
          <w:highlight w:val="none"/>
        </w:rPr>
        <w:t>或者不同投标人报名的IP地址一致的；</w:t>
      </w:r>
    </w:p>
    <w:p w14:paraId="0131733A">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（2）不同投标人委托同一单位或者个人办理投标事宜；</w:t>
      </w:r>
    </w:p>
    <w:p w14:paraId="20D2BFF8">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（3）不同的投标人的投标文件载明的项目管理员为同一个人；</w:t>
      </w:r>
    </w:p>
    <w:p w14:paraId="15167CE1">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（4）不同投标人的电子投标文件异常一致或者投标报价呈规律性差异；</w:t>
      </w:r>
    </w:p>
    <w:p w14:paraId="48B06FF6">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（5）不同投标人的投标文件相互混装；</w:t>
      </w:r>
    </w:p>
    <w:p w14:paraId="3A4BB78C">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w:t>
      </w:r>
      <w:r>
        <w:rPr>
          <w:rFonts w:hint="eastAsia" w:ascii="宋体" w:hAnsi="宋体" w:eastAsia="宋体" w:cs="宋体"/>
          <w:b/>
          <w:color w:val="auto"/>
          <w:highlight w:val="none"/>
          <w:lang w:eastAsia="zh-CN"/>
        </w:rPr>
        <w:t>6</w:t>
      </w:r>
      <w:r>
        <w:rPr>
          <w:rFonts w:hint="eastAsia" w:ascii="宋体" w:hAnsi="宋体" w:eastAsia="宋体" w:cs="宋体"/>
          <w:b/>
          <w:color w:val="auto"/>
          <w:highlight w:val="none"/>
        </w:rPr>
        <w:t>）不同投标人的</w:t>
      </w:r>
      <w:r>
        <w:rPr>
          <w:rFonts w:hint="eastAsia" w:ascii="宋体" w:hAnsi="宋体" w:eastAsia="宋体" w:cs="宋体"/>
          <w:b/>
          <w:color w:val="auto"/>
          <w:highlight w:val="none"/>
          <w:lang w:eastAsia="zh-CN"/>
        </w:rPr>
        <w:t>投标</w:t>
      </w:r>
      <w:r>
        <w:rPr>
          <w:rFonts w:hint="eastAsia" w:ascii="宋体" w:hAnsi="宋体" w:eastAsia="宋体" w:cs="宋体"/>
          <w:b/>
          <w:color w:val="auto"/>
          <w:highlight w:val="none"/>
        </w:rPr>
        <w:t>保证金从同一单位或者个人账户转出。</w:t>
      </w:r>
    </w:p>
    <w:p w14:paraId="661F392B">
      <w:pPr>
        <w:spacing w:line="360" w:lineRule="auto"/>
        <w:ind w:firstLine="422" w:firstLineChars="200"/>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9.3供应商有下列情形之一的，属于恶意串通行为，将报同级监督管理部门：</w:t>
      </w:r>
    </w:p>
    <w:p w14:paraId="3D6F5DE3">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（1）供应商直接或者间接从采购人或者采购代理机构处获得其他供应商的相关信息并修改其投标文件；</w:t>
      </w:r>
    </w:p>
    <w:p w14:paraId="399E4B1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（2）供应商按照采购人或者采购代理机构的授意撤换、修改投标文件；</w:t>
      </w:r>
    </w:p>
    <w:p w14:paraId="72BD1A4E">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（3）供应商之间协商报价、技术方案等投标文件的实质性内容；</w:t>
      </w:r>
    </w:p>
    <w:p w14:paraId="2474574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（4）属于同一集团、协会、商会等组织成员的供应商按照该组织要求协同参加政府采购活动；</w:t>
      </w:r>
    </w:p>
    <w:p w14:paraId="441F54C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（5）供应商之间事先约定一致抬高或者压低投标报价，或者在招标项目中事先约定轮流以高价位或者低价位中标，或者事先约定由某一特定供应商中标，然后再参加投标；</w:t>
      </w:r>
    </w:p>
    <w:p w14:paraId="18BC7E9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（6）供应商之间商定部分供应商放弃参加政府采购活动或者放弃中标；</w:t>
      </w:r>
    </w:p>
    <w:p w14:paraId="1F761E5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（7）供应商与采购人或者采购代理机构之间、供应商相互之间，为谋求特定供应商中标或者排斥其他供应商的其他串通行为。</w:t>
      </w:r>
    </w:p>
    <w:p w14:paraId="50318B5A">
      <w:pPr>
        <w:pStyle w:val="16"/>
        <w:snapToGrid w:val="0"/>
        <w:spacing w:line="360" w:lineRule="auto"/>
        <w:ind w:left="2" w:leftChars="1" w:firstLine="422" w:firstLineChars="200"/>
        <w:rPr>
          <w:rFonts w:hAnsi="宋体" w:eastAsia="宋体" w:cs="Times New Roman"/>
          <w:b/>
          <w:color w:val="auto"/>
          <w:highlight w:val="none"/>
        </w:rPr>
      </w:pPr>
    </w:p>
    <w:p w14:paraId="72D213C5">
      <w:pPr>
        <w:pStyle w:val="4"/>
        <w:keepNext w:val="0"/>
        <w:keepLines w:val="0"/>
        <w:spacing w:line="400" w:lineRule="exact"/>
        <w:jc w:val="center"/>
        <w:rPr>
          <w:rFonts w:hint="eastAsia" w:ascii="Times New Roman" w:hAnsi="Times New Roman" w:eastAsia="宋体" w:cs="Times New Roman"/>
          <w:color w:val="auto"/>
          <w:highlight w:val="none"/>
        </w:rPr>
      </w:pPr>
      <w:bookmarkStart w:id="137" w:name="_Toc25104"/>
      <w:bookmarkStart w:id="138" w:name="_Toc6920"/>
      <w:bookmarkStart w:id="139" w:name="_Toc18580"/>
      <w:bookmarkStart w:id="140" w:name="_Toc254970675"/>
      <w:bookmarkStart w:id="141" w:name="_Toc128"/>
      <w:bookmarkStart w:id="142" w:name="_Toc22911"/>
      <w:bookmarkStart w:id="143" w:name="_Toc254970534"/>
      <w:bookmarkStart w:id="144" w:name="_Toc9988"/>
      <w:bookmarkStart w:id="145" w:name="_Toc10320"/>
      <w:bookmarkStart w:id="146" w:name="_Toc11054"/>
      <w:bookmarkStart w:id="147" w:name="_Toc19016"/>
      <w:bookmarkStart w:id="148" w:name="_Toc17855"/>
      <w:r>
        <w:rPr>
          <w:rFonts w:hint="eastAsia" w:ascii="Times New Roman" w:hAnsi="Times New Roman" w:eastAsia="宋体" w:cs="Times New Roman"/>
          <w:color w:val="auto"/>
          <w:highlight w:val="none"/>
        </w:rPr>
        <w:t>二、招标文件</w:t>
      </w:r>
      <w:bookmarkEnd w:id="137"/>
      <w:bookmarkEnd w:id="138"/>
      <w:bookmarkEnd w:id="139"/>
      <w:bookmarkEnd w:id="140"/>
      <w:bookmarkEnd w:id="141"/>
      <w:bookmarkEnd w:id="142"/>
      <w:bookmarkEnd w:id="143"/>
      <w:bookmarkEnd w:id="144"/>
      <w:bookmarkEnd w:id="145"/>
      <w:bookmarkEnd w:id="146"/>
      <w:bookmarkEnd w:id="147"/>
      <w:bookmarkEnd w:id="148"/>
    </w:p>
    <w:p w14:paraId="66288913">
      <w:pPr>
        <w:spacing w:line="360" w:lineRule="auto"/>
        <w:ind w:firstLine="480"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10.招标文件的组成</w:t>
      </w:r>
    </w:p>
    <w:p w14:paraId="14E1F557">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第一章 招标公告；</w:t>
      </w:r>
    </w:p>
    <w:p w14:paraId="2C73D6C6">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第二章 采购需求； </w:t>
      </w:r>
    </w:p>
    <w:p w14:paraId="26A86DDE">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第三章 投标人须知；</w:t>
      </w:r>
    </w:p>
    <w:p w14:paraId="30EF2ECE">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第四章 评标方法</w:t>
      </w:r>
      <w:r>
        <w:rPr>
          <w:rFonts w:hint="eastAsia" w:ascii="宋体" w:hAnsi="宋体" w:cs="Times New Roman"/>
          <w:color w:val="auto"/>
          <w:szCs w:val="21"/>
          <w:highlight w:val="none"/>
          <w:lang w:eastAsia="zh-CN"/>
        </w:rPr>
        <w:t>和</w:t>
      </w:r>
      <w:r>
        <w:rPr>
          <w:rFonts w:hint="eastAsia" w:ascii="宋体" w:hAnsi="宋体" w:eastAsia="宋体" w:cs="Times New Roman"/>
          <w:color w:val="auto"/>
          <w:szCs w:val="21"/>
          <w:highlight w:val="none"/>
        </w:rPr>
        <w:t>评标标准；</w:t>
      </w:r>
    </w:p>
    <w:p w14:paraId="53D7A0BD">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第五章 拟签订的合同文本；</w:t>
      </w:r>
    </w:p>
    <w:p w14:paraId="1D88DD65">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第六章 投标文件格式；</w:t>
      </w:r>
    </w:p>
    <w:p w14:paraId="575BE02F">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第七章 质疑、投诉材料格式</w:t>
      </w:r>
    </w:p>
    <w:p w14:paraId="027F0F74">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根据本章</w:t>
      </w:r>
      <w:r>
        <w:rPr>
          <w:rFonts w:hint="eastAsia" w:ascii="宋体" w:hAnsi="宋体" w:eastAsia="宋体" w:cs="宋体"/>
          <w:color w:val="auto"/>
          <w:highlight w:val="none"/>
        </w:rPr>
        <w:t>第11.1</w:t>
      </w:r>
      <w:r>
        <w:rPr>
          <w:rFonts w:hint="eastAsia" w:ascii="Times New Roman" w:hAnsi="宋体" w:eastAsia="宋体" w:cs="Times New Roman"/>
          <w:color w:val="auto"/>
          <w:highlight w:val="none"/>
        </w:rPr>
        <w:t>项的规定对招标文件所做的澄清、修改，构成招标文件的组成部分。当招标文件与招标文件的澄清和修改就同一内容的表述不一致时，</w:t>
      </w:r>
      <w:r>
        <w:rPr>
          <w:rFonts w:hint="eastAsia" w:ascii="Times New Roman" w:hAnsi="Times New Roman" w:eastAsia="宋体" w:cs="Times New Roman"/>
          <w:color w:val="auto"/>
          <w:highlight w:val="none"/>
        </w:rPr>
        <w:t>以最后澄清或修改公告为准。</w:t>
      </w:r>
    </w:p>
    <w:p w14:paraId="04A80AC2">
      <w:pPr>
        <w:spacing w:line="360" w:lineRule="auto"/>
        <w:ind w:firstLine="480"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11.招标文件的澄清、修改 、现场考察和答疑会</w:t>
      </w:r>
    </w:p>
    <w:p w14:paraId="46A9E8AB">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11.1</w:t>
      </w:r>
      <w:r>
        <w:rPr>
          <w:rFonts w:hint="eastAsia" w:ascii="宋体" w:hAnsi="宋体" w:cs="Times New Roman"/>
          <w:b/>
          <w:color w:val="auto"/>
          <w:szCs w:val="21"/>
          <w:highlight w:val="none"/>
          <w:lang w:val="en-US" w:eastAsia="zh-CN"/>
        </w:rPr>
        <w:t xml:space="preserve"> </w:t>
      </w:r>
      <w:r>
        <w:rPr>
          <w:rFonts w:hint="eastAsia" w:ascii="宋体" w:hAnsi="宋体" w:eastAsia="宋体" w:cs="Times New Roman"/>
          <w:b/>
          <w:color w:val="auto"/>
          <w:szCs w:val="21"/>
          <w:highlight w:val="none"/>
        </w:rPr>
        <w:t>采购人或者采购代理机构可以对已发出的招标文件进行必要的澄清或者修改，但不得改变采购标的和资格条件。澄清或者修改应当在原</w:t>
      </w:r>
      <w:r>
        <w:rPr>
          <w:rFonts w:hint="eastAsia" w:ascii="宋体" w:hAnsi="宋体" w:cs="Times New Roman"/>
          <w:b/>
          <w:color w:val="auto"/>
          <w:szCs w:val="21"/>
          <w:highlight w:val="none"/>
          <w:lang w:eastAsia="zh-CN"/>
        </w:rPr>
        <w:t>招标</w:t>
      </w:r>
      <w:r>
        <w:rPr>
          <w:rFonts w:hint="eastAsia" w:ascii="宋体" w:hAnsi="宋体" w:eastAsia="宋体" w:cs="Times New Roman"/>
          <w:b/>
          <w:color w:val="auto"/>
          <w:szCs w:val="21"/>
          <w:highlight w:val="none"/>
        </w:rPr>
        <w:t>公告发布媒体上发布澄清公告。澄清或者修改的内容为招标文件的组成部分。</w:t>
      </w:r>
    </w:p>
    <w:p w14:paraId="112AB3E3">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11.2 投标人应认真审阅本招标文件，如有疑问，或发现其中有误或有要求不合理的，应在投标人须知前附表规定的</w:t>
      </w:r>
      <w:r>
        <w:rPr>
          <w:rFonts w:hint="eastAsia" w:ascii="宋体" w:hAnsi="宋体" w:eastAsia="宋体" w:cs="宋体"/>
          <w:color w:val="auto"/>
          <w:kern w:val="0"/>
          <w:szCs w:val="21"/>
          <w:highlight w:val="none"/>
        </w:rPr>
        <w:t>投标截止时间</w:t>
      </w:r>
      <w:r>
        <w:rPr>
          <w:rFonts w:hint="eastAsia" w:ascii="宋体" w:hAnsi="宋体" w:eastAsia="宋体" w:cs="宋体"/>
          <w:color w:val="auto"/>
          <w:highlight w:val="none"/>
        </w:rPr>
        <w:t>前以书面形式要求采购人或采购代理机构对招标文件予以澄清；否则，由此产生的后果由投标人自行负责。</w:t>
      </w:r>
    </w:p>
    <w:p w14:paraId="4E8B033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11.3 采购人或者采购代理机构可以对已发出的招标文件进行必要的澄清或者修改。澄清或者修改的内容可能影响投标文件编制的，采购人或者采购代理机构应当在投标截止时间至少15日前，以书面形式通知(在“</w:t>
      </w:r>
      <w:r>
        <w:rPr>
          <w:rFonts w:hint="eastAsia" w:ascii="宋体" w:hAnsi="宋体" w:eastAsia="宋体" w:cs="宋体"/>
          <w:color w:val="auto"/>
          <w:szCs w:val="21"/>
          <w:highlight w:val="none"/>
        </w:rPr>
        <w:t>投标人须知前附表”</w:t>
      </w:r>
      <w:r>
        <w:rPr>
          <w:rFonts w:hint="eastAsia" w:ascii="宋体" w:hAnsi="宋体" w:eastAsia="宋体" w:cs="宋体"/>
          <w:color w:val="auto"/>
          <w:highlight w:val="none"/>
        </w:rPr>
        <w:t>规定的政府采购信息发布媒体上发布更正公告及平台短信通知)所有获取招标文件的潜在投标人；不足15日的，采购人或者采购代理机构应当顺延提交投标文件的截止时间。</w:t>
      </w:r>
    </w:p>
    <w:p w14:paraId="6AF3EFB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澄清或者更正公告在招标公告发布媒体上发布，一经发布，视作已以书面形式通知所有获取招标文件的潜在投标人，不再另行通知，所有潜在投标人应密切关注招标公告发布媒体，因未能及时获知，由此产生的后果均应自行承担。</w:t>
      </w:r>
    </w:p>
    <w:p w14:paraId="354BCDC2">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11.4 采购人和采购代理机构可以视采购具体情况，变更投标截止时间和开标时间，将变更时间将在“</w:t>
      </w:r>
      <w:r>
        <w:rPr>
          <w:rFonts w:hint="eastAsia" w:ascii="宋体" w:hAnsi="宋体" w:eastAsia="宋体" w:cs="宋体"/>
          <w:color w:val="auto"/>
          <w:szCs w:val="21"/>
          <w:highlight w:val="none"/>
        </w:rPr>
        <w:t>投标人须知前附表”</w:t>
      </w:r>
      <w:r>
        <w:rPr>
          <w:rFonts w:hint="eastAsia" w:ascii="宋体" w:hAnsi="宋体" w:eastAsia="宋体" w:cs="宋体"/>
          <w:color w:val="auto"/>
          <w:kern w:val="0"/>
          <w:szCs w:val="21"/>
          <w:highlight w:val="none"/>
        </w:rPr>
        <w:t>规定的政府采购信息发布媒体上</w:t>
      </w:r>
      <w:r>
        <w:rPr>
          <w:rFonts w:hint="eastAsia" w:ascii="宋体" w:hAnsi="宋体" w:eastAsia="宋体" w:cs="宋体"/>
          <w:color w:val="auto"/>
          <w:highlight w:val="none"/>
        </w:rPr>
        <w:t>发布更正公告。</w:t>
      </w:r>
    </w:p>
    <w:p w14:paraId="5F568EB5">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w:t>
      </w:r>
      <w:bookmarkStart w:id="149" w:name="_Hlk53134511"/>
      <w:r>
        <w:rPr>
          <w:rFonts w:hint="eastAsia" w:ascii="宋体" w:hAnsi="宋体" w:eastAsia="宋体" w:cs="宋体"/>
          <w:color w:val="auto"/>
          <w:highlight w:val="none"/>
        </w:rPr>
        <w:t>5采购人或者采购代理机构可以在招标文件提供期限截止后，组织已获取招标文件的潜在投标人现场考察或者召开开标前答疑会，具体详见“投标人须知前附表”。</w:t>
      </w:r>
    </w:p>
    <w:p w14:paraId="3CFBF412">
      <w:pPr>
        <w:pStyle w:val="18"/>
        <w:rPr>
          <w:rFonts w:hint="eastAsia"/>
          <w:color w:val="auto"/>
          <w:highlight w:val="none"/>
        </w:rPr>
      </w:pPr>
    </w:p>
    <w:bookmarkEnd w:id="149"/>
    <w:p w14:paraId="1DBB9CDD">
      <w:pPr>
        <w:pStyle w:val="4"/>
        <w:keepNext w:val="0"/>
        <w:keepLines w:val="0"/>
        <w:spacing w:line="400" w:lineRule="exact"/>
        <w:jc w:val="center"/>
        <w:rPr>
          <w:rFonts w:ascii="Times New Roman" w:hAnsi="Times New Roman" w:eastAsia="宋体" w:cs="Times New Roman"/>
          <w:color w:val="auto"/>
          <w:highlight w:val="none"/>
        </w:rPr>
      </w:pPr>
      <w:bookmarkStart w:id="150" w:name="_Toc32154"/>
      <w:bookmarkStart w:id="151" w:name="_Toc2635"/>
      <w:bookmarkStart w:id="152" w:name="_Toc24872"/>
      <w:bookmarkStart w:id="153" w:name="_Toc254970535"/>
      <w:bookmarkStart w:id="154" w:name="_Toc7841"/>
      <w:bookmarkStart w:id="155" w:name="_Toc20"/>
      <w:bookmarkStart w:id="156" w:name="_Toc16623"/>
      <w:bookmarkStart w:id="157" w:name="_Toc28419"/>
      <w:bookmarkStart w:id="158" w:name="_Toc32499"/>
      <w:bookmarkStart w:id="159" w:name="_Toc27367"/>
      <w:bookmarkStart w:id="160" w:name="_Toc12080"/>
      <w:bookmarkStart w:id="161" w:name="_Toc254970676"/>
      <w:r>
        <w:rPr>
          <w:rFonts w:hint="eastAsia" w:ascii="Times New Roman" w:hAnsi="Times New Roman" w:eastAsia="宋体" w:cs="Times New Roman"/>
          <w:color w:val="auto"/>
          <w:highlight w:val="none"/>
        </w:rPr>
        <w:t>三、投标文件的编制</w:t>
      </w:r>
      <w:bookmarkEnd w:id="150"/>
      <w:bookmarkEnd w:id="151"/>
      <w:bookmarkEnd w:id="152"/>
      <w:bookmarkEnd w:id="153"/>
      <w:bookmarkEnd w:id="154"/>
      <w:bookmarkEnd w:id="155"/>
      <w:bookmarkEnd w:id="156"/>
      <w:bookmarkEnd w:id="157"/>
      <w:bookmarkEnd w:id="158"/>
      <w:bookmarkEnd w:id="159"/>
      <w:bookmarkEnd w:id="160"/>
      <w:bookmarkEnd w:id="161"/>
    </w:p>
    <w:p w14:paraId="04BC4587">
      <w:pPr>
        <w:spacing w:line="360" w:lineRule="auto"/>
        <w:ind w:firstLine="480" w:firstLineChars="200"/>
        <w:rPr>
          <w:rFonts w:ascii="黑体" w:hAnsi="黑体" w:eastAsia="黑体" w:cs="Times New Roman"/>
          <w:color w:val="auto"/>
          <w:sz w:val="24"/>
          <w:highlight w:val="none"/>
        </w:rPr>
      </w:pPr>
      <w:bookmarkStart w:id="162" w:name="_Toc254970536"/>
      <w:bookmarkStart w:id="163" w:name="_Toc254970677"/>
      <w:r>
        <w:rPr>
          <w:rFonts w:hint="eastAsia" w:ascii="黑体" w:hAnsi="黑体" w:eastAsia="黑体" w:cs="Times New Roman"/>
          <w:color w:val="auto"/>
          <w:sz w:val="24"/>
          <w:highlight w:val="none"/>
        </w:rPr>
        <w:t>12.投标文件的编制原则</w:t>
      </w:r>
    </w:p>
    <w:p w14:paraId="14D75DB7">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投标人必须按照招标文件的要求编制投标文件。投标文件必须对招标文件提出的要求和条件作出明确响应。</w:t>
      </w:r>
    </w:p>
    <w:p w14:paraId="26635309">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13.投标文件的组成</w:t>
      </w:r>
      <w:bookmarkEnd w:id="162"/>
      <w:bookmarkEnd w:id="163"/>
    </w:p>
    <w:p w14:paraId="07F547D2">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13.1投标文件由报价文件、资格证明文件、商务文件、技术文件四部分组成。</w:t>
      </w:r>
    </w:p>
    <w:p w14:paraId="6885C279">
      <w:pPr>
        <w:spacing w:line="360" w:lineRule="auto"/>
        <w:ind w:firstLine="420" w:firstLineChars="200"/>
        <w:rPr>
          <w:rFonts w:hint="eastAsia" w:ascii="宋体" w:hAnsi="宋体" w:eastAsia="宋体" w:cs="Times New Roman"/>
          <w:bCs/>
          <w:color w:val="auto"/>
          <w:szCs w:val="21"/>
          <w:highlight w:val="none"/>
        </w:rPr>
      </w:pPr>
      <w:bookmarkStart w:id="164" w:name="_13.1报价文件:_具体材料见“投标人须知前附表”。"/>
      <w:bookmarkEnd w:id="164"/>
      <w:bookmarkStart w:id="165" w:name="_13.2资格证明文件：具体材料见“投标人须知前附表”。"/>
      <w:bookmarkEnd w:id="165"/>
      <w:r>
        <w:rPr>
          <w:rFonts w:hint="eastAsia" w:ascii="宋体" w:hAnsi="宋体" w:eastAsia="宋体" w:cs="Times New Roman"/>
          <w:bCs/>
          <w:color w:val="auto"/>
          <w:szCs w:val="21"/>
          <w:highlight w:val="none"/>
        </w:rPr>
        <w:t>（1）资格证明文件：具体材料见“投标人须知前附表”。</w:t>
      </w:r>
    </w:p>
    <w:p w14:paraId="6C559903">
      <w:pPr>
        <w:spacing w:line="360" w:lineRule="auto"/>
        <w:ind w:firstLine="420" w:firstLineChars="200"/>
        <w:rPr>
          <w:rFonts w:hint="eastAsia" w:ascii="宋体" w:hAnsi="宋体" w:eastAsia="宋体" w:cs="Times New Roman"/>
          <w:bCs/>
          <w:color w:val="auto"/>
          <w:szCs w:val="21"/>
          <w:highlight w:val="none"/>
        </w:rPr>
      </w:pPr>
      <w:bookmarkStart w:id="166" w:name="_13.3商务文件:_具体材料见“投标人须知前附表”。"/>
      <w:bookmarkEnd w:id="166"/>
      <w:r>
        <w:rPr>
          <w:rFonts w:hint="eastAsia" w:ascii="宋体" w:hAnsi="宋体" w:eastAsia="宋体" w:cs="Times New Roman"/>
          <w:bCs/>
          <w:color w:val="auto"/>
          <w:szCs w:val="21"/>
          <w:highlight w:val="none"/>
        </w:rPr>
        <w:t>（2）商务文件：具体材料见“投标人须知前附表”。</w:t>
      </w:r>
    </w:p>
    <w:p w14:paraId="7ADA073F">
      <w:pPr>
        <w:spacing w:line="360" w:lineRule="auto"/>
        <w:ind w:firstLine="420" w:firstLineChars="200"/>
        <w:rPr>
          <w:rFonts w:hint="eastAsia" w:ascii="宋体" w:hAnsi="宋体" w:eastAsia="宋体" w:cs="Times New Roman"/>
          <w:bCs/>
          <w:color w:val="auto"/>
          <w:szCs w:val="21"/>
          <w:highlight w:val="none"/>
        </w:rPr>
      </w:pPr>
      <w:bookmarkStart w:id="167" w:name="_13.4技术文件：具体材料见“投标人须知前附表”。"/>
      <w:bookmarkEnd w:id="167"/>
      <w:r>
        <w:rPr>
          <w:rFonts w:hint="eastAsia" w:ascii="宋体" w:hAnsi="宋体" w:eastAsia="宋体" w:cs="Times New Roman"/>
          <w:bCs/>
          <w:color w:val="auto"/>
          <w:szCs w:val="21"/>
          <w:highlight w:val="none"/>
        </w:rPr>
        <w:t xml:space="preserve">（3）技术文件：具体材料见“投标人须知前附表”。 </w:t>
      </w:r>
    </w:p>
    <w:p w14:paraId="2A50A7DF">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（4）报价文件： 具体材料见“投标人须知前附表”。</w:t>
      </w:r>
    </w:p>
    <w:p w14:paraId="57456A06">
      <w:pPr>
        <w:spacing w:line="360" w:lineRule="auto"/>
        <w:ind w:firstLine="420" w:firstLineChars="200"/>
        <w:rPr>
          <w:rFonts w:hint="eastAsia" w:ascii="宋体" w:hAnsi="宋体" w:eastAsia="宋体" w:cs="Times New Roman"/>
          <w:bCs/>
          <w:color w:val="auto"/>
          <w:szCs w:val="21"/>
          <w:highlight w:val="none"/>
        </w:rPr>
      </w:pPr>
      <w:bookmarkStart w:id="168" w:name="_13.5投标文件电子版：具体材料见“投标人须知前附表”。"/>
      <w:bookmarkEnd w:id="168"/>
      <w:r>
        <w:rPr>
          <w:rFonts w:hint="eastAsia" w:ascii="宋体" w:hAnsi="宋体" w:eastAsia="宋体" w:cs="Times New Roman"/>
          <w:bCs/>
          <w:color w:val="auto"/>
          <w:szCs w:val="21"/>
          <w:highlight w:val="none"/>
        </w:rPr>
        <w:t>13.2投标文件电子版：具体要求见本节19.投标文件编制。</w:t>
      </w:r>
    </w:p>
    <w:p w14:paraId="723AC5F2">
      <w:pPr>
        <w:spacing w:line="360" w:lineRule="auto"/>
        <w:ind w:firstLine="480" w:firstLineChars="200"/>
        <w:rPr>
          <w:rFonts w:hint="eastAsia" w:ascii="黑体" w:hAnsi="黑体" w:eastAsia="黑体" w:cs="Times New Roman"/>
          <w:color w:val="auto"/>
          <w:sz w:val="24"/>
          <w:highlight w:val="none"/>
        </w:rPr>
      </w:pPr>
      <w:bookmarkStart w:id="169" w:name="_Toc254970678"/>
      <w:bookmarkStart w:id="170" w:name="_Toc254970537"/>
      <w:r>
        <w:rPr>
          <w:rFonts w:hint="eastAsia" w:ascii="黑体" w:hAnsi="黑体" w:eastAsia="黑体" w:cs="Times New Roman"/>
          <w:color w:val="auto"/>
          <w:sz w:val="24"/>
          <w:highlight w:val="none"/>
        </w:rPr>
        <w:t>14.投标文件的语言及计量</w:t>
      </w:r>
      <w:bookmarkEnd w:id="169"/>
      <w:bookmarkEnd w:id="170"/>
    </w:p>
    <w:p w14:paraId="6048BDEE">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14.1语言文字</w:t>
      </w:r>
    </w:p>
    <w:p w14:paraId="3B9F447F">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4FCB0DDE">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14.2投标计量单位</w:t>
      </w:r>
    </w:p>
    <w:p w14:paraId="2C57B1BC">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招标文件已有明确规定的，使用招标文件规定的计量单位；招标文件没有规定的，应采用中华人民共和国法定计量单位，货币种类为人民币，否则视同未响应。</w:t>
      </w:r>
    </w:p>
    <w:p w14:paraId="4AF73FC1">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15.投标</w:t>
      </w:r>
      <w:r>
        <w:rPr>
          <w:rFonts w:hint="eastAsia" w:ascii="黑体" w:hAnsi="黑体" w:eastAsia="黑体" w:cs="Times New Roman"/>
          <w:color w:val="auto"/>
          <w:sz w:val="24"/>
          <w:highlight w:val="none"/>
          <w:lang w:val="en-US" w:eastAsia="zh-CN"/>
        </w:rPr>
        <w:t>文件提交</w:t>
      </w:r>
      <w:r>
        <w:rPr>
          <w:rFonts w:hint="eastAsia" w:ascii="黑体" w:hAnsi="黑体" w:eastAsia="黑体" w:cs="Times New Roman"/>
          <w:color w:val="auto"/>
          <w:sz w:val="24"/>
          <w:highlight w:val="none"/>
        </w:rPr>
        <w:t>的风险</w:t>
      </w:r>
    </w:p>
    <w:p w14:paraId="65C847A1">
      <w:pPr>
        <w:spacing w:line="360" w:lineRule="auto"/>
        <w:ind w:firstLine="420" w:firstLineChars="200"/>
        <w:rPr>
          <w:rFonts w:hint="eastAsia" w:ascii="Times New Roman" w:hAnsi="宋体" w:eastAsia="宋体" w:cs="Times New Roman"/>
          <w:b/>
          <w:bCs/>
          <w:color w:val="auto"/>
          <w:highlight w:val="none"/>
        </w:rPr>
      </w:pPr>
      <w:r>
        <w:rPr>
          <w:rFonts w:hint="eastAsia" w:ascii="Times New Roman" w:hAnsi="宋体" w:eastAsia="宋体" w:cs="Times New Roman"/>
          <w:color w:val="auto"/>
          <w:highlight w:val="none"/>
        </w:rPr>
        <w:t>投标文件分为资格文件、商务文件、技术文件、报价文件四部分（其中：商务文件与技术文件合并编辑成一个电子文档）。各投标人在编制投标文件时请按照招标文件规定的格式进行，混乱的编排导致投标文件被误读或评标委员会查找不到有效文件是投标人的风险。投标人没有按照招标文件要求提供全部资料，或者投标人没有对招标文件作出实质性响应是投标人的风险，可能导致其投标被拒绝。</w:t>
      </w:r>
    </w:p>
    <w:p w14:paraId="0CEC2669">
      <w:pPr>
        <w:spacing w:line="360" w:lineRule="auto"/>
        <w:ind w:firstLine="480" w:firstLineChars="200"/>
        <w:rPr>
          <w:rFonts w:ascii="黑体" w:hAnsi="黑体" w:eastAsia="黑体" w:cs="Times New Roman"/>
          <w:color w:val="auto"/>
          <w:sz w:val="24"/>
          <w:highlight w:val="none"/>
        </w:rPr>
      </w:pPr>
      <w:bookmarkStart w:id="171" w:name="_Toc254970538"/>
      <w:bookmarkStart w:id="172" w:name="_Toc254970679"/>
      <w:r>
        <w:rPr>
          <w:rFonts w:hint="eastAsia" w:ascii="黑体" w:hAnsi="黑体" w:eastAsia="黑体" w:cs="Times New Roman"/>
          <w:color w:val="auto"/>
          <w:sz w:val="24"/>
          <w:highlight w:val="none"/>
        </w:rPr>
        <w:t>16.投标报价</w:t>
      </w:r>
      <w:bookmarkEnd w:id="171"/>
      <w:bookmarkEnd w:id="172"/>
    </w:p>
    <w:p w14:paraId="76892DE9">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16.1投标报价应</w:t>
      </w:r>
      <w:r>
        <w:rPr>
          <w:rFonts w:hint="eastAsia" w:ascii="宋体" w:hAnsi="宋体" w:eastAsia="宋体" w:cs="Times New Roman"/>
          <w:bCs/>
          <w:color w:val="auto"/>
          <w:szCs w:val="20"/>
          <w:highlight w:val="none"/>
        </w:rPr>
        <w:t>按“第六章</w:t>
      </w:r>
      <w:r>
        <w:rPr>
          <w:rFonts w:hint="eastAsia" w:ascii="宋体" w:hAnsi="宋体" w:cs="Times New Roman"/>
          <w:bCs/>
          <w:color w:val="auto"/>
          <w:szCs w:val="20"/>
          <w:highlight w:val="none"/>
          <w:lang w:val="en-US" w:eastAsia="zh-CN"/>
        </w:rPr>
        <w:t xml:space="preserve"> </w:t>
      </w:r>
      <w:r>
        <w:rPr>
          <w:rFonts w:hint="eastAsia" w:ascii="宋体" w:hAnsi="宋体" w:eastAsia="宋体" w:cs="Times New Roman"/>
          <w:bCs/>
          <w:color w:val="auto"/>
          <w:szCs w:val="20"/>
          <w:highlight w:val="none"/>
        </w:rPr>
        <w:t>投标文件格式”中“开标一览表”格式填写。</w:t>
      </w:r>
    </w:p>
    <w:p w14:paraId="56DEB2A1">
      <w:pPr>
        <w:spacing w:line="360" w:lineRule="auto"/>
        <w:ind w:firstLine="420" w:firstLineChars="200"/>
        <w:rPr>
          <w:rFonts w:hint="eastAsia" w:ascii="宋体" w:hAnsi="宋体" w:eastAsia="宋体" w:cs="Times New Roman"/>
          <w:bCs/>
          <w:color w:val="auto"/>
          <w:szCs w:val="21"/>
          <w:highlight w:val="none"/>
        </w:rPr>
      </w:pPr>
      <w:bookmarkStart w:id="173" w:name="_16.2投标报价具体定义见投标人须知前附表。"/>
      <w:bookmarkEnd w:id="173"/>
      <w:r>
        <w:rPr>
          <w:rFonts w:hint="eastAsia" w:ascii="宋体" w:hAnsi="宋体" w:eastAsia="宋体" w:cs="Times New Roman"/>
          <w:bCs/>
          <w:color w:val="auto"/>
          <w:szCs w:val="21"/>
          <w:highlight w:val="none"/>
        </w:rPr>
        <w:t>16.2投标报价具体包括内容详见“投标人须知前附表”。</w:t>
      </w:r>
    </w:p>
    <w:p w14:paraId="37A898F1">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16.3投标人必须就所投每个分标的全部内容分别作完整唯一总价报价，不得存在漏项报价；投标人必须就所投</w:t>
      </w:r>
      <w:r>
        <w:rPr>
          <w:rFonts w:hint="eastAsia" w:ascii="宋体" w:hAnsi="宋体" w:cs="Times New Roman"/>
          <w:bCs/>
          <w:color w:val="auto"/>
          <w:szCs w:val="21"/>
          <w:highlight w:val="none"/>
          <w:lang w:eastAsia="zh-CN"/>
        </w:rPr>
        <w:t>分标</w:t>
      </w:r>
      <w:r>
        <w:rPr>
          <w:rFonts w:hint="eastAsia" w:ascii="宋体" w:hAnsi="宋体" w:eastAsia="宋体" w:cs="Times New Roman"/>
          <w:bCs/>
          <w:color w:val="auto"/>
          <w:szCs w:val="21"/>
          <w:highlight w:val="none"/>
        </w:rPr>
        <w:t>的单项内容作唯一报价。</w:t>
      </w:r>
    </w:p>
    <w:p w14:paraId="25A906EC">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17.投标有效期</w:t>
      </w:r>
    </w:p>
    <w:p w14:paraId="26ECAC26">
      <w:pPr>
        <w:spacing w:line="360" w:lineRule="auto"/>
        <w:ind w:firstLine="420" w:firstLineChars="200"/>
        <w:rPr>
          <w:rFonts w:hint="eastAsia" w:ascii="宋体" w:hAnsi="宋体" w:eastAsia="宋体" w:cs="Times New Roman"/>
          <w:bCs/>
          <w:color w:val="auto"/>
          <w:szCs w:val="21"/>
          <w:highlight w:val="none"/>
        </w:rPr>
      </w:pPr>
      <w:bookmarkStart w:id="174" w:name="_17.1投标有效期应按“投标人须知中的前附表”规定的期限。"/>
      <w:bookmarkEnd w:id="174"/>
      <w:r>
        <w:rPr>
          <w:rFonts w:hint="eastAsia" w:ascii="宋体" w:hAnsi="宋体" w:eastAsia="宋体" w:cs="Times New Roman"/>
          <w:bCs/>
          <w:color w:val="auto"/>
          <w:szCs w:val="21"/>
          <w:highlight w:val="none"/>
        </w:rPr>
        <w:t>17.1投标有效期是指为保证采购人有足够的时间在开标后完成评标、定标、合同签订等工作而要求投标人提交的投标文件在一定时间内保持有效的期限。</w:t>
      </w:r>
    </w:p>
    <w:p w14:paraId="18D2EA73">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17.2</w:t>
      </w:r>
      <w:bookmarkStart w:id="175" w:name="_Toc254970540"/>
      <w:bookmarkStart w:id="176" w:name="_Toc254970681"/>
      <w:r>
        <w:rPr>
          <w:rFonts w:hint="eastAsia" w:ascii="宋体" w:hAnsi="宋体" w:eastAsia="宋体" w:cs="Times New Roman"/>
          <w:bCs/>
          <w:color w:val="auto"/>
          <w:szCs w:val="21"/>
          <w:highlight w:val="none"/>
        </w:rPr>
        <w:t xml:space="preserve"> 投标有效期应按规定的期限作出承诺，具体详见“投标人须知前附表”。</w:t>
      </w:r>
    </w:p>
    <w:p w14:paraId="25FA5D28">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17.3投标人的投标文件在投标有效期内均保持有效。</w:t>
      </w:r>
      <w:bookmarkEnd w:id="175"/>
      <w:bookmarkEnd w:id="176"/>
    </w:p>
    <w:p w14:paraId="6B16622B">
      <w:pPr>
        <w:spacing w:line="360" w:lineRule="auto"/>
        <w:ind w:firstLine="480" w:firstLineChars="200"/>
        <w:rPr>
          <w:rFonts w:hint="eastAsia" w:ascii="黑体" w:hAnsi="黑体" w:eastAsia="黑体" w:cs="Times New Roman"/>
          <w:color w:val="auto"/>
          <w:sz w:val="24"/>
          <w:highlight w:val="none"/>
        </w:rPr>
      </w:pPr>
      <w:bookmarkStart w:id="177" w:name="_18.投标保证金"/>
      <w:bookmarkEnd w:id="177"/>
      <w:bookmarkStart w:id="178" w:name="_Toc254970682"/>
      <w:bookmarkStart w:id="179" w:name="_Toc254970541"/>
      <w:r>
        <w:rPr>
          <w:rFonts w:hint="eastAsia" w:ascii="黑体" w:hAnsi="黑体" w:eastAsia="黑体" w:cs="Times New Roman"/>
          <w:color w:val="auto"/>
          <w:sz w:val="24"/>
          <w:highlight w:val="none"/>
        </w:rPr>
        <w:t>18.投标保证金</w:t>
      </w:r>
      <w:bookmarkEnd w:id="178"/>
      <w:bookmarkEnd w:id="179"/>
    </w:p>
    <w:p w14:paraId="657FAFFF">
      <w:pPr>
        <w:spacing w:line="360" w:lineRule="auto"/>
        <w:ind w:firstLine="420" w:firstLineChars="200"/>
        <w:rPr>
          <w:rFonts w:hint="eastAsia" w:ascii="宋体" w:hAnsi="宋体" w:eastAsia="宋体" w:cs="Times New Roman"/>
          <w:bCs/>
          <w:color w:val="auto"/>
          <w:szCs w:val="21"/>
          <w:highlight w:val="none"/>
        </w:rPr>
      </w:pPr>
      <w:bookmarkStart w:id="180" w:name="_Toc254970542"/>
      <w:bookmarkStart w:id="181" w:name="_Toc254970683"/>
      <w:r>
        <w:rPr>
          <w:rFonts w:hint="eastAsia" w:ascii="宋体" w:hAnsi="宋体" w:eastAsia="宋体" w:cs="Times New Roman"/>
          <w:bCs/>
          <w:color w:val="auto"/>
          <w:szCs w:val="21"/>
          <w:highlight w:val="none"/>
        </w:rPr>
        <w:t>18.1投标人须按“投标人须知前附表” 的规定提交投标保证金。</w:t>
      </w:r>
    </w:p>
    <w:p w14:paraId="22FA4545">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18.2投标保证金的退还</w:t>
      </w:r>
    </w:p>
    <w:p w14:paraId="695EE80C">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18.2.1未中标人的投标保证金自中标通知书发出之日起</w:t>
      </w:r>
      <w:r>
        <w:rPr>
          <w:rFonts w:hint="eastAsia" w:ascii="宋体" w:hAnsi="宋体" w:eastAsia="宋体" w:cs="Times New Roman"/>
          <w:bCs/>
          <w:color w:val="auto"/>
          <w:szCs w:val="21"/>
          <w:highlight w:val="none"/>
          <w:lang w:val="en-US" w:eastAsia="zh-CN"/>
        </w:rPr>
        <w:t>5</w:t>
      </w:r>
      <w:r>
        <w:rPr>
          <w:rFonts w:hint="eastAsia" w:ascii="宋体" w:hAnsi="宋体" w:eastAsia="宋体" w:cs="Times New Roman"/>
          <w:bCs/>
          <w:color w:val="auto"/>
          <w:szCs w:val="21"/>
          <w:highlight w:val="none"/>
        </w:rPr>
        <w:t>个工作日内退还，退还方式如下：</w:t>
      </w:r>
    </w:p>
    <w:p w14:paraId="045B40D7">
      <w:pPr>
        <w:ind w:firstLine="420" w:firstLineChars="200"/>
        <w:outlineLvl w:val="9"/>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（1）采用银行转账方式的，以转账方式退回到投标人银行账户。</w:t>
      </w:r>
    </w:p>
    <w:p w14:paraId="5AA5FC11">
      <w:pPr>
        <w:pStyle w:val="7"/>
        <w:spacing w:line="360" w:lineRule="auto"/>
        <w:ind w:left="0" w:lef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（2）采用支票、汇票、本票或者金融机构、担保机构出具的保函</w:t>
      </w:r>
      <w:r>
        <w:rPr>
          <w:rFonts w:hint="eastAsia" w:ascii="宋体" w:hAnsi="宋体" w:eastAsia="宋体" w:cs="宋体"/>
          <w:color w:val="auto"/>
          <w:szCs w:val="21"/>
          <w:highlight w:val="none"/>
          <w:lang w:eastAsia="zh-CN"/>
        </w:rPr>
        <w:t>等</w:t>
      </w:r>
      <w:r>
        <w:rPr>
          <w:rFonts w:hint="eastAsia" w:ascii="宋体" w:hAnsi="宋体" w:eastAsia="宋体" w:cs="宋体"/>
          <w:color w:val="auto"/>
          <w:szCs w:val="21"/>
          <w:highlight w:val="none"/>
        </w:rPr>
        <w:t>方式的，由投标人代表持相关授权证明材料至采购代理机构办理支票、汇票、本票或者金融机构、担保机构出具的保函</w:t>
      </w:r>
      <w:r>
        <w:rPr>
          <w:rFonts w:hint="eastAsia" w:ascii="宋体" w:hAnsi="宋体" w:eastAsia="宋体" w:cs="宋体"/>
          <w:color w:val="auto"/>
          <w:szCs w:val="21"/>
          <w:highlight w:val="none"/>
          <w:lang w:eastAsia="zh-CN"/>
        </w:rPr>
        <w:t>等</w:t>
      </w:r>
      <w:r>
        <w:rPr>
          <w:rFonts w:hint="eastAsia" w:ascii="宋体" w:hAnsi="宋体" w:eastAsia="宋体" w:cs="宋体"/>
          <w:color w:val="auto"/>
          <w:szCs w:val="21"/>
          <w:highlight w:val="none"/>
        </w:rPr>
        <w:t>原件退还手续。</w:t>
      </w:r>
    </w:p>
    <w:p w14:paraId="62732502">
      <w:pPr>
        <w:ind w:left="420" w:leftChars="200" w:firstLine="0" w:firstLineChars="0"/>
        <w:outlineLvl w:val="9"/>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18.2.2中标人的投标保证金自采购合同签订之日起</w:t>
      </w:r>
      <w:r>
        <w:rPr>
          <w:rFonts w:hint="eastAsia" w:ascii="宋体" w:hAnsi="宋体" w:cs="宋体"/>
          <w:b w:val="0"/>
          <w:color w:val="auto"/>
          <w:sz w:val="21"/>
          <w:szCs w:val="21"/>
          <w:highlight w:val="none"/>
          <w:lang w:val="en-US" w:eastAsia="zh-CN"/>
        </w:rPr>
        <w:t>5</w:t>
      </w:r>
      <w:r>
        <w:rPr>
          <w:rFonts w:hint="eastAsia" w:ascii="宋体" w:hAnsi="宋体" w:eastAsia="宋体" w:cs="宋体"/>
          <w:b w:val="0"/>
          <w:color w:val="auto"/>
          <w:sz w:val="21"/>
          <w:szCs w:val="21"/>
          <w:highlight w:val="none"/>
        </w:rPr>
        <w:t>个工作日内退还，退还方式同本须知正文第18.2.1</w:t>
      </w:r>
      <w:r>
        <w:rPr>
          <w:rFonts w:hint="eastAsia" w:ascii="宋体" w:hAnsi="宋体" w:cs="宋体"/>
          <w:b w:val="0"/>
          <w:color w:val="auto"/>
          <w:sz w:val="21"/>
          <w:szCs w:val="21"/>
          <w:highlight w:val="none"/>
          <w:lang w:eastAsia="zh-CN"/>
        </w:rPr>
        <w:t>，</w:t>
      </w:r>
      <w:r>
        <w:rPr>
          <w:rFonts w:hint="eastAsia" w:ascii="宋体" w:hAnsi="宋体" w:eastAsia="宋体" w:cs="宋体"/>
          <w:b w:val="0"/>
          <w:color w:val="auto"/>
          <w:sz w:val="21"/>
          <w:szCs w:val="21"/>
          <w:highlight w:val="none"/>
        </w:rPr>
        <w:t>或者转为中标人的履约保证金。</w:t>
      </w:r>
    </w:p>
    <w:p w14:paraId="5C857CE7">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18.3除逾期退还投标保证金和终止招标的情形以外，投标保证金不计息。</w:t>
      </w:r>
    </w:p>
    <w:p w14:paraId="0ED96391">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 xml:space="preserve">18.4投标人有下列情形之一的，投标保证金将不予退还： </w:t>
      </w:r>
    </w:p>
    <w:p w14:paraId="0B894258">
      <w:pPr>
        <w:snapToGrid w:val="0"/>
        <w:spacing w:line="360" w:lineRule="auto"/>
        <w:ind w:firstLine="411" w:firstLineChars="196"/>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（1）投标人在投标有效期内撤销投标文件的；</w:t>
      </w:r>
    </w:p>
    <w:p w14:paraId="37609E03">
      <w:pPr>
        <w:snapToGrid w:val="0"/>
        <w:spacing w:line="360" w:lineRule="auto"/>
        <w:ind w:firstLine="411" w:firstLineChars="196"/>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（2）未按规定提交履约保证金的；</w:t>
      </w:r>
    </w:p>
    <w:p w14:paraId="46A2CA6E">
      <w:pPr>
        <w:snapToGrid w:val="0"/>
        <w:spacing w:line="360" w:lineRule="auto"/>
        <w:ind w:firstLine="411" w:firstLineChars="196"/>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（3）投标人在投标过程中弄虚作假，提供虚假材料的；</w:t>
      </w:r>
    </w:p>
    <w:p w14:paraId="18A2148C">
      <w:pPr>
        <w:snapToGrid w:val="0"/>
        <w:spacing w:line="360" w:lineRule="auto"/>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（4）中标人无正当理由不与采购人签订合同的；</w:t>
      </w:r>
    </w:p>
    <w:p w14:paraId="119D5008">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（5）投标人出现本章第9.2、9.3情形的；</w:t>
      </w:r>
    </w:p>
    <w:p w14:paraId="4943114F">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r>
        <w:rPr>
          <w:rFonts w:hint="eastAsia" w:ascii="宋体" w:hAnsi="宋体" w:eastAsia="宋体" w:cs="宋体"/>
          <w:color w:val="auto"/>
          <w:szCs w:val="21"/>
          <w:highlight w:val="none"/>
          <w:lang w:eastAsia="zh-CN"/>
        </w:rPr>
        <w:t>其他</w:t>
      </w:r>
      <w:r>
        <w:rPr>
          <w:rFonts w:hint="eastAsia" w:ascii="宋体" w:hAnsi="宋体" w:eastAsia="宋体" w:cs="宋体"/>
          <w:color w:val="auto"/>
          <w:szCs w:val="21"/>
          <w:highlight w:val="none"/>
        </w:rPr>
        <w:t>严重扰乱招投标程序的。</w:t>
      </w:r>
    </w:p>
    <w:p w14:paraId="0EC6EAE0">
      <w:pPr>
        <w:spacing w:line="360" w:lineRule="auto"/>
        <w:ind w:firstLine="480"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19.投标文件的</w:t>
      </w:r>
      <w:bookmarkEnd w:id="180"/>
      <w:bookmarkEnd w:id="181"/>
      <w:r>
        <w:rPr>
          <w:rFonts w:hint="eastAsia" w:ascii="黑体" w:hAnsi="黑体" w:eastAsia="黑体" w:cs="Times New Roman"/>
          <w:color w:val="auto"/>
          <w:sz w:val="24"/>
          <w:highlight w:val="none"/>
        </w:rPr>
        <w:t>编制</w:t>
      </w:r>
    </w:p>
    <w:p w14:paraId="3782760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19.1投标文件编制要求详见“投标人须知前附表”。投标人应按本招标文件规定的格式和顺序编制投标文件并标注页码，投标文件内容不完整、编排混乱导致投标文件被误读、漏读或者查找不到相关内容的，由此引发的后果由投标人承担。</w:t>
      </w:r>
      <w:bookmarkStart w:id="182" w:name="_19.2投标文件应按报价文件、资格证明文件、商务文件、技术文件分别编制"/>
      <w:bookmarkEnd w:id="182"/>
      <w:r>
        <w:rPr>
          <w:rFonts w:hint="eastAsia" w:ascii="宋体" w:hAnsi="宋体" w:eastAsia="宋体" w:cs="宋体"/>
          <w:color w:val="auto"/>
          <w:szCs w:val="21"/>
          <w:highlight w:val="none"/>
        </w:rPr>
        <w:t xml:space="preserve"> </w:t>
      </w:r>
    </w:p>
    <w:p w14:paraId="1C2F04D1">
      <w:pPr>
        <w:pStyle w:val="40"/>
        <w:snapToGrid w:val="0"/>
        <w:spacing w:before="0"/>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19.2投标文件按照招标文件第六章格式要求进行签署、盖章。投标人的投标文件未按照招标文件要求签署、盖章的，</w:t>
      </w:r>
      <w:r>
        <w:rPr>
          <w:rFonts w:hint="eastAsia" w:ascii="宋体" w:hAnsi="宋体" w:eastAsia="宋体" w:cs="宋体"/>
          <w:b/>
          <w:color w:val="auto"/>
          <w:sz w:val="21"/>
          <w:szCs w:val="21"/>
          <w:highlight w:val="none"/>
        </w:rPr>
        <w:t>其投标无效。</w:t>
      </w:r>
    </w:p>
    <w:p w14:paraId="4A7609E9">
      <w:pPr>
        <w:pStyle w:val="40"/>
        <w:snapToGrid w:val="0"/>
        <w:spacing w:before="0"/>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19.3为确保网上操作合法、有效和安全，投标人应当在投标截止时间前完成在</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sz w:val="21"/>
          <w:szCs w:val="21"/>
          <w:highlight w:val="none"/>
        </w:rPr>
        <w:t>的身份认证，确保在电子投标过程中能够对相关数据电文进行加密和使用电子签名。</w:t>
      </w:r>
    </w:p>
    <w:p w14:paraId="0B190347">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19.4投标文件中标注的投标人名称应与主体资格证明（如营业执照、事业单位法人证书、执业许可证、自然人身份证等）及公章一致，</w:t>
      </w:r>
      <w:r>
        <w:rPr>
          <w:rFonts w:hint="eastAsia" w:ascii="宋体" w:hAnsi="宋体" w:eastAsia="宋体" w:cs="宋体"/>
          <w:color w:val="auto"/>
          <w:szCs w:val="21"/>
          <w:highlight w:val="none"/>
        </w:rPr>
        <w:t>否则作无效投标处理</w:t>
      </w:r>
      <w:r>
        <w:rPr>
          <w:rFonts w:hint="eastAsia" w:ascii="宋体" w:hAnsi="宋体" w:eastAsia="宋体" w:cs="宋体"/>
          <w:b/>
          <w:color w:val="auto"/>
          <w:szCs w:val="21"/>
          <w:highlight w:val="none"/>
        </w:rPr>
        <w:t>。</w:t>
      </w:r>
    </w:p>
    <w:p w14:paraId="4FA9E89A">
      <w:pPr>
        <w:spacing w:line="360" w:lineRule="auto"/>
        <w:ind w:firstLine="630" w:firstLineChars="3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19.5投标文件应避免涂改、行间插字或者删除</w:t>
      </w:r>
      <w:r>
        <w:rPr>
          <w:rFonts w:hint="eastAsia" w:ascii="宋体" w:hAnsi="宋体" w:eastAsia="宋体" w:cs="宋体"/>
          <w:color w:val="auto"/>
          <w:szCs w:val="21"/>
          <w:highlight w:val="none"/>
          <w:lang w:eastAsia="zh-CN"/>
        </w:rPr>
        <w:t>。</w:t>
      </w:r>
    </w:p>
    <w:p w14:paraId="59FDC96A">
      <w:pPr>
        <w:spacing w:line="360" w:lineRule="auto"/>
        <w:ind w:firstLine="525" w:firstLineChars="250"/>
        <w:rPr>
          <w:rFonts w:hint="eastAsia" w:ascii="宋体" w:hAnsi="宋体" w:eastAsia="宋体" w:cs="宋体"/>
          <w:color w:val="auto"/>
          <w:highlight w:val="none"/>
        </w:rPr>
      </w:pPr>
      <w:r>
        <w:rPr>
          <w:rFonts w:hint="eastAsia" w:ascii="宋体" w:hAnsi="宋体" w:eastAsia="宋体" w:cs="宋体"/>
          <w:color w:val="auto"/>
          <w:highlight w:val="none"/>
        </w:rPr>
        <w:t>19.6 对招标文件的实质性要求和条件作出响应是指投标人必须对招标文件中标注为实质性要求和条件的</w:t>
      </w:r>
      <w:r>
        <w:rPr>
          <w:rFonts w:hint="eastAsia" w:ascii="宋体" w:hAnsi="宋体" w:eastAsia="宋体" w:cs="宋体"/>
          <w:color w:val="auto"/>
          <w:szCs w:val="21"/>
          <w:highlight w:val="none"/>
        </w:rPr>
        <w:t>服务内容及要求</w:t>
      </w:r>
      <w:r>
        <w:rPr>
          <w:rFonts w:hint="eastAsia" w:ascii="宋体" w:hAnsi="宋体" w:eastAsia="宋体" w:cs="宋体"/>
          <w:color w:val="auto"/>
          <w:highlight w:val="none"/>
        </w:rPr>
        <w:t>、商务条款及其它内容</w:t>
      </w:r>
      <w:r>
        <w:rPr>
          <w:rFonts w:hint="eastAsia" w:ascii="宋体" w:hAnsi="宋体" w:eastAsia="宋体" w:cs="宋体"/>
          <w:b/>
          <w:color w:val="auto"/>
          <w:highlight w:val="none"/>
        </w:rPr>
        <w:t>作出满足或者优于原要求和条件的承诺</w:t>
      </w:r>
      <w:r>
        <w:rPr>
          <w:rFonts w:hint="eastAsia" w:ascii="宋体" w:hAnsi="宋体" w:eastAsia="宋体" w:cs="宋体"/>
          <w:color w:val="auto"/>
          <w:highlight w:val="none"/>
        </w:rPr>
        <w:t>。</w:t>
      </w:r>
    </w:p>
    <w:p w14:paraId="1B97DA1D">
      <w:pPr>
        <w:spacing w:line="360" w:lineRule="auto"/>
        <w:ind w:firstLine="422" w:firstLineChars="200"/>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u w:val="single"/>
        </w:rPr>
        <w:t>19.7本项目为全流程电子化项目，异常情况见“第二节 投标人须知正文”中“四、24.2开标程序。</w:t>
      </w:r>
    </w:p>
    <w:p w14:paraId="33BDA4AC">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20.备份投标文件</w:t>
      </w:r>
    </w:p>
    <w:p w14:paraId="6E357981">
      <w:pPr>
        <w:spacing w:line="360" w:lineRule="auto"/>
        <w:ind w:firstLine="420" w:firstLineChars="200"/>
        <w:rPr>
          <w:rFonts w:hint="eastAsia" w:ascii="黑体" w:hAnsi="黑体" w:eastAsia="黑体" w:cs="Times New Roman"/>
          <w:color w:val="auto"/>
          <w:sz w:val="24"/>
          <w:highlight w:val="none"/>
        </w:rPr>
      </w:pPr>
      <w:r>
        <w:rPr>
          <w:rFonts w:hint="eastAsia" w:ascii="Times New Roman" w:hAnsi="宋体" w:eastAsia="宋体" w:cs="Times New Roman"/>
          <w:bCs/>
          <w:color w:val="auto"/>
          <w:szCs w:val="21"/>
          <w:highlight w:val="none"/>
        </w:rPr>
        <w:t>详见在“投标人须知前附表”。</w:t>
      </w:r>
    </w:p>
    <w:p w14:paraId="1FA47FF7">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21.投标文件的提交</w:t>
      </w:r>
    </w:p>
    <w:p w14:paraId="0E9B941A">
      <w:pPr>
        <w:spacing w:line="360" w:lineRule="auto"/>
        <w:ind w:firstLine="420" w:firstLineChars="200"/>
        <w:rPr>
          <w:rFonts w:hint="eastAsia" w:ascii="Times New Roman" w:hAnsi="宋体" w:eastAsia="宋体" w:cs="Times New Roman"/>
          <w:b/>
          <w:color w:val="auto"/>
          <w:highlight w:val="none"/>
        </w:rPr>
      </w:pPr>
      <w:bookmarkStart w:id="183" w:name="_21.1投标人必须在“投标人须知中的前附表”规定的投标文件接收时间和投"/>
      <w:bookmarkEnd w:id="183"/>
      <w:r>
        <w:rPr>
          <w:rFonts w:hint="eastAsia" w:ascii="宋体" w:hAnsi="宋体" w:eastAsia="宋体" w:cs="宋体"/>
          <w:bCs/>
          <w:color w:val="auto"/>
          <w:szCs w:val="21"/>
          <w:highlight w:val="none"/>
        </w:rPr>
        <w:t>21.1</w:t>
      </w:r>
      <w:r>
        <w:rPr>
          <w:rFonts w:hint="eastAsia" w:ascii="Times New Roman" w:hAnsi="宋体" w:eastAsia="宋体" w:cs="Times New Roman"/>
          <w:bCs/>
          <w:color w:val="auto"/>
          <w:szCs w:val="21"/>
          <w:highlight w:val="none"/>
        </w:rPr>
        <w:t>投标人必须在“投标人须知前附表”规定的投标文件接收时间和投标地点提交电子版投标文件。电子投标文件应在制作完成后，在投标截止时间前通过有效数字证书（</w:t>
      </w:r>
      <w:r>
        <w:rPr>
          <w:rFonts w:ascii="Times New Roman" w:hAnsi="宋体" w:eastAsia="宋体" w:cs="Times New Roman"/>
          <w:bCs/>
          <w:color w:val="auto"/>
          <w:szCs w:val="21"/>
          <w:highlight w:val="none"/>
        </w:rPr>
        <w:t>CA</w:t>
      </w:r>
      <w:r>
        <w:rPr>
          <w:rFonts w:hint="eastAsia" w:ascii="Times New Roman" w:hAnsi="宋体" w:eastAsia="宋体" w:cs="Times New Roman"/>
          <w:bCs/>
          <w:color w:val="auto"/>
          <w:szCs w:val="21"/>
          <w:highlight w:val="none"/>
        </w:rPr>
        <w:t>认证锁）进行电子签章、加密，然后通过网络将加密的电子投标文件递交至</w:t>
      </w:r>
      <w:r>
        <w:rPr>
          <w:rFonts w:hint="eastAsia" w:ascii="宋体" w:hAnsi="宋体" w:cs="宋体"/>
          <w:b w:val="0"/>
          <w:bCs w:val="0"/>
          <w:color w:val="auto"/>
          <w:sz w:val="21"/>
          <w:szCs w:val="21"/>
          <w:highlight w:val="none"/>
          <w:lang w:val="en-US" w:eastAsia="zh-CN"/>
        </w:rPr>
        <w:t>广西政府采购云平台</w:t>
      </w:r>
      <w:r>
        <w:rPr>
          <w:rFonts w:hint="eastAsia" w:ascii="Times New Roman" w:hAnsi="宋体" w:eastAsia="宋体" w:cs="Times New Roman"/>
          <w:bCs/>
          <w:color w:val="auto"/>
          <w:szCs w:val="21"/>
          <w:highlight w:val="none"/>
        </w:rPr>
        <w:t>。</w:t>
      </w:r>
    </w:p>
    <w:p w14:paraId="62A5A35F">
      <w:pPr>
        <w:spacing w:line="360" w:lineRule="auto"/>
        <w:ind w:firstLine="422" w:firstLineChars="200"/>
        <w:rPr>
          <w:rFonts w:ascii="宋体" w:hAnsi="宋体" w:eastAsia="宋体" w:cs="Times New Roman"/>
          <w:b/>
          <w:color w:val="auto"/>
          <w:szCs w:val="20"/>
          <w:highlight w:val="none"/>
        </w:rPr>
      </w:pPr>
      <w:r>
        <w:rPr>
          <w:rFonts w:hint="eastAsia" w:ascii="宋体" w:hAnsi="宋体" w:eastAsia="宋体" w:cs="Times New Roman"/>
          <w:b/>
          <w:color w:val="auto"/>
          <w:szCs w:val="21"/>
          <w:highlight w:val="none"/>
        </w:rPr>
        <w:t>21.2未在规定时间内提交或者未按照招标文件要求密封或者标记的电子投标文件，</w:t>
      </w:r>
      <w:r>
        <w:rPr>
          <w:rFonts w:hint="eastAsia" w:ascii="宋体" w:hAnsi="宋体" w:cs="Times New Roman"/>
          <w:b/>
          <w:bCs w:val="0"/>
          <w:color w:val="auto"/>
          <w:sz w:val="21"/>
          <w:szCs w:val="21"/>
          <w:highlight w:val="none"/>
          <w:lang w:val="en-US" w:eastAsia="zh-CN"/>
        </w:rPr>
        <w:t>广西政府采购云平台</w:t>
      </w:r>
      <w:r>
        <w:rPr>
          <w:rFonts w:hint="eastAsia" w:ascii="宋体" w:hAnsi="宋体" w:eastAsia="宋体" w:cs="Times New Roman"/>
          <w:b/>
          <w:color w:val="auto"/>
          <w:szCs w:val="21"/>
          <w:highlight w:val="none"/>
        </w:rPr>
        <w:t>将拒收。</w:t>
      </w:r>
    </w:p>
    <w:p w14:paraId="77EF6B4D">
      <w:pPr>
        <w:spacing w:line="360" w:lineRule="auto"/>
        <w:ind w:firstLine="420" w:firstLineChars="200"/>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21.3电子版投标文件提交方式见“招标公告”</w:t>
      </w:r>
      <w:r>
        <w:rPr>
          <w:rFonts w:hint="eastAsia" w:ascii="宋体" w:hAnsi="宋体" w:cs="Times New Roman"/>
          <w:color w:val="auto"/>
          <w:szCs w:val="21"/>
          <w:highlight w:val="none"/>
          <w:lang w:eastAsia="zh-CN"/>
        </w:rPr>
        <w:t>。</w:t>
      </w:r>
    </w:p>
    <w:p w14:paraId="62FC52A4">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22.投标文件的补充、修改、撤回</w:t>
      </w:r>
      <w:bookmarkStart w:id="184" w:name="_Toc254970684"/>
      <w:bookmarkStart w:id="185" w:name="_Toc254970543"/>
    </w:p>
    <w:p w14:paraId="19832C12">
      <w:pPr>
        <w:spacing w:line="360" w:lineRule="auto"/>
        <w:ind w:firstLine="420" w:firstLineChars="200"/>
        <w:rPr>
          <w:rFonts w:hint="eastAsia" w:ascii="黑体" w:hAnsi="黑体" w:eastAsia="黑体" w:cs="Times New Roman"/>
          <w:color w:val="auto"/>
          <w:sz w:val="24"/>
          <w:highlight w:val="none"/>
        </w:rPr>
      </w:pPr>
      <w:r>
        <w:rPr>
          <w:rFonts w:hint="eastAsia" w:ascii="宋体" w:hAnsi="宋体" w:eastAsia="宋体" w:cs="宋体"/>
          <w:color w:val="auto"/>
          <w:szCs w:val="21"/>
          <w:highlight w:val="none"/>
        </w:rPr>
        <w:t xml:space="preserve">22.1 </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w:t>
      </w:r>
      <w:r>
        <w:rPr>
          <w:rFonts w:hint="eastAsia" w:ascii="宋体" w:hAnsi="宋体" w:cs="宋体"/>
          <w:color w:val="auto"/>
          <w:szCs w:val="21"/>
          <w:highlight w:val="none"/>
          <w:lang w:eastAsia="zh-CN"/>
        </w:rPr>
        <w:t>提</w:t>
      </w:r>
      <w:r>
        <w:rPr>
          <w:rFonts w:hint="eastAsia" w:ascii="宋体" w:hAnsi="宋体" w:eastAsia="宋体" w:cs="宋体"/>
          <w:color w:val="auto"/>
          <w:szCs w:val="21"/>
          <w:highlight w:val="none"/>
        </w:rPr>
        <w:t>交的投标文件，</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szCs w:val="21"/>
          <w:highlight w:val="none"/>
        </w:rPr>
        <w:t>将拒收。</w:t>
      </w:r>
    </w:p>
    <w:p w14:paraId="36B5BCD7">
      <w:pPr>
        <w:pStyle w:val="40"/>
        <w:spacing w:before="0"/>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22.2</w:t>
      </w:r>
      <w:r>
        <w:rPr>
          <w:rFonts w:hint="eastAsia" w:ascii="宋体" w:hAnsi="宋体" w:cs="宋体"/>
          <w:color w:val="auto"/>
          <w:sz w:val="21"/>
          <w:szCs w:val="21"/>
          <w:highlight w:val="none"/>
          <w:lang w:val="en-US" w:eastAsia="zh-CN"/>
        </w:rPr>
        <w:t xml:space="preserve"> </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sz w:val="21"/>
          <w:szCs w:val="21"/>
          <w:highlight w:val="none"/>
        </w:rPr>
        <w:t>收到投标文件，将妥善保存并即时向</w:t>
      </w:r>
      <w:r>
        <w:rPr>
          <w:rFonts w:hint="eastAsia" w:ascii="宋体" w:hAnsi="宋体" w:cs="宋体"/>
          <w:color w:val="auto"/>
          <w:sz w:val="21"/>
          <w:szCs w:val="21"/>
          <w:highlight w:val="none"/>
          <w:lang w:eastAsia="zh-CN"/>
        </w:rPr>
        <w:t>投标人</w:t>
      </w:r>
      <w:r>
        <w:rPr>
          <w:rFonts w:hint="eastAsia" w:ascii="宋体" w:hAnsi="宋体" w:eastAsia="宋体" w:cs="宋体"/>
          <w:color w:val="auto"/>
          <w:sz w:val="21"/>
          <w:szCs w:val="21"/>
          <w:highlight w:val="none"/>
        </w:rPr>
        <w:t>发出确认回执通知。在投标截止时间前，除</w:t>
      </w:r>
      <w:r>
        <w:rPr>
          <w:rFonts w:hint="eastAsia" w:ascii="宋体" w:hAnsi="宋体" w:cs="宋体"/>
          <w:color w:val="auto"/>
          <w:sz w:val="21"/>
          <w:szCs w:val="21"/>
          <w:highlight w:val="none"/>
          <w:lang w:eastAsia="zh-CN"/>
        </w:rPr>
        <w:t>投标人</w:t>
      </w:r>
      <w:r>
        <w:rPr>
          <w:rFonts w:hint="eastAsia" w:ascii="宋体" w:hAnsi="宋体" w:eastAsia="宋体" w:cs="宋体"/>
          <w:color w:val="auto"/>
          <w:sz w:val="21"/>
          <w:szCs w:val="21"/>
          <w:highlight w:val="none"/>
        </w:rPr>
        <w:t>补充、修改或者撤回投标文件外，任何单位和个人不得解密或提取投标文件。</w:t>
      </w:r>
    </w:p>
    <w:bookmarkEnd w:id="184"/>
    <w:bookmarkEnd w:id="185"/>
    <w:p w14:paraId="1038A729">
      <w:pPr>
        <w:pStyle w:val="12"/>
        <w:snapToGrid w:val="0"/>
        <w:spacing w:line="400" w:lineRule="exact"/>
        <w:ind w:firstLine="739"/>
        <w:rPr>
          <w:rFonts w:hint="eastAsia" w:hAnsi="宋体" w:eastAsia="宋体" w:cs="Times New Roman"/>
          <w:snapToGrid w:val="0"/>
          <w:color w:val="auto"/>
          <w:sz w:val="21"/>
          <w:szCs w:val="21"/>
          <w:highlight w:val="none"/>
        </w:rPr>
      </w:pPr>
    </w:p>
    <w:p w14:paraId="25377ADA">
      <w:pPr>
        <w:pStyle w:val="4"/>
        <w:keepNext w:val="0"/>
        <w:keepLines w:val="0"/>
        <w:spacing w:line="400" w:lineRule="exact"/>
        <w:jc w:val="center"/>
        <w:rPr>
          <w:rFonts w:hint="eastAsia" w:ascii="Times New Roman" w:hAnsi="Times New Roman" w:eastAsia="宋体" w:cs="Times New Roman"/>
          <w:color w:val="auto"/>
          <w:highlight w:val="none"/>
        </w:rPr>
      </w:pPr>
      <w:bookmarkStart w:id="186" w:name="_Toc14091"/>
      <w:bookmarkStart w:id="187" w:name="_Toc22661"/>
      <w:bookmarkStart w:id="188" w:name="_Toc13250"/>
      <w:bookmarkStart w:id="189" w:name="_Toc2573"/>
      <w:bookmarkStart w:id="190" w:name="_Toc254970685"/>
      <w:bookmarkStart w:id="191" w:name="_Toc27037"/>
      <w:bookmarkStart w:id="192" w:name="_Toc12790"/>
      <w:bookmarkStart w:id="193" w:name="_Toc810"/>
      <w:bookmarkStart w:id="194" w:name="_Toc1586"/>
      <w:bookmarkStart w:id="195" w:name="_Toc32494"/>
      <w:bookmarkStart w:id="196" w:name="_Toc1356"/>
      <w:bookmarkStart w:id="197" w:name="_Toc254970544"/>
      <w:r>
        <w:rPr>
          <w:rFonts w:hint="eastAsia" w:ascii="Times New Roman" w:hAnsi="Times New Roman" w:eastAsia="宋体" w:cs="Times New Roman"/>
          <w:color w:val="auto"/>
          <w:highlight w:val="none"/>
        </w:rPr>
        <w:t>四、开</w:t>
      </w:r>
      <w:r>
        <w:rPr>
          <w:rFonts w:ascii="Times New Roman" w:hAnsi="Times New Roman" w:eastAsia="宋体" w:cs="Times New Roman"/>
          <w:color w:val="auto"/>
          <w:highlight w:val="none"/>
        </w:rPr>
        <w:t xml:space="preserve">    </w:t>
      </w:r>
      <w:r>
        <w:rPr>
          <w:rFonts w:hint="eastAsia" w:ascii="Times New Roman" w:hAnsi="Times New Roman" w:eastAsia="宋体" w:cs="Times New Roman"/>
          <w:color w:val="auto"/>
          <w:highlight w:val="none"/>
        </w:rPr>
        <w:t>标</w:t>
      </w:r>
      <w:bookmarkEnd w:id="186"/>
      <w:bookmarkEnd w:id="187"/>
      <w:bookmarkEnd w:id="188"/>
      <w:bookmarkEnd w:id="189"/>
      <w:bookmarkEnd w:id="190"/>
      <w:bookmarkEnd w:id="191"/>
      <w:bookmarkEnd w:id="192"/>
      <w:bookmarkEnd w:id="193"/>
      <w:bookmarkEnd w:id="194"/>
      <w:bookmarkEnd w:id="195"/>
      <w:bookmarkEnd w:id="196"/>
      <w:bookmarkEnd w:id="197"/>
    </w:p>
    <w:p w14:paraId="0C53F4A4">
      <w:pPr>
        <w:spacing w:line="360" w:lineRule="auto"/>
        <w:ind w:firstLine="480" w:firstLineChars="200"/>
        <w:rPr>
          <w:rFonts w:ascii="黑体" w:hAnsi="黑体" w:eastAsia="黑体" w:cs="Times New Roman"/>
          <w:color w:val="auto"/>
          <w:sz w:val="24"/>
          <w:highlight w:val="none"/>
        </w:rPr>
      </w:pPr>
      <w:bookmarkStart w:id="198" w:name="_23.开标时间和地点"/>
      <w:bookmarkEnd w:id="198"/>
      <w:r>
        <w:rPr>
          <w:rFonts w:hint="eastAsia" w:ascii="黑体" w:hAnsi="黑体" w:eastAsia="黑体" w:cs="Times New Roman"/>
          <w:color w:val="auto"/>
          <w:sz w:val="24"/>
          <w:highlight w:val="none"/>
        </w:rPr>
        <w:t>23.开标时间和地点</w:t>
      </w:r>
    </w:p>
    <w:p w14:paraId="5EAB01A8">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23.1开标时间及地点详见“投标人须知前附表”</w:t>
      </w:r>
    </w:p>
    <w:p w14:paraId="13997F1B">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23.2如</w:t>
      </w:r>
      <w:r>
        <w:rPr>
          <w:rFonts w:hint="eastAsia" w:ascii="宋体" w:hAnsi="宋体" w:eastAsia="宋体" w:cs="宋体"/>
          <w:bCs/>
          <w:color w:val="auto"/>
          <w:highlight w:val="none"/>
        </w:rPr>
        <w:t>投标人成功解密投标文件，但未在</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bCs/>
          <w:color w:val="auto"/>
          <w:highlight w:val="none"/>
        </w:rPr>
        <w:t>电子开标大厅参加开标的，视同认可开标过程和结果，</w:t>
      </w:r>
      <w:r>
        <w:rPr>
          <w:rFonts w:hint="eastAsia" w:ascii="宋体" w:hAnsi="宋体" w:eastAsia="宋体" w:cs="宋体"/>
          <w:color w:val="auto"/>
          <w:highlight w:val="none"/>
        </w:rPr>
        <w:t>由此产生的后果由投标人自行负责。 投标人不足3家的，不得开标。</w:t>
      </w:r>
    </w:p>
    <w:p w14:paraId="1ABCBF1B">
      <w:pPr>
        <w:spacing w:line="360" w:lineRule="auto"/>
        <w:ind w:firstLine="480"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24.开标程序</w:t>
      </w:r>
    </w:p>
    <w:p w14:paraId="3E02B962">
      <w:pPr>
        <w:autoSpaceDE w:val="0"/>
        <w:autoSpaceDN w:val="0"/>
        <w:adjustRightInd w:val="0"/>
        <w:spacing w:line="440" w:lineRule="exact"/>
        <w:ind w:firstLine="420" w:firstLineChars="200"/>
        <w:rPr>
          <w:rFonts w:hint="eastAsia" w:ascii="宋体" w:hAnsi="宋体" w:eastAsia="宋体" w:cs="Times New Roman"/>
          <w:color w:val="auto"/>
          <w:kern w:val="0"/>
          <w:szCs w:val="21"/>
          <w:highlight w:val="none"/>
        </w:rPr>
      </w:pPr>
      <w:r>
        <w:rPr>
          <w:rFonts w:hint="eastAsia" w:ascii="宋体" w:hAnsi="宋体" w:eastAsia="宋体" w:cs="Times New Roman"/>
          <w:bCs/>
          <w:color w:val="auto"/>
          <w:szCs w:val="21"/>
          <w:highlight w:val="none"/>
        </w:rPr>
        <w:t>24.1</w:t>
      </w:r>
      <w:r>
        <w:rPr>
          <w:rFonts w:hint="eastAsia" w:ascii="宋体" w:hAnsi="宋体" w:eastAsia="宋体" w:cs="Times New Roman"/>
          <w:color w:val="auto"/>
          <w:kern w:val="0"/>
          <w:szCs w:val="21"/>
          <w:highlight w:val="none"/>
        </w:rPr>
        <w:t>开标形式：</w:t>
      </w:r>
    </w:p>
    <w:p w14:paraId="6AD77CE0">
      <w:pPr>
        <w:autoSpaceDE w:val="0"/>
        <w:autoSpaceDN w:val="0"/>
        <w:adjustRightInd w:val="0"/>
        <w:spacing w:line="440" w:lineRule="exact"/>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bCs/>
          <w:color w:val="auto"/>
          <w:szCs w:val="21"/>
          <w:highlight w:val="none"/>
        </w:rPr>
        <w:t>开标的准备工作由采购代理机构负责落实，采购代理机构必须基于</w:t>
      </w:r>
      <w:r>
        <w:rPr>
          <w:rFonts w:hint="eastAsia" w:ascii="宋体" w:hAnsi="宋体" w:cs="宋体"/>
          <w:b w:val="0"/>
          <w:bCs w:val="0"/>
          <w:color w:val="auto"/>
          <w:sz w:val="21"/>
          <w:szCs w:val="21"/>
          <w:highlight w:val="none"/>
          <w:lang w:val="en-US" w:eastAsia="zh-CN"/>
        </w:rPr>
        <w:t>广西政府采购云平台</w:t>
      </w:r>
      <w:r>
        <w:rPr>
          <w:rFonts w:hint="eastAsia" w:ascii="宋体" w:hAnsi="宋体" w:cs="Times New Roman"/>
          <w:bCs/>
          <w:color w:val="auto"/>
          <w:szCs w:val="21"/>
          <w:highlight w:val="none"/>
          <w:lang w:eastAsia="zh-CN"/>
        </w:rPr>
        <w:t>依法抽取</w:t>
      </w:r>
      <w:r>
        <w:rPr>
          <w:rFonts w:hint="eastAsia" w:ascii="宋体" w:hAnsi="宋体" w:eastAsia="宋体" w:cs="Times New Roman"/>
          <w:bCs/>
          <w:color w:val="auto"/>
          <w:szCs w:val="21"/>
          <w:highlight w:val="none"/>
        </w:rPr>
        <w:t>评审专家，如采购代理机构未按规定</w:t>
      </w:r>
      <w:r>
        <w:rPr>
          <w:rFonts w:hint="eastAsia" w:ascii="宋体" w:hAnsi="宋体" w:cs="Times New Roman"/>
          <w:bCs/>
          <w:color w:val="auto"/>
          <w:szCs w:val="21"/>
          <w:highlight w:val="none"/>
          <w:lang w:eastAsia="zh-CN"/>
        </w:rPr>
        <w:t>抽</w:t>
      </w:r>
      <w:r>
        <w:rPr>
          <w:rFonts w:hint="eastAsia" w:ascii="宋体" w:hAnsi="宋体" w:eastAsia="宋体" w:cs="Times New Roman"/>
          <w:bCs/>
          <w:color w:val="auto"/>
          <w:szCs w:val="21"/>
          <w:highlight w:val="none"/>
        </w:rPr>
        <w:t>取专家的，视为本次开评标无效，应当重新采购；</w:t>
      </w:r>
    </w:p>
    <w:p w14:paraId="13AD99B7">
      <w:pPr>
        <w:autoSpaceDE w:val="0"/>
        <w:autoSpaceDN w:val="0"/>
        <w:adjustRightInd w:val="0"/>
        <w:spacing w:line="440" w:lineRule="exact"/>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（2）采购代理机构将按照招标文件规定的时间通过</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Times New Roman"/>
          <w:bCs/>
          <w:color w:val="auto"/>
          <w:szCs w:val="21"/>
          <w:highlight w:val="none"/>
        </w:rPr>
        <w:t>组织线上开标活动、开启投标文件，所有</w:t>
      </w:r>
      <w:r>
        <w:rPr>
          <w:rFonts w:hint="eastAsia" w:ascii="宋体" w:hAnsi="宋体" w:cs="Times New Roman"/>
          <w:bCs/>
          <w:color w:val="auto"/>
          <w:szCs w:val="21"/>
          <w:highlight w:val="none"/>
          <w:lang w:eastAsia="zh-CN"/>
        </w:rPr>
        <w:t>投标人</w:t>
      </w:r>
      <w:r>
        <w:rPr>
          <w:rFonts w:hint="eastAsia" w:ascii="宋体" w:hAnsi="宋体" w:eastAsia="宋体" w:cs="Times New Roman"/>
          <w:bCs/>
          <w:color w:val="auto"/>
          <w:szCs w:val="21"/>
          <w:highlight w:val="none"/>
        </w:rPr>
        <w:t>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14:paraId="196058F2">
      <w:pPr>
        <w:autoSpaceDE w:val="0"/>
        <w:autoSpaceDN w:val="0"/>
        <w:adjustRightInd w:val="0"/>
        <w:spacing w:line="440" w:lineRule="exact"/>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24.2开标程序：</w:t>
      </w:r>
    </w:p>
    <w:p w14:paraId="6FCD65EF">
      <w:pPr>
        <w:pStyle w:val="16"/>
        <w:snapToGrid w:val="0"/>
        <w:spacing w:line="440" w:lineRule="exact"/>
        <w:ind w:firstLine="422" w:firstLineChars="200"/>
        <w:rPr>
          <w:rFonts w:hint="eastAsia" w:hAnsi="宋体" w:eastAsia="宋体" w:cs="Times New Roman"/>
          <w:color w:val="auto"/>
          <w:szCs w:val="21"/>
          <w:highlight w:val="none"/>
        </w:rPr>
      </w:pPr>
      <w:r>
        <w:rPr>
          <w:rFonts w:hint="eastAsia" w:hAnsi="宋体" w:eastAsia="宋体" w:cs="Times New Roman"/>
          <w:b/>
          <w:color w:val="auto"/>
          <w:szCs w:val="21"/>
          <w:highlight w:val="none"/>
        </w:rPr>
        <w:t>（1）解密电子投标文件。</w:t>
      </w:r>
      <w:r>
        <w:rPr>
          <w:rFonts w:hint="eastAsia" w:ascii="宋体" w:hAnsi="宋体" w:cs="宋体"/>
          <w:b w:val="0"/>
          <w:bCs w:val="0"/>
          <w:color w:val="auto"/>
          <w:sz w:val="21"/>
          <w:szCs w:val="21"/>
          <w:highlight w:val="none"/>
          <w:lang w:val="en-US" w:eastAsia="zh-CN"/>
        </w:rPr>
        <w:t>广西政府采购云平台</w:t>
      </w:r>
      <w:r>
        <w:rPr>
          <w:rFonts w:hint="eastAsia" w:hAnsi="宋体" w:eastAsia="宋体" w:cs="仿宋_GB2312"/>
          <w:color w:val="auto"/>
          <w:szCs w:val="21"/>
          <w:highlight w:val="none"/>
        </w:rPr>
        <w:t>按开标时间自动提取所有投标文件。采购代理机构依托</w:t>
      </w:r>
      <w:r>
        <w:rPr>
          <w:rFonts w:hint="eastAsia" w:ascii="宋体" w:hAnsi="宋体" w:cs="宋体"/>
          <w:b w:val="0"/>
          <w:bCs w:val="0"/>
          <w:color w:val="auto"/>
          <w:sz w:val="21"/>
          <w:szCs w:val="21"/>
          <w:highlight w:val="none"/>
          <w:lang w:val="en-US" w:eastAsia="zh-CN"/>
        </w:rPr>
        <w:t>广西政府采购云平台</w:t>
      </w:r>
      <w:r>
        <w:rPr>
          <w:rFonts w:hint="eastAsia" w:hAnsi="宋体" w:eastAsia="宋体" w:cs="Times New Roman"/>
          <w:color w:val="auto"/>
          <w:szCs w:val="21"/>
          <w:highlight w:val="none"/>
        </w:rPr>
        <w:t>向各投标人发出电子加密投标文件【开始解密】通知，由投标人在规定的时间内自行将投标文件在线解密。投标人的法定代表人或其委托代理人</w:t>
      </w:r>
      <w:r>
        <w:rPr>
          <w:rFonts w:hint="eastAsia" w:hAnsi="宋体" w:eastAsia="宋体" w:cs="Times New Roman"/>
          <w:b/>
          <w:color w:val="auto"/>
          <w:szCs w:val="21"/>
          <w:highlight w:val="none"/>
        </w:rPr>
        <w:t>须携带加密时所用的CA锁准时登录到</w:t>
      </w:r>
      <w:r>
        <w:rPr>
          <w:rFonts w:hint="eastAsia" w:ascii="宋体" w:hAnsi="宋体" w:cs="Times New Roman"/>
          <w:b/>
          <w:bCs w:val="0"/>
          <w:color w:val="auto"/>
          <w:sz w:val="21"/>
          <w:szCs w:val="21"/>
          <w:highlight w:val="none"/>
          <w:lang w:val="en-US" w:eastAsia="zh-CN"/>
        </w:rPr>
        <w:t>广西政府采购云平台</w:t>
      </w:r>
      <w:r>
        <w:rPr>
          <w:rFonts w:hint="eastAsia" w:hAnsi="宋体" w:eastAsia="宋体" w:cs="Times New Roman"/>
          <w:b/>
          <w:color w:val="auto"/>
          <w:szCs w:val="21"/>
          <w:highlight w:val="none"/>
        </w:rPr>
        <w:t>电子开标大厅签到并对电子投标文件</w:t>
      </w:r>
      <w:r>
        <w:rPr>
          <w:rFonts w:hint="eastAsia" w:hAnsi="宋体" w:cs="Times New Roman"/>
          <w:b/>
          <w:color w:val="auto"/>
          <w:szCs w:val="21"/>
          <w:highlight w:val="none"/>
          <w:lang w:eastAsia="zh-CN"/>
        </w:rPr>
        <w:t>在线</w:t>
      </w:r>
      <w:r>
        <w:rPr>
          <w:rFonts w:hint="eastAsia" w:hAnsi="宋体" w:eastAsia="宋体" w:cs="Times New Roman"/>
          <w:b/>
          <w:color w:val="auto"/>
          <w:szCs w:val="21"/>
          <w:highlight w:val="none"/>
        </w:rPr>
        <w:t>解密</w:t>
      </w:r>
      <w:r>
        <w:rPr>
          <w:rFonts w:hint="eastAsia" w:hAnsi="宋体" w:eastAsia="宋体" w:cs="Times New Roman"/>
          <w:color w:val="auto"/>
          <w:szCs w:val="21"/>
          <w:highlight w:val="none"/>
        </w:rPr>
        <w:t>。</w:t>
      </w:r>
      <w:r>
        <w:rPr>
          <w:rFonts w:hint="eastAsia" w:hAnsi="宋体" w:eastAsia="宋体" w:cs="Times New Roman"/>
          <w:b/>
          <w:bCs/>
          <w:color w:val="auto"/>
          <w:szCs w:val="21"/>
          <w:highlight w:val="none"/>
        </w:rPr>
        <w:t>投标文件未按时解密的，</w:t>
      </w:r>
      <w:r>
        <w:rPr>
          <w:rFonts w:hint="eastAsia" w:hAnsi="宋体" w:eastAsia="宋体" w:cs="Times New Roman"/>
          <w:b/>
          <w:color w:val="auto"/>
          <w:szCs w:val="21"/>
          <w:highlight w:val="none"/>
        </w:rPr>
        <w:t>均视为无效投标。</w:t>
      </w:r>
    </w:p>
    <w:p w14:paraId="0100ACB6">
      <w:pPr>
        <w:pStyle w:val="16"/>
        <w:snapToGrid w:val="0"/>
        <w:spacing w:line="440" w:lineRule="exact"/>
        <w:ind w:firstLine="420" w:firstLineChars="200"/>
        <w:rPr>
          <w:rFonts w:hint="eastAsia" w:hAnsi="宋体" w:eastAsia="宋体" w:cs="Times New Roman"/>
          <w:color w:val="auto"/>
          <w:szCs w:val="21"/>
          <w:highlight w:val="none"/>
        </w:rPr>
      </w:pPr>
      <w:r>
        <w:rPr>
          <w:rFonts w:hint="eastAsia" w:hAnsi="宋体" w:eastAsia="宋体" w:cs="Times New Roman"/>
          <w:color w:val="auto"/>
          <w:szCs w:val="21"/>
          <w:highlight w:val="none"/>
        </w:rPr>
        <w:t>（解密</w:t>
      </w:r>
      <w:r>
        <w:rPr>
          <w:rFonts w:hint="eastAsia" w:hAnsi="宋体" w:eastAsia="宋体" w:cs="Times New Roman"/>
          <w:bCs/>
          <w:color w:val="auto"/>
          <w:szCs w:val="21"/>
          <w:highlight w:val="none"/>
        </w:rPr>
        <w:t>异常情况处理：详见本章</w:t>
      </w:r>
      <w:r>
        <w:rPr>
          <w:rFonts w:hint="eastAsia" w:hAnsi="宋体" w:eastAsia="宋体" w:cs="Times New Roman"/>
          <w:color w:val="auto"/>
          <w:highlight w:val="none"/>
        </w:rPr>
        <w:t>29.3 电子交易活动的中止。</w:t>
      </w:r>
      <w:r>
        <w:rPr>
          <w:rFonts w:hint="eastAsia" w:hAnsi="宋体" w:eastAsia="宋体" w:cs="Times New Roman"/>
          <w:color w:val="auto"/>
          <w:szCs w:val="21"/>
          <w:highlight w:val="none"/>
        </w:rPr>
        <w:t>）</w:t>
      </w:r>
    </w:p>
    <w:p w14:paraId="1BF78327">
      <w:pPr>
        <w:rPr>
          <w:rFonts w:hint="eastAsia"/>
          <w:color w:val="auto"/>
          <w:highlight w:val="none"/>
        </w:rPr>
      </w:pPr>
    </w:p>
    <w:p w14:paraId="48865945">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hint="eastAsia" w:ascii="宋体" w:hAnsi="宋体" w:eastAsia="宋体" w:cs="Times New Roman"/>
          <w:b/>
          <w:color w:val="auto"/>
          <w:szCs w:val="21"/>
          <w:highlight w:val="none"/>
        </w:rPr>
        <w:t>电子唱标。</w:t>
      </w:r>
      <w:r>
        <w:rPr>
          <w:rFonts w:hint="eastAsia" w:ascii="宋体" w:hAnsi="宋体" w:eastAsia="宋体" w:cs="Times New Roman"/>
          <w:color w:val="auto"/>
          <w:szCs w:val="21"/>
          <w:highlight w:val="none"/>
        </w:rPr>
        <w:t>投标文件解密结束，各投标</w:t>
      </w:r>
      <w:r>
        <w:rPr>
          <w:rFonts w:hint="eastAsia" w:ascii="宋体" w:hAnsi="宋体" w:cs="Times New Roman"/>
          <w:color w:val="auto"/>
          <w:szCs w:val="21"/>
          <w:highlight w:val="none"/>
          <w:lang w:eastAsia="zh-CN"/>
        </w:rPr>
        <w:t>人</w:t>
      </w:r>
      <w:r>
        <w:rPr>
          <w:rFonts w:hint="eastAsia" w:ascii="宋体" w:hAnsi="宋体" w:eastAsia="宋体" w:cs="Times New Roman"/>
          <w:color w:val="auto"/>
          <w:szCs w:val="21"/>
          <w:highlight w:val="none"/>
        </w:rPr>
        <w:t>报价均在</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Times New Roman"/>
          <w:color w:val="auto"/>
          <w:szCs w:val="21"/>
          <w:highlight w:val="none"/>
        </w:rPr>
        <w:t>远程不见面开标大厅展示；</w:t>
      </w:r>
    </w:p>
    <w:p w14:paraId="2F6C318E">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color w:val="auto"/>
          <w:szCs w:val="21"/>
          <w:highlight w:val="none"/>
        </w:rPr>
        <w:t>（3）</w:t>
      </w:r>
      <w:r>
        <w:rPr>
          <w:rFonts w:hint="eastAsia" w:ascii="宋体" w:hAnsi="宋体" w:eastAsia="宋体" w:cs="Times New Roman"/>
          <w:bCs/>
          <w:color w:val="auto"/>
          <w:szCs w:val="21"/>
          <w:highlight w:val="none"/>
        </w:rPr>
        <w:t>开标过程由采购代理机构如实记录，并电子留痕，由参加电子开标的各投标人代表对电子开标记录在开标记录公布后15分钟内进行当场校核及勘误，并线上确认，未确认的视同认可开标结果。</w:t>
      </w:r>
    </w:p>
    <w:p w14:paraId="4F74C1EA">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w:t>
      </w:r>
      <w:r>
        <w:rPr>
          <w:rFonts w:hint="eastAsia" w:ascii="宋体" w:hAnsi="宋体" w:cs="Times New Roman"/>
          <w:bCs/>
          <w:color w:val="auto"/>
          <w:szCs w:val="21"/>
          <w:highlight w:val="none"/>
          <w:lang w:val="en-US" w:eastAsia="zh-CN"/>
        </w:rPr>
        <w:t>4</w:t>
      </w:r>
      <w:r>
        <w:rPr>
          <w:rFonts w:hint="eastAsia" w:ascii="宋体" w:hAnsi="宋体" w:eastAsia="宋体" w:cs="Times New Roman"/>
          <w:bCs/>
          <w:color w:val="auto"/>
          <w:szCs w:val="21"/>
          <w:highlight w:val="none"/>
        </w:rPr>
        <w:t>）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14:paraId="417806C4">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w:t>
      </w:r>
      <w:r>
        <w:rPr>
          <w:rFonts w:hint="eastAsia" w:ascii="宋体" w:hAnsi="宋体" w:cs="Times New Roman"/>
          <w:bCs/>
          <w:color w:val="auto"/>
          <w:szCs w:val="21"/>
          <w:highlight w:val="none"/>
          <w:lang w:val="en-US" w:eastAsia="zh-CN"/>
        </w:rPr>
        <w:t>5</w:t>
      </w:r>
      <w:r>
        <w:rPr>
          <w:rFonts w:hint="eastAsia" w:ascii="宋体" w:hAnsi="宋体" w:eastAsia="宋体" w:cs="Times New Roman"/>
          <w:bCs/>
          <w:color w:val="auto"/>
          <w:szCs w:val="21"/>
          <w:highlight w:val="none"/>
        </w:rPr>
        <w:t>）开标结束。</w:t>
      </w:r>
    </w:p>
    <w:p w14:paraId="6786D66E">
      <w:pPr>
        <w:pStyle w:val="16"/>
        <w:snapToGrid w:val="0"/>
        <w:spacing w:line="440" w:lineRule="exact"/>
        <w:ind w:firstLine="422" w:firstLineChars="200"/>
        <w:rPr>
          <w:rFonts w:hint="eastAsia" w:hAnsi="宋体" w:eastAsia="宋体" w:cs="Times New Roman"/>
          <w:color w:val="auto"/>
          <w:szCs w:val="21"/>
          <w:highlight w:val="none"/>
        </w:rPr>
      </w:pPr>
      <w:r>
        <w:rPr>
          <w:rFonts w:hint="eastAsia" w:hAnsi="宋体" w:eastAsia="宋体" w:cs="Times New Roman"/>
          <w:b/>
          <w:bCs/>
          <w:color w:val="auto"/>
          <w:szCs w:val="21"/>
          <w:highlight w:val="none"/>
        </w:rPr>
        <w:t>特别说明：</w:t>
      </w:r>
      <w:r>
        <w:rPr>
          <w:rFonts w:hint="eastAsia" w:hAnsi="宋体" w:eastAsia="宋体" w:cs="Times New Roman"/>
          <w:color w:val="auto"/>
          <w:szCs w:val="21"/>
          <w:highlight w:val="none"/>
        </w:rPr>
        <w:t>如遇</w:t>
      </w:r>
      <w:r>
        <w:rPr>
          <w:rFonts w:hint="eastAsia" w:ascii="宋体" w:hAnsi="宋体" w:cs="宋体"/>
          <w:b w:val="0"/>
          <w:bCs w:val="0"/>
          <w:color w:val="auto"/>
          <w:sz w:val="21"/>
          <w:szCs w:val="21"/>
          <w:highlight w:val="none"/>
          <w:lang w:val="en-US" w:eastAsia="zh-CN"/>
        </w:rPr>
        <w:t>广西政府采购云平台</w:t>
      </w:r>
      <w:r>
        <w:rPr>
          <w:rFonts w:hint="eastAsia" w:hAnsi="宋体" w:eastAsia="宋体" w:cs="Times New Roman"/>
          <w:color w:val="auto"/>
          <w:szCs w:val="21"/>
          <w:highlight w:val="none"/>
        </w:rPr>
        <w:t>电子化开标或评审程序调整的，按调整后执行。</w:t>
      </w:r>
    </w:p>
    <w:p w14:paraId="11C153D1">
      <w:pPr>
        <w:pStyle w:val="16"/>
        <w:snapToGrid w:val="0"/>
        <w:spacing w:line="400" w:lineRule="exact"/>
        <w:ind w:left="689" w:leftChars="228" w:hanging="210" w:hangingChars="100"/>
        <w:rPr>
          <w:rFonts w:hint="eastAsia" w:hAnsi="宋体" w:eastAsia="宋体" w:cs="Times New Roman"/>
          <w:color w:val="auto"/>
          <w:highlight w:val="none"/>
        </w:rPr>
      </w:pPr>
    </w:p>
    <w:p w14:paraId="09693ED1">
      <w:pPr>
        <w:pStyle w:val="4"/>
        <w:keepNext w:val="0"/>
        <w:keepLines w:val="0"/>
        <w:spacing w:line="400" w:lineRule="exact"/>
        <w:jc w:val="center"/>
        <w:rPr>
          <w:rFonts w:hint="eastAsia" w:ascii="Times New Roman" w:hAnsi="Times New Roman" w:eastAsia="宋体" w:cs="Times New Roman"/>
          <w:color w:val="auto"/>
          <w:highlight w:val="none"/>
        </w:rPr>
      </w:pPr>
      <w:bookmarkStart w:id="199" w:name="_Toc2575"/>
      <w:bookmarkStart w:id="200" w:name="_Toc23512"/>
      <w:bookmarkStart w:id="201" w:name="_Toc19053"/>
      <w:bookmarkStart w:id="202" w:name="_Toc6866"/>
      <w:bookmarkStart w:id="203" w:name="_Toc25053"/>
      <w:bookmarkStart w:id="204" w:name="_Toc31994"/>
      <w:bookmarkStart w:id="205" w:name="_Toc29189"/>
      <w:bookmarkStart w:id="206" w:name="_Toc22509"/>
      <w:bookmarkStart w:id="207" w:name="_Toc1489"/>
      <w:bookmarkStart w:id="208" w:name="_Toc8919"/>
      <w:r>
        <w:rPr>
          <w:rFonts w:hint="eastAsia" w:ascii="Times New Roman" w:hAnsi="Times New Roman" w:eastAsia="宋体" w:cs="Times New Roman"/>
          <w:color w:val="auto"/>
          <w:highlight w:val="none"/>
        </w:rPr>
        <w:t>五、资格审查</w:t>
      </w:r>
      <w:bookmarkEnd w:id="199"/>
      <w:bookmarkEnd w:id="200"/>
      <w:bookmarkEnd w:id="201"/>
      <w:bookmarkEnd w:id="202"/>
      <w:bookmarkEnd w:id="203"/>
      <w:bookmarkEnd w:id="204"/>
      <w:bookmarkEnd w:id="205"/>
      <w:bookmarkEnd w:id="206"/>
      <w:bookmarkEnd w:id="207"/>
      <w:bookmarkEnd w:id="208"/>
    </w:p>
    <w:p w14:paraId="7B17A8FF">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ascii="黑体" w:hAnsi="黑体" w:eastAsia="黑体" w:cs="Times New Roman"/>
          <w:color w:val="auto"/>
          <w:sz w:val="24"/>
          <w:highlight w:val="none"/>
        </w:rPr>
      </w:pPr>
      <w:r>
        <w:rPr>
          <w:rFonts w:hint="eastAsia" w:ascii="黑体" w:hAnsi="黑体" w:eastAsia="黑体" w:cs="Times New Roman"/>
          <w:color w:val="auto"/>
          <w:sz w:val="24"/>
          <w:highlight w:val="none"/>
        </w:rPr>
        <w:t>25.资格审查</w:t>
      </w:r>
    </w:p>
    <w:p w14:paraId="79CA1FC5">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宋体" w:hAnsi="宋体" w:eastAsia="宋体" w:cs="Times New Roman"/>
          <w:b/>
          <w:bCs/>
          <w:color w:val="auto"/>
          <w:szCs w:val="20"/>
          <w:highlight w:val="none"/>
        </w:rPr>
      </w:pPr>
      <w:r>
        <w:rPr>
          <w:rFonts w:hint="eastAsia" w:ascii="宋体" w:hAnsi="宋体" w:eastAsia="宋体" w:cs="Times New Roman"/>
          <w:b/>
          <w:bCs/>
          <w:color w:val="auto"/>
          <w:szCs w:val="20"/>
          <w:highlight w:val="none"/>
        </w:rPr>
        <w:t xml:space="preserve"> 25.1开标结束后，采购人或采购</w:t>
      </w:r>
      <w:r>
        <w:rPr>
          <w:rFonts w:hint="eastAsia" w:ascii="宋体" w:hAnsi="宋体" w:cs="Times New Roman"/>
          <w:b/>
          <w:bCs/>
          <w:color w:val="auto"/>
          <w:szCs w:val="20"/>
          <w:highlight w:val="none"/>
          <w:lang w:eastAsia="zh-CN"/>
        </w:rPr>
        <w:t>代理</w:t>
      </w:r>
      <w:r>
        <w:rPr>
          <w:rFonts w:hint="eastAsia" w:ascii="宋体" w:hAnsi="宋体" w:eastAsia="宋体" w:cs="Times New Roman"/>
          <w:b/>
          <w:bCs/>
          <w:color w:val="auto"/>
          <w:szCs w:val="20"/>
          <w:highlight w:val="none"/>
        </w:rPr>
        <w:t>机构依法通过电子投标文件对投标人的资格进行线上审查。</w:t>
      </w:r>
    </w:p>
    <w:p w14:paraId="5B2F2834">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Times New Roman"/>
          <w:color w:val="auto"/>
          <w:highlight w:val="none"/>
        </w:rPr>
      </w:pPr>
      <w:r>
        <w:rPr>
          <w:rFonts w:hint="eastAsia" w:ascii="宋体" w:hAnsi="宋体" w:eastAsia="宋体" w:cs="Times New Roman"/>
          <w:color w:val="auto"/>
          <w:highlight w:val="none"/>
        </w:rPr>
        <w:t>25.</w:t>
      </w:r>
      <w:r>
        <w:rPr>
          <w:rFonts w:hint="eastAsia" w:ascii="宋体" w:hAnsi="宋体" w:cs="Times New Roman"/>
          <w:color w:val="auto"/>
          <w:highlight w:val="none"/>
          <w:lang w:val="en-US" w:eastAsia="zh-CN"/>
        </w:rPr>
        <w:t>2</w:t>
      </w:r>
      <w:r>
        <w:rPr>
          <w:rFonts w:hint="eastAsia" w:ascii="宋体" w:hAnsi="宋体" w:eastAsia="宋体" w:cs="Times New Roman"/>
          <w:color w:val="auto"/>
          <w:highlight w:val="none"/>
        </w:rPr>
        <w:t>资格审查标准为本“招标文件”中“投标人须知前附表”13.1点载明对投标人资格要求的条件。本项目资格审查采用合格制，凡符合招标文件规定的投标人资格要求的投标人均通过资格审查。</w:t>
      </w:r>
    </w:p>
    <w:p w14:paraId="3E385A90">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宋体" w:hAnsi="宋体" w:eastAsia="宋体" w:cs="Times New Roman"/>
          <w:b/>
          <w:bCs/>
          <w:color w:val="auto"/>
          <w:szCs w:val="20"/>
          <w:highlight w:val="none"/>
        </w:rPr>
      </w:pPr>
      <w:bookmarkStart w:id="209" w:name="_25.3_投标人有下列情形之一的，资格审查不通过而导致其投标无效："/>
      <w:bookmarkEnd w:id="209"/>
      <w:r>
        <w:rPr>
          <w:rFonts w:hint="eastAsia" w:ascii="宋体" w:hAnsi="宋体" w:eastAsia="宋体" w:cs="Times New Roman"/>
          <w:b/>
          <w:bCs/>
          <w:color w:val="auto"/>
          <w:szCs w:val="20"/>
          <w:highlight w:val="none"/>
        </w:rPr>
        <w:t>25.</w:t>
      </w:r>
      <w:r>
        <w:rPr>
          <w:rFonts w:hint="eastAsia" w:ascii="宋体" w:hAnsi="宋体" w:cs="Times New Roman"/>
          <w:b/>
          <w:bCs/>
          <w:color w:val="auto"/>
          <w:szCs w:val="20"/>
          <w:highlight w:val="none"/>
          <w:lang w:val="en-US" w:eastAsia="zh-CN"/>
        </w:rPr>
        <w:t>3</w:t>
      </w:r>
      <w:r>
        <w:rPr>
          <w:rFonts w:hint="eastAsia" w:ascii="宋体" w:hAnsi="宋体" w:eastAsia="宋体" w:cs="Times New Roman"/>
          <w:b/>
          <w:bCs/>
          <w:color w:val="auto"/>
          <w:szCs w:val="20"/>
          <w:highlight w:val="none"/>
        </w:rPr>
        <w:t>投标人有下列情形之一的，资格审查不通过，作无效投标处理：</w:t>
      </w:r>
    </w:p>
    <w:p w14:paraId="27B863D0">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（1）不具备招标文件中规定的资格要求的；（注：其中信用查询规则见“投标人须知前附表”，</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highlight w:val="none"/>
        </w:rPr>
        <w:t>已与“信用中国”平台做接口，采购人或者采购代理机构可直接在线查询）</w:t>
      </w:r>
    </w:p>
    <w:p w14:paraId="605ADDB5">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（2）投标文件未提供任一项“投标人须知前附表”资格证明文件规定的“必须提供”的文件资料的；</w:t>
      </w:r>
    </w:p>
    <w:p w14:paraId="3C6F7710">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（3）投标文件提供的资格证明文件出现任一项不符合“投标人须知前附表”资格证明文件规定的“必须提供”的文件资料要求或者无效的。</w:t>
      </w:r>
    </w:p>
    <w:p w14:paraId="7F37EB09">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（4）同一合同项下的不同供应商，单位负责人为同一人或者存在直接控股、管理关系的；为本项目提供过整体设计、规范编制或者项目管理、监理、检测等服务的。</w:t>
      </w:r>
    </w:p>
    <w:p w14:paraId="02AD5360">
      <w:pPr>
        <w:keepNext w:val="0"/>
        <w:keepLines w:val="0"/>
        <w:pageBreakBefore w:val="0"/>
        <w:widowControl w:val="0"/>
        <w:kinsoku/>
        <w:wordWrap/>
        <w:overflowPunct/>
        <w:topLinePunct w:val="0"/>
        <w:autoSpaceDE/>
        <w:autoSpaceDN/>
        <w:bidi w:val="0"/>
        <w:adjustRightInd/>
        <w:snapToGrid/>
        <w:spacing w:line="440" w:lineRule="exact"/>
        <w:ind w:firstLine="422"/>
        <w:textAlignment w:val="auto"/>
        <w:rPr>
          <w:rFonts w:hint="eastAsia" w:ascii="宋体" w:hAnsi="宋体" w:eastAsia="宋体" w:cs="Times New Roman"/>
          <w:b/>
          <w:bCs/>
          <w:color w:val="auto"/>
          <w:sz w:val="21"/>
          <w:szCs w:val="20"/>
          <w:highlight w:val="none"/>
        </w:rPr>
      </w:pPr>
      <w:r>
        <w:rPr>
          <w:rFonts w:hint="eastAsia" w:ascii="宋体" w:hAnsi="宋体" w:eastAsia="宋体" w:cs="Times New Roman"/>
          <w:b/>
          <w:bCs/>
          <w:color w:val="auto"/>
          <w:sz w:val="21"/>
          <w:szCs w:val="20"/>
          <w:highlight w:val="none"/>
        </w:rPr>
        <w:t>25.</w:t>
      </w:r>
      <w:r>
        <w:rPr>
          <w:rFonts w:hint="eastAsia" w:ascii="宋体" w:hAnsi="宋体" w:eastAsia="宋体" w:cs="Times New Roman"/>
          <w:b/>
          <w:bCs/>
          <w:color w:val="auto"/>
          <w:sz w:val="21"/>
          <w:szCs w:val="20"/>
          <w:highlight w:val="none"/>
          <w:lang w:val="en-US" w:eastAsia="zh-CN"/>
        </w:rPr>
        <w:t>4</w:t>
      </w:r>
      <w:r>
        <w:rPr>
          <w:rFonts w:hint="eastAsia" w:ascii="宋体" w:hAnsi="宋体" w:eastAsia="宋体" w:cs="Times New Roman"/>
          <w:b/>
          <w:bCs/>
          <w:color w:val="auto"/>
          <w:sz w:val="21"/>
          <w:szCs w:val="20"/>
          <w:highlight w:val="none"/>
        </w:rPr>
        <w:t>资格审查的合格投标人不足3家的，不得评标。</w:t>
      </w:r>
    </w:p>
    <w:p w14:paraId="6ADCC05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color w:val="auto"/>
          <w:highlight w:val="none"/>
        </w:rPr>
      </w:pPr>
    </w:p>
    <w:p w14:paraId="64BA5354">
      <w:pPr>
        <w:pStyle w:val="4"/>
        <w:keepNext w:val="0"/>
        <w:keepLines w:val="0"/>
        <w:spacing w:line="360" w:lineRule="auto"/>
        <w:jc w:val="center"/>
        <w:rPr>
          <w:rFonts w:hint="eastAsia" w:ascii="Times New Roman" w:hAnsi="Times New Roman" w:eastAsia="宋体" w:cs="Times New Roman"/>
          <w:color w:val="auto"/>
          <w:highlight w:val="none"/>
        </w:rPr>
      </w:pPr>
      <w:bookmarkStart w:id="210" w:name="_Toc20446"/>
      <w:bookmarkStart w:id="211" w:name="_Toc21152"/>
      <w:bookmarkStart w:id="212" w:name="_Toc20983"/>
      <w:bookmarkStart w:id="213" w:name="_Toc1454"/>
      <w:bookmarkStart w:id="214" w:name="_Toc2770"/>
      <w:bookmarkStart w:id="215" w:name="_Toc29412"/>
      <w:bookmarkStart w:id="216" w:name="_Toc3548"/>
      <w:bookmarkStart w:id="217" w:name="_Toc15749"/>
      <w:bookmarkStart w:id="218" w:name="_Toc19035"/>
      <w:bookmarkStart w:id="219" w:name="_Toc11169"/>
      <w:r>
        <w:rPr>
          <w:rFonts w:hint="eastAsia" w:ascii="Times New Roman" w:hAnsi="Times New Roman" w:eastAsia="宋体" w:cs="Times New Roman"/>
          <w:color w:val="auto"/>
          <w:highlight w:val="none"/>
        </w:rPr>
        <w:t>六、评</w:t>
      </w:r>
      <w:r>
        <w:rPr>
          <w:rFonts w:ascii="Times New Roman" w:hAnsi="Times New Roman" w:eastAsia="宋体" w:cs="Times New Roman"/>
          <w:color w:val="auto"/>
          <w:highlight w:val="none"/>
        </w:rPr>
        <w:t xml:space="preserve">   </w:t>
      </w:r>
      <w:r>
        <w:rPr>
          <w:rFonts w:hint="eastAsia" w:ascii="Times New Roman" w:hAnsi="Times New Roman" w:eastAsia="宋体" w:cs="Times New Roman"/>
          <w:color w:val="auto"/>
          <w:highlight w:val="none"/>
        </w:rPr>
        <w:t>标</w:t>
      </w:r>
      <w:bookmarkEnd w:id="210"/>
      <w:bookmarkEnd w:id="211"/>
      <w:bookmarkEnd w:id="212"/>
      <w:bookmarkEnd w:id="213"/>
      <w:bookmarkEnd w:id="214"/>
      <w:bookmarkEnd w:id="215"/>
      <w:bookmarkEnd w:id="216"/>
      <w:bookmarkEnd w:id="217"/>
      <w:bookmarkEnd w:id="218"/>
      <w:bookmarkEnd w:id="219"/>
    </w:p>
    <w:p w14:paraId="19EA9E23">
      <w:pPr>
        <w:spacing w:line="360" w:lineRule="auto"/>
        <w:ind w:firstLine="480" w:firstLineChars="200"/>
        <w:rPr>
          <w:rFonts w:ascii="黑体" w:hAnsi="黑体" w:eastAsia="黑体" w:cs="Times New Roman"/>
          <w:color w:val="auto"/>
          <w:sz w:val="24"/>
          <w:highlight w:val="none"/>
        </w:rPr>
      </w:pPr>
      <w:bookmarkStart w:id="220" w:name="_26.组建评标委员会"/>
      <w:bookmarkEnd w:id="220"/>
      <w:r>
        <w:rPr>
          <w:rFonts w:hint="eastAsia" w:ascii="黑体" w:hAnsi="黑体" w:eastAsia="黑体" w:cs="Times New Roman"/>
          <w:color w:val="auto"/>
          <w:sz w:val="24"/>
          <w:highlight w:val="none"/>
        </w:rPr>
        <w:t>26.组建评标委员会</w:t>
      </w:r>
    </w:p>
    <w:p w14:paraId="371C8011">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评标委员会由采购人代表和评审专家组成，人数为</w:t>
      </w:r>
      <w:r>
        <w:rPr>
          <w:rFonts w:hint="eastAsia" w:hAnsi="宋体" w:cs="Times New Roman"/>
          <w:color w:val="auto"/>
          <w:highlight w:val="none"/>
          <w:lang w:val="en-US" w:eastAsia="zh-CN"/>
        </w:rPr>
        <w:t>7</w:t>
      </w:r>
      <w:r>
        <w:rPr>
          <w:rFonts w:hint="eastAsia" w:ascii="Times New Roman" w:hAnsi="宋体" w:eastAsia="宋体" w:cs="Times New Roman"/>
          <w:color w:val="auto"/>
          <w:highlight w:val="none"/>
        </w:rPr>
        <w:t>人以上单数，其中评审专家不得少于成员总数的三分之二。</w:t>
      </w:r>
    </w:p>
    <w:p w14:paraId="65F6D2BB">
      <w:pPr>
        <w:spacing w:line="360" w:lineRule="auto"/>
        <w:ind w:firstLine="420" w:firstLineChars="200"/>
        <w:rPr>
          <w:rFonts w:ascii="Times New Roman" w:hAnsi="宋体" w:eastAsia="宋体" w:cs="Times New Roman"/>
          <w:color w:val="auto"/>
          <w:highlight w:val="none"/>
        </w:rPr>
      </w:pPr>
      <w:r>
        <w:rPr>
          <w:rFonts w:hint="eastAsia" w:ascii="Times New Roman" w:hAnsi="宋体" w:eastAsia="宋体" w:cs="Times New Roman"/>
          <w:color w:val="auto"/>
          <w:highlight w:val="none"/>
        </w:rPr>
        <w:t>参加过采购项目前期咨询论证的专家，不得参加该采购项目的评审活动。</w:t>
      </w:r>
    </w:p>
    <w:p w14:paraId="5CB95B18">
      <w:pPr>
        <w:spacing w:line="360" w:lineRule="auto"/>
        <w:ind w:firstLine="480"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27.评标的依据</w:t>
      </w:r>
    </w:p>
    <w:p w14:paraId="7B03BA9B">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评标委员会以招标文件为依据对投标文件进行评审，</w:t>
      </w:r>
      <w:r>
        <w:rPr>
          <w:rFonts w:hint="eastAsia" w:ascii="Times New Roman" w:hAnsi="宋体" w:eastAsia="宋体" w:cs="宋体"/>
          <w:color w:val="auto"/>
          <w:highlight w:val="none"/>
        </w:rPr>
        <w:t>“第四章</w:t>
      </w:r>
      <w:r>
        <w:rPr>
          <w:rFonts w:ascii="Times New Roman" w:hAnsi="宋体" w:eastAsia="宋体" w:cs="宋体"/>
          <w:color w:val="auto"/>
          <w:highlight w:val="none"/>
        </w:rPr>
        <w:t xml:space="preserve"> </w:t>
      </w:r>
      <w:r>
        <w:rPr>
          <w:rFonts w:hint="eastAsia" w:ascii="Times New Roman" w:hAnsi="宋体" w:eastAsia="宋体" w:cs="宋体"/>
          <w:color w:val="auto"/>
          <w:highlight w:val="none"/>
        </w:rPr>
        <w:t>评标方法和评标标准”</w:t>
      </w:r>
      <w:r>
        <w:rPr>
          <w:rFonts w:hint="eastAsia" w:ascii="Times New Roman" w:hAnsi="宋体" w:eastAsia="宋体" w:cs="Times New Roman"/>
          <w:color w:val="auto"/>
          <w:highlight w:val="none"/>
        </w:rPr>
        <w:t>没有规定的方法、评审因素和标准，不作为评标依据。</w:t>
      </w:r>
    </w:p>
    <w:p w14:paraId="4CDB6162">
      <w:pPr>
        <w:spacing w:line="360" w:lineRule="auto"/>
        <w:ind w:firstLine="480"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28.评标原则</w:t>
      </w:r>
    </w:p>
    <w:p w14:paraId="5C036359">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58982755">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28.</w:t>
      </w:r>
      <w:r>
        <w:rPr>
          <w:rFonts w:hint="eastAsia" w:ascii="Times New Roman" w:hAnsi="宋体" w:eastAsia="宋体" w:cs="Times New Roman"/>
          <w:color w:val="auto"/>
          <w:highlight w:val="none"/>
          <w:lang w:val="en-US" w:eastAsia="zh-CN"/>
        </w:rPr>
        <w:t>2</w:t>
      </w:r>
      <w:r>
        <w:rPr>
          <w:rFonts w:hint="eastAsia" w:ascii="Times New Roman" w:hAnsi="宋体" w:eastAsia="宋体" w:cs="Times New Roman"/>
          <w:color w:val="auto"/>
          <w:highlight w:val="none"/>
        </w:rPr>
        <w:t>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5C2049F0">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28.</w:t>
      </w:r>
      <w:r>
        <w:rPr>
          <w:rFonts w:hint="eastAsia" w:ascii="Times New Roman" w:hAnsi="宋体" w:eastAsia="宋体" w:cs="Times New Roman"/>
          <w:color w:val="auto"/>
          <w:highlight w:val="none"/>
          <w:lang w:val="en-US" w:eastAsia="zh-CN"/>
        </w:rPr>
        <w:t>3</w:t>
      </w:r>
      <w:r>
        <w:rPr>
          <w:rFonts w:hint="eastAsia" w:ascii="Times New Roman" w:hAnsi="宋体" w:eastAsia="宋体" w:cs="Times New Roman"/>
          <w:color w:val="auto"/>
          <w:highlight w:val="none"/>
        </w:rPr>
        <w:t>评标过程的监控。本项目电子评标过程实行网上留痕、全程录音、录像监控，投标人在评标过程中所进行的试图影响评标结果的不公正活动，可能导致其投标</w:t>
      </w:r>
      <w:r>
        <w:rPr>
          <w:rFonts w:hint="eastAsia" w:ascii="Times New Roman" w:hAnsi="宋体" w:eastAsia="宋体" w:cs="Times New Roman"/>
          <w:color w:val="auto"/>
          <w:highlight w:val="none"/>
          <w:lang w:eastAsia="zh-CN"/>
        </w:rPr>
        <w:t>作</w:t>
      </w:r>
      <w:r>
        <w:rPr>
          <w:rFonts w:hint="eastAsia" w:ascii="Times New Roman" w:hAnsi="宋体" w:eastAsia="宋体" w:cs="Times New Roman"/>
          <w:color w:val="auto"/>
          <w:highlight w:val="none"/>
        </w:rPr>
        <w:t>无效处理。</w:t>
      </w:r>
    </w:p>
    <w:p w14:paraId="2DE10423">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28.</w:t>
      </w:r>
      <w:r>
        <w:rPr>
          <w:rFonts w:hint="eastAsia" w:ascii="Times New Roman" w:hAnsi="宋体" w:eastAsia="宋体" w:cs="Times New Roman"/>
          <w:color w:val="auto"/>
          <w:highlight w:val="none"/>
          <w:lang w:val="en-US" w:eastAsia="zh-CN"/>
        </w:rPr>
        <w:t>4</w:t>
      </w:r>
      <w:r>
        <w:rPr>
          <w:rFonts w:hint="eastAsia" w:ascii="Times New Roman" w:hAnsi="宋体" w:eastAsia="宋体" w:cs="Times New Roman"/>
          <w:color w:val="auto"/>
          <w:highlight w:val="none"/>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3FE10EC9">
      <w:pPr>
        <w:spacing w:line="360" w:lineRule="auto"/>
        <w:ind w:firstLine="480"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29.评标方法</w:t>
      </w:r>
      <w:r>
        <w:rPr>
          <w:rFonts w:hint="eastAsia" w:ascii="黑体" w:hAnsi="黑体" w:eastAsia="黑体" w:cs="Times New Roman"/>
          <w:color w:val="auto"/>
          <w:sz w:val="24"/>
          <w:highlight w:val="none"/>
          <w:lang w:eastAsia="zh-CN"/>
        </w:rPr>
        <w:t>和</w:t>
      </w:r>
      <w:r>
        <w:rPr>
          <w:rFonts w:hint="eastAsia" w:ascii="黑体" w:hAnsi="黑体" w:eastAsia="黑体" w:cs="Times New Roman"/>
          <w:color w:val="auto"/>
          <w:sz w:val="24"/>
          <w:highlight w:val="none"/>
        </w:rPr>
        <w:t>评标标准</w:t>
      </w:r>
    </w:p>
    <w:p w14:paraId="26A86B3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29.1</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本项目的评标方法详见“投标人须知前附表”。</w:t>
      </w:r>
    </w:p>
    <w:p w14:paraId="3C2DD20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29.2 评标委员会按照</w:t>
      </w:r>
      <w:r>
        <w:rPr>
          <w:rFonts w:hint="eastAsia" w:ascii="宋体" w:hAnsi="宋体" w:eastAsia="宋体" w:cs="宋体"/>
          <w:b/>
          <w:color w:val="auto"/>
          <w:highlight w:val="none"/>
        </w:rPr>
        <w:t>“第四章 评标方法和评标标准”</w:t>
      </w:r>
      <w:r>
        <w:rPr>
          <w:rFonts w:hint="eastAsia" w:ascii="宋体" w:hAnsi="宋体" w:eastAsia="宋体" w:cs="宋体"/>
          <w:color w:val="auto"/>
          <w:highlight w:val="none"/>
        </w:rPr>
        <w:t>规定的方法、评审因素、标准和程序对投标文件进行评审。</w:t>
      </w:r>
    </w:p>
    <w:p w14:paraId="5FA4E20D">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29.3 电子交易活动的中止。采购过程中出现以下情形，导致电子交易平台无法正常运行，或者无法保证电子交易的公平、公正和安全时，采购机构可中止电子交易活动：</w:t>
      </w:r>
    </w:p>
    <w:p w14:paraId="0AAC0014">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（1）电子交易平台发生故障而无法登录访问的；</w:t>
      </w:r>
    </w:p>
    <w:p w14:paraId="5B7C2E24">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（2）电子交易平台应用或数据库出现错误，不能进行正常操作的；</w:t>
      </w:r>
    </w:p>
    <w:p w14:paraId="5B3D7537">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（3）电子交易平台发现严重安全漏洞，有潜在泄密危险的；</w:t>
      </w:r>
    </w:p>
    <w:p w14:paraId="77DFCEC6">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（4）病毒发作导致不能进行正常操作的；</w:t>
      </w:r>
    </w:p>
    <w:p w14:paraId="7D4EF339">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w:t>
      </w:r>
      <w:r>
        <w:rPr>
          <w:rFonts w:hint="eastAsia" w:ascii="Times New Roman" w:hAnsi="宋体" w:eastAsia="宋体" w:cs="Times New Roman"/>
          <w:color w:val="auto"/>
          <w:highlight w:val="none"/>
          <w:lang w:val="en-US" w:eastAsia="zh-CN"/>
        </w:rPr>
        <w:t>5</w:t>
      </w:r>
      <w:r>
        <w:rPr>
          <w:rFonts w:hint="eastAsia" w:ascii="Times New Roman" w:hAnsi="宋体" w:eastAsia="宋体" w:cs="Times New Roman"/>
          <w:color w:val="auto"/>
          <w:highlight w:val="none"/>
        </w:rPr>
        <w:t>）其他无法保证电子交易的公平、公正和安全的情况。</w:t>
      </w:r>
    </w:p>
    <w:p w14:paraId="4787B798">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29.4</w:t>
      </w:r>
      <w:r>
        <w:rPr>
          <w:rFonts w:hint="eastAsia" w:hAnsi="宋体" w:cs="Times New Roman"/>
          <w:color w:val="auto"/>
          <w:highlight w:val="none"/>
          <w:lang w:val="en-US" w:eastAsia="zh-CN"/>
        </w:rPr>
        <w:t xml:space="preserve"> </w:t>
      </w:r>
      <w:r>
        <w:rPr>
          <w:rFonts w:hint="eastAsia" w:ascii="Times New Roman" w:hAnsi="宋体" w:eastAsia="宋体" w:cs="Times New Roman"/>
          <w:color w:val="auto"/>
          <w:highlight w:val="none"/>
        </w:rPr>
        <w:t>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42837136">
      <w:pPr>
        <w:rPr>
          <w:color w:val="auto"/>
          <w:highlight w:val="none"/>
        </w:rPr>
      </w:pPr>
    </w:p>
    <w:p w14:paraId="22B82E3B">
      <w:pPr>
        <w:pStyle w:val="4"/>
        <w:keepNext w:val="0"/>
        <w:keepLines w:val="0"/>
        <w:spacing w:line="400" w:lineRule="exact"/>
        <w:jc w:val="center"/>
        <w:rPr>
          <w:rFonts w:hint="eastAsia" w:ascii="Times New Roman" w:hAnsi="Times New Roman" w:eastAsia="宋体" w:cs="Times New Roman"/>
          <w:color w:val="auto"/>
          <w:highlight w:val="none"/>
        </w:rPr>
      </w:pPr>
      <w:bookmarkStart w:id="221" w:name="_Toc254970546"/>
      <w:bookmarkStart w:id="222" w:name="_Toc254970687"/>
      <w:bookmarkStart w:id="223" w:name="_Toc10427"/>
      <w:bookmarkStart w:id="224" w:name="_Toc24771"/>
      <w:bookmarkStart w:id="225" w:name="_Toc31698"/>
      <w:bookmarkStart w:id="226" w:name="_Toc10518"/>
      <w:bookmarkStart w:id="227" w:name="_Toc31226"/>
      <w:bookmarkStart w:id="228" w:name="_Toc4688"/>
      <w:bookmarkStart w:id="229" w:name="_Toc2302"/>
      <w:bookmarkStart w:id="230" w:name="_Toc15452"/>
      <w:bookmarkStart w:id="231" w:name="_Toc32339"/>
      <w:bookmarkStart w:id="232" w:name="_Toc14661"/>
      <w:r>
        <w:rPr>
          <w:rFonts w:hint="eastAsia" w:ascii="Times New Roman" w:hAnsi="Times New Roman" w:eastAsia="宋体" w:cs="Times New Roman"/>
          <w:color w:val="auto"/>
          <w:highlight w:val="none"/>
        </w:rPr>
        <w:t>七、</w:t>
      </w:r>
      <w:bookmarkEnd w:id="221"/>
      <w:bookmarkEnd w:id="222"/>
      <w:r>
        <w:rPr>
          <w:rFonts w:hint="eastAsia" w:ascii="Times New Roman" w:hAnsi="Times New Roman" w:eastAsia="宋体" w:cs="Times New Roman"/>
          <w:color w:val="auto"/>
          <w:highlight w:val="none"/>
        </w:rPr>
        <w:t>中标和合同</w:t>
      </w:r>
      <w:bookmarkEnd w:id="223"/>
      <w:bookmarkEnd w:id="224"/>
      <w:bookmarkEnd w:id="225"/>
      <w:bookmarkEnd w:id="226"/>
      <w:bookmarkEnd w:id="227"/>
      <w:bookmarkEnd w:id="228"/>
      <w:bookmarkEnd w:id="229"/>
      <w:bookmarkEnd w:id="230"/>
      <w:bookmarkEnd w:id="231"/>
      <w:bookmarkEnd w:id="232"/>
    </w:p>
    <w:p w14:paraId="34ABBFDC">
      <w:pPr>
        <w:spacing w:line="360" w:lineRule="auto"/>
        <w:ind w:firstLine="480"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30.确定中标人</w:t>
      </w:r>
    </w:p>
    <w:p w14:paraId="4F21D1CC">
      <w:pPr>
        <w:spacing w:line="360" w:lineRule="auto"/>
        <w:ind w:firstLine="420" w:firstLineChars="200"/>
        <w:rPr>
          <w:rFonts w:hint="eastAsia" w:ascii="宋体" w:hAnsi="宋体" w:eastAsia="宋体" w:cs="Courier New"/>
          <w:b/>
          <w:bCs/>
          <w:color w:val="auto"/>
          <w:szCs w:val="21"/>
          <w:highlight w:val="none"/>
        </w:rPr>
      </w:pPr>
      <w:r>
        <w:rPr>
          <w:rFonts w:hint="eastAsia" w:ascii="宋体" w:hAnsi="宋体" w:cs="宋体"/>
          <w:b w:val="0"/>
          <w:bCs w:val="0"/>
          <w:color w:val="auto"/>
          <w:szCs w:val="21"/>
          <w:highlight w:val="none"/>
        </w:rPr>
        <w:t>30.1</w:t>
      </w:r>
      <w:r>
        <w:rPr>
          <w:rFonts w:hint="eastAsia" w:ascii="宋体" w:hAnsi="宋体" w:eastAsia="宋体" w:cs="宋体"/>
          <w:color w:val="auto"/>
          <w:sz w:val="21"/>
          <w:highlight w:val="none"/>
        </w:rPr>
        <w:t>采购人在收到</w:t>
      </w:r>
      <w:r>
        <w:rPr>
          <w:rFonts w:hint="eastAsia" w:ascii="宋体" w:hAnsi="宋体" w:cs="宋体"/>
          <w:color w:val="auto"/>
          <w:sz w:val="21"/>
          <w:highlight w:val="none"/>
          <w:lang w:eastAsia="zh-CN"/>
        </w:rPr>
        <w:t>评标委员会出具的</w:t>
      </w:r>
      <w:r>
        <w:rPr>
          <w:rFonts w:hint="eastAsia" w:ascii="宋体" w:hAnsi="宋体" w:eastAsia="宋体" w:cs="宋体"/>
          <w:color w:val="auto"/>
          <w:sz w:val="21"/>
          <w:highlight w:val="none"/>
        </w:rPr>
        <w:t>评标报告之日起</w:t>
      </w:r>
      <w:r>
        <w:rPr>
          <w:rFonts w:hint="eastAsia" w:ascii="宋体" w:hAnsi="宋体" w:cs="宋体"/>
          <w:color w:val="auto"/>
          <w:sz w:val="21"/>
          <w:highlight w:val="none"/>
          <w:lang w:val="en-US" w:eastAsia="zh-CN"/>
        </w:rPr>
        <w:t>2</w:t>
      </w:r>
      <w:r>
        <w:rPr>
          <w:rFonts w:hint="eastAsia" w:ascii="宋体" w:hAnsi="宋体" w:eastAsia="宋体" w:cs="宋体"/>
          <w:color w:val="auto"/>
          <w:sz w:val="21"/>
          <w:highlight w:val="none"/>
        </w:rPr>
        <w:t>个工作日内在评标报告推荐的中标候选人名单中按顺序确定中标人。采购人也可以事先授权评标委员会直接确定中标人。</w:t>
      </w:r>
      <w:r>
        <w:rPr>
          <w:rFonts w:ascii="宋体" w:hAnsi="宋体" w:eastAsia="宋体" w:cs="宋体"/>
          <w:color w:val="auto"/>
          <w:sz w:val="21"/>
          <w:highlight w:val="none"/>
        </w:rPr>
        <w:t>中标候选人并列的，由采购人或者采购人委托评标委员会按照</w:t>
      </w:r>
      <w:r>
        <w:rPr>
          <w:rFonts w:hint="eastAsia"/>
          <w:color w:val="auto"/>
          <w:highlight w:val="none"/>
          <w:lang w:eastAsia="zh-CN"/>
        </w:rPr>
        <w:t>“投标人须知前附表”</w:t>
      </w:r>
      <w:r>
        <w:rPr>
          <w:rFonts w:ascii="宋体" w:hAnsi="宋体" w:eastAsia="宋体" w:cs="宋体"/>
          <w:color w:val="auto"/>
          <w:sz w:val="21"/>
          <w:highlight w:val="none"/>
        </w:rPr>
        <w:t>规定的方式确定中标人；招标文件未规定的，采取随机抽取的方式确定。</w:t>
      </w:r>
    </w:p>
    <w:p w14:paraId="1FFE5D5D">
      <w:pPr>
        <w:spacing w:line="360" w:lineRule="auto"/>
        <w:ind w:firstLine="420" w:firstLineChars="200"/>
        <w:rPr>
          <w:rFonts w:hint="eastAsia" w:ascii="宋体" w:hAnsi="宋体" w:eastAsia="宋体" w:cs="Courier New"/>
          <w:color w:val="auto"/>
          <w:szCs w:val="21"/>
          <w:highlight w:val="none"/>
        </w:rPr>
      </w:pPr>
      <w:r>
        <w:rPr>
          <w:rFonts w:hint="eastAsia" w:ascii="宋体" w:hAnsi="宋体" w:eastAsia="宋体" w:cs="Courier New"/>
          <w:color w:val="auto"/>
          <w:szCs w:val="21"/>
          <w:highlight w:val="none"/>
        </w:rPr>
        <w:t>30.2采购人、采购代理机构认为供应商对采购过程、中标结果提出的质疑成立且影响或者可能影响中标结果的，合格供应商符合法定数量时，可以从合格的中标候选人中另行确定中标人的，应当依法另行确定中标人；否则应当重新开展采购活动。</w:t>
      </w:r>
    </w:p>
    <w:p w14:paraId="6BA8D696">
      <w:pPr>
        <w:spacing w:line="360" w:lineRule="auto"/>
        <w:ind w:firstLine="420" w:firstLineChars="200"/>
        <w:rPr>
          <w:rFonts w:hint="eastAsia" w:ascii="宋体" w:hAnsi="宋体" w:eastAsia="宋体" w:cs="Courier New"/>
          <w:color w:val="auto"/>
          <w:szCs w:val="21"/>
          <w:highlight w:val="none"/>
        </w:rPr>
      </w:pPr>
      <w:r>
        <w:rPr>
          <w:rFonts w:hint="eastAsia" w:ascii="宋体" w:hAnsi="宋体" w:eastAsia="宋体" w:cs="Courier New"/>
          <w:color w:val="auto"/>
          <w:szCs w:val="21"/>
          <w:highlight w:val="none"/>
        </w:rPr>
        <w:t>30.3中标</w:t>
      </w:r>
      <w:r>
        <w:rPr>
          <w:rFonts w:hint="eastAsia" w:ascii="宋体" w:hAnsi="宋体" w:cs="Courier New"/>
          <w:color w:val="auto"/>
          <w:szCs w:val="21"/>
          <w:highlight w:val="none"/>
          <w:lang w:eastAsia="zh-CN"/>
        </w:rPr>
        <w:t>人</w:t>
      </w:r>
      <w:r>
        <w:rPr>
          <w:rFonts w:hint="eastAsia" w:ascii="宋体" w:hAnsi="宋体" w:eastAsia="宋体" w:cs="Courier New"/>
          <w:color w:val="auto"/>
          <w:szCs w:val="21"/>
          <w:highlight w:val="none"/>
        </w:rPr>
        <w:t>无正当理由拒签合同的，根据《中华人民共和国政府采购法》第七十七条第一款规定处理。</w:t>
      </w:r>
    </w:p>
    <w:p w14:paraId="6483C37E">
      <w:pPr>
        <w:spacing w:line="360" w:lineRule="auto"/>
        <w:ind w:firstLine="420" w:firstLineChars="200"/>
        <w:rPr>
          <w:rFonts w:hint="eastAsia" w:ascii="宋体" w:hAnsi="宋体" w:eastAsia="宋体" w:cs="Courier New"/>
          <w:color w:val="auto"/>
          <w:szCs w:val="21"/>
          <w:highlight w:val="none"/>
        </w:rPr>
      </w:pPr>
      <w:r>
        <w:rPr>
          <w:rFonts w:hint="eastAsia" w:ascii="宋体" w:hAnsi="宋体" w:eastAsia="宋体" w:cs="Courier New"/>
          <w:color w:val="auto"/>
          <w:szCs w:val="21"/>
          <w:highlight w:val="none"/>
        </w:rPr>
        <w:t>30.4根据《中华人民共和国民法典》</w:t>
      </w:r>
      <w:r>
        <w:rPr>
          <w:rFonts w:hint="eastAsia" w:ascii="Times New Roman" w:hAnsi="Times New Roman" w:eastAsia="宋体" w:cs="Times New Roman"/>
          <w:color w:val="auto"/>
          <w:sz w:val="19"/>
          <w:szCs w:val="19"/>
          <w:highlight w:val="none"/>
        </w:rPr>
        <w:t>第五百六十三条</w:t>
      </w:r>
      <w:r>
        <w:rPr>
          <w:rFonts w:hint="eastAsia" w:ascii="宋体" w:hAnsi="宋体" w:eastAsia="宋体" w:cs="Courier New"/>
          <w:color w:val="auto"/>
          <w:szCs w:val="21"/>
          <w:highlight w:val="none"/>
        </w:rPr>
        <w:t>，因不可抗力致使不能实现合同目的的，当事人可以解除合同。</w:t>
      </w:r>
    </w:p>
    <w:p w14:paraId="317FE4D2">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31.结果公告</w:t>
      </w:r>
    </w:p>
    <w:p w14:paraId="5D60F22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31.1</w:t>
      </w:r>
      <w:r>
        <w:rPr>
          <w:rFonts w:hint="eastAsia" w:ascii="宋体" w:hAnsi="宋体" w:eastAsia="宋体" w:cs="宋体"/>
          <w:color w:val="auto"/>
          <w:highlight w:val="none"/>
        </w:rPr>
        <w:t>在中标</w:t>
      </w:r>
      <w:r>
        <w:rPr>
          <w:rFonts w:hint="eastAsia" w:ascii="宋体" w:hAnsi="宋体" w:eastAsia="宋体" w:cs="宋体"/>
          <w:color w:val="auto"/>
          <w:highlight w:val="none"/>
          <w:lang w:eastAsia="zh-CN"/>
        </w:rPr>
        <w:t>人</w:t>
      </w:r>
      <w:r>
        <w:rPr>
          <w:rFonts w:hint="eastAsia" w:ascii="宋体" w:hAnsi="宋体" w:eastAsia="宋体" w:cs="宋体"/>
          <w:color w:val="auto"/>
          <w:highlight w:val="none"/>
        </w:rPr>
        <w:t>确定之日起2个工作日内，由采购代理机构</w:t>
      </w:r>
      <w:r>
        <w:rPr>
          <w:rFonts w:hint="eastAsia" w:ascii="宋体" w:hAnsi="宋体" w:eastAsia="宋体" w:cs="宋体"/>
          <w:b/>
          <w:color w:val="auto"/>
          <w:szCs w:val="21"/>
          <w:highlight w:val="none"/>
        </w:rPr>
        <w:t>在招标公告发布媒体上</w:t>
      </w:r>
      <w:r>
        <w:rPr>
          <w:rFonts w:hint="eastAsia" w:ascii="宋体" w:hAnsi="宋体" w:eastAsia="宋体" w:cs="宋体"/>
          <w:color w:val="auto"/>
          <w:highlight w:val="none"/>
        </w:rPr>
        <w:t>发布中标结果公告，中标结果公告期限为1个工作日，发布中标结果公告的同时向中标</w:t>
      </w:r>
      <w:r>
        <w:rPr>
          <w:rFonts w:hint="eastAsia" w:ascii="宋体" w:hAnsi="宋体" w:eastAsia="宋体" w:cs="宋体"/>
          <w:color w:val="auto"/>
          <w:highlight w:val="none"/>
          <w:lang w:eastAsia="zh-CN"/>
        </w:rPr>
        <w:t>人</w:t>
      </w:r>
      <w:r>
        <w:rPr>
          <w:rFonts w:hint="eastAsia" w:ascii="宋体" w:hAnsi="宋体" w:eastAsia="宋体" w:cs="宋体"/>
          <w:color w:val="auto"/>
          <w:highlight w:val="none"/>
        </w:rPr>
        <w:t>发出中标通知书。</w:t>
      </w:r>
      <w:r>
        <w:rPr>
          <w:rFonts w:hint="eastAsia" w:ascii="宋体" w:hAnsi="宋体" w:eastAsia="宋体" w:cs="宋体"/>
          <w:b/>
          <w:color w:val="auto"/>
          <w:szCs w:val="21"/>
          <w:highlight w:val="none"/>
        </w:rPr>
        <w:t>采购代理机构发出中标通知书前，应当对中标人信用进行核实，对列入失信被执行人、</w:t>
      </w:r>
      <w:r>
        <w:rPr>
          <w:rFonts w:hint="eastAsia" w:ascii="宋体" w:hAnsi="宋体" w:eastAsia="宋体" w:cs="宋体"/>
          <w:b/>
          <w:color w:val="auto"/>
          <w:szCs w:val="21"/>
          <w:highlight w:val="none"/>
          <w:lang w:eastAsia="zh-CN"/>
        </w:rPr>
        <w:t>重大税收违法失信主体</w:t>
      </w:r>
      <w:r>
        <w:rPr>
          <w:rFonts w:hint="eastAsia" w:ascii="宋体" w:hAnsi="宋体" w:eastAsia="宋体" w:cs="宋体"/>
          <w:b/>
          <w:color w:val="auto"/>
          <w:szCs w:val="21"/>
          <w:highlight w:val="none"/>
        </w:rPr>
        <w:t>、政府采购严重违法失信行为记录名单及其他不符合《中华人民共和国政府采购法》第二十二条规定条件的投标人，取消其中标资格，并</w:t>
      </w:r>
      <w:r>
        <w:rPr>
          <w:rFonts w:hint="eastAsia" w:ascii="宋体" w:hAnsi="宋体" w:eastAsia="宋体" w:cs="宋体"/>
          <w:b/>
          <w:color w:val="auto"/>
          <w:szCs w:val="21"/>
          <w:highlight w:val="none"/>
          <w:lang w:eastAsia="zh-CN"/>
        </w:rPr>
        <w:t>依法</w:t>
      </w:r>
      <w:r>
        <w:rPr>
          <w:rFonts w:hint="eastAsia" w:ascii="宋体" w:hAnsi="宋体" w:eastAsia="宋体" w:cs="宋体"/>
          <w:b/>
          <w:color w:val="auto"/>
          <w:szCs w:val="21"/>
          <w:highlight w:val="none"/>
        </w:rPr>
        <w:t>确定排名第二的中标候选人为中标人。</w:t>
      </w:r>
      <w:r>
        <w:rPr>
          <w:rFonts w:hint="eastAsia" w:ascii="宋体" w:hAnsi="宋体" w:eastAsia="宋体" w:cs="宋体"/>
          <w:color w:val="auto"/>
          <w:szCs w:val="21"/>
          <w:highlight w:val="none"/>
        </w:rPr>
        <w:t>排名第二的中标候选人因前款规定的同样原因被取消中标资格的，</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可以</w:t>
      </w:r>
      <w:r>
        <w:rPr>
          <w:rFonts w:hint="eastAsia" w:ascii="宋体" w:hAnsi="宋体" w:eastAsia="宋体" w:cs="宋体"/>
          <w:color w:val="auto"/>
          <w:szCs w:val="21"/>
          <w:highlight w:val="none"/>
          <w:lang w:eastAsia="zh-CN"/>
        </w:rPr>
        <w:t>依法</w:t>
      </w:r>
      <w:r>
        <w:rPr>
          <w:rFonts w:hint="eastAsia" w:ascii="宋体" w:hAnsi="宋体" w:eastAsia="宋体" w:cs="宋体"/>
          <w:color w:val="auto"/>
          <w:szCs w:val="21"/>
          <w:highlight w:val="none"/>
        </w:rPr>
        <w:t>确定排名第三的中标候选人为中标人，以此类推。</w:t>
      </w:r>
    </w:p>
    <w:p w14:paraId="1994CC3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以上信息查询记录及相关证据与采购文件一并保存。</w:t>
      </w:r>
    </w:p>
    <w:p w14:paraId="1B7F4C8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31.2中小企业在政府采购活动过程中，请根据企业的真实情况出具《中小企业声明函》。依法享受中小企业</w:t>
      </w:r>
      <w:r>
        <w:rPr>
          <w:rFonts w:hint="eastAsia" w:ascii="宋体" w:hAnsi="宋体" w:eastAsia="宋体" w:cs="宋体"/>
          <w:color w:val="auto"/>
          <w:szCs w:val="21"/>
          <w:highlight w:val="none"/>
          <w:lang w:eastAsia="zh-CN"/>
        </w:rPr>
        <w:t>扶持</w:t>
      </w:r>
      <w:r>
        <w:rPr>
          <w:rFonts w:hint="eastAsia" w:ascii="宋体" w:hAnsi="宋体" w:eastAsia="宋体" w:cs="宋体"/>
          <w:color w:val="auto"/>
          <w:szCs w:val="21"/>
          <w:highlight w:val="none"/>
        </w:rPr>
        <w:t>政策的，采购人或者采购代理机构在公告中标结果时，同时公告其《中小企业声明函》，接受社会监督。</w:t>
      </w:r>
    </w:p>
    <w:p w14:paraId="685AC039">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32.发出中标通知书</w:t>
      </w:r>
    </w:p>
    <w:p w14:paraId="068222EE">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32.1在发布中标公告的同时，采购代理机构向中标人通过</w:t>
      </w:r>
      <w:r>
        <w:rPr>
          <w:rFonts w:hint="eastAsia" w:ascii="宋体" w:hAnsi="宋体" w:cs="Times New Roman"/>
          <w:b/>
          <w:bCs w:val="0"/>
          <w:color w:val="auto"/>
          <w:sz w:val="21"/>
          <w:szCs w:val="21"/>
          <w:highlight w:val="none"/>
          <w:lang w:val="en-US" w:eastAsia="zh-CN"/>
        </w:rPr>
        <w:t>广西政府采购云平台</w:t>
      </w:r>
      <w:r>
        <w:rPr>
          <w:rFonts w:hint="eastAsia" w:ascii="宋体" w:hAnsi="宋体" w:eastAsia="宋体" w:cs="Times New Roman"/>
          <w:b/>
          <w:color w:val="auto"/>
          <w:szCs w:val="21"/>
          <w:highlight w:val="none"/>
        </w:rPr>
        <w:t>发出电子中标通知书。</w:t>
      </w:r>
    </w:p>
    <w:p w14:paraId="592B6C23">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32.2对未通过资格审查的投标人，采购人或采购</w:t>
      </w:r>
      <w:r>
        <w:rPr>
          <w:rFonts w:hint="eastAsia" w:ascii="宋体" w:hAnsi="宋体" w:cs="Times New Roman"/>
          <w:b/>
          <w:color w:val="auto"/>
          <w:szCs w:val="21"/>
          <w:highlight w:val="none"/>
          <w:lang w:eastAsia="zh-CN"/>
        </w:rPr>
        <w:t>代理</w:t>
      </w:r>
      <w:r>
        <w:rPr>
          <w:rFonts w:hint="eastAsia" w:ascii="宋体" w:hAnsi="宋体" w:eastAsia="宋体" w:cs="Times New Roman"/>
          <w:b/>
          <w:color w:val="auto"/>
          <w:szCs w:val="21"/>
          <w:highlight w:val="none"/>
        </w:rPr>
        <w:t>机构应当告知其未通过的原因；采用综合评分办法评审的，采购人或采购机构还应当告知未中标人本人的评审得分与排序。</w:t>
      </w:r>
    </w:p>
    <w:p w14:paraId="30E8E727">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33. 无义务解释未中标原因</w:t>
      </w:r>
    </w:p>
    <w:p w14:paraId="49BE51FA">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采购代理机构无义务向未中标的投标人解释未中标原因和退还投标文件。</w:t>
      </w:r>
    </w:p>
    <w:p w14:paraId="07A5C092">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34.合同授予标准</w:t>
      </w:r>
    </w:p>
    <w:p w14:paraId="08F88017">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Courier New"/>
          <w:color w:val="auto"/>
          <w:szCs w:val="21"/>
          <w:highlight w:val="none"/>
        </w:rPr>
        <w:t>合同将授予被确定实质上响应招标文件要求，具备履行合同能力的中标人（招标文件另有约定多名中标人的除外）。</w:t>
      </w:r>
    </w:p>
    <w:p w14:paraId="00E813A5">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35.履约保证金</w:t>
      </w:r>
    </w:p>
    <w:p w14:paraId="44CF825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Courier New"/>
          <w:b w:val="0"/>
          <w:color w:val="auto"/>
          <w:sz w:val="21"/>
          <w:szCs w:val="21"/>
          <w:highlight w:val="none"/>
        </w:rPr>
      </w:pPr>
      <w:bookmarkStart w:id="233" w:name="_39.1中标人须于签订合同前按本须知前附表规定的金额转账或电汇到指定账"/>
      <w:bookmarkEnd w:id="233"/>
      <w:r>
        <w:rPr>
          <w:rFonts w:hint="eastAsia" w:ascii="宋体" w:hAnsi="宋体" w:eastAsia="宋体" w:cs="Courier New"/>
          <w:b w:val="0"/>
          <w:color w:val="auto"/>
          <w:sz w:val="21"/>
          <w:szCs w:val="21"/>
          <w:highlight w:val="none"/>
        </w:rPr>
        <w:t>35.1 履约保证金的金额、提交方式、退付的时间和条件详见 “投标人须知前附表”。中标人未按规定提交履约保证金的，视为拒绝与采购人签订合同，采购人可以按照评标报告推荐的中标候选人名单排序，</w:t>
      </w:r>
      <w:r>
        <w:rPr>
          <w:rFonts w:hint="eastAsia" w:ascii="宋体" w:hAnsi="宋体" w:eastAsia="宋体" w:cs="Courier New"/>
          <w:b w:val="0"/>
          <w:color w:val="auto"/>
          <w:sz w:val="21"/>
          <w:szCs w:val="21"/>
          <w:highlight w:val="none"/>
          <w:lang w:eastAsia="zh-CN"/>
        </w:rPr>
        <w:t>依法</w:t>
      </w:r>
      <w:r>
        <w:rPr>
          <w:rFonts w:hint="eastAsia" w:ascii="宋体" w:hAnsi="宋体" w:eastAsia="宋体" w:cs="Courier New"/>
          <w:b w:val="0"/>
          <w:color w:val="auto"/>
          <w:sz w:val="21"/>
          <w:szCs w:val="21"/>
          <w:highlight w:val="none"/>
        </w:rPr>
        <w:t>确定下一候选人为中标人，也可以重新开展政府采购活动。</w:t>
      </w:r>
    </w:p>
    <w:p w14:paraId="6AEB0CCC">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Courier New"/>
          <w:b w:val="0"/>
          <w:color w:val="auto"/>
          <w:sz w:val="21"/>
          <w:szCs w:val="21"/>
          <w:highlight w:val="none"/>
        </w:rPr>
      </w:pPr>
      <w:r>
        <w:rPr>
          <w:rFonts w:hint="eastAsia" w:ascii="宋体" w:hAnsi="宋体" w:eastAsia="宋体" w:cs="Courier New"/>
          <w:b w:val="0"/>
          <w:color w:val="auto"/>
          <w:sz w:val="21"/>
          <w:szCs w:val="21"/>
          <w:highlight w:val="none"/>
        </w:rPr>
        <w:t>35.2</w:t>
      </w:r>
      <w:r>
        <w:rPr>
          <w:rFonts w:hint="eastAsia" w:ascii="宋体" w:hAnsi="宋体" w:cs="Courier New"/>
          <w:b w:val="0"/>
          <w:color w:val="auto"/>
          <w:sz w:val="21"/>
          <w:szCs w:val="21"/>
          <w:highlight w:val="none"/>
          <w:lang w:val="en-US" w:eastAsia="zh-CN"/>
        </w:rPr>
        <w:t xml:space="preserve"> </w:t>
      </w:r>
      <w:r>
        <w:rPr>
          <w:rFonts w:hint="eastAsia" w:ascii="宋体" w:hAnsi="宋体" w:eastAsia="宋体" w:cs="Courier New"/>
          <w:b w:val="0"/>
          <w:color w:val="auto"/>
          <w:sz w:val="21"/>
          <w:szCs w:val="21"/>
          <w:highlight w:val="none"/>
        </w:rPr>
        <w:t>签订合同后，如中标人不按双方签订的合同规定履约，则没收其全部履约保证金，履约保证金不足以赔偿损失的，按实际损失赔偿。</w:t>
      </w:r>
    </w:p>
    <w:p w14:paraId="27782324">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9"/>
        <w:rPr>
          <w:rFonts w:hint="eastAsia" w:ascii="宋体" w:hAnsi="宋体" w:cs="Courier New"/>
          <w:b w:val="0"/>
          <w:color w:val="auto"/>
          <w:sz w:val="21"/>
          <w:szCs w:val="21"/>
          <w:highlight w:val="none"/>
          <w:lang w:val="en-US" w:eastAsia="zh-CN"/>
        </w:rPr>
      </w:pPr>
      <w:r>
        <w:rPr>
          <w:rFonts w:hint="eastAsia" w:ascii="宋体" w:hAnsi="宋体" w:eastAsia="宋体" w:cs="Courier New"/>
          <w:b w:val="0"/>
          <w:color w:val="auto"/>
          <w:sz w:val="21"/>
          <w:szCs w:val="21"/>
          <w:highlight w:val="none"/>
        </w:rPr>
        <w:t>35.3</w:t>
      </w:r>
      <w:r>
        <w:rPr>
          <w:rFonts w:hint="eastAsia" w:ascii="宋体" w:hAnsi="宋体" w:cs="Courier New"/>
          <w:b w:val="0"/>
          <w:color w:val="auto"/>
          <w:sz w:val="21"/>
          <w:szCs w:val="21"/>
          <w:highlight w:val="none"/>
          <w:lang w:val="en-US" w:eastAsia="zh-CN"/>
        </w:rPr>
        <w:t xml:space="preserve"> 收取的履约保证金应及时退还。</w:t>
      </w:r>
      <w:r>
        <w:rPr>
          <w:rFonts w:hint="eastAsia" w:cs="Times New Roman"/>
          <w:b w:val="0"/>
          <w:bCs/>
          <w:color w:val="auto"/>
          <w:highlight w:val="none"/>
          <w:lang w:val="en-US" w:eastAsia="zh-CN"/>
        </w:rPr>
        <w:t>中标人正常配送未发生扣除履约保证金情况的，一年后</w:t>
      </w:r>
      <w:r>
        <w:rPr>
          <w:rFonts w:hint="eastAsia" w:ascii="Times New Roman" w:hAnsi="Times New Roman" w:eastAsia="宋体" w:cs="Times New Roman"/>
          <w:b w:val="0"/>
          <w:bCs/>
          <w:color w:val="auto"/>
          <w:highlight w:val="none"/>
          <w:lang w:val="en-US" w:eastAsia="zh-CN"/>
        </w:rPr>
        <w:t>采购人（牵头学校）</w:t>
      </w:r>
      <w:r>
        <w:rPr>
          <w:rFonts w:hint="eastAsia" w:cs="Times New Roman"/>
          <w:b w:val="0"/>
          <w:bCs/>
          <w:color w:val="auto"/>
          <w:highlight w:val="none"/>
          <w:lang w:val="en-US" w:eastAsia="zh-CN"/>
        </w:rPr>
        <w:t>退付</w:t>
      </w:r>
      <w:r>
        <w:rPr>
          <w:rFonts w:hint="eastAsia" w:ascii="Times New Roman" w:hAnsi="Times New Roman" w:eastAsia="宋体" w:cs="Times New Roman"/>
          <w:b w:val="0"/>
          <w:bCs/>
          <w:color w:val="auto"/>
          <w:highlight w:val="none"/>
          <w:lang w:val="en-US" w:eastAsia="zh-CN"/>
        </w:rPr>
        <w:t>人民币</w:t>
      </w:r>
      <w:r>
        <w:rPr>
          <w:rFonts w:hint="eastAsia" w:cs="Times New Roman"/>
          <w:b w:val="0"/>
          <w:bCs/>
          <w:color w:val="auto"/>
          <w:highlight w:val="none"/>
          <w:lang w:val="en-US" w:eastAsia="zh-CN"/>
        </w:rPr>
        <w:t>贰</w:t>
      </w:r>
      <w:r>
        <w:rPr>
          <w:rFonts w:hint="eastAsia" w:ascii="Times New Roman" w:hAnsi="Times New Roman" w:eastAsia="宋体" w:cs="Times New Roman"/>
          <w:b w:val="0"/>
          <w:bCs/>
          <w:color w:val="auto"/>
          <w:highlight w:val="none"/>
          <w:lang w:val="en-US" w:eastAsia="zh-CN"/>
        </w:rPr>
        <w:t>拾万元(¥</w:t>
      </w:r>
      <w:r>
        <w:rPr>
          <w:rFonts w:hint="eastAsia" w:cs="Times New Roman"/>
          <w:b w:val="0"/>
          <w:bCs/>
          <w:color w:val="auto"/>
          <w:highlight w:val="none"/>
          <w:lang w:val="en-US" w:eastAsia="zh-CN"/>
        </w:rPr>
        <w:t>2</w:t>
      </w:r>
      <w:r>
        <w:rPr>
          <w:rFonts w:hint="eastAsia" w:ascii="Times New Roman" w:hAnsi="Times New Roman" w:eastAsia="宋体" w:cs="Times New Roman"/>
          <w:b w:val="0"/>
          <w:bCs/>
          <w:color w:val="auto"/>
          <w:highlight w:val="none"/>
          <w:lang w:val="en-US" w:eastAsia="zh-CN"/>
        </w:rPr>
        <w:t>00000.00）</w:t>
      </w:r>
      <w:r>
        <w:rPr>
          <w:rFonts w:hint="eastAsia" w:cs="Times New Roman"/>
          <w:b w:val="0"/>
          <w:bCs/>
          <w:color w:val="auto"/>
          <w:highlight w:val="none"/>
          <w:lang w:val="en-US" w:eastAsia="zh-CN"/>
        </w:rPr>
        <w:t>履约保证金，</w:t>
      </w:r>
      <w:r>
        <w:rPr>
          <w:rFonts w:hint="eastAsia" w:ascii="Times New Roman" w:hAnsi="Times New Roman" w:eastAsia="宋体" w:cs="Times New Roman"/>
          <w:b w:val="0"/>
          <w:bCs/>
          <w:color w:val="auto"/>
          <w:highlight w:val="none"/>
          <w:lang w:val="en-US" w:eastAsia="zh-CN"/>
        </w:rPr>
        <w:t>合同期满后按实际结余额退还中标企业</w:t>
      </w:r>
      <w:r>
        <w:rPr>
          <w:rFonts w:hint="eastAsia" w:cs="Times New Roman"/>
          <w:b w:val="0"/>
          <w:bCs/>
          <w:color w:val="auto"/>
          <w:highlight w:val="none"/>
          <w:lang w:val="en-US" w:eastAsia="zh-CN"/>
        </w:rPr>
        <w:t>全部履约保证金</w:t>
      </w:r>
      <w:r>
        <w:rPr>
          <w:rFonts w:hint="eastAsia" w:ascii="Times New Roman" w:hAnsi="Times New Roman" w:eastAsia="宋体" w:cs="Times New Roman"/>
          <w:b w:val="0"/>
          <w:bCs/>
          <w:color w:val="auto"/>
          <w:highlight w:val="none"/>
          <w:lang w:val="en-US" w:eastAsia="zh-CN"/>
        </w:rPr>
        <w:t>(不计利息)；</w:t>
      </w:r>
      <w:r>
        <w:rPr>
          <w:rFonts w:hint="eastAsia" w:ascii="宋体" w:hAnsi="宋体" w:cs="Courier New"/>
          <w:b w:val="0"/>
          <w:color w:val="auto"/>
          <w:sz w:val="21"/>
          <w:szCs w:val="21"/>
          <w:highlight w:val="none"/>
          <w:lang w:val="en-US" w:eastAsia="zh-CN"/>
        </w:rPr>
        <w:t>验收合格的政府采购项目，预算单位(采购人)应当按照合同约定的退还方式，在5个工作日内办理结余履约保证金退还手续。逾期退还履约保证金的，除应当退还保证金本金外，还应当按中国人民银行同期贷款基准利率上浮20%后的利率支付超期资金占用费，但因投标人自身原因导致无法及时退还的除外。</w:t>
      </w:r>
    </w:p>
    <w:p w14:paraId="7FCDAD63">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9"/>
        <w:rPr>
          <w:rFonts w:hint="eastAsia" w:ascii="宋体" w:hAnsi="宋体" w:eastAsia="宋体" w:cs="Courier New"/>
          <w:b w:val="0"/>
          <w:color w:val="auto"/>
          <w:sz w:val="21"/>
          <w:szCs w:val="21"/>
          <w:highlight w:val="none"/>
        </w:rPr>
      </w:pPr>
      <w:r>
        <w:rPr>
          <w:rFonts w:hint="eastAsia" w:ascii="宋体" w:hAnsi="宋体" w:cs="Courier New"/>
          <w:b w:val="0"/>
          <w:color w:val="auto"/>
          <w:sz w:val="21"/>
          <w:szCs w:val="21"/>
          <w:highlight w:val="none"/>
          <w:lang w:val="en-US" w:eastAsia="zh-CN"/>
        </w:rPr>
        <w:t>35.4</w:t>
      </w:r>
      <w:r>
        <w:rPr>
          <w:rFonts w:hint="eastAsia" w:ascii="宋体" w:hAnsi="宋体" w:eastAsia="宋体" w:cs="Courier New"/>
          <w:b w:val="0"/>
          <w:color w:val="auto"/>
          <w:sz w:val="21"/>
          <w:szCs w:val="21"/>
          <w:highlight w:val="none"/>
        </w:rPr>
        <w:t>在履约保证金退还日期前，若中标人的开户名称、开户银行、</w:t>
      </w:r>
      <w:r>
        <w:rPr>
          <w:rFonts w:hint="eastAsia" w:ascii="宋体" w:hAnsi="宋体" w:eastAsia="宋体" w:cs="Courier New"/>
          <w:b w:val="0"/>
          <w:color w:val="auto"/>
          <w:sz w:val="21"/>
          <w:szCs w:val="21"/>
          <w:highlight w:val="none"/>
          <w:lang w:eastAsia="zh-CN"/>
        </w:rPr>
        <w:t>账</w:t>
      </w:r>
      <w:r>
        <w:rPr>
          <w:rFonts w:hint="eastAsia" w:ascii="宋体" w:hAnsi="宋体" w:eastAsia="宋体" w:cs="Courier New"/>
          <w:b w:val="0"/>
          <w:color w:val="auto"/>
          <w:sz w:val="21"/>
          <w:szCs w:val="21"/>
          <w:highlight w:val="none"/>
        </w:rPr>
        <w:t>号有变动的，请以书面形式通知履约保证金收取单位，否则由此产生的后果由中标人自行承担。</w:t>
      </w:r>
    </w:p>
    <w:p w14:paraId="368D46C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36.签订合同</w:t>
      </w:r>
    </w:p>
    <w:p w14:paraId="7031195C">
      <w:pPr>
        <w:keepNext w:val="0"/>
        <w:keepLines w:val="0"/>
        <w:pageBreakBefore w:val="0"/>
        <w:widowControl w:val="0"/>
        <w:kinsoku/>
        <w:wordWrap/>
        <w:overflowPunct/>
        <w:topLinePunct w:val="0"/>
        <w:autoSpaceDE/>
        <w:autoSpaceDN/>
        <w:bidi w:val="0"/>
        <w:spacing w:line="440" w:lineRule="exact"/>
        <w:ind w:firstLine="422" w:firstLineChars="200"/>
        <w:textAlignment w:val="auto"/>
        <w:rPr>
          <w:rFonts w:hint="eastAsia"/>
          <w:b/>
          <w:bCs/>
          <w:i/>
          <w:iCs/>
          <w:color w:val="auto"/>
          <w:szCs w:val="21"/>
          <w:highlight w:val="none"/>
          <w:lang w:eastAsia="zh-CN"/>
        </w:rPr>
      </w:pPr>
      <w:bookmarkStart w:id="234" w:name="_40.1投标人接到中标通知书后，按须知前附表规定向采购人出示相关资格证"/>
      <w:bookmarkEnd w:id="234"/>
      <w:r>
        <w:rPr>
          <w:rFonts w:hint="eastAsia" w:ascii="宋体" w:hAnsi="宋体" w:cs="宋体"/>
          <w:b/>
          <w:bCs/>
          <w:color w:val="auto"/>
          <w:sz w:val="21"/>
          <w:szCs w:val="21"/>
          <w:highlight w:val="none"/>
          <w:lang w:eastAsia="zh-CN"/>
        </w:rPr>
        <w:t>36.1中标人在中标通知书发出之日起</w:t>
      </w:r>
      <w:r>
        <w:rPr>
          <w:rFonts w:hint="eastAsia" w:ascii="宋体" w:hAnsi="宋体" w:eastAsia="宋体" w:cs="宋体"/>
          <w:b/>
          <w:bCs/>
          <w:color w:val="auto"/>
          <w:sz w:val="21"/>
          <w:szCs w:val="21"/>
          <w:highlight w:val="none"/>
        </w:rPr>
        <w:t>，</w:t>
      </w:r>
      <w:r>
        <w:rPr>
          <w:rFonts w:hint="eastAsia" w:ascii="宋体" w:hAnsi="宋体" w:eastAsia="宋体" w:cs="宋体"/>
          <w:b w:val="0"/>
          <w:bCs w:val="0"/>
          <w:color w:val="auto"/>
          <w:sz w:val="21"/>
          <w:szCs w:val="21"/>
          <w:highlight w:val="none"/>
        </w:rPr>
        <w:t>按规定的日期、时间、地点，由法定代表人或其授权代表与采购人代表签订采购合同。如中标人为联合体的，由联合体成员各方法定代表人或其授权代表与采购人代表签订合同，签订携带资料详见“投标人须知前附表”</w:t>
      </w:r>
      <w:r>
        <w:rPr>
          <w:rFonts w:hint="eastAsia" w:ascii="宋体" w:hAnsi="宋体" w:eastAsia="宋体" w:cs="宋体"/>
          <w:b w:val="0"/>
          <w:color w:val="auto"/>
          <w:sz w:val="21"/>
          <w:szCs w:val="21"/>
          <w:highlight w:val="none"/>
        </w:rPr>
        <w:t>。</w:t>
      </w:r>
    </w:p>
    <w:p w14:paraId="00B0657A">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b/>
          <w:bCs/>
          <w:i/>
          <w:iCs/>
          <w:color w:val="auto"/>
          <w:szCs w:val="21"/>
          <w:highlight w:val="none"/>
          <w:lang w:eastAsia="zh-CN"/>
        </w:rPr>
      </w:pPr>
      <w:r>
        <w:rPr>
          <w:rFonts w:hint="eastAsia" w:ascii="宋体" w:hAnsi="宋体" w:cs="Times New Roman"/>
          <w:b w:val="0"/>
          <w:bCs w:val="0"/>
          <w:i w:val="0"/>
          <w:iCs w:val="0"/>
          <w:color w:val="auto"/>
          <w:sz w:val="21"/>
          <w:szCs w:val="21"/>
          <w:highlight w:val="none"/>
          <w:lang w:val="zh-CN" w:eastAsia="zh-CN"/>
        </w:rPr>
        <w:t>36.2采购合同由采购人与中标人根据招标文件、投标文件等内容签订。</w:t>
      </w:r>
    </w:p>
    <w:p w14:paraId="738802AC">
      <w:pPr>
        <w:pStyle w:val="40"/>
        <w:keepNext w:val="0"/>
        <w:keepLines w:val="0"/>
        <w:pageBreakBefore w:val="0"/>
        <w:widowControl w:val="0"/>
        <w:kinsoku/>
        <w:wordWrap/>
        <w:overflowPunct/>
        <w:topLinePunct w:val="0"/>
        <w:autoSpaceDE/>
        <w:autoSpaceDN/>
        <w:bidi w:val="0"/>
        <w:snapToGrid w:val="0"/>
        <w:spacing w:before="0" w:line="440" w:lineRule="exact"/>
        <w:ind w:firstLine="420"/>
        <w:textAlignment w:val="auto"/>
        <w:rPr>
          <w:rFonts w:hint="eastAsia" w:ascii="宋体" w:hAnsi="宋体" w:eastAsia="宋体" w:cs="仿宋_GB2312"/>
          <w:color w:val="auto"/>
          <w:sz w:val="21"/>
          <w:szCs w:val="21"/>
          <w:highlight w:val="none"/>
        </w:rPr>
      </w:pPr>
      <w:r>
        <w:rPr>
          <w:rFonts w:hint="eastAsia" w:ascii="宋体" w:hAnsi="宋体" w:eastAsia="宋体" w:cs="Times New Roman"/>
          <w:color w:val="auto"/>
          <w:sz w:val="21"/>
          <w:szCs w:val="21"/>
          <w:highlight w:val="none"/>
        </w:rPr>
        <w:t>36.3签订合同时间：按中标通知书规定的时间与采购人签订合同。</w:t>
      </w:r>
    </w:p>
    <w:p w14:paraId="15D0A71D">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36.4中标人拒绝与采购人签订合同的，采购人可以按照评审报告推荐的中标候选人名单排序，</w:t>
      </w:r>
      <w:r>
        <w:rPr>
          <w:rFonts w:hint="eastAsia" w:ascii="宋体" w:hAnsi="宋体" w:cs="Times New Roman"/>
          <w:color w:val="auto"/>
          <w:szCs w:val="21"/>
          <w:highlight w:val="none"/>
          <w:lang w:eastAsia="zh-CN"/>
        </w:rPr>
        <w:t>依法</w:t>
      </w:r>
      <w:r>
        <w:rPr>
          <w:rFonts w:hint="eastAsia" w:ascii="宋体" w:hAnsi="宋体" w:eastAsia="宋体" w:cs="Times New Roman"/>
          <w:color w:val="auto"/>
          <w:szCs w:val="21"/>
          <w:highlight w:val="none"/>
        </w:rPr>
        <w:t>确定下一候选人为中标人，也可以重新开展政府采购活动。如采购人无正当理由拒签合同的，给中标</w:t>
      </w:r>
      <w:r>
        <w:rPr>
          <w:rFonts w:hint="eastAsia" w:ascii="宋体" w:hAnsi="宋体" w:cs="Times New Roman"/>
          <w:color w:val="auto"/>
          <w:szCs w:val="21"/>
          <w:highlight w:val="none"/>
          <w:lang w:eastAsia="zh-CN"/>
        </w:rPr>
        <w:t>人</w:t>
      </w:r>
      <w:r>
        <w:rPr>
          <w:rFonts w:hint="eastAsia" w:ascii="宋体" w:hAnsi="宋体" w:eastAsia="宋体" w:cs="Times New Roman"/>
          <w:color w:val="auto"/>
          <w:szCs w:val="21"/>
          <w:highlight w:val="none"/>
        </w:rPr>
        <w:t>造成损失的，中标</w:t>
      </w:r>
      <w:r>
        <w:rPr>
          <w:rFonts w:hint="eastAsia" w:ascii="宋体" w:hAnsi="宋体" w:cs="Times New Roman"/>
          <w:color w:val="auto"/>
          <w:szCs w:val="21"/>
          <w:highlight w:val="none"/>
          <w:lang w:eastAsia="zh-CN"/>
        </w:rPr>
        <w:t>人</w:t>
      </w:r>
      <w:r>
        <w:rPr>
          <w:rFonts w:hint="eastAsia" w:ascii="宋体" w:hAnsi="宋体" w:eastAsia="宋体" w:cs="Times New Roman"/>
          <w:color w:val="auto"/>
          <w:szCs w:val="21"/>
          <w:highlight w:val="none"/>
        </w:rPr>
        <w:t>可追究采购人承担相应的法律责任。</w:t>
      </w:r>
    </w:p>
    <w:p w14:paraId="7731062E">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36.5政府采购合同是政府采购项目验收的依据，中标</w:t>
      </w:r>
      <w:r>
        <w:rPr>
          <w:rFonts w:hint="eastAsia" w:ascii="宋体" w:hAnsi="宋体" w:cs="Times New Roman"/>
          <w:color w:val="auto"/>
          <w:szCs w:val="21"/>
          <w:highlight w:val="none"/>
          <w:lang w:eastAsia="zh-CN"/>
        </w:rPr>
        <w:t>人</w:t>
      </w:r>
      <w:r>
        <w:rPr>
          <w:rFonts w:hint="eastAsia" w:ascii="宋体" w:hAnsi="宋体" w:eastAsia="宋体" w:cs="Times New Roman"/>
          <w:color w:val="auto"/>
          <w:szCs w:val="21"/>
          <w:highlight w:val="none"/>
        </w:rPr>
        <w:t>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573E9A24">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36.6采购人或中标</w:t>
      </w:r>
      <w:r>
        <w:rPr>
          <w:rFonts w:hint="eastAsia" w:ascii="宋体" w:hAnsi="宋体" w:cs="Times New Roman"/>
          <w:color w:val="auto"/>
          <w:szCs w:val="21"/>
          <w:highlight w:val="none"/>
          <w:lang w:eastAsia="zh-CN"/>
        </w:rPr>
        <w:t>人</w:t>
      </w:r>
      <w:r>
        <w:rPr>
          <w:rFonts w:hint="eastAsia" w:ascii="宋体" w:hAnsi="宋体" w:eastAsia="宋体" w:cs="Times New Roman"/>
          <w:color w:val="auto"/>
          <w:szCs w:val="21"/>
          <w:highlight w:val="none"/>
        </w:rPr>
        <w:t>不得单方面向合同另一方提出任何招标文件没有约定的条件或不合理的要求，作为签订合同的条件；也不得协商另行订立背离招标文件和合同实质性内容的协议。</w:t>
      </w:r>
    </w:p>
    <w:p w14:paraId="7F77C9E5">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36.7</w:t>
      </w:r>
      <w:r>
        <w:rPr>
          <w:rFonts w:hint="eastAsia" w:ascii="宋体" w:hAnsi="宋体" w:eastAsia="宋体" w:cs="仿宋_GB2312"/>
          <w:color w:val="auto"/>
          <w:szCs w:val="21"/>
          <w:highlight w:val="none"/>
        </w:rPr>
        <w:t>如签订合同并生效后，</w:t>
      </w:r>
      <w:r>
        <w:rPr>
          <w:rFonts w:hint="eastAsia" w:ascii="宋体" w:hAnsi="宋体" w:cs="仿宋_GB2312"/>
          <w:color w:val="auto"/>
          <w:szCs w:val="21"/>
          <w:highlight w:val="none"/>
          <w:lang w:eastAsia="zh-CN"/>
        </w:rPr>
        <w:t>中标人</w:t>
      </w:r>
      <w:r>
        <w:rPr>
          <w:rFonts w:hint="eastAsia" w:ascii="宋体" w:hAnsi="宋体" w:eastAsia="宋体" w:cs="仿宋_GB2312"/>
          <w:color w:val="auto"/>
          <w:szCs w:val="21"/>
          <w:highlight w:val="none"/>
        </w:rPr>
        <w:t>无故拒绝或延期，除按照合同条款处理外，将承担相应的法律责任。</w:t>
      </w:r>
    </w:p>
    <w:p w14:paraId="0ED1B1D8">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黑体" w:hAnsi="黑体" w:eastAsia="黑体" w:cs="Times New Roman"/>
          <w:color w:val="auto"/>
          <w:sz w:val="24"/>
          <w:highlight w:val="none"/>
        </w:rPr>
      </w:pPr>
      <w:bookmarkStart w:id="235" w:name="_41.政府采购合同公告"/>
      <w:bookmarkEnd w:id="235"/>
      <w:r>
        <w:rPr>
          <w:rFonts w:hint="eastAsia" w:ascii="黑体" w:hAnsi="黑体" w:eastAsia="黑体" w:cs="Times New Roman"/>
          <w:color w:val="auto"/>
          <w:sz w:val="24"/>
          <w:highlight w:val="none"/>
        </w:rPr>
        <w:t>37.政府采购合同公告</w:t>
      </w:r>
    </w:p>
    <w:p w14:paraId="7376C88E">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Times New Roman"/>
          <w:color w:val="auto"/>
          <w:highlight w:val="none"/>
        </w:rPr>
      </w:pPr>
      <w:r>
        <w:rPr>
          <w:rFonts w:hint="eastAsia" w:ascii="Times New Roman" w:hAnsi="宋体" w:eastAsia="宋体" w:cs="Times New Roman"/>
          <w:color w:val="auto"/>
          <w:highlight w:val="none"/>
        </w:rPr>
        <w:t>采购人应当自政府采购合同签订之日起</w:t>
      </w:r>
      <w:r>
        <w:rPr>
          <w:rFonts w:ascii="Times New Roman" w:hAnsi="宋体" w:eastAsia="宋体" w:cs="Times New Roman"/>
          <w:color w:val="auto"/>
          <w:highlight w:val="none"/>
        </w:rPr>
        <w:t>2</w:t>
      </w:r>
      <w:r>
        <w:rPr>
          <w:rFonts w:hint="eastAsia" w:ascii="Times New Roman" w:hAnsi="宋体" w:eastAsia="宋体" w:cs="Times New Roman"/>
          <w:color w:val="auto"/>
          <w:highlight w:val="none"/>
        </w:rPr>
        <w:t>个工作日内，将政府采购合同</w:t>
      </w:r>
      <w:r>
        <w:rPr>
          <w:rFonts w:hint="eastAsia" w:ascii="宋体" w:hAnsi="宋体" w:eastAsia="宋体" w:cs="Times New Roman"/>
          <w:bCs/>
          <w:color w:val="auto"/>
          <w:highlight w:val="none"/>
        </w:rPr>
        <w:t>在省级以上人民政府财政部门指定的媒体</w:t>
      </w:r>
      <w:r>
        <w:rPr>
          <w:rFonts w:hint="eastAsia" w:ascii="Times New Roman" w:hAnsi="宋体" w:eastAsia="宋体" w:cs="Times New Roman"/>
          <w:color w:val="auto"/>
          <w:highlight w:val="none"/>
        </w:rPr>
        <w:t>上公告，但政府采购合同中涉及国家秘密、商业秘密的内容除外。</w:t>
      </w:r>
    </w:p>
    <w:p w14:paraId="5F3046BE">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38.询问、质疑和投诉</w:t>
      </w:r>
    </w:p>
    <w:p w14:paraId="687096CD">
      <w:pPr>
        <w:keepNext w:val="0"/>
        <w:keepLines w:val="0"/>
        <w:pageBreakBefore w:val="0"/>
        <w:widowControl w:val="0"/>
        <w:kinsoku/>
        <w:wordWrap/>
        <w:overflowPunct/>
        <w:topLinePunct w:val="0"/>
        <w:autoSpaceDE/>
        <w:autoSpaceDN/>
        <w:bidi w:val="0"/>
        <w:spacing w:line="440" w:lineRule="exact"/>
        <w:ind w:firstLine="422" w:firstLineChars="200"/>
        <w:textAlignment w:val="auto"/>
        <w:rPr>
          <w:rFonts w:hint="eastAsia" w:ascii="Times New Roman" w:hAnsi="宋体" w:eastAsia="宋体" w:cs="Times New Roman"/>
          <w:b/>
          <w:color w:val="auto"/>
          <w:szCs w:val="21"/>
          <w:highlight w:val="none"/>
        </w:rPr>
      </w:pPr>
      <w:r>
        <w:rPr>
          <w:rFonts w:ascii="Times New Roman" w:hAnsi="宋体" w:eastAsia="宋体" w:cs="Times New Roman"/>
          <w:b/>
          <w:color w:val="auto"/>
          <w:szCs w:val="21"/>
          <w:highlight w:val="none"/>
        </w:rPr>
        <w:t>38.1</w:t>
      </w:r>
      <w:r>
        <w:rPr>
          <w:rFonts w:hint="eastAsia" w:ascii="Times New Roman" w:hAnsi="宋体" w:eastAsia="宋体" w:cs="Times New Roman"/>
          <w:b/>
          <w:color w:val="auto"/>
          <w:szCs w:val="21"/>
          <w:highlight w:val="none"/>
        </w:rPr>
        <w:t>询问</w:t>
      </w:r>
    </w:p>
    <w:p w14:paraId="73B46F08">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38.1.1供应商在开标前对政府采购活动事项有疑问的，可以向采购人或采购代理机构项目负责人提出询问。</w:t>
      </w:r>
    </w:p>
    <w:p w14:paraId="71FA2116">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38.1.2采购人或采购人委托的采购代理机构自受理询问之日起3个工作日内对供应商依法提出的询问作出答复，</w:t>
      </w:r>
      <w:r>
        <w:rPr>
          <w:rFonts w:hint="eastAsia" w:ascii="宋体" w:hAnsi="宋体" w:eastAsia="宋体" w:cs="宋体"/>
          <w:color w:val="auto"/>
          <w:highlight w:val="none"/>
        </w:rPr>
        <w:t>但答复内容不得涉及商业秘密</w:t>
      </w:r>
      <w:r>
        <w:rPr>
          <w:rFonts w:hint="eastAsia" w:ascii="宋体" w:hAnsi="宋体" w:eastAsia="宋体" w:cs="宋体"/>
          <w:bCs/>
          <w:color w:val="auto"/>
          <w:szCs w:val="21"/>
          <w:highlight w:val="none"/>
        </w:rPr>
        <w:t>。</w:t>
      </w:r>
    </w:p>
    <w:p w14:paraId="37949C34">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38.1.3 询问事项可能影响中标结果的，采购人应当暂停签订合同，已经签订合同的，应当中止履行合同。</w:t>
      </w:r>
    </w:p>
    <w:p w14:paraId="7D3C38EB">
      <w:pPr>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 xml:space="preserve"> </w:t>
      </w:r>
      <w:r>
        <w:rPr>
          <w:rFonts w:hint="eastAsia" w:ascii="宋体" w:hAnsi="宋体" w:eastAsia="宋体" w:cs="宋体"/>
          <w:color w:val="auto"/>
          <w:szCs w:val="21"/>
          <w:highlight w:val="none"/>
        </w:rPr>
        <w:t>38.2质疑</w:t>
      </w:r>
    </w:p>
    <w:p w14:paraId="30D4E62C">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bCs/>
          <w:color w:val="auto"/>
          <w:szCs w:val="21"/>
          <w:highlight w:val="none"/>
        </w:rPr>
        <w:t>38.2.1</w:t>
      </w:r>
      <w:r>
        <w:rPr>
          <w:rFonts w:hint="eastAsia" w:ascii="宋体" w:hAnsi="宋体" w:eastAsia="宋体" w:cs="Times New Roman"/>
          <w:b/>
          <w:color w:val="auto"/>
          <w:szCs w:val="21"/>
          <w:highlight w:val="none"/>
        </w:rPr>
        <w:t>供应商认为招标文件、采购过程或者中标结果使自己的合法权益受到损害的，必须在知道或者应知其权益受到损害之日起7个工作日内，以书面形式向采购人</w:t>
      </w:r>
      <w:r>
        <w:rPr>
          <w:rFonts w:hint="eastAsia" w:ascii="宋体" w:hAnsi="宋体" w:cs="Times New Roman"/>
          <w:b/>
          <w:color w:val="auto"/>
          <w:szCs w:val="21"/>
          <w:highlight w:val="none"/>
          <w:lang w:eastAsia="zh-CN"/>
        </w:rPr>
        <w:t>或</w:t>
      </w:r>
      <w:r>
        <w:rPr>
          <w:rFonts w:hint="eastAsia" w:ascii="宋体" w:hAnsi="宋体" w:eastAsia="宋体" w:cs="Times New Roman"/>
          <w:b/>
          <w:color w:val="auto"/>
          <w:szCs w:val="21"/>
          <w:highlight w:val="none"/>
        </w:rPr>
        <w:t xml:space="preserve">采购代理机构提出质疑，质疑有效期结束后，采购人或采购代理机构不再受理该项目质疑。采购人、采购代理机构接收质疑函的方式、联系部门、联系电话和通讯地址等信息详见“投标人须知前附表”。具体质疑起算时间及处理方式如下： </w:t>
      </w:r>
    </w:p>
    <w:p w14:paraId="79B6CB66">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（1）潜在供应商依法获取招标文件后，认为采购文件使自己的权益受到损害的，应当在招标文件公告期限届满之日起7个工作日内提出质疑。</w:t>
      </w:r>
      <w:r>
        <w:rPr>
          <w:rFonts w:hint="eastAsia" w:ascii="宋体" w:hAnsi="宋体" w:eastAsia="宋体" w:cs="宋体"/>
          <w:color w:val="auto"/>
          <w:highlight w:val="none"/>
        </w:rPr>
        <w:t>委托代理协议无特殊约定的，</w:t>
      </w:r>
      <w:r>
        <w:rPr>
          <w:rFonts w:hint="eastAsia" w:ascii="宋体" w:hAnsi="宋体" w:eastAsia="宋体" w:cs="宋体"/>
          <w:bCs/>
          <w:color w:val="auto"/>
          <w:highlight w:val="none"/>
        </w:rPr>
        <w:t>对招标文件中采购需求（含资格要求、采购预算和评分办法）的质疑由采购人受理并负责答复；对招标文件中的采购执行程序的质疑由采购代理机构受理并负责答复。</w:t>
      </w:r>
    </w:p>
    <w:p w14:paraId="563BA3C1">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（2）供应商认为采购过程使自己的权益受到损害的，应当在各采购程序环节结束之日起7个工作日内提出质疑。对采购过程中资格审查、符合性审查等具体评审情况的质疑应向采购人或</w:t>
      </w:r>
      <w:r>
        <w:rPr>
          <w:rFonts w:hint="eastAsia" w:ascii="宋体" w:hAnsi="宋体" w:eastAsia="宋体" w:cs="宋体"/>
          <w:bCs/>
          <w:color w:val="auto"/>
          <w:highlight w:val="none"/>
          <w:lang w:eastAsia="zh-CN"/>
        </w:rPr>
        <w:t>采购</w:t>
      </w:r>
      <w:r>
        <w:rPr>
          <w:rFonts w:hint="eastAsia" w:ascii="宋体" w:hAnsi="宋体" w:eastAsia="宋体" w:cs="宋体"/>
          <w:bCs/>
          <w:color w:val="auto"/>
          <w:highlight w:val="none"/>
        </w:rPr>
        <w:t>代理机构提出，由采购人或</w:t>
      </w:r>
      <w:r>
        <w:rPr>
          <w:rFonts w:hint="eastAsia" w:ascii="宋体" w:hAnsi="宋体" w:eastAsia="宋体" w:cs="宋体"/>
          <w:bCs/>
          <w:color w:val="auto"/>
          <w:highlight w:val="none"/>
          <w:lang w:eastAsia="zh-CN"/>
        </w:rPr>
        <w:t>采购</w:t>
      </w:r>
      <w:r>
        <w:rPr>
          <w:rFonts w:hint="eastAsia" w:ascii="宋体" w:hAnsi="宋体" w:eastAsia="宋体" w:cs="宋体"/>
          <w:bCs/>
          <w:color w:val="auto"/>
          <w:highlight w:val="none"/>
        </w:rPr>
        <w:t>代理机构受理并负责答复；对采购过程中采购执行程序的质疑由采购代理机构受理并负责答复。</w:t>
      </w:r>
    </w:p>
    <w:p w14:paraId="00F261FD">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（3）供应商认为中标或者</w:t>
      </w:r>
      <w:r>
        <w:rPr>
          <w:rFonts w:hint="eastAsia" w:ascii="宋体" w:hAnsi="宋体" w:cs="宋体"/>
          <w:bCs/>
          <w:color w:val="auto"/>
          <w:highlight w:val="none"/>
          <w:lang w:eastAsia="zh-CN"/>
        </w:rPr>
        <w:t>中标</w:t>
      </w:r>
      <w:r>
        <w:rPr>
          <w:rFonts w:hint="eastAsia" w:ascii="宋体" w:hAnsi="宋体" w:eastAsia="宋体" w:cs="宋体"/>
          <w:bCs/>
          <w:color w:val="auto"/>
          <w:highlight w:val="none"/>
        </w:rPr>
        <w:t>结果使自己的权益受到损害的，应当在中标或者成交结果公告期限届满之日起7个工作日内提出质疑，由采购人受理并负责答复。</w:t>
      </w:r>
    </w:p>
    <w:p w14:paraId="51D30201">
      <w:pPr>
        <w:spacing w:line="360" w:lineRule="auto"/>
        <w:ind w:firstLine="422" w:firstLineChars="200"/>
        <w:rPr>
          <w:rFonts w:hint="eastAsia" w:ascii="宋体" w:hAnsi="宋体" w:eastAsia="宋体" w:cs="宋体"/>
          <w:bCs/>
          <w:color w:val="auto"/>
          <w:szCs w:val="21"/>
          <w:highlight w:val="none"/>
        </w:rPr>
      </w:pPr>
      <w:r>
        <w:rPr>
          <w:rFonts w:hint="eastAsia" w:ascii="宋体" w:hAnsi="宋体" w:eastAsia="宋体" w:cs="宋体"/>
          <w:b/>
          <w:bCs/>
          <w:color w:val="auto"/>
          <w:szCs w:val="21"/>
          <w:highlight w:val="none"/>
        </w:rPr>
        <w:t>38.2.2</w:t>
      </w:r>
      <w:r>
        <w:rPr>
          <w:rFonts w:hint="eastAsia" w:ascii="宋体" w:hAnsi="宋体" w:eastAsia="宋体" w:cs="宋体"/>
          <w:bCs/>
          <w:color w:val="auto"/>
          <w:szCs w:val="21"/>
          <w:highlight w:val="none"/>
        </w:rPr>
        <w:t>供应商质疑实行实名制，其质疑应当有具体的质疑事项及事实根据，质疑应当坚持依法依规、诚实信用原则，不得进行虚假、恶意质疑。</w:t>
      </w:r>
    </w:p>
    <w:p w14:paraId="6E049573">
      <w:pPr>
        <w:spacing w:line="360" w:lineRule="auto"/>
        <w:ind w:firstLine="422" w:firstLineChars="200"/>
        <w:rPr>
          <w:rFonts w:hint="eastAsia" w:ascii="宋体" w:hAnsi="宋体" w:eastAsia="宋体" w:cs="宋体"/>
          <w:bCs/>
          <w:color w:val="auto"/>
          <w:highlight w:val="none"/>
        </w:rPr>
      </w:pPr>
      <w:r>
        <w:rPr>
          <w:rFonts w:hint="eastAsia" w:ascii="宋体" w:hAnsi="宋体" w:eastAsia="宋体" w:cs="宋体"/>
          <w:b/>
          <w:bCs/>
          <w:color w:val="auto"/>
          <w:highlight w:val="none"/>
        </w:rPr>
        <w:t>38.2.3</w:t>
      </w:r>
      <w:r>
        <w:rPr>
          <w:rFonts w:hint="eastAsia" w:ascii="宋体" w:hAnsi="宋体" w:eastAsia="宋体" w:cs="宋体"/>
          <w:bCs/>
          <w:color w:val="auto"/>
          <w:highlight w:val="none"/>
        </w:rPr>
        <w:t xml:space="preserve"> 质疑供应商可以委托代理人办理质疑事务。委托代理人应熟悉相关业务情况。代理人办理质疑事务时，除提交质疑书外，还应当提交质疑供应商的授权委托书和委托代理人身份证明复印件</w:t>
      </w:r>
      <w:r>
        <w:rPr>
          <w:rFonts w:hint="eastAsia" w:ascii="宋体" w:hAnsi="宋体" w:eastAsia="宋体" w:cs="宋体"/>
          <w:color w:val="auto"/>
          <w:highlight w:val="none"/>
        </w:rPr>
        <w:t>。</w:t>
      </w:r>
    </w:p>
    <w:p w14:paraId="02EBC9BA">
      <w:pPr>
        <w:spacing w:line="360" w:lineRule="auto"/>
        <w:ind w:firstLine="42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38.2.4 质疑供应商提起质疑应当符合下列条件：</w:t>
      </w:r>
    </w:p>
    <w:p w14:paraId="5AC65546">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（1）质疑供应商是参与所质疑</w:t>
      </w:r>
      <w:r>
        <w:rPr>
          <w:rFonts w:hint="eastAsia" w:ascii="宋体" w:hAnsi="宋体" w:eastAsia="宋体" w:cs="宋体"/>
          <w:bCs/>
          <w:color w:val="auto"/>
          <w:szCs w:val="21"/>
          <w:highlight w:val="none"/>
        </w:rPr>
        <w:t>项目</w:t>
      </w:r>
      <w:r>
        <w:rPr>
          <w:rFonts w:hint="eastAsia" w:ascii="宋体" w:hAnsi="宋体" w:eastAsia="宋体" w:cs="宋体"/>
          <w:bCs/>
          <w:color w:val="auto"/>
          <w:highlight w:val="none"/>
        </w:rPr>
        <w:t>采购活动的供应商（潜在供应商已依法获取可</w:t>
      </w:r>
      <w:r>
        <w:rPr>
          <w:rFonts w:hint="eastAsia" w:ascii="宋体" w:hAnsi="宋体" w:eastAsia="宋体" w:cs="宋体"/>
          <w:bCs/>
          <w:color w:val="auto"/>
          <w:highlight w:val="none"/>
          <w:lang w:eastAsia="zh-CN"/>
        </w:rPr>
        <w:t>质疑</w:t>
      </w:r>
      <w:r>
        <w:rPr>
          <w:rFonts w:hint="eastAsia" w:ascii="宋体" w:hAnsi="宋体" w:eastAsia="宋体" w:cs="宋体"/>
          <w:bCs/>
          <w:color w:val="auto"/>
          <w:highlight w:val="none"/>
        </w:rPr>
        <w:t>的采购文件的，可以对该采购文件质疑）；</w:t>
      </w:r>
    </w:p>
    <w:p w14:paraId="7C735A58">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（2）质疑函内容符合本章第38.2.5项的规定；</w:t>
      </w:r>
    </w:p>
    <w:p w14:paraId="12B221DA">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（3）在质疑有效期限内提起质疑；</w:t>
      </w:r>
    </w:p>
    <w:p w14:paraId="513B7C10">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（4）属于所质疑的采购人或采购人委托的采购代理机构组织的采购活动；</w:t>
      </w:r>
    </w:p>
    <w:p w14:paraId="0717154F">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w:t>
      </w:r>
      <w:r>
        <w:rPr>
          <w:rFonts w:hint="eastAsia" w:ascii="宋体" w:hAnsi="宋体" w:eastAsia="宋体" w:cs="宋体"/>
          <w:bCs/>
          <w:color w:val="auto"/>
          <w:highlight w:val="none"/>
          <w:lang w:val="en-US" w:eastAsia="zh-CN"/>
        </w:rPr>
        <w:t>5</w:t>
      </w:r>
      <w:r>
        <w:rPr>
          <w:rFonts w:hint="eastAsia" w:ascii="宋体" w:hAnsi="宋体" w:eastAsia="宋体" w:cs="宋体"/>
          <w:bCs/>
          <w:color w:val="auto"/>
          <w:highlight w:val="none"/>
        </w:rPr>
        <w:t>）供应商对同一采购程序环节的质疑应当在质疑有效期内一次性提出；</w:t>
      </w:r>
    </w:p>
    <w:p w14:paraId="3179C64D">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w:t>
      </w:r>
      <w:r>
        <w:rPr>
          <w:rFonts w:hint="eastAsia" w:ascii="宋体" w:hAnsi="宋体" w:eastAsia="宋体" w:cs="宋体"/>
          <w:bCs/>
          <w:color w:val="auto"/>
          <w:highlight w:val="none"/>
          <w:lang w:val="en-US" w:eastAsia="zh-CN"/>
        </w:rPr>
        <w:t>6</w:t>
      </w:r>
      <w:r>
        <w:rPr>
          <w:rFonts w:hint="eastAsia" w:ascii="宋体" w:hAnsi="宋体" w:eastAsia="宋体" w:cs="宋体"/>
          <w:bCs/>
          <w:color w:val="auto"/>
          <w:highlight w:val="none"/>
        </w:rPr>
        <w:t>）供应商提交质疑应当提交必要的证明材料，证明材料应以合法手段取得；</w:t>
      </w:r>
    </w:p>
    <w:p w14:paraId="3A9BF9C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bCs/>
          <w:color w:val="auto"/>
          <w:highlight w:val="none"/>
        </w:rPr>
        <w:t>（</w:t>
      </w:r>
      <w:r>
        <w:rPr>
          <w:rFonts w:hint="eastAsia" w:ascii="宋体" w:hAnsi="宋体" w:eastAsia="宋体" w:cs="宋体"/>
          <w:bCs/>
          <w:color w:val="auto"/>
          <w:highlight w:val="none"/>
          <w:lang w:val="en-US" w:eastAsia="zh-CN"/>
        </w:rPr>
        <w:t>7</w:t>
      </w:r>
      <w:r>
        <w:rPr>
          <w:rFonts w:hint="eastAsia" w:ascii="宋体" w:hAnsi="宋体" w:eastAsia="宋体" w:cs="宋体"/>
          <w:bCs/>
          <w:color w:val="auto"/>
          <w:highlight w:val="none"/>
        </w:rPr>
        <w:t>）财政部门规定的其他条件。</w:t>
      </w:r>
    </w:p>
    <w:p w14:paraId="5546E717">
      <w:pPr>
        <w:spacing w:line="360" w:lineRule="auto"/>
        <w:ind w:firstLine="422" w:firstLineChars="200"/>
        <w:rPr>
          <w:rFonts w:ascii="宋体" w:hAnsi="宋体" w:eastAsia="宋体" w:cs="Times New Roman"/>
          <w:b/>
          <w:bCs/>
          <w:color w:val="auto"/>
          <w:szCs w:val="21"/>
          <w:highlight w:val="none"/>
        </w:rPr>
      </w:pPr>
      <w:bookmarkStart w:id="236" w:name="_9.2质疑、投诉应当采用书面形式，质疑函、投诉书均应明确阐述招标文件、"/>
      <w:bookmarkEnd w:id="236"/>
      <w:r>
        <w:rPr>
          <w:rFonts w:hint="eastAsia" w:ascii="宋体" w:hAnsi="宋体" w:eastAsia="宋体" w:cs="Times New Roman"/>
          <w:b/>
          <w:bCs/>
          <w:color w:val="auto"/>
          <w:szCs w:val="21"/>
          <w:highlight w:val="none"/>
        </w:rPr>
        <w:t xml:space="preserve">38.2.5 </w:t>
      </w:r>
      <w:r>
        <w:rPr>
          <w:rFonts w:hint="eastAsia" w:ascii="Times New Roman" w:hAnsi="宋体" w:eastAsia="宋体" w:cs="Times New Roman"/>
          <w:b/>
          <w:bCs/>
          <w:color w:val="auto"/>
          <w:highlight w:val="none"/>
        </w:rPr>
        <w:t>供应商提出质疑应当提交质疑函和必要的证明材料，针对同一采购程序环节的质疑必须在法定质疑期内一次性提出。质疑函应当包括下列内容（质疑函格式后附）：</w:t>
      </w:r>
    </w:p>
    <w:p w14:paraId="605427E8">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（1）供应商的姓名或者名称、地址、邮编、联系人及联系电话；</w:t>
      </w:r>
    </w:p>
    <w:p w14:paraId="75347FEF">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（2）质疑项目的名称、编号；</w:t>
      </w:r>
    </w:p>
    <w:p w14:paraId="775ABBA8">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（3）具体、明确的质疑事项和与质疑事项相关的请求；</w:t>
      </w:r>
    </w:p>
    <w:p w14:paraId="7C1F05E5">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（4）事实依据（列明权益受到损害的事实和理由）；</w:t>
      </w:r>
    </w:p>
    <w:p w14:paraId="376140AD">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（5）必要的法律依据；</w:t>
      </w:r>
    </w:p>
    <w:p w14:paraId="30595681">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（6）提出质疑的日期。</w:t>
      </w:r>
    </w:p>
    <w:p w14:paraId="5560EF5D">
      <w:pPr>
        <w:spacing w:line="360" w:lineRule="auto"/>
        <w:ind w:firstLine="420" w:firstLineChars="200"/>
        <w:rPr>
          <w:rFonts w:ascii="Times New Roman" w:hAnsi="宋体" w:eastAsia="宋体" w:cs="Times New Roman"/>
          <w:bCs/>
          <w:color w:val="auto"/>
          <w:highlight w:val="none"/>
        </w:rPr>
      </w:pPr>
      <w:r>
        <w:rPr>
          <w:rFonts w:hint="eastAsia" w:ascii="Times New Roman" w:hAnsi="宋体" w:eastAsia="宋体" w:cs="Times New Roman"/>
          <w:bCs/>
          <w:color w:val="auto"/>
          <w:highlight w:val="none"/>
        </w:rPr>
        <w:t>供应商为自然人的，应当由本人签字；供应商为法人或者其他组织的，应当由法定代表人、主要负责人，或者其委托代理人签字或者盖章，并加盖公章。</w:t>
      </w:r>
    </w:p>
    <w:p w14:paraId="5F8EFFA0">
      <w:pPr>
        <w:spacing w:line="360" w:lineRule="auto"/>
        <w:ind w:firstLine="422" w:firstLineChars="200"/>
        <w:rPr>
          <w:rFonts w:ascii="宋体" w:hAnsi="宋体" w:eastAsia="宋体" w:cs="Times New Roman"/>
          <w:b/>
          <w:color w:val="auto"/>
          <w:szCs w:val="20"/>
          <w:highlight w:val="none"/>
        </w:rPr>
      </w:pPr>
      <w:r>
        <w:rPr>
          <w:rFonts w:hint="eastAsia" w:ascii="宋体" w:hAnsi="宋体" w:eastAsia="宋体" w:cs="Times New Roman"/>
          <w:b/>
          <w:color w:val="auto"/>
          <w:szCs w:val="20"/>
          <w:highlight w:val="none"/>
        </w:rPr>
        <w:t>38.2.6采购人或采购人委托的采购代理机构在收到质疑函后7个工作日内作出答复，并以书面形式通知质疑供应商及其他有关供应商。对不符合质疑条件的质疑，答复不予受理，并说明理由；对符合质疑条件的质疑，对质疑事项作出答复</w:t>
      </w:r>
      <w:r>
        <w:rPr>
          <w:rFonts w:hint="eastAsia" w:ascii="宋体" w:hAnsi="宋体" w:cs="宋体"/>
          <w:bCs/>
          <w:color w:val="auto"/>
          <w:highlight w:val="none"/>
        </w:rPr>
        <w:t>。</w:t>
      </w:r>
    </w:p>
    <w:p w14:paraId="14D19E62">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color w:val="auto"/>
          <w:szCs w:val="21"/>
          <w:highlight w:val="none"/>
        </w:rPr>
        <w:t>3</w:t>
      </w:r>
      <w:r>
        <w:rPr>
          <w:rFonts w:hint="eastAsia" w:ascii="宋体" w:hAnsi="宋体" w:eastAsia="宋体" w:cs="Times New Roman"/>
          <w:bCs/>
          <w:color w:val="auto"/>
          <w:szCs w:val="21"/>
          <w:highlight w:val="none"/>
        </w:rPr>
        <w:t>8.2.7采购人、采购代理机构认为供应商质疑不成立，或者成立但未对中标结果构成影响的，继续开展采购活动；认为供应商质疑成立且影响或者可能影响中标结果的，按照下列情况处理：</w:t>
      </w:r>
    </w:p>
    <w:p w14:paraId="46AFE706">
      <w:pPr>
        <w:spacing w:line="360" w:lineRule="auto"/>
        <w:ind w:firstLine="420" w:firstLineChars="200"/>
        <w:rPr>
          <w:rFonts w:hint="eastAsia" w:ascii="Times New Roman" w:hAnsi="宋体" w:eastAsia="宋体" w:cs="Times New Roman"/>
          <w:bCs/>
          <w:color w:val="auto"/>
          <w:highlight w:val="none"/>
        </w:rPr>
      </w:pPr>
      <w:r>
        <w:rPr>
          <w:rFonts w:hint="eastAsia" w:ascii="Times New Roman" w:hAnsi="宋体" w:eastAsia="宋体" w:cs="Times New Roman"/>
          <w:bCs/>
          <w:color w:val="auto"/>
          <w:highlight w:val="none"/>
        </w:rPr>
        <w:t>（一）对招标文件提出的质疑，依法通过澄清或者修改可以继续开展采购活动的，澄清或者修改招标文件后继续开展采购活动；否则应当修改招标文件后重新开展采购活动。</w:t>
      </w:r>
    </w:p>
    <w:p w14:paraId="467062BA">
      <w:pPr>
        <w:spacing w:line="360" w:lineRule="auto"/>
        <w:ind w:firstLine="420" w:firstLineChars="200"/>
        <w:rPr>
          <w:rFonts w:ascii="Times New Roman" w:hAnsi="宋体" w:eastAsia="宋体" w:cs="Times New Roman"/>
          <w:bCs/>
          <w:color w:val="auto"/>
          <w:highlight w:val="none"/>
        </w:rPr>
      </w:pPr>
      <w:r>
        <w:rPr>
          <w:rFonts w:hint="eastAsia" w:ascii="Times New Roman" w:hAnsi="宋体" w:eastAsia="宋体" w:cs="Times New Roman"/>
          <w:bCs/>
          <w:color w:val="auto"/>
          <w:highlight w:val="none"/>
        </w:rPr>
        <w:t>（二）对采购过程、中标结果提出的质疑，合格供应商符合法定数量时，可以从合格的中标候选人中另行确定中标供应商的，应当依法另行确定中标供应商；否则应当重新开展采购活动。</w:t>
      </w:r>
    </w:p>
    <w:p w14:paraId="2C9F41D1">
      <w:pPr>
        <w:spacing w:line="360" w:lineRule="auto"/>
        <w:ind w:firstLine="420" w:firstLineChars="200"/>
        <w:rPr>
          <w:rFonts w:ascii="Times New Roman" w:hAnsi="宋体" w:eastAsia="宋体" w:cs="Times New Roman"/>
          <w:bCs/>
          <w:color w:val="auto"/>
          <w:highlight w:val="none"/>
        </w:rPr>
      </w:pPr>
      <w:r>
        <w:rPr>
          <w:rFonts w:hint="eastAsia" w:ascii="Times New Roman" w:hAnsi="宋体" w:eastAsia="宋体" w:cs="Times New Roman"/>
          <w:bCs/>
          <w:color w:val="auto"/>
          <w:highlight w:val="none"/>
        </w:rPr>
        <w:t>质疑答复导致中标结果改变的，采购人或者采购代理机构应当将有关情况书面报告本级财政部门。</w:t>
      </w:r>
    </w:p>
    <w:p w14:paraId="590E7EE5">
      <w:pPr>
        <w:spacing w:line="360" w:lineRule="auto"/>
        <w:ind w:firstLine="422" w:firstLineChars="200"/>
        <w:rPr>
          <w:rFonts w:ascii="Times New Roman" w:hAnsi="宋体" w:eastAsia="宋体" w:cs="Times New Roman"/>
          <w:b/>
          <w:color w:val="auto"/>
          <w:highlight w:val="none"/>
        </w:rPr>
      </w:pPr>
      <w:r>
        <w:rPr>
          <w:rFonts w:ascii="Times New Roman" w:hAnsi="宋体" w:eastAsia="宋体" w:cs="Times New Roman"/>
          <w:b/>
          <w:color w:val="auto"/>
          <w:highlight w:val="none"/>
        </w:rPr>
        <w:t>38.3</w:t>
      </w:r>
      <w:r>
        <w:rPr>
          <w:rFonts w:hint="eastAsia" w:ascii="Times New Roman" w:hAnsi="宋体" w:eastAsia="宋体" w:cs="Times New Roman"/>
          <w:b/>
          <w:color w:val="auto"/>
          <w:highlight w:val="none"/>
        </w:rPr>
        <w:t>投诉</w:t>
      </w:r>
    </w:p>
    <w:p w14:paraId="3C378D6E">
      <w:pPr>
        <w:spacing w:line="360" w:lineRule="auto"/>
        <w:ind w:firstLine="422" w:firstLineChars="200"/>
        <w:rPr>
          <w:rFonts w:hint="eastAsia" w:ascii="宋体" w:hAnsi="宋体" w:eastAsia="宋体" w:cs="宋体"/>
          <w:bCs/>
          <w:color w:val="auto"/>
          <w:highlight w:val="none"/>
        </w:rPr>
      </w:pPr>
      <w:r>
        <w:rPr>
          <w:rFonts w:hint="eastAsia" w:ascii="宋体" w:hAnsi="宋体" w:eastAsia="宋体" w:cs="宋体"/>
          <w:b/>
          <w:color w:val="auto"/>
          <w:highlight w:val="none"/>
        </w:rPr>
        <w:t>38.3</w:t>
      </w:r>
      <w:r>
        <w:rPr>
          <w:rFonts w:hint="eastAsia" w:ascii="宋体" w:hAnsi="宋体" w:eastAsia="宋体" w:cs="宋体"/>
          <w:bCs/>
          <w:color w:val="auto"/>
          <w:highlight w:val="none"/>
        </w:rPr>
        <w:t>.</w:t>
      </w:r>
      <w:r>
        <w:rPr>
          <w:rFonts w:hint="eastAsia" w:ascii="宋体" w:hAnsi="宋体" w:eastAsia="宋体" w:cs="宋体"/>
          <w:b/>
          <w:bCs/>
          <w:color w:val="auto"/>
          <w:highlight w:val="none"/>
        </w:rPr>
        <w:t xml:space="preserve">1 </w:t>
      </w:r>
      <w:r>
        <w:rPr>
          <w:rFonts w:hint="eastAsia" w:ascii="宋体" w:hAnsi="宋体" w:eastAsia="宋体" w:cs="宋体"/>
          <w:bCs/>
          <w:color w:val="auto"/>
          <w:highlight w:val="none"/>
        </w:rPr>
        <w:t xml:space="preserve"> 供应商认为采购文件、采购过程、中标和成交结果使自己的合法权益受到损害的，应当首先依法向采购人或采购人委托的</w:t>
      </w:r>
      <w:r>
        <w:rPr>
          <w:rFonts w:hint="eastAsia" w:ascii="宋体" w:hAnsi="宋体" w:eastAsia="宋体" w:cs="宋体"/>
          <w:color w:val="auto"/>
          <w:highlight w:val="none"/>
        </w:rPr>
        <w:t>采购代理机构</w:t>
      </w:r>
      <w:r>
        <w:rPr>
          <w:rFonts w:hint="eastAsia" w:ascii="宋体" w:hAnsi="宋体" w:eastAsia="宋体" w:cs="宋体"/>
          <w:bCs/>
          <w:color w:val="auto"/>
          <w:highlight w:val="none"/>
        </w:rPr>
        <w:t>提出质疑。对采购人</w:t>
      </w:r>
      <w:r>
        <w:rPr>
          <w:rFonts w:hint="eastAsia" w:ascii="宋体" w:hAnsi="宋体" w:eastAsia="宋体" w:cs="宋体"/>
          <w:bCs/>
          <w:color w:val="auto"/>
          <w:highlight w:val="none"/>
          <w:lang w:eastAsia="zh-CN"/>
        </w:rPr>
        <w:t>或</w:t>
      </w:r>
      <w:r>
        <w:rPr>
          <w:rFonts w:hint="eastAsia" w:ascii="宋体" w:hAnsi="宋体" w:eastAsia="宋体" w:cs="宋体"/>
          <w:color w:val="auto"/>
          <w:highlight w:val="none"/>
        </w:rPr>
        <w:t>采购代理机构</w:t>
      </w:r>
      <w:r>
        <w:rPr>
          <w:rFonts w:hint="eastAsia" w:ascii="宋体" w:hAnsi="宋体" w:eastAsia="宋体" w:cs="宋体"/>
          <w:bCs/>
          <w:color w:val="auto"/>
          <w:highlight w:val="none"/>
        </w:rPr>
        <w:t>的答复不满意，或者采购人</w:t>
      </w:r>
      <w:r>
        <w:rPr>
          <w:rFonts w:hint="eastAsia" w:ascii="宋体" w:hAnsi="宋体" w:eastAsia="宋体" w:cs="宋体"/>
          <w:bCs/>
          <w:color w:val="auto"/>
          <w:highlight w:val="none"/>
          <w:lang w:eastAsia="zh-CN"/>
        </w:rPr>
        <w:t>或</w:t>
      </w:r>
      <w:r>
        <w:rPr>
          <w:rFonts w:hint="eastAsia" w:ascii="宋体" w:hAnsi="宋体" w:eastAsia="宋体" w:cs="宋体"/>
          <w:color w:val="auto"/>
          <w:highlight w:val="none"/>
        </w:rPr>
        <w:t>采购代理机构</w:t>
      </w:r>
      <w:r>
        <w:rPr>
          <w:rFonts w:hint="eastAsia" w:ascii="宋体" w:hAnsi="宋体" w:eastAsia="宋体" w:cs="宋体"/>
          <w:bCs/>
          <w:color w:val="auto"/>
          <w:highlight w:val="none"/>
        </w:rPr>
        <w:t>未在规定期限内做出答复的，供应商可以在答复期满后15个工作日内向本级财政部门提起投诉，投诉</w:t>
      </w:r>
      <w:r>
        <w:rPr>
          <w:rFonts w:hint="eastAsia" w:ascii="宋体" w:hAnsi="宋体" w:eastAsia="宋体" w:cs="宋体"/>
          <w:bCs/>
          <w:color w:val="auto"/>
          <w:highlight w:val="none"/>
          <w:lang w:eastAsia="zh-CN"/>
        </w:rPr>
        <w:t>联系</w:t>
      </w:r>
      <w:r>
        <w:rPr>
          <w:rFonts w:hint="eastAsia" w:ascii="宋体" w:hAnsi="宋体" w:eastAsia="宋体" w:cs="宋体"/>
          <w:bCs/>
          <w:color w:val="auto"/>
          <w:highlight w:val="none"/>
        </w:rPr>
        <w:t>方式见“投标人须知前附表”。</w:t>
      </w:r>
    </w:p>
    <w:p w14:paraId="497ADFCF">
      <w:pPr>
        <w:spacing w:line="360" w:lineRule="auto"/>
        <w:ind w:firstLine="422" w:firstLineChars="200"/>
        <w:rPr>
          <w:rFonts w:hint="eastAsia" w:ascii="宋体" w:hAnsi="宋体" w:eastAsia="宋体" w:cs="宋体"/>
          <w:bCs/>
          <w:color w:val="auto"/>
          <w:highlight w:val="none"/>
        </w:rPr>
      </w:pPr>
      <w:r>
        <w:rPr>
          <w:rFonts w:hint="eastAsia" w:ascii="宋体" w:hAnsi="宋体" w:eastAsia="宋体" w:cs="宋体"/>
          <w:b/>
          <w:color w:val="auto"/>
          <w:highlight w:val="none"/>
        </w:rPr>
        <w:t xml:space="preserve">38.3.2 </w:t>
      </w:r>
      <w:r>
        <w:rPr>
          <w:rFonts w:hint="eastAsia" w:ascii="宋体" w:hAnsi="宋体" w:eastAsia="宋体" w:cs="宋体"/>
          <w:color w:val="auto"/>
          <w:highlight w:val="none"/>
        </w:rPr>
        <w:t xml:space="preserve"> 投诉人投诉时，应当提交投诉书，并按照被投诉采购人、采购代理机构和与投诉事项有关的供应商数量提供投诉书的副本。投诉书</w:t>
      </w:r>
      <w:r>
        <w:rPr>
          <w:rFonts w:hint="eastAsia" w:ascii="宋体" w:hAnsi="宋体" w:eastAsia="宋体" w:cs="宋体"/>
          <w:color w:val="auto"/>
          <w:szCs w:val="21"/>
          <w:highlight w:val="none"/>
        </w:rPr>
        <w:t>应当包括下列主要内容</w:t>
      </w:r>
      <w:r>
        <w:rPr>
          <w:rFonts w:hint="eastAsia" w:ascii="宋体" w:hAnsi="宋体" w:eastAsia="宋体" w:cs="宋体"/>
          <w:color w:val="auto"/>
          <w:highlight w:val="none"/>
        </w:rPr>
        <w:t>（如材料中有外文资料应同时附上对应的中文译本）</w:t>
      </w:r>
      <w:r>
        <w:rPr>
          <w:rFonts w:hint="eastAsia" w:ascii="宋体" w:hAnsi="宋体" w:eastAsia="宋体" w:cs="宋体"/>
          <w:bCs/>
          <w:color w:val="auto"/>
          <w:highlight w:val="none"/>
        </w:rPr>
        <w:t>（投诉书格式后附）</w:t>
      </w:r>
      <w:r>
        <w:rPr>
          <w:rFonts w:hint="eastAsia" w:ascii="宋体" w:hAnsi="宋体" w:eastAsia="宋体" w:cs="宋体"/>
          <w:color w:val="auto"/>
          <w:szCs w:val="21"/>
          <w:highlight w:val="none"/>
        </w:rPr>
        <w:t>：</w:t>
      </w:r>
    </w:p>
    <w:p w14:paraId="6546BC7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（1）投诉人和被投诉人的名称、地址、邮编、联系人及联系电话等；</w:t>
      </w:r>
    </w:p>
    <w:p w14:paraId="34D4E9B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（2）质疑和质疑答复情况及相关证明材料； </w:t>
      </w:r>
    </w:p>
    <w:p w14:paraId="4F41034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（3）具体、明确的投诉事项和与投诉事项相关的投诉请求；</w:t>
      </w:r>
    </w:p>
    <w:p w14:paraId="5609B2E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（4）事实依据；</w:t>
      </w:r>
    </w:p>
    <w:p w14:paraId="6567AC43">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（5）法律依据；</w:t>
      </w:r>
    </w:p>
    <w:p w14:paraId="56B7EDE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（6）提起投诉的日期。</w:t>
      </w:r>
    </w:p>
    <w:p w14:paraId="26B44DCE">
      <w:pPr>
        <w:spacing w:line="360" w:lineRule="auto"/>
        <w:ind w:firstLine="420" w:firstLineChars="200"/>
        <w:rPr>
          <w:rFonts w:hint="eastAsia" w:ascii="宋体" w:hAnsi="宋体" w:cs="宋体"/>
          <w:b w:val="0"/>
          <w:bCs/>
          <w:color w:val="auto"/>
          <w:highlight w:val="none"/>
        </w:rPr>
      </w:pPr>
      <w:r>
        <w:rPr>
          <w:rFonts w:hint="eastAsia" w:ascii="宋体" w:hAnsi="宋体" w:cs="宋体"/>
          <w:b w:val="0"/>
          <w:bCs/>
          <w:color w:val="auto"/>
          <w:highlight w:val="none"/>
        </w:rPr>
        <w:t>投诉人为自然人的，应当由本人签字；投诉人为法人或者其他组织的，应当由法定代表人、主要负责人，或者其授权代表签字或者盖章，并加盖公章。</w:t>
      </w:r>
    </w:p>
    <w:p w14:paraId="24C8722A">
      <w:pPr>
        <w:spacing w:line="360" w:lineRule="auto"/>
        <w:ind w:firstLine="422" w:firstLineChars="200"/>
        <w:rPr>
          <w:rFonts w:hint="eastAsia" w:ascii="宋体" w:hAnsi="宋体" w:eastAsia="宋体" w:cs="宋体"/>
          <w:bCs/>
          <w:color w:val="auto"/>
          <w:highlight w:val="none"/>
        </w:rPr>
      </w:pPr>
      <w:r>
        <w:rPr>
          <w:rFonts w:hint="eastAsia" w:ascii="宋体" w:hAnsi="宋体" w:eastAsia="宋体" w:cs="宋体"/>
          <w:b/>
          <w:color w:val="auto"/>
          <w:highlight w:val="none"/>
        </w:rPr>
        <w:t xml:space="preserve">38.3.3  </w:t>
      </w:r>
      <w:r>
        <w:rPr>
          <w:rFonts w:hint="eastAsia" w:ascii="宋体" w:hAnsi="宋体" w:eastAsia="宋体" w:cs="宋体"/>
          <w:color w:val="auto"/>
          <w:highlight w:val="none"/>
        </w:rPr>
        <w:t>投诉人可以委托代理人办理投诉事务。</w:t>
      </w:r>
      <w:r>
        <w:rPr>
          <w:rFonts w:hint="eastAsia" w:ascii="宋体" w:hAnsi="宋体" w:eastAsia="宋体" w:cs="宋体"/>
          <w:bCs/>
          <w:color w:val="auto"/>
          <w:highlight w:val="none"/>
        </w:rPr>
        <w:t>委托代理人应熟悉相关业务情况。</w:t>
      </w:r>
      <w:r>
        <w:rPr>
          <w:rFonts w:hint="eastAsia" w:ascii="宋体" w:hAnsi="宋体" w:eastAsia="宋体" w:cs="宋体"/>
          <w:color w:val="auto"/>
          <w:highlight w:val="none"/>
        </w:rPr>
        <w:t>代理人办理投诉事务时，除提交投诉书外，还应当提交投诉人的授权委托书和委托代理人身份证明复印件。</w:t>
      </w:r>
    </w:p>
    <w:p w14:paraId="5D1D4583">
      <w:pPr>
        <w:spacing w:line="360" w:lineRule="auto"/>
        <w:ind w:firstLine="422" w:firstLineChars="200"/>
        <w:rPr>
          <w:rFonts w:hint="eastAsia" w:ascii="宋体" w:hAnsi="宋体" w:eastAsia="宋体" w:cs="宋体"/>
          <w:color w:val="auto"/>
          <w:highlight w:val="none"/>
        </w:rPr>
      </w:pPr>
      <w:r>
        <w:rPr>
          <w:rFonts w:hint="eastAsia" w:ascii="宋体" w:hAnsi="宋体" w:eastAsia="宋体" w:cs="宋体"/>
          <w:b/>
          <w:color w:val="auto"/>
          <w:highlight w:val="none"/>
        </w:rPr>
        <w:t>38.3.4</w:t>
      </w:r>
      <w:r>
        <w:rPr>
          <w:rFonts w:hint="eastAsia" w:ascii="宋体" w:hAnsi="宋体" w:eastAsia="宋体" w:cs="宋体"/>
          <w:color w:val="auto"/>
          <w:highlight w:val="none"/>
        </w:rPr>
        <w:t xml:space="preserve">  投诉人提起投诉应当符合下列条件：</w:t>
      </w:r>
    </w:p>
    <w:p w14:paraId="08FB51F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（1）投诉人是参与所投诉政府采购活动的供应商；</w:t>
      </w:r>
    </w:p>
    <w:p w14:paraId="1C4DF1EF">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（2）提起投诉前已依法进行质疑；</w:t>
      </w:r>
    </w:p>
    <w:p w14:paraId="506CFCD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（3）投诉书内容符合本章第38.3.2项的规定；</w:t>
      </w:r>
    </w:p>
    <w:p w14:paraId="60D005E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（4）在投诉有效期限内提起投诉；</w:t>
      </w:r>
    </w:p>
    <w:p w14:paraId="180283A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）同一投诉事项未经</w:t>
      </w:r>
      <w:r>
        <w:rPr>
          <w:rFonts w:hint="eastAsia" w:ascii="宋体" w:hAnsi="宋体" w:eastAsia="宋体" w:cs="宋体"/>
          <w:bCs/>
          <w:color w:val="auto"/>
          <w:highlight w:val="none"/>
          <w:lang w:eastAsia="zh-CN"/>
        </w:rPr>
        <w:t>财政</w:t>
      </w:r>
      <w:r>
        <w:rPr>
          <w:rFonts w:hint="eastAsia" w:ascii="宋体" w:hAnsi="宋体" w:eastAsia="宋体" w:cs="宋体"/>
          <w:bCs/>
          <w:color w:val="auto"/>
          <w:highlight w:val="none"/>
        </w:rPr>
        <w:t>部门</w:t>
      </w:r>
      <w:r>
        <w:rPr>
          <w:rFonts w:hint="eastAsia" w:ascii="宋体" w:hAnsi="宋体" w:eastAsia="宋体" w:cs="宋体"/>
          <w:color w:val="auto"/>
          <w:highlight w:val="none"/>
        </w:rPr>
        <w:t>投诉处理；</w:t>
      </w:r>
    </w:p>
    <w:p w14:paraId="7A4BC0E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）国务院财政部门规定的其他条件。</w:t>
      </w:r>
    </w:p>
    <w:p w14:paraId="333BD54F">
      <w:pPr>
        <w:pStyle w:val="18"/>
        <w:rPr>
          <w:rFonts w:hint="eastAsia"/>
          <w:color w:val="auto"/>
          <w:highlight w:val="none"/>
        </w:rPr>
      </w:pPr>
    </w:p>
    <w:p w14:paraId="798A6EA5">
      <w:pPr>
        <w:snapToGrid w:val="0"/>
        <w:spacing w:line="360" w:lineRule="auto"/>
        <w:ind w:left="120" w:leftChars="57" w:firstLine="482" w:firstLineChars="150"/>
        <w:jc w:val="center"/>
        <w:outlineLvl w:val="2"/>
        <w:rPr>
          <w:rFonts w:hint="eastAsia" w:ascii="Times New Roman" w:hAnsi="Times New Roman" w:eastAsia="宋体" w:cs="Times New Roman"/>
          <w:b/>
          <w:bCs/>
          <w:color w:val="auto"/>
          <w:sz w:val="32"/>
          <w:szCs w:val="32"/>
          <w:highlight w:val="none"/>
        </w:rPr>
      </w:pPr>
      <w:bookmarkStart w:id="237" w:name="_Toc14937"/>
      <w:bookmarkStart w:id="238" w:name="_Toc27653"/>
      <w:bookmarkStart w:id="239" w:name="_Toc7828"/>
      <w:bookmarkStart w:id="240" w:name="_Toc26583"/>
      <w:bookmarkStart w:id="241" w:name="_Toc1756"/>
      <w:bookmarkStart w:id="242" w:name="_Toc13659"/>
      <w:bookmarkStart w:id="243" w:name="_Toc25946"/>
      <w:bookmarkStart w:id="244" w:name="_Toc23239"/>
      <w:bookmarkStart w:id="245" w:name="_Toc29288"/>
      <w:bookmarkStart w:id="246" w:name="_Toc8731"/>
      <w:r>
        <w:rPr>
          <w:rFonts w:hint="eastAsia" w:ascii="Times New Roman" w:hAnsi="Times New Roman" w:eastAsia="宋体" w:cs="Times New Roman"/>
          <w:b/>
          <w:bCs/>
          <w:color w:val="auto"/>
          <w:sz w:val="32"/>
          <w:szCs w:val="32"/>
          <w:highlight w:val="none"/>
        </w:rPr>
        <w:t>八、验收</w:t>
      </w:r>
      <w:bookmarkEnd w:id="237"/>
      <w:bookmarkEnd w:id="238"/>
      <w:bookmarkEnd w:id="239"/>
      <w:bookmarkEnd w:id="240"/>
      <w:bookmarkEnd w:id="241"/>
      <w:bookmarkEnd w:id="242"/>
      <w:bookmarkEnd w:id="243"/>
      <w:bookmarkEnd w:id="244"/>
      <w:bookmarkEnd w:id="245"/>
      <w:bookmarkEnd w:id="246"/>
    </w:p>
    <w:p w14:paraId="66CDE9B9">
      <w:pPr>
        <w:spacing w:line="360" w:lineRule="auto"/>
        <w:ind w:firstLine="422" w:firstLineChars="200"/>
        <w:rPr>
          <w:rFonts w:ascii="Times New Roman" w:hAnsi="宋体" w:eastAsia="宋体" w:cs="Times New Roman"/>
          <w:b/>
          <w:color w:val="auto"/>
          <w:highlight w:val="none"/>
        </w:rPr>
      </w:pPr>
      <w:r>
        <w:rPr>
          <w:rFonts w:ascii="Times New Roman" w:hAnsi="宋体" w:eastAsia="宋体" w:cs="Times New Roman"/>
          <w:b/>
          <w:color w:val="auto"/>
          <w:highlight w:val="none"/>
        </w:rPr>
        <w:t>39.</w:t>
      </w:r>
      <w:r>
        <w:rPr>
          <w:rFonts w:hint="eastAsia" w:ascii="Times New Roman" w:hAnsi="宋体" w:eastAsia="宋体" w:cs="Times New Roman"/>
          <w:b/>
          <w:color w:val="auto"/>
          <w:highlight w:val="none"/>
        </w:rPr>
        <w:t>验收</w:t>
      </w:r>
    </w:p>
    <w:p w14:paraId="0E5C88D4">
      <w:pPr>
        <w:tabs>
          <w:tab w:val="left" w:pos="0"/>
        </w:tabs>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39.1采购人组织对</w:t>
      </w:r>
      <w:r>
        <w:rPr>
          <w:rFonts w:hint="eastAsia" w:ascii="宋体" w:hAnsi="宋体" w:eastAsia="宋体" w:cs="宋体"/>
          <w:color w:val="auto"/>
          <w:highlight w:val="none"/>
          <w:lang w:eastAsia="zh-CN"/>
        </w:rPr>
        <w:t>中标人</w:t>
      </w:r>
      <w:r>
        <w:rPr>
          <w:rFonts w:hint="eastAsia" w:ascii="宋体" w:hAnsi="宋体" w:eastAsia="宋体" w:cs="宋体"/>
          <w:color w:val="auto"/>
          <w:highlight w:val="none"/>
        </w:rPr>
        <w:t>履约的验收。大型或者复杂的政府采购项目，应当邀请国家认可的质量检测机构参加验收工作。验收方成员应当在验收书上签字，并承担相应的法律责任。如果发现与合同中要求不符，</w:t>
      </w:r>
      <w:r>
        <w:rPr>
          <w:rFonts w:hint="eastAsia" w:ascii="宋体" w:hAnsi="宋体" w:eastAsia="宋体" w:cs="宋体"/>
          <w:color w:val="auto"/>
          <w:highlight w:val="none"/>
          <w:lang w:eastAsia="zh-CN"/>
        </w:rPr>
        <w:t>中标人</w:t>
      </w:r>
      <w:r>
        <w:rPr>
          <w:rFonts w:hint="eastAsia" w:ascii="宋体" w:hAnsi="宋体" w:eastAsia="宋体" w:cs="宋体"/>
          <w:color w:val="auto"/>
          <w:highlight w:val="none"/>
        </w:rPr>
        <w:t>须承担由此发生的一切损失和费用，并接受相应的处理。</w:t>
      </w:r>
    </w:p>
    <w:p w14:paraId="51C400CA">
      <w:pPr>
        <w:tabs>
          <w:tab w:val="left" w:pos="0"/>
        </w:tabs>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39.2采购人可以邀请参加本项目的其他投标人或者第三方机构参与验收。参与验收的投标人或者第三方机构的意见作为验收书的参考资料一并存档。</w:t>
      </w:r>
    </w:p>
    <w:p w14:paraId="1DB3876C">
      <w:pPr>
        <w:tabs>
          <w:tab w:val="left" w:pos="0"/>
        </w:tabs>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39.3严格按照采购合同开展履约验收。采购人成立验收小组，按照采购合同的约定对</w:t>
      </w:r>
      <w:r>
        <w:rPr>
          <w:rFonts w:hint="eastAsia" w:ascii="宋体" w:hAnsi="宋体" w:eastAsia="宋体" w:cs="宋体"/>
          <w:color w:val="auto"/>
          <w:highlight w:val="none"/>
          <w:lang w:eastAsia="zh-CN"/>
        </w:rPr>
        <w:t>中标人</w:t>
      </w:r>
      <w:r>
        <w:rPr>
          <w:rFonts w:hint="eastAsia" w:ascii="宋体" w:hAnsi="宋体" w:eastAsia="宋体" w:cs="宋体"/>
          <w:color w:val="auto"/>
          <w:highlight w:val="none"/>
        </w:rPr>
        <w:t>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w:t>
      </w:r>
      <w:r>
        <w:rPr>
          <w:rFonts w:hint="eastAsia" w:ascii="宋体" w:hAnsi="宋体" w:cs="宋体"/>
          <w:color w:val="auto"/>
          <w:highlight w:val="none"/>
          <w:lang w:eastAsia="zh-CN"/>
        </w:rPr>
        <w:t>（</w:t>
      </w:r>
      <w:r>
        <w:rPr>
          <w:rFonts w:hint="eastAsia" w:ascii="宋体" w:hAnsi="宋体" w:cs="宋体"/>
          <w:color w:val="auto"/>
          <w:highlight w:val="none"/>
          <w:lang w:val="en-US" w:eastAsia="zh-CN"/>
        </w:rPr>
        <w:t>如有</w:t>
      </w:r>
      <w:r>
        <w:rPr>
          <w:rFonts w:hint="eastAsia" w:ascii="宋体" w:hAnsi="宋体" w:cs="宋体"/>
          <w:color w:val="auto"/>
          <w:highlight w:val="none"/>
          <w:lang w:eastAsia="zh-CN"/>
        </w:rPr>
        <w:t>）</w:t>
      </w:r>
      <w:r>
        <w:rPr>
          <w:rFonts w:hint="eastAsia" w:ascii="宋体" w:hAnsi="宋体" w:eastAsia="宋体" w:cs="宋体"/>
          <w:color w:val="auto"/>
          <w:highlight w:val="none"/>
        </w:rPr>
        <w:t>返还条件挂钩。履约验收的各项资料应当存档备查。</w:t>
      </w:r>
    </w:p>
    <w:p w14:paraId="5D3A3F8E">
      <w:pPr>
        <w:tabs>
          <w:tab w:val="left" w:pos="0"/>
        </w:tabs>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39.4验收合格的项目，采购人将根据采购合同的约定及时向</w:t>
      </w:r>
      <w:r>
        <w:rPr>
          <w:rFonts w:hint="eastAsia" w:ascii="宋体" w:hAnsi="宋体" w:eastAsia="宋体" w:cs="宋体"/>
          <w:color w:val="auto"/>
          <w:highlight w:val="none"/>
          <w:lang w:eastAsia="zh-CN"/>
        </w:rPr>
        <w:t>中标人</w:t>
      </w:r>
      <w:r>
        <w:rPr>
          <w:rFonts w:hint="eastAsia" w:ascii="宋体" w:hAnsi="宋体" w:eastAsia="宋体" w:cs="宋体"/>
          <w:color w:val="auto"/>
          <w:highlight w:val="none"/>
        </w:rPr>
        <w:t>支付采购资金。验收不合格的项目，采购人将依法及时处理。采购合同的履行、违约责任和解决争议的方式等适用《中华人民共和国民法典》。</w:t>
      </w:r>
      <w:r>
        <w:rPr>
          <w:rFonts w:hint="eastAsia" w:ascii="宋体" w:hAnsi="宋体" w:eastAsia="宋体" w:cs="宋体"/>
          <w:color w:val="auto"/>
          <w:highlight w:val="none"/>
          <w:lang w:eastAsia="zh-CN"/>
        </w:rPr>
        <w:t>中标人</w:t>
      </w:r>
      <w:r>
        <w:rPr>
          <w:rFonts w:hint="eastAsia" w:ascii="宋体" w:hAnsi="宋体" w:eastAsia="宋体" w:cs="宋体"/>
          <w:color w:val="auto"/>
          <w:highlight w:val="none"/>
        </w:rPr>
        <w:t>在履约过程中有政府采购法律法规规定的违法违规情形的，采购人应当及时报告本级财政部门。</w:t>
      </w:r>
    </w:p>
    <w:p w14:paraId="58BA3A3D">
      <w:pPr>
        <w:pStyle w:val="16"/>
        <w:snapToGrid w:val="0"/>
        <w:spacing w:line="400" w:lineRule="exact"/>
        <w:rPr>
          <w:rFonts w:hAnsi="宋体" w:eastAsia="宋体" w:cs="Times New Roman"/>
          <w:color w:val="auto"/>
          <w:highlight w:val="none"/>
        </w:rPr>
      </w:pPr>
    </w:p>
    <w:p w14:paraId="6F3C4CA8">
      <w:pPr>
        <w:pStyle w:val="4"/>
        <w:keepNext w:val="0"/>
        <w:keepLines w:val="0"/>
        <w:spacing w:line="360" w:lineRule="auto"/>
        <w:jc w:val="center"/>
        <w:rPr>
          <w:rFonts w:hint="eastAsia" w:ascii="Times New Roman" w:hAnsi="Times New Roman" w:eastAsia="宋体" w:cs="Times New Roman"/>
          <w:color w:val="auto"/>
          <w:highlight w:val="none"/>
        </w:rPr>
      </w:pPr>
      <w:bookmarkStart w:id="247" w:name="_八、其他事项"/>
      <w:bookmarkEnd w:id="247"/>
      <w:bookmarkStart w:id="248" w:name="_Toc5795"/>
      <w:bookmarkStart w:id="249" w:name="_Toc24348"/>
      <w:bookmarkStart w:id="250" w:name="_Toc28972"/>
      <w:bookmarkStart w:id="251" w:name="_Toc14814"/>
      <w:bookmarkStart w:id="252" w:name="_Toc32163"/>
      <w:bookmarkStart w:id="253" w:name="_Toc13612"/>
      <w:bookmarkStart w:id="254" w:name="_Toc13217"/>
      <w:bookmarkStart w:id="255" w:name="_Toc31560"/>
      <w:bookmarkStart w:id="256" w:name="_Toc27249"/>
      <w:bookmarkStart w:id="257" w:name="_Toc16509"/>
      <w:r>
        <w:rPr>
          <w:rFonts w:hint="eastAsia" w:ascii="Times New Roman" w:hAnsi="Times New Roman" w:eastAsia="宋体" w:cs="Times New Roman"/>
          <w:color w:val="auto"/>
          <w:highlight w:val="none"/>
        </w:rPr>
        <w:t>九、其他事项</w:t>
      </w:r>
      <w:bookmarkEnd w:id="248"/>
      <w:bookmarkEnd w:id="249"/>
      <w:bookmarkEnd w:id="250"/>
      <w:bookmarkEnd w:id="251"/>
      <w:bookmarkEnd w:id="252"/>
      <w:bookmarkEnd w:id="253"/>
      <w:bookmarkEnd w:id="254"/>
      <w:bookmarkEnd w:id="255"/>
      <w:bookmarkEnd w:id="256"/>
      <w:bookmarkEnd w:id="257"/>
    </w:p>
    <w:p w14:paraId="3485327A">
      <w:pPr>
        <w:spacing w:line="360" w:lineRule="auto"/>
        <w:ind w:firstLine="480" w:firstLineChars="200"/>
        <w:rPr>
          <w:rFonts w:ascii="黑体" w:hAnsi="黑体" w:eastAsia="黑体" w:cs="Times New Roman"/>
          <w:color w:val="auto"/>
          <w:sz w:val="24"/>
          <w:highlight w:val="none"/>
        </w:rPr>
      </w:pPr>
      <w:bookmarkStart w:id="258" w:name="_42.代理服务费"/>
      <w:bookmarkEnd w:id="258"/>
      <w:r>
        <w:rPr>
          <w:rFonts w:hint="eastAsia" w:ascii="黑体" w:hAnsi="黑体" w:eastAsia="黑体" w:cs="Times New Roman"/>
          <w:color w:val="auto"/>
          <w:sz w:val="24"/>
          <w:highlight w:val="none"/>
        </w:rPr>
        <w:t>40.</w:t>
      </w:r>
      <w:r>
        <w:rPr>
          <w:rFonts w:hint="eastAsia" w:ascii="黑体" w:hAnsi="黑体" w:eastAsia="黑体" w:cs="Times New Roman"/>
          <w:color w:val="auto"/>
          <w:sz w:val="24"/>
          <w:highlight w:val="none"/>
          <w:lang w:eastAsia="zh-CN"/>
        </w:rPr>
        <w:t>采购</w:t>
      </w:r>
      <w:r>
        <w:rPr>
          <w:rFonts w:hint="eastAsia" w:ascii="黑体" w:hAnsi="黑体" w:eastAsia="黑体" w:cs="Times New Roman"/>
          <w:color w:val="auto"/>
          <w:sz w:val="24"/>
          <w:highlight w:val="none"/>
        </w:rPr>
        <w:t>代理服务费</w:t>
      </w:r>
    </w:p>
    <w:p w14:paraId="65FDFD14">
      <w:pPr>
        <w:spacing w:line="360" w:lineRule="auto"/>
        <w:ind w:firstLine="420" w:firstLineChars="200"/>
        <w:rPr>
          <w:rFonts w:hint="eastAsia"/>
          <w:color w:val="auto"/>
          <w:highlight w:val="none"/>
        </w:rPr>
      </w:pPr>
      <w:r>
        <w:rPr>
          <w:rFonts w:hint="eastAsia" w:ascii="宋体" w:hAnsi="宋体" w:cs="Times New Roman"/>
          <w:b w:val="0"/>
          <w:bCs/>
          <w:color w:val="auto"/>
          <w:szCs w:val="21"/>
          <w:highlight w:val="none"/>
          <w:lang w:val="en-US" w:eastAsia="zh-CN"/>
        </w:rPr>
        <w:t>40.1</w:t>
      </w:r>
      <w:r>
        <w:rPr>
          <w:rFonts w:hint="eastAsia" w:ascii="宋体" w:hAnsi="宋体" w:cs="Times New Roman"/>
          <w:b w:val="0"/>
          <w:bCs/>
          <w:color w:val="auto"/>
          <w:szCs w:val="21"/>
          <w:highlight w:val="none"/>
          <w:lang w:eastAsia="zh-CN"/>
        </w:rPr>
        <w:t>采购</w:t>
      </w:r>
      <w:r>
        <w:rPr>
          <w:rFonts w:hint="eastAsia" w:ascii="宋体" w:hAnsi="宋体" w:eastAsia="宋体" w:cs="Times New Roman"/>
          <w:b w:val="0"/>
          <w:bCs/>
          <w:color w:val="auto"/>
          <w:szCs w:val="21"/>
          <w:highlight w:val="none"/>
        </w:rPr>
        <w:t>代理服务</w:t>
      </w:r>
      <w:r>
        <w:rPr>
          <w:rFonts w:hint="eastAsia" w:ascii="宋体" w:hAnsi="宋体" w:cs="Times New Roman"/>
          <w:b w:val="0"/>
          <w:bCs/>
          <w:color w:val="auto"/>
          <w:szCs w:val="21"/>
          <w:highlight w:val="none"/>
          <w:lang w:eastAsia="zh-CN"/>
        </w:rPr>
        <w:t>费</w:t>
      </w:r>
      <w:r>
        <w:rPr>
          <w:rFonts w:hint="eastAsia" w:ascii="宋体" w:hAnsi="宋体" w:eastAsia="宋体" w:cs="Times New Roman"/>
          <w:b w:val="0"/>
          <w:bCs/>
          <w:color w:val="auto"/>
          <w:szCs w:val="21"/>
          <w:highlight w:val="none"/>
        </w:rPr>
        <w:t>收费标准及缴费账户详见“投标人须知前附表”，投标人为联合体的，可以由联合体中的一方或者多方共同</w:t>
      </w:r>
      <w:r>
        <w:rPr>
          <w:rFonts w:hint="eastAsia" w:ascii="宋体" w:hAnsi="宋体" w:cs="Times New Roman"/>
          <w:b w:val="0"/>
          <w:bCs/>
          <w:color w:val="auto"/>
          <w:szCs w:val="21"/>
          <w:highlight w:val="none"/>
          <w:lang w:eastAsia="zh-CN"/>
        </w:rPr>
        <w:t>缴</w:t>
      </w:r>
      <w:r>
        <w:rPr>
          <w:rFonts w:hint="eastAsia" w:ascii="宋体" w:hAnsi="宋体" w:eastAsia="宋体" w:cs="Times New Roman"/>
          <w:b w:val="0"/>
          <w:bCs/>
          <w:color w:val="auto"/>
          <w:szCs w:val="21"/>
          <w:highlight w:val="none"/>
        </w:rPr>
        <w:t>纳</w:t>
      </w:r>
      <w:r>
        <w:rPr>
          <w:rFonts w:hint="eastAsia" w:ascii="宋体" w:hAnsi="宋体" w:cs="Times New Roman"/>
          <w:b w:val="0"/>
          <w:bCs/>
          <w:color w:val="auto"/>
          <w:szCs w:val="21"/>
          <w:highlight w:val="none"/>
          <w:lang w:eastAsia="zh-CN"/>
        </w:rPr>
        <w:t>采购</w:t>
      </w:r>
      <w:r>
        <w:rPr>
          <w:rFonts w:hint="eastAsia" w:ascii="宋体" w:hAnsi="宋体" w:eastAsia="宋体" w:cs="Times New Roman"/>
          <w:b w:val="0"/>
          <w:bCs/>
          <w:color w:val="auto"/>
          <w:szCs w:val="21"/>
          <w:highlight w:val="none"/>
        </w:rPr>
        <w:t>代理服务费。</w:t>
      </w:r>
    </w:p>
    <w:p w14:paraId="0B164178">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41. 需要补充的其他内容</w:t>
      </w:r>
    </w:p>
    <w:p w14:paraId="75C8CEC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41.1本招标文件解释规则详见“投标人须知前附表”。</w:t>
      </w:r>
    </w:p>
    <w:p w14:paraId="380E92B2">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41.2 其他事项详见“投标人须知前附表”。</w:t>
      </w:r>
    </w:p>
    <w:p w14:paraId="302BD48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41.3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w:t>
      </w: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rPr>
        <w:t>提供的服务的人员为中小企业依照《中华人民共和国劳动合同法》订立劳动合同的从业人员，不对其中涉及的货物的制造商和工程承建商作出要求的，享受本文件规定的中小企业扶持政策。</w:t>
      </w:r>
    </w:p>
    <w:p w14:paraId="6D31581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以联合体形式参加政府采购活动，联合体各方均为中小企业的，联合体视同中小企业。其中，联合体各方均为小微企业的，联合体视同小微企业。</w:t>
      </w:r>
    </w:p>
    <w:p w14:paraId="2EADD6AF">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依据本文件规定享受扶持政策获得政府采购合同的，小微企业不得将合同分包给大中型企业，中型企业不得将合同分包给大型企业。</w:t>
      </w:r>
    </w:p>
    <w:p w14:paraId="394DCED4">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42. 广西线上</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政采贷</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szCs w:val="24"/>
          <w:highlight w:val="none"/>
        </w:rPr>
        <w:t>政策告知函</w:t>
      </w:r>
    </w:p>
    <w:p w14:paraId="12565C99">
      <w:pPr>
        <w:spacing w:line="580" w:lineRule="exact"/>
        <w:jc w:val="center"/>
        <w:rPr>
          <w:rFonts w:hint="eastAsia" w:ascii="宋体" w:hAnsi="宋体" w:eastAsia="宋体" w:cs="宋体"/>
          <w:color w:val="auto"/>
          <w:sz w:val="44"/>
          <w:szCs w:val="44"/>
          <w:highlight w:val="none"/>
        </w:rPr>
      </w:pPr>
    </w:p>
    <w:p w14:paraId="1AD0D9F3">
      <w:pPr>
        <w:spacing w:line="580" w:lineRule="exact"/>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广西线上“政采贷”政策告知函</w:t>
      </w:r>
    </w:p>
    <w:p w14:paraId="249BD7C9">
      <w:pPr>
        <w:spacing w:line="240" w:lineRule="auto"/>
        <w:ind w:firstLine="0" w:firstLineChars="0"/>
        <w:rPr>
          <w:rFonts w:hint="default" w:ascii="Times New Roman" w:hAnsi="Times New Roman" w:cs="Times New Roman"/>
          <w:color w:val="auto"/>
          <w:szCs w:val="24"/>
          <w:highlight w:val="none"/>
        </w:rPr>
      </w:pPr>
    </w:p>
    <w:p w14:paraId="1E66067C">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各供应商：</w:t>
      </w:r>
    </w:p>
    <w:p w14:paraId="5661D0D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欢迎贵公司参与广西政府采购活动！</w:t>
      </w:r>
    </w:p>
    <w:p w14:paraId="1FFF41F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w:t>
      </w:r>
      <w:r>
        <w:rPr>
          <w:rFonts w:hint="eastAsia" w:ascii="宋体" w:hAnsi="宋体" w:eastAsia="宋体" w:cs="宋体"/>
          <w:color w:val="auto"/>
          <w:kern w:val="2"/>
          <w:sz w:val="21"/>
          <w:szCs w:val="21"/>
          <w:highlight w:val="none"/>
          <w:lang w:val="en-US" w:eastAsia="zh-CN" w:bidi="ar-SA"/>
        </w:rPr>
        <w:t>银行业金融机构</w:t>
      </w:r>
      <w:r>
        <w:rPr>
          <w:rFonts w:hint="eastAsia" w:ascii="宋体" w:hAnsi="宋体" w:cs="宋体"/>
          <w:color w:val="auto"/>
          <w:szCs w:val="21"/>
          <w:highlight w:val="none"/>
        </w:rPr>
        <w:t>申请贷款，融资机构将根据《中国人民银行南宁中心支行 广西壮族自治区财政厅关于推广线上“政采贷”融资模式的通知》（南宁银发〔2021〕</w:t>
      </w:r>
      <w:r>
        <w:rPr>
          <w:rFonts w:hint="eastAsia" w:ascii="宋体" w:hAnsi="宋体" w:cs="宋体"/>
          <w:color w:val="auto"/>
          <w:szCs w:val="21"/>
          <w:highlight w:val="none"/>
          <w:lang w:val="en-US" w:eastAsia="zh-CN"/>
        </w:rPr>
        <w:t>258</w:t>
      </w:r>
      <w:r>
        <w:rPr>
          <w:rFonts w:hint="eastAsia" w:ascii="宋体" w:hAnsi="宋体" w:cs="宋体"/>
          <w:color w:val="auto"/>
          <w:szCs w:val="21"/>
          <w:highlight w:val="none"/>
        </w:rPr>
        <w:t>号），按照双方自愿的原则提供便捷、优惠的贷款服务。</w:t>
      </w:r>
    </w:p>
    <w:p w14:paraId="5D7143F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相关金融产品和</w:t>
      </w:r>
      <w:r>
        <w:rPr>
          <w:rFonts w:hint="eastAsia" w:ascii="宋体" w:hAnsi="宋体" w:eastAsia="宋体" w:cs="宋体"/>
          <w:color w:val="auto"/>
          <w:kern w:val="2"/>
          <w:sz w:val="21"/>
          <w:szCs w:val="21"/>
          <w:highlight w:val="none"/>
          <w:lang w:val="en-US" w:eastAsia="zh-CN" w:bidi="ar-SA"/>
        </w:rPr>
        <w:t>银行业金融机构</w:t>
      </w:r>
      <w:r>
        <w:rPr>
          <w:rFonts w:hint="eastAsia" w:ascii="宋体" w:hAnsi="宋体" w:cs="宋体"/>
          <w:color w:val="auto"/>
          <w:szCs w:val="21"/>
          <w:highlight w:val="none"/>
        </w:rPr>
        <w:t>联系方式，可在中征应收账款融资服务平台查询</w:t>
      </w:r>
      <w:r>
        <w:rPr>
          <w:rFonts w:hint="eastAsia" w:ascii="宋体" w:hAnsi="宋体" w:cs="宋体"/>
          <w:color w:val="auto"/>
          <w:szCs w:val="21"/>
          <w:highlight w:val="none"/>
          <w:lang w:eastAsia="zh-CN"/>
        </w:rPr>
        <w:t>（网址：</w:t>
      </w:r>
      <w:r>
        <w:rPr>
          <w:rFonts w:hint="eastAsia" w:ascii="宋体" w:hAnsi="宋体" w:cs="宋体"/>
          <w:color w:val="auto"/>
          <w:szCs w:val="21"/>
          <w:highlight w:val="none"/>
          <w:lang w:eastAsia="zh-CN"/>
        </w:rPr>
        <w:fldChar w:fldCharType="begin"/>
      </w:r>
      <w:r>
        <w:rPr>
          <w:rFonts w:hint="eastAsia" w:ascii="宋体" w:hAnsi="宋体" w:cs="宋体"/>
          <w:color w:val="auto"/>
          <w:szCs w:val="21"/>
          <w:highlight w:val="none"/>
          <w:lang w:eastAsia="zh-CN"/>
        </w:rPr>
        <w:instrText xml:space="preserve"> HYPERLINK "https://www.crcrfsp.com/" </w:instrText>
      </w:r>
      <w:r>
        <w:rPr>
          <w:rFonts w:hint="eastAsia" w:ascii="宋体" w:hAnsi="宋体" w:cs="宋体"/>
          <w:color w:val="auto"/>
          <w:szCs w:val="21"/>
          <w:highlight w:val="none"/>
          <w:lang w:eastAsia="zh-CN"/>
        </w:rPr>
        <w:fldChar w:fldCharType="separate"/>
      </w:r>
      <w:r>
        <w:rPr>
          <w:rStyle w:val="32"/>
          <w:rFonts w:hint="eastAsia" w:ascii="宋体" w:hAnsi="宋体" w:eastAsia="宋体" w:cs="宋体"/>
          <w:color w:val="auto"/>
          <w:szCs w:val="21"/>
          <w:highlight w:val="none"/>
          <w:lang w:eastAsia="zh-CN"/>
        </w:rPr>
        <w:t>https://www.crcrfsp.com/</w:t>
      </w:r>
      <w:r>
        <w:rPr>
          <w:rFonts w:hint="eastAsia" w:ascii="宋体" w:hAnsi="宋体" w:cs="宋体"/>
          <w:color w:val="auto"/>
          <w:szCs w:val="21"/>
          <w:highlight w:val="none"/>
          <w:lang w:eastAsia="zh-CN"/>
        </w:rPr>
        <w:fldChar w:fldCharType="end"/>
      </w:r>
      <w:r>
        <w:rPr>
          <w:rFonts w:hint="eastAsia" w:ascii="宋体" w:hAnsi="宋体" w:cs="宋体"/>
          <w:color w:val="auto"/>
          <w:szCs w:val="21"/>
          <w:highlight w:val="none"/>
          <w:lang w:eastAsia="zh-CN"/>
        </w:rPr>
        <w:t>，客服电话：</w:t>
      </w:r>
      <w:r>
        <w:rPr>
          <w:rFonts w:hint="eastAsia" w:ascii="宋体" w:hAnsi="宋体" w:cs="宋体"/>
          <w:color w:val="auto"/>
          <w:szCs w:val="21"/>
          <w:highlight w:val="none"/>
          <w:lang w:val="en-US" w:eastAsia="zh-CN"/>
        </w:rPr>
        <w:t>400-009-0001</w:t>
      </w:r>
      <w:r>
        <w:rPr>
          <w:rFonts w:hint="eastAsia" w:ascii="宋体" w:hAnsi="宋体" w:cs="宋体"/>
          <w:color w:val="auto"/>
          <w:szCs w:val="21"/>
          <w:highlight w:val="none"/>
          <w:lang w:eastAsia="zh-CN"/>
        </w:rPr>
        <w:t>）。</w:t>
      </w:r>
    </w:p>
    <w:p w14:paraId="0F1F0EDA">
      <w:pPr>
        <w:numPr>
          <w:ilvl w:val="0"/>
          <w:numId w:val="0"/>
        </w:numPr>
        <w:spacing w:line="360" w:lineRule="auto"/>
        <w:jc w:val="left"/>
        <w:rPr>
          <w:rFonts w:hint="eastAsia" w:ascii="Times New Roman" w:hAnsi="宋体" w:eastAsia="宋体" w:cs="Times New Roman"/>
          <w:color w:val="auto"/>
          <w:highlight w:val="none"/>
        </w:rPr>
      </w:pPr>
      <w:r>
        <w:rPr>
          <w:rFonts w:ascii="Times New Roman" w:hAnsi="宋体" w:eastAsia="宋体" w:cs="Times New Roman"/>
          <w:color w:val="auto"/>
          <w:highlight w:val="none"/>
        </w:rPr>
        <w:br w:type="page"/>
      </w:r>
      <w:bookmarkStart w:id="259" w:name="_Toc532545043"/>
    </w:p>
    <w:p w14:paraId="298F433F">
      <w:pPr>
        <w:pStyle w:val="16"/>
        <w:jc w:val="center"/>
        <w:outlineLvl w:val="0"/>
        <w:rPr>
          <w:rFonts w:hint="eastAsia" w:ascii="Times New Roman" w:hAnsi="Times New Roman" w:eastAsia="宋体" w:cs="Times New Roman"/>
          <w:b/>
          <w:color w:val="auto"/>
          <w:sz w:val="36"/>
          <w:highlight w:val="none"/>
          <w:lang w:eastAsia="zh-CN"/>
        </w:rPr>
      </w:pPr>
      <w:bookmarkStart w:id="260" w:name="_Toc12751"/>
      <w:bookmarkStart w:id="261" w:name="_Toc18631"/>
      <w:bookmarkStart w:id="262" w:name="_Toc2789"/>
      <w:bookmarkStart w:id="263" w:name="_Toc31952"/>
      <w:bookmarkStart w:id="264" w:name="_Toc11694"/>
      <w:bookmarkStart w:id="265" w:name="_Toc14666"/>
      <w:bookmarkStart w:id="266" w:name="_Toc26567"/>
      <w:bookmarkStart w:id="267" w:name="_Toc24569"/>
      <w:bookmarkStart w:id="268" w:name="_Toc3584"/>
      <w:bookmarkStart w:id="269" w:name="_Toc10034"/>
      <w:bookmarkStart w:id="270" w:name="_Toc28468"/>
      <w:bookmarkStart w:id="271" w:name="_Toc10118"/>
      <w:bookmarkStart w:id="272" w:name="_Toc19117"/>
      <w:r>
        <w:rPr>
          <w:rFonts w:hint="eastAsia" w:ascii="Times New Roman" w:hAnsi="Times New Roman" w:eastAsia="宋体" w:cs="Times New Roman"/>
          <w:b/>
          <w:color w:val="auto"/>
          <w:sz w:val="36"/>
          <w:highlight w:val="none"/>
        </w:rPr>
        <w:t>第四章</w:t>
      </w:r>
      <w:r>
        <w:rPr>
          <w:rFonts w:ascii="Times New Roman" w:hAnsi="Times New Roman" w:eastAsia="宋体" w:cs="Times New Roman"/>
          <w:b/>
          <w:color w:val="auto"/>
          <w:sz w:val="36"/>
          <w:highlight w:val="none"/>
        </w:rPr>
        <w:t xml:space="preserve">  </w:t>
      </w:r>
      <w:bookmarkEnd w:id="259"/>
      <w:bookmarkEnd w:id="260"/>
      <w:bookmarkEnd w:id="261"/>
      <w:bookmarkEnd w:id="262"/>
      <w:bookmarkEnd w:id="263"/>
      <w:bookmarkEnd w:id="264"/>
      <w:bookmarkEnd w:id="265"/>
      <w:bookmarkEnd w:id="266"/>
      <w:bookmarkEnd w:id="267"/>
      <w:r>
        <w:rPr>
          <w:rFonts w:hint="eastAsia" w:ascii="Times New Roman" w:hAnsi="Times New Roman" w:cs="Times New Roman"/>
          <w:b/>
          <w:color w:val="auto"/>
          <w:sz w:val="36"/>
          <w:highlight w:val="none"/>
          <w:lang w:eastAsia="zh-CN"/>
        </w:rPr>
        <w:t>评标方法和评标标准</w:t>
      </w:r>
      <w:bookmarkEnd w:id="268"/>
      <w:bookmarkEnd w:id="269"/>
      <w:bookmarkEnd w:id="270"/>
      <w:bookmarkEnd w:id="271"/>
      <w:bookmarkEnd w:id="272"/>
    </w:p>
    <w:p w14:paraId="43F28D25">
      <w:pPr>
        <w:pStyle w:val="16"/>
        <w:keepNext w:val="0"/>
        <w:keepLines w:val="0"/>
        <w:pageBreakBefore w:val="0"/>
        <w:kinsoku/>
        <w:wordWrap/>
        <w:overflowPunct/>
        <w:topLinePunct w:val="0"/>
        <w:bidi w:val="0"/>
        <w:snapToGrid/>
        <w:spacing w:line="400" w:lineRule="exact"/>
        <w:jc w:val="center"/>
        <w:outlineLvl w:val="1"/>
        <w:rPr>
          <w:rFonts w:hint="eastAsia" w:ascii="Times New Roman" w:hAnsi="Times New Roman" w:eastAsia="宋体" w:cs="Times New Roman"/>
          <w:b/>
          <w:bCs/>
          <w:color w:val="auto"/>
          <w:sz w:val="32"/>
          <w:szCs w:val="32"/>
          <w:highlight w:val="none"/>
        </w:rPr>
      </w:pPr>
      <w:bookmarkStart w:id="273" w:name="_Toc9604"/>
      <w:bookmarkStart w:id="274" w:name="_Toc3574"/>
      <w:bookmarkStart w:id="275" w:name="_Toc29945"/>
      <w:bookmarkStart w:id="276" w:name="_Toc20519"/>
      <w:bookmarkStart w:id="277" w:name="_Toc28074"/>
      <w:bookmarkStart w:id="278" w:name="_Toc12345"/>
      <w:bookmarkStart w:id="279" w:name="_Toc14342"/>
      <w:bookmarkStart w:id="280" w:name="_Toc5889"/>
      <w:bookmarkStart w:id="281" w:name="_Toc28945"/>
      <w:bookmarkStart w:id="282" w:name="_Toc6104"/>
    </w:p>
    <w:p w14:paraId="68F7CA2C">
      <w:pPr>
        <w:pStyle w:val="16"/>
        <w:keepNext w:val="0"/>
        <w:keepLines w:val="0"/>
        <w:pageBreakBefore w:val="0"/>
        <w:kinsoku/>
        <w:wordWrap/>
        <w:overflowPunct/>
        <w:topLinePunct w:val="0"/>
        <w:bidi w:val="0"/>
        <w:snapToGrid/>
        <w:spacing w:line="400" w:lineRule="exact"/>
        <w:jc w:val="center"/>
        <w:outlineLvl w:val="1"/>
        <w:rPr>
          <w:rFonts w:ascii="Times New Roman" w:hAnsi="Times New Roman" w:eastAsia="宋体" w:cs="Times New Roman"/>
          <w:b/>
          <w:bCs/>
          <w:color w:val="auto"/>
          <w:sz w:val="32"/>
          <w:szCs w:val="32"/>
          <w:highlight w:val="none"/>
        </w:rPr>
      </w:pPr>
      <w:r>
        <w:rPr>
          <w:rFonts w:hint="eastAsia" w:ascii="Times New Roman" w:hAnsi="Times New Roman" w:eastAsia="宋体" w:cs="Times New Roman"/>
          <w:b/>
          <w:bCs/>
          <w:color w:val="auto"/>
          <w:sz w:val="32"/>
          <w:szCs w:val="32"/>
          <w:highlight w:val="none"/>
        </w:rPr>
        <w:t>第一节</w:t>
      </w:r>
      <w:r>
        <w:rPr>
          <w:rFonts w:ascii="Times New Roman" w:hAnsi="Times New Roman" w:eastAsia="宋体" w:cs="Times New Roman"/>
          <w:b/>
          <w:bCs/>
          <w:color w:val="auto"/>
          <w:sz w:val="32"/>
          <w:szCs w:val="32"/>
          <w:highlight w:val="none"/>
        </w:rPr>
        <w:t xml:space="preserve"> </w:t>
      </w:r>
      <w:r>
        <w:rPr>
          <w:rFonts w:hint="eastAsia" w:ascii="Times New Roman" w:hAnsi="Times New Roman" w:eastAsia="宋体" w:cs="Times New Roman"/>
          <w:b/>
          <w:bCs/>
          <w:color w:val="auto"/>
          <w:sz w:val="32"/>
          <w:szCs w:val="32"/>
          <w:highlight w:val="none"/>
        </w:rPr>
        <w:t>评标方法</w:t>
      </w:r>
      <w:bookmarkEnd w:id="273"/>
      <w:bookmarkEnd w:id="274"/>
      <w:bookmarkEnd w:id="275"/>
      <w:bookmarkEnd w:id="276"/>
      <w:bookmarkEnd w:id="277"/>
      <w:bookmarkEnd w:id="278"/>
      <w:bookmarkEnd w:id="279"/>
      <w:bookmarkEnd w:id="280"/>
      <w:bookmarkEnd w:id="281"/>
      <w:bookmarkEnd w:id="282"/>
    </w:p>
    <w:p w14:paraId="0C9BE537">
      <w:pPr>
        <w:pStyle w:val="16"/>
        <w:keepNext w:val="0"/>
        <w:keepLines w:val="0"/>
        <w:pageBreakBefore w:val="0"/>
        <w:tabs>
          <w:tab w:val="left" w:pos="2472"/>
        </w:tabs>
        <w:kinsoku/>
        <w:wordWrap/>
        <w:overflowPunct/>
        <w:topLinePunct w:val="0"/>
        <w:bidi w:val="0"/>
        <w:snapToGrid/>
        <w:spacing w:line="400" w:lineRule="exact"/>
        <w:ind w:firstLine="420" w:firstLineChars="200"/>
        <w:rPr>
          <w:rFonts w:eastAsia="宋体" w:cs="Times New Roman"/>
          <w:color w:val="auto"/>
          <w:szCs w:val="21"/>
          <w:highlight w:val="none"/>
        </w:rPr>
      </w:pPr>
      <w:r>
        <w:rPr>
          <w:rFonts w:hint="eastAsia" w:hAnsi="宋体" w:eastAsia="宋体" w:cs="宋体"/>
          <w:color w:val="auto"/>
          <w:szCs w:val="21"/>
          <w:highlight w:val="none"/>
        </w:rPr>
        <w:t>本项目采用</w:t>
      </w:r>
      <w:r>
        <w:rPr>
          <w:rFonts w:hint="eastAsia" w:hAnsi="宋体" w:eastAsia="宋体" w:cs="宋体"/>
          <w:color w:val="auto"/>
          <w:szCs w:val="21"/>
          <w:highlight w:val="none"/>
          <w:u w:val="single"/>
        </w:rPr>
        <w:t xml:space="preserve"> 以下勾选的方式</w:t>
      </w:r>
      <w:r>
        <w:rPr>
          <w:rFonts w:hint="eastAsia" w:hAnsi="宋体" w:cs="宋体"/>
          <w:color w:val="auto"/>
          <w:szCs w:val="21"/>
          <w:highlight w:val="none"/>
          <w:u w:val="single"/>
          <w:lang w:val="en-US" w:eastAsia="zh-CN"/>
        </w:rPr>
        <w:t xml:space="preserve"> </w:t>
      </w:r>
      <w:r>
        <w:rPr>
          <w:rFonts w:hint="eastAsia" w:hAnsi="宋体" w:eastAsia="宋体" w:cs="宋体"/>
          <w:color w:val="auto"/>
          <w:szCs w:val="21"/>
          <w:highlight w:val="none"/>
        </w:rPr>
        <w:t>进行评审。</w:t>
      </w:r>
    </w:p>
    <w:p w14:paraId="41B70BD5">
      <w:pPr>
        <w:pStyle w:val="16"/>
        <w:keepNext w:val="0"/>
        <w:keepLines w:val="0"/>
        <w:pageBreakBefore w:val="0"/>
        <w:kinsoku/>
        <w:wordWrap/>
        <w:overflowPunct/>
        <w:topLinePunct w:val="0"/>
        <w:bidi w:val="0"/>
        <w:snapToGrid/>
        <w:spacing w:line="400" w:lineRule="exact"/>
        <w:ind w:firstLine="420"/>
        <w:rPr>
          <w:rFonts w:hint="eastAsia" w:hAnsi="宋体" w:eastAsia="宋体" w:cs="Times New Roman"/>
          <w:color w:val="auto"/>
          <w:highlight w:val="none"/>
        </w:rPr>
      </w:pPr>
      <w:r>
        <w:rPr>
          <w:rFonts w:hint="eastAsia" w:hAnsi="宋体" w:eastAsia="宋体" w:cs="Times New Roman"/>
          <w:color w:val="auto"/>
          <w:szCs w:val="21"/>
          <w:highlight w:val="none"/>
        </w:rPr>
        <w:t>□最低评标价法，是指投标文件满足招标文件</w:t>
      </w:r>
      <w:r>
        <w:rPr>
          <w:rFonts w:hint="eastAsia" w:hAnsi="宋体" w:eastAsia="宋体" w:cs="Times New Roman"/>
          <w:color w:val="auto"/>
          <w:highlight w:val="none"/>
        </w:rPr>
        <w:t>全部实质性要求，且投标报价最低的投标人为中标候选人的评标方法。</w:t>
      </w:r>
    </w:p>
    <w:p w14:paraId="2AD706D1">
      <w:pPr>
        <w:keepNext w:val="0"/>
        <w:keepLines w:val="0"/>
        <w:pageBreakBefore w:val="0"/>
        <w:kinsoku/>
        <w:wordWrap/>
        <w:overflowPunct/>
        <w:topLinePunct w:val="0"/>
        <w:autoSpaceDE w:val="0"/>
        <w:autoSpaceDN w:val="0"/>
        <w:bidi w:val="0"/>
        <w:adjustRightInd w:val="0"/>
        <w:snapToGrid/>
        <w:spacing w:line="400" w:lineRule="exact"/>
        <w:ind w:firstLine="420" w:firstLineChars="200"/>
        <w:rPr>
          <w:rFonts w:hint="eastAsia" w:ascii="宋体" w:hAnsi="宋体" w:eastAsia="宋体" w:cs="Times New Roman"/>
          <w:color w:val="auto"/>
          <w:sz w:val="24"/>
          <w:highlight w:val="none"/>
        </w:rPr>
      </w:pPr>
      <w:r>
        <w:rPr>
          <w:rFonts w:hint="eastAsia" w:hAnsi="宋体" w:cs="Times New Roman"/>
          <w:color w:val="auto"/>
          <w:highlight w:val="none"/>
          <w:lang w:eastAsia="zh-CN"/>
        </w:rPr>
        <w:t>☑</w:t>
      </w:r>
      <w:r>
        <w:rPr>
          <w:rFonts w:hint="eastAsia" w:ascii="Times New Roman" w:hAnsi="宋体" w:eastAsia="宋体" w:cs="Times New Roman"/>
          <w:color w:val="auto"/>
          <w:highlight w:val="none"/>
        </w:rPr>
        <w:t>综合评分法，</w:t>
      </w:r>
      <w:r>
        <w:rPr>
          <w:rFonts w:hint="eastAsia" w:ascii="宋体" w:hAnsi="宋体" w:eastAsia="宋体" w:cs="Times New Roman"/>
          <w:color w:val="auto"/>
          <w:szCs w:val="20"/>
          <w:highlight w:val="none"/>
        </w:rPr>
        <w:t>是指投标文件满足招标文件全部实质性要求，且按照评审因素的量化指标评审得分最高的投标人为中标候选人的评标方法。评标委员会将对各投标人的</w:t>
      </w:r>
      <w:r>
        <w:rPr>
          <w:rFonts w:hint="eastAsia" w:ascii="宋体" w:hAnsi="宋体" w:cs="Times New Roman"/>
          <w:color w:val="auto"/>
          <w:szCs w:val="20"/>
          <w:highlight w:val="none"/>
          <w:lang w:eastAsia="zh-CN"/>
        </w:rPr>
        <w:t>投标文件</w:t>
      </w:r>
      <w:r>
        <w:rPr>
          <w:rFonts w:hint="eastAsia" w:ascii="宋体" w:hAnsi="宋体" w:eastAsia="宋体" w:cs="Times New Roman"/>
          <w:color w:val="auto"/>
          <w:szCs w:val="20"/>
          <w:highlight w:val="none"/>
        </w:rPr>
        <w:t>进行综合评审，对实质上响应招标文件的投标人，由各评委独立记名打分。经统计，得出各投标人的综合得分,按综合得分由高到低顺序排列。若综合得分相同的，按投标报价由低到高顺序排列。若综合得分且投标报价相同的，服务类采购项目以</w:t>
      </w:r>
      <w:r>
        <w:rPr>
          <w:rFonts w:hint="eastAsia" w:ascii="宋体" w:hAnsi="宋体" w:cs="Times New Roman"/>
          <w:color w:val="auto"/>
          <w:szCs w:val="20"/>
          <w:highlight w:val="none"/>
          <w:lang w:eastAsia="zh-CN"/>
        </w:rPr>
        <w:t>“投标人须知前附表”规定的方式排列</w:t>
      </w:r>
      <w:r>
        <w:rPr>
          <w:rFonts w:hint="eastAsia" w:ascii="宋体" w:hAnsi="宋体" w:eastAsia="宋体" w:cs="Times New Roman"/>
          <w:color w:val="auto"/>
          <w:szCs w:val="20"/>
          <w:highlight w:val="none"/>
        </w:rPr>
        <w:t xml:space="preserve">。 </w:t>
      </w:r>
    </w:p>
    <w:p w14:paraId="2B16C30C">
      <w:pPr>
        <w:pStyle w:val="16"/>
        <w:keepNext w:val="0"/>
        <w:keepLines w:val="0"/>
        <w:pageBreakBefore w:val="0"/>
        <w:kinsoku/>
        <w:wordWrap/>
        <w:overflowPunct/>
        <w:topLinePunct w:val="0"/>
        <w:bidi w:val="0"/>
        <w:snapToGrid/>
        <w:spacing w:line="400" w:lineRule="exact"/>
        <w:ind w:firstLine="420"/>
        <w:rPr>
          <w:rFonts w:hint="eastAsia" w:hAnsi="宋体" w:eastAsia="宋体" w:cs="Times New Roman"/>
          <w:color w:val="auto"/>
          <w:highlight w:val="none"/>
        </w:rPr>
      </w:pPr>
    </w:p>
    <w:p w14:paraId="756161B7">
      <w:pPr>
        <w:pStyle w:val="16"/>
        <w:keepNext w:val="0"/>
        <w:keepLines w:val="0"/>
        <w:pageBreakBefore w:val="0"/>
        <w:tabs>
          <w:tab w:val="left" w:pos="2472"/>
        </w:tabs>
        <w:kinsoku/>
        <w:wordWrap/>
        <w:overflowPunct/>
        <w:topLinePunct w:val="0"/>
        <w:bidi w:val="0"/>
        <w:snapToGrid/>
        <w:spacing w:line="400" w:lineRule="exact"/>
        <w:jc w:val="center"/>
        <w:outlineLvl w:val="1"/>
        <w:rPr>
          <w:rFonts w:hint="eastAsia" w:ascii="Times New Roman" w:hAnsi="Times New Roman" w:eastAsia="宋体" w:cs="Times New Roman"/>
          <w:b/>
          <w:bCs/>
          <w:color w:val="auto"/>
          <w:sz w:val="32"/>
          <w:szCs w:val="32"/>
          <w:highlight w:val="none"/>
        </w:rPr>
      </w:pPr>
      <w:bookmarkStart w:id="283" w:name="_Toc24507"/>
      <w:bookmarkStart w:id="284" w:name="_Toc18477"/>
      <w:bookmarkStart w:id="285" w:name="_Toc30114"/>
      <w:bookmarkStart w:id="286" w:name="_Toc4190"/>
      <w:bookmarkStart w:id="287" w:name="_Toc9259"/>
      <w:bookmarkStart w:id="288" w:name="_Toc23151"/>
      <w:bookmarkStart w:id="289" w:name="_Toc588"/>
      <w:bookmarkStart w:id="290" w:name="_Toc1643"/>
      <w:bookmarkStart w:id="291" w:name="_Toc10545"/>
      <w:bookmarkStart w:id="292" w:name="_Toc9023"/>
      <w:r>
        <w:rPr>
          <w:rFonts w:hint="eastAsia" w:ascii="Times New Roman" w:hAnsi="Times New Roman" w:eastAsia="宋体" w:cs="Times New Roman"/>
          <w:b/>
          <w:bCs/>
          <w:color w:val="auto"/>
          <w:sz w:val="32"/>
          <w:szCs w:val="32"/>
          <w:highlight w:val="none"/>
        </w:rPr>
        <w:t>第二节</w:t>
      </w:r>
      <w:r>
        <w:rPr>
          <w:rFonts w:ascii="Times New Roman" w:hAnsi="Times New Roman" w:eastAsia="宋体" w:cs="Times New Roman"/>
          <w:b/>
          <w:bCs/>
          <w:color w:val="auto"/>
          <w:sz w:val="32"/>
          <w:szCs w:val="32"/>
          <w:highlight w:val="none"/>
        </w:rPr>
        <w:t xml:space="preserve"> </w:t>
      </w:r>
      <w:r>
        <w:rPr>
          <w:rFonts w:hint="eastAsia" w:ascii="Times New Roman" w:hAnsi="Times New Roman" w:eastAsia="宋体" w:cs="Times New Roman"/>
          <w:b/>
          <w:bCs/>
          <w:color w:val="auto"/>
          <w:sz w:val="32"/>
          <w:szCs w:val="32"/>
          <w:highlight w:val="none"/>
        </w:rPr>
        <w:t>评标程序</w:t>
      </w:r>
      <w:bookmarkEnd w:id="283"/>
      <w:bookmarkEnd w:id="284"/>
      <w:bookmarkEnd w:id="285"/>
      <w:bookmarkEnd w:id="286"/>
      <w:bookmarkEnd w:id="287"/>
      <w:bookmarkEnd w:id="288"/>
      <w:bookmarkEnd w:id="289"/>
      <w:bookmarkEnd w:id="290"/>
      <w:bookmarkEnd w:id="291"/>
      <w:bookmarkEnd w:id="292"/>
    </w:p>
    <w:p w14:paraId="08923841">
      <w:pPr>
        <w:keepNext w:val="0"/>
        <w:keepLines w:val="0"/>
        <w:pageBreakBefore w:val="0"/>
        <w:kinsoku/>
        <w:wordWrap/>
        <w:overflowPunct/>
        <w:topLinePunct w:val="0"/>
        <w:bidi w:val="0"/>
        <w:snapToGrid/>
        <w:spacing w:line="400" w:lineRule="exact"/>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1.符合性审查</w:t>
      </w:r>
    </w:p>
    <w:p w14:paraId="620C4499">
      <w:pPr>
        <w:keepNext w:val="0"/>
        <w:keepLines w:val="0"/>
        <w:pageBreakBefore w:val="0"/>
        <w:kinsoku/>
        <w:wordWrap/>
        <w:overflowPunct/>
        <w:topLinePunct w:val="0"/>
        <w:bidi w:val="0"/>
        <w:snapToGrid/>
        <w:spacing w:line="400" w:lineRule="exact"/>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评标委员会应当对符合资格的投标人的投标文件进行投标报价、商务、技术等实质性内容符合性审查，以确定其是否满足招标文件的实质性要求。</w:t>
      </w:r>
    </w:p>
    <w:p w14:paraId="5B3F2397">
      <w:pPr>
        <w:keepNext w:val="0"/>
        <w:keepLines w:val="0"/>
        <w:pageBreakBefore w:val="0"/>
        <w:kinsoku/>
        <w:wordWrap/>
        <w:overflowPunct/>
        <w:topLinePunct w:val="0"/>
        <w:bidi w:val="0"/>
        <w:snapToGrid/>
        <w:spacing w:line="400" w:lineRule="exact"/>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2.符合性审查不通过而导致投标无效的情形</w:t>
      </w:r>
    </w:p>
    <w:p w14:paraId="415E2917">
      <w:pPr>
        <w:keepNext w:val="0"/>
        <w:keepLines w:val="0"/>
        <w:pageBreakBefore w:val="0"/>
        <w:kinsoku/>
        <w:wordWrap/>
        <w:overflowPunct/>
        <w:topLinePunct w:val="0"/>
        <w:bidi w:val="0"/>
        <w:snapToGrid/>
        <w:spacing w:line="40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投标人的投标文件中存在对招标文件的任何实质性要求和条件的负偏离，将被视为投标无效。</w:t>
      </w:r>
    </w:p>
    <w:p w14:paraId="1B9B41AD">
      <w:pPr>
        <w:keepNext w:val="0"/>
        <w:keepLines w:val="0"/>
        <w:pageBreakBefore w:val="0"/>
        <w:kinsoku/>
        <w:wordWrap/>
        <w:overflowPunct/>
        <w:topLinePunct w:val="0"/>
        <w:bidi w:val="0"/>
        <w:snapToGrid/>
        <w:spacing w:line="40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2.1在报价评审时，如发现下列情形之一的，将被视为投标无效：</w:t>
      </w:r>
    </w:p>
    <w:p w14:paraId="7031DF0F">
      <w:pPr>
        <w:keepNext w:val="0"/>
        <w:keepLines w:val="0"/>
        <w:pageBreakBefore w:val="0"/>
        <w:kinsoku/>
        <w:wordWrap/>
        <w:overflowPunct/>
        <w:topLinePunct w:val="0"/>
        <w:bidi w:val="0"/>
        <w:snapToGrid/>
        <w:spacing w:line="40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（1）投标文件未提供“投标人须知前附表”第13.1条规定中“必须提供”的文件资料的;</w:t>
      </w:r>
    </w:p>
    <w:p w14:paraId="0AC63F23">
      <w:pPr>
        <w:keepNext w:val="0"/>
        <w:keepLines w:val="0"/>
        <w:pageBreakBefore w:val="0"/>
        <w:kinsoku/>
        <w:wordWrap/>
        <w:overflowPunct/>
        <w:topLinePunct w:val="0"/>
        <w:bidi w:val="0"/>
        <w:snapToGrid/>
        <w:spacing w:line="40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（2）未采用人民币报价或者未按照招标文件标明的币种报价的；</w:t>
      </w:r>
    </w:p>
    <w:p w14:paraId="7B743AD9">
      <w:pPr>
        <w:keepNext w:val="0"/>
        <w:keepLines w:val="0"/>
        <w:pageBreakBefore w:val="0"/>
        <w:kinsoku/>
        <w:wordWrap/>
        <w:overflowPunct/>
        <w:topLinePunct w:val="0"/>
        <w:bidi w:val="0"/>
        <w:snapToGrid/>
        <w:spacing w:line="40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（3）报价超出招标文件规定最高限价，或者超出采购预算金额的；</w:t>
      </w:r>
    </w:p>
    <w:p w14:paraId="42959B40">
      <w:pPr>
        <w:keepNext w:val="0"/>
        <w:keepLines w:val="0"/>
        <w:pageBreakBefore w:val="0"/>
        <w:kinsoku/>
        <w:wordWrap/>
        <w:overflowPunct/>
        <w:topLinePunct w:val="0"/>
        <w:bidi w:val="0"/>
        <w:snapToGrid/>
        <w:spacing w:line="40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（4）投标人未就所投</w:t>
      </w:r>
      <w:r>
        <w:rPr>
          <w:rFonts w:hint="eastAsia" w:ascii="宋体" w:hAnsi="宋体" w:cs="宋体"/>
          <w:color w:val="auto"/>
          <w:szCs w:val="21"/>
          <w:highlight w:val="none"/>
          <w:lang w:eastAsia="zh-CN"/>
        </w:rPr>
        <w:t>分标</w:t>
      </w:r>
      <w:r>
        <w:rPr>
          <w:rFonts w:hint="eastAsia" w:ascii="宋体" w:hAnsi="宋体" w:eastAsia="宋体" w:cs="Times New Roman"/>
          <w:color w:val="auto"/>
          <w:szCs w:val="21"/>
          <w:highlight w:val="none"/>
        </w:rPr>
        <w:t>进行报价或者存在漏项报价；投标人未就所投</w:t>
      </w:r>
      <w:r>
        <w:rPr>
          <w:rFonts w:hint="eastAsia" w:ascii="宋体" w:hAnsi="宋体" w:cs="宋体"/>
          <w:color w:val="auto"/>
          <w:szCs w:val="21"/>
          <w:highlight w:val="none"/>
          <w:lang w:eastAsia="zh-CN"/>
        </w:rPr>
        <w:t>分标</w:t>
      </w:r>
      <w:r>
        <w:rPr>
          <w:rFonts w:hint="eastAsia" w:ascii="宋体" w:hAnsi="宋体" w:eastAsia="宋体" w:cs="Times New Roman"/>
          <w:color w:val="auto"/>
          <w:szCs w:val="21"/>
          <w:highlight w:val="none"/>
        </w:rPr>
        <w:t>的单项内容作唯一报价；投标人未就所投</w:t>
      </w:r>
      <w:r>
        <w:rPr>
          <w:rFonts w:hint="eastAsia" w:ascii="宋体" w:hAnsi="宋体" w:cs="宋体"/>
          <w:color w:val="auto"/>
          <w:szCs w:val="21"/>
          <w:highlight w:val="none"/>
          <w:lang w:eastAsia="zh-CN"/>
        </w:rPr>
        <w:t>分标</w:t>
      </w:r>
      <w:r>
        <w:rPr>
          <w:rFonts w:hint="eastAsia" w:ascii="宋体" w:hAnsi="宋体" w:eastAsia="宋体" w:cs="Times New Roman"/>
          <w:color w:val="auto"/>
          <w:szCs w:val="21"/>
          <w:highlight w:val="none"/>
        </w:rPr>
        <w:t>的全部内容作唯一总价报价；存在有选择、有条件报价的（招标文件允许有备选方案或者其他约定的除外）；</w:t>
      </w:r>
    </w:p>
    <w:p w14:paraId="6DF75559">
      <w:pPr>
        <w:keepNext w:val="0"/>
        <w:keepLines w:val="0"/>
        <w:pageBreakBefore w:val="0"/>
        <w:kinsoku/>
        <w:wordWrap/>
        <w:overflowPunct/>
        <w:topLinePunct w:val="0"/>
        <w:bidi w:val="0"/>
        <w:snapToGrid/>
        <w:spacing w:line="40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（5）修正后的报价，投标人不确认的；</w:t>
      </w:r>
    </w:p>
    <w:p w14:paraId="28149B46">
      <w:pPr>
        <w:keepNext w:val="0"/>
        <w:keepLines w:val="0"/>
        <w:pageBreakBefore w:val="0"/>
        <w:kinsoku/>
        <w:wordWrap/>
        <w:overflowPunct/>
        <w:topLinePunct w:val="0"/>
        <w:bidi w:val="0"/>
        <w:snapToGrid/>
        <w:spacing w:line="40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（6）投标人属于本章第5条第（2）项情形的。</w:t>
      </w:r>
    </w:p>
    <w:p w14:paraId="29956A0D">
      <w:pPr>
        <w:keepNext w:val="0"/>
        <w:keepLines w:val="0"/>
        <w:pageBreakBefore w:val="0"/>
        <w:kinsoku/>
        <w:wordWrap/>
        <w:overflowPunct/>
        <w:topLinePunct w:val="0"/>
        <w:bidi w:val="0"/>
        <w:snapToGrid/>
        <w:spacing w:line="40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2.2在商务评审时，如发现下列情形之一的，将被视为投标无效：</w:t>
      </w:r>
    </w:p>
    <w:p w14:paraId="4E51E98B">
      <w:pPr>
        <w:keepNext w:val="0"/>
        <w:keepLines w:val="0"/>
        <w:pageBreakBefore w:val="0"/>
        <w:kinsoku/>
        <w:wordWrap/>
        <w:overflowPunct/>
        <w:topLinePunct w:val="0"/>
        <w:bidi w:val="0"/>
        <w:snapToGrid/>
        <w:spacing w:line="40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（1）投标文件未按招标文件要求签署、盖章的；</w:t>
      </w:r>
    </w:p>
    <w:p w14:paraId="158EF4AD">
      <w:pPr>
        <w:keepNext w:val="0"/>
        <w:keepLines w:val="0"/>
        <w:pageBreakBefore w:val="0"/>
        <w:kinsoku/>
        <w:wordWrap/>
        <w:overflowPunct/>
        <w:topLinePunct w:val="0"/>
        <w:bidi w:val="0"/>
        <w:snapToGrid/>
        <w:spacing w:line="40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（2）委托代理人未能出具有效身份证明或者出具的身份证明与授权委托书中的信息不符的；</w:t>
      </w:r>
    </w:p>
    <w:p w14:paraId="0C528365">
      <w:pPr>
        <w:keepNext w:val="0"/>
        <w:keepLines w:val="0"/>
        <w:pageBreakBefore w:val="0"/>
        <w:kinsoku/>
        <w:wordWrap/>
        <w:overflowPunct/>
        <w:topLinePunct w:val="0"/>
        <w:bidi w:val="0"/>
        <w:snapToGrid/>
        <w:spacing w:line="40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（3）为无效投标保证金的或者未按照招标文件的规定提交投标保证金的； </w:t>
      </w:r>
    </w:p>
    <w:p w14:paraId="27BD4645">
      <w:pPr>
        <w:keepNext w:val="0"/>
        <w:keepLines w:val="0"/>
        <w:pageBreakBefore w:val="0"/>
        <w:kinsoku/>
        <w:wordWrap/>
        <w:overflowPunct/>
        <w:topLinePunct w:val="0"/>
        <w:bidi w:val="0"/>
        <w:snapToGrid/>
        <w:spacing w:line="40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4</w:t>
      </w:r>
      <w:r>
        <w:rPr>
          <w:rFonts w:hint="eastAsia" w:ascii="宋体" w:hAnsi="宋体" w:eastAsia="宋体" w:cs="Times New Roman"/>
          <w:color w:val="auto"/>
          <w:szCs w:val="21"/>
          <w:highlight w:val="none"/>
        </w:rPr>
        <w:t>）投标文件未提供“投标人须知前附表”第13.1条规定中“必须提供”或者“委托时必须提供”的文件资料的;</w:t>
      </w:r>
    </w:p>
    <w:p w14:paraId="6A8FA110">
      <w:pPr>
        <w:keepNext w:val="0"/>
        <w:keepLines w:val="0"/>
        <w:pageBreakBefore w:val="0"/>
        <w:kinsoku/>
        <w:wordWrap/>
        <w:overflowPunct/>
        <w:topLinePunct w:val="0"/>
        <w:bidi w:val="0"/>
        <w:snapToGrid/>
        <w:spacing w:line="40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5</w:t>
      </w:r>
      <w:r>
        <w:rPr>
          <w:rFonts w:hint="eastAsia" w:ascii="宋体" w:hAnsi="宋体" w:eastAsia="宋体" w:cs="Times New Roman"/>
          <w:color w:val="auto"/>
          <w:szCs w:val="21"/>
          <w:highlight w:val="none"/>
        </w:rPr>
        <w:t>）投标有效期、项目完成时间（交货时间、服务完成时间或者服务期等）、质保期</w:t>
      </w:r>
      <w:r>
        <w:rPr>
          <w:rFonts w:hint="eastAsia" w:ascii="宋体" w:hAnsi="宋体" w:cs="Times New Roman"/>
          <w:color w:val="auto"/>
          <w:szCs w:val="21"/>
          <w:highlight w:val="none"/>
          <w:lang w:eastAsia="zh-CN"/>
        </w:rPr>
        <w:t>及</w:t>
      </w:r>
      <w:r>
        <w:rPr>
          <w:rFonts w:hint="eastAsia" w:ascii="宋体" w:hAnsi="宋体" w:eastAsia="宋体" w:cs="Times New Roman"/>
          <w:color w:val="auto"/>
          <w:szCs w:val="21"/>
          <w:highlight w:val="none"/>
        </w:rPr>
        <w:t>招标文件中标“▲”的商务条款发生负偏离的；</w:t>
      </w:r>
    </w:p>
    <w:p w14:paraId="25DAA3A0">
      <w:pPr>
        <w:keepNext w:val="0"/>
        <w:keepLines w:val="0"/>
        <w:pageBreakBefore w:val="0"/>
        <w:kinsoku/>
        <w:wordWrap/>
        <w:overflowPunct/>
        <w:topLinePunct w:val="0"/>
        <w:bidi w:val="0"/>
        <w:snapToGrid/>
        <w:spacing w:line="40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6</w:t>
      </w:r>
      <w:r>
        <w:rPr>
          <w:rFonts w:hint="eastAsia" w:ascii="宋体" w:hAnsi="宋体" w:eastAsia="宋体" w:cs="Times New Roman"/>
          <w:color w:val="auto"/>
          <w:szCs w:val="21"/>
          <w:highlight w:val="none"/>
        </w:rPr>
        <w:t>）商务条款评审允许负偏离的条款数超过“投标人须知前附表”规定项数的。</w:t>
      </w:r>
    </w:p>
    <w:p w14:paraId="7D875D72">
      <w:pPr>
        <w:keepNext w:val="0"/>
        <w:keepLines w:val="0"/>
        <w:pageBreakBefore w:val="0"/>
        <w:kinsoku/>
        <w:wordWrap/>
        <w:overflowPunct/>
        <w:topLinePunct w:val="0"/>
        <w:bidi w:val="0"/>
        <w:snapToGrid/>
        <w:spacing w:line="40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7</w:t>
      </w:r>
      <w:r>
        <w:rPr>
          <w:rFonts w:hint="eastAsia" w:ascii="宋体" w:hAnsi="宋体" w:eastAsia="宋体" w:cs="Times New Roman"/>
          <w:color w:val="auto"/>
          <w:szCs w:val="21"/>
          <w:highlight w:val="none"/>
        </w:rPr>
        <w:t>）投标文件的实质性内容未使用中文表述、使用计量单位不符合招标文件要求的；</w:t>
      </w:r>
    </w:p>
    <w:p w14:paraId="04F6D6E6">
      <w:pPr>
        <w:keepNext w:val="0"/>
        <w:keepLines w:val="0"/>
        <w:pageBreakBefore w:val="0"/>
        <w:kinsoku/>
        <w:wordWrap/>
        <w:overflowPunct/>
        <w:topLinePunct w:val="0"/>
        <w:bidi w:val="0"/>
        <w:snapToGrid/>
        <w:spacing w:line="40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8</w:t>
      </w:r>
      <w:r>
        <w:rPr>
          <w:rFonts w:hint="eastAsia" w:ascii="宋体" w:hAnsi="宋体" w:eastAsia="宋体" w:cs="Times New Roman"/>
          <w:color w:val="auto"/>
          <w:szCs w:val="21"/>
          <w:highlight w:val="none"/>
        </w:rPr>
        <w:t>）投标文件中的文件资料因填写不齐全或者内容虚假或者出现其他情形而导致被评标委员会认定无效的；</w:t>
      </w:r>
    </w:p>
    <w:p w14:paraId="105DBC29">
      <w:pPr>
        <w:keepNext w:val="0"/>
        <w:keepLines w:val="0"/>
        <w:pageBreakBefore w:val="0"/>
        <w:kinsoku/>
        <w:wordWrap/>
        <w:overflowPunct/>
        <w:topLinePunct w:val="0"/>
        <w:bidi w:val="0"/>
        <w:snapToGrid/>
        <w:spacing w:line="40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9</w:t>
      </w:r>
      <w:r>
        <w:rPr>
          <w:rFonts w:hint="eastAsia" w:ascii="宋体" w:hAnsi="宋体" w:eastAsia="宋体" w:cs="Times New Roman"/>
          <w:color w:val="auto"/>
          <w:szCs w:val="21"/>
          <w:highlight w:val="none"/>
        </w:rPr>
        <w:t>）投标文件含有采购人不能接受的附加条件的；</w:t>
      </w:r>
    </w:p>
    <w:p w14:paraId="7C1966F9">
      <w:pPr>
        <w:keepNext w:val="0"/>
        <w:keepLines w:val="0"/>
        <w:pageBreakBefore w:val="0"/>
        <w:kinsoku/>
        <w:wordWrap/>
        <w:overflowPunct/>
        <w:topLinePunct w:val="0"/>
        <w:bidi w:val="0"/>
        <w:snapToGrid/>
        <w:spacing w:line="40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10</w:t>
      </w:r>
      <w:r>
        <w:rPr>
          <w:rFonts w:hint="eastAsia" w:ascii="宋体" w:hAnsi="宋体" w:eastAsia="宋体" w:cs="Times New Roman"/>
          <w:color w:val="auto"/>
          <w:szCs w:val="21"/>
          <w:highlight w:val="none"/>
        </w:rPr>
        <w:t>）未响应招标文件实质性要求的；</w:t>
      </w:r>
    </w:p>
    <w:p w14:paraId="6E7CE0AE">
      <w:pPr>
        <w:keepNext w:val="0"/>
        <w:keepLines w:val="0"/>
        <w:pageBreakBefore w:val="0"/>
        <w:kinsoku/>
        <w:wordWrap/>
        <w:overflowPunct/>
        <w:topLinePunct w:val="0"/>
        <w:bidi w:val="0"/>
        <w:snapToGrid/>
        <w:spacing w:line="40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cs="Times New Roman"/>
          <w:color w:val="auto"/>
          <w:szCs w:val="21"/>
          <w:highlight w:val="none"/>
          <w:lang w:val="en-US" w:eastAsia="zh-CN"/>
        </w:rPr>
        <w:t>1</w:t>
      </w:r>
      <w:r>
        <w:rPr>
          <w:rFonts w:hint="eastAsia" w:ascii="宋体" w:hAnsi="宋体" w:eastAsia="宋体" w:cs="Times New Roman"/>
          <w:color w:val="auto"/>
          <w:szCs w:val="21"/>
          <w:highlight w:val="none"/>
        </w:rPr>
        <w:t>）属于投标人须知正文第9.2条情形的；</w:t>
      </w:r>
    </w:p>
    <w:p w14:paraId="11419E32">
      <w:pPr>
        <w:keepNext w:val="0"/>
        <w:keepLines w:val="0"/>
        <w:pageBreakBefore w:val="0"/>
        <w:kinsoku/>
        <w:wordWrap/>
        <w:overflowPunct/>
        <w:topLinePunct w:val="0"/>
        <w:bidi w:val="0"/>
        <w:snapToGrid/>
        <w:spacing w:line="40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cs="Times New Roman"/>
          <w:color w:val="auto"/>
          <w:szCs w:val="21"/>
          <w:highlight w:val="none"/>
          <w:lang w:val="en-US" w:eastAsia="zh-CN"/>
        </w:rPr>
        <w:t>2</w:t>
      </w:r>
      <w:r>
        <w:rPr>
          <w:rFonts w:hint="eastAsia" w:ascii="宋体" w:hAnsi="宋体" w:eastAsia="宋体" w:cs="Times New Roman"/>
          <w:color w:val="auto"/>
          <w:szCs w:val="21"/>
          <w:highlight w:val="none"/>
        </w:rPr>
        <w:t>）法律、法规和招标文件规定的其他无效情形。</w:t>
      </w:r>
    </w:p>
    <w:p w14:paraId="091D2EC7">
      <w:pPr>
        <w:keepNext w:val="0"/>
        <w:keepLines w:val="0"/>
        <w:pageBreakBefore w:val="0"/>
        <w:kinsoku/>
        <w:wordWrap/>
        <w:overflowPunct/>
        <w:topLinePunct w:val="0"/>
        <w:bidi w:val="0"/>
        <w:snapToGrid/>
        <w:spacing w:line="40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2.3在技术评审时，如发现下列情形之一的，将被视为投标无效：</w:t>
      </w:r>
    </w:p>
    <w:p w14:paraId="2E0D18EE">
      <w:pPr>
        <w:keepNext w:val="0"/>
        <w:keepLines w:val="0"/>
        <w:pageBreakBefore w:val="0"/>
        <w:kinsoku/>
        <w:wordWrap/>
        <w:overflowPunct/>
        <w:topLinePunct w:val="0"/>
        <w:bidi w:val="0"/>
        <w:snapToGrid/>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（1）不满足招标文件要求的服务内容、技术要求、安全、质量标准，或者与招标文件中标“▲”的技术需求发生负偏离的；</w:t>
      </w:r>
    </w:p>
    <w:p w14:paraId="49DDD6CA">
      <w:pPr>
        <w:keepNext w:val="0"/>
        <w:keepLines w:val="0"/>
        <w:pageBreakBefore w:val="0"/>
        <w:kinsoku/>
        <w:wordWrap/>
        <w:overflowPunct/>
        <w:topLinePunct w:val="0"/>
        <w:bidi w:val="0"/>
        <w:snapToGrid/>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（2）技术需求评审允许负偏离的条款数超过“投标人须知前附表”规定项数的；</w:t>
      </w:r>
    </w:p>
    <w:p w14:paraId="683A6400">
      <w:pPr>
        <w:keepNext w:val="0"/>
        <w:keepLines w:val="0"/>
        <w:pageBreakBefore w:val="0"/>
        <w:kinsoku/>
        <w:wordWrap/>
        <w:overflowPunct/>
        <w:topLinePunct w:val="0"/>
        <w:bidi w:val="0"/>
        <w:snapToGrid/>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（3）投标文件未提供“投标人须知前附表”第13.1条规定中“必须提供”的文件资料的;</w:t>
      </w:r>
    </w:p>
    <w:p w14:paraId="0C48974E">
      <w:pPr>
        <w:keepNext w:val="0"/>
        <w:keepLines w:val="0"/>
        <w:pageBreakBefore w:val="0"/>
        <w:kinsoku/>
        <w:wordWrap/>
        <w:overflowPunct/>
        <w:topLinePunct w:val="0"/>
        <w:bidi w:val="0"/>
        <w:snapToGrid/>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（4）虚假投标，或者出现其他情形而导致被评标委员会认定无效的；</w:t>
      </w:r>
    </w:p>
    <w:p w14:paraId="28054FCF">
      <w:pPr>
        <w:keepNext w:val="0"/>
        <w:keepLines w:val="0"/>
        <w:pageBreakBefore w:val="0"/>
        <w:kinsoku/>
        <w:wordWrap/>
        <w:overflowPunct/>
        <w:topLinePunct w:val="0"/>
        <w:bidi w:val="0"/>
        <w:snapToGrid/>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default" w:ascii="宋体" w:hAnsi="宋体" w:eastAsia="宋体" w:cs="宋体"/>
          <w:color w:val="auto"/>
          <w:szCs w:val="21"/>
          <w:highlight w:val="none"/>
          <w:lang w:val="en-US"/>
        </w:rPr>
        <w:t>5</w:t>
      </w:r>
      <w:r>
        <w:rPr>
          <w:rFonts w:hint="eastAsia" w:ascii="宋体" w:hAnsi="宋体" w:eastAsia="宋体" w:cs="宋体"/>
          <w:color w:val="auto"/>
          <w:szCs w:val="21"/>
          <w:highlight w:val="none"/>
        </w:rPr>
        <w:t>）招标文件</w:t>
      </w:r>
      <w:r>
        <w:rPr>
          <w:rFonts w:hint="eastAsia" w:ascii="宋体" w:hAnsi="宋体" w:eastAsia="宋体" w:cs="宋体"/>
          <w:color w:val="auto"/>
          <w:szCs w:val="21"/>
          <w:highlight w:val="none"/>
          <w:lang w:eastAsia="zh-CN"/>
        </w:rPr>
        <w:t>要求</w:t>
      </w:r>
      <w:r>
        <w:rPr>
          <w:rFonts w:hint="eastAsia" w:ascii="宋体" w:hAnsi="宋体" w:eastAsia="宋体" w:cs="宋体"/>
          <w:color w:val="auto"/>
          <w:szCs w:val="21"/>
          <w:highlight w:val="none"/>
        </w:rPr>
        <w:t>提供技术方案的，投标技术方案不明确，招标文件未允许但存在一个或者一个以上备选（替代）投标方案的。</w:t>
      </w:r>
    </w:p>
    <w:p w14:paraId="1C7CBCFD">
      <w:pPr>
        <w:keepNext w:val="0"/>
        <w:keepLines w:val="0"/>
        <w:pageBreakBefore w:val="0"/>
        <w:kinsoku/>
        <w:wordWrap/>
        <w:overflowPunct/>
        <w:topLinePunct w:val="0"/>
        <w:bidi w:val="0"/>
        <w:snapToGrid/>
        <w:spacing w:line="400" w:lineRule="exact"/>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3.澄清补正、说明或者补正</w:t>
      </w:r>
    </w:p>
    <w:p w14:paraId="780E7621">
      <w:pPr>
        <w:keepNext w:val="0"/>
        <w:keepLines w:val="0"/>
        <w:pageBreakBefore w:val="0"/>
        <w:kinsoku/>
        <w:wordWrap/>
        <w:overflowPunct/>
        <w:topLinePunct w:val="0"/>
        <w:bidi w:val="0"/>
        <w:snapToGrid/>
        <w:spacing w:line="400" w:lineRule="exact"/>
        <w:ind w:firstLine="420" w:firstLineChars="200"/>
        <w:rPr>
          <w:rFonts w:hint="eastAsia" w:ascii="宋体" w:hAnsi="宋体" w:eastAsia="宋体" w:cs="Courier New"/>
          <w:color w:val="auto"/>
          <w:szCs w:val="21"/>
          <w:highlight w:val="none"/>
        </w:rPr>
      </w:pPr>
      <w:r>
        <w:rPr>
          <w:rFonts w:hint="eastAsia" w:ascii="宋体" w:hAnsi="宋体" w:eastAsia="宋体" w:cs="Courier New"/>
          <w:color w:val="auto"/>
          <w:szCs w:val="21"/>
          <w:highlight w:val="none"/>
        </w:rPr>
        <w:t>对投标文件中含义不明确、同类问题表述不一致或者有明显文字和计算错误的内容，评标委员会应在</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Courier New"/>
          <w:color w:val="auto"/>
          <w:szCs w:val="21"/>
          <w:highlight w:val="none"/>
        </w:rPr>
        <w:t>发布电子澄清函，要求投标人在规定时间内作出必要的澄清、说明或者补正。投标人在</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Courier New"/>
          <w:color w:val="auto"/>
          <w:szCs w:val="21"/>
          <w:highlight w:val="none"/>
        </w:rPr>
        <w:t>接收到电子澄清函后根据澄清函内容上传PDF格式回函，电子澄清答复函使用CA证书加盖</w:t>
      </w:r>
      <w:r>
        <w:rPr>
          <w:rFonts w:hint="eastAsia" w:ascii="宋体" w:hAnsi="宋体" w:cs="Courier New"/>
          <w:color w:val="auto"/>
          <w:szCs w:val="21"/>
          <w:highlight w:val="none"/>
          <w:lang w:eastAsia="zh-CN"/>
        </w:rPr>
        <w:t>投标人</w:t>
      </w:r>
      <w:r>
        <w:rPr>
          <w:rFonts w:hint="eastAsia" w:ascii="宋体" w:hAnsi="宋体" w:eastAsia="宋体" w:cs="Courier New"/>
          <w:color w:val="auto"/>
          <w:szCs w:val="21"/>
          <w:highlight w:val="none"/>
        </w:rPr>
        <w:t>公章后在线上传至评标委员会。投标人的澄清、说明或者补正不得超出投标文件的范围或者改变投标文件的实质性内容。投标人未在规定时间内进行澄清、说明或者补正的，有可能对评审产生影响。</w:t>
      </w:r>
    </w:p>
    <w:p w14:paraId="7734B648">
      <w:pPr>
        <w:keepNext w:val="0"/>
        <w:keepLines w:val="0"/>
        <w:pageBreakBefore w:val="0"/>
        <w:kinsoku/>
        <w:wordWrap/>
        <w:overflowPunct/>
        <w:topLinePunct w:val="0"/>
        <w:bidi w:val="0"/>
        <w:snapToGrid/>
        <w:spacing w:line="400" w:lineRule="exact"/>
        <w:ind w:firstLine="420" w:firstLineChars="200"/>
        <w:rPr>
          <w:rFonts w:hint="eastAsia" w:ascii="宋体" w:hAnsi="宋体" w:eastAsia="宋体" w:cs="Courier New"/>
          <w:color w:val="auto"/>
          <w:szCs w:val="21"/>
          <w:highlight w:val="none"/>
        </w:rPr>
      </w:pPr>
      <w:r>
        <w:rPr>
          <w:rFonts w:hint="eastAsia" w:ascii="宋体" w:hAnsi="宋体" w:eastAsia="宋体" w:cs="Courier New"/>
          <w:color w:val="auto"/>
          <w:szCs w:val="21"/>
          <w:highlight w:val="none"/>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者其授权的代表签字。</w:t>
      </w:r>
    </w:p>
    <w:p w14:paraId="35C416A6">
      <w:pPr>
        <w:keepNext w:val="0"/>
        <w:keepLines w:val="0"/>
        <w:pageBreakBefore w:val="0"/>
        <w:kinsoku/>
        <w:wordWrap/>
        <w:overflowPunct/>
        <w:topLinePunct w:val="0"/>
        <w:bidi w:val="0"/>
        <w:snapToGrid/>
        <w:spacing w:line="400" w:lineRule="exact"/>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4.投标文件修正</w:t>
      </w:r>
    </w:p>
    <w:p w14:paraId="2F013872">
      <w:pPr>
        <w:keepNext w:val="0"/>
        <w:keepLines w:val="0"/>
        <w:pageBreakBefore w:val="0"/>
        <w:kinsoku/>
        <w:wordWrap/>
        <w:overflowPunct/>
        <w:topLinePunct w:val="0"/>
        <w:bidi w:val="0"/>
        <w:snapToGrid/>
        <w:spacing w:line="40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4.1投标文件报价出现前后不一致的，按照下列规定修正： </w:t>
      </w:r>
    </w:p>
    <w:p w14:paraId="20F97CA2">
      <w:pPr>
        <w:keepNext w:val="0"/>
        <w:keepLines w:val="0"/>
        <w:pageBreakBefore w:val="0"/>
        <w:kinsoku/>
        <w:wordWrap/>
        <w:overflowPunct/>
        <w:topLinePunct w:val="0"/>
        <w:bidi w:val="0"/>
        <w:snapToGrid/>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（1）报价文件中“开标一览表”内容与投标文件中相应内容不一致的，以“开标一览表”为准；</w:t>
      </w:r>
    </w:p>
    <w:p w14:paraId="797B2B49">
      <w:pPr>
        <w:keepNext w:val="0"/>
        <w:keepLines w:val="0"/>
        <w:pageBreakBefore w:val="0"/>
        <w:kinsoku/>
        <w:wordWrap/>
        <w:overflowPunct/>
        <w:topLinePunct w:val="0"/>
        <w:bidi w:val="0"/>
        <w:snapToGrid/>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（2）大写金额和小写金额不一致的，以大写金额为准；</w:t>
      </w:r>
    </w:p>
    <w:p w14:paraId="76162018">
      <w:pPr>
        <w:keepNext w:val="0"/>
        <w:keepLines w:val="0"/>
        <w:pageBreakBefore w:val="0"/>
        <w:kinsoku/>
        <w:wordWrap/>
        <w:overflowPunct/>
        <w:topLinePunct w:val="0"/>
        <w:bidi w:val="0"/>
        <w:snapToGrid/>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（3）单价金额小数点或者百分比有明显错位的，以开标一览表的总价为准，并修改单价；</w:t>
      </w:r>
    </w:p>
    <w:p w14:paraId="141184D8">
      <w:pPr>
        <w:keepNext w:val="0"/>
        <w:keepLines w:val="0"/>
        <w:pageBreakBefore w:val="0"/>
        <w:kinsoku/>
        <w:wordWrap/>
        <w:overflowPunct/>
        <w:topLinePunct w:val="0"/>
        <w:bidi w:val="0"/>
        <w:snapToGrid/>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（4）总价金额与按单价汇总金额不一致的，以单价金额计算结果为准。</w:t>
      </w:r>
    </w:p>
    <w:p w14:paraId="21EAF0B9">
      <w:pPr>
        <w:keepNext w:val="0"/>
        <w:keepLines w:val="0"/>
        <w:pageBreakBefore w:val="0"/>
        <w:kinsoku/>
        <w:wordWrap/>
        <w:overflowPunct/>
        <w:topLinePunct w:val="0"/>
        <w:bidi w:val="0"/>
        <w:snapToGrid/>
        <w:spacing w:line="400" w:lineRule="exact"/>
        <w:ind w:firstLine="420" w:firstLineChars="200"/>
        <w:rPr>
          <w:rFonts w:ascii="Times New Roman" w:hAnsi="宋体" w:eastAsia="宋体" w:cs="Times New Roman"/>
          <w:color w:val="auto"/>
          <w:highlight w:val="none"/>
        </w:rPr>
      </w:pPr>
      <w:r>
        <w:rPr>
          <w:rFonts w:hint="eastAsia" w:ascii="Times New Roman" w:hAnsi="宋体" w:eastAsia="宋体" w:cs="Times New Roman"/>
          <w:color w:val="auto"/>
          <w:highlight w:val="none"/>
        </w:rPr>
        <w:t>同时出现两种以上不一致的，按照以上（</w:t>
      </w:r>
      <w:r>
        <w:rPr>
          <w:rFonts w:ascii="Times New Roman" w:hAnsi="宋体" w:eastAsia="宋体" w:cs="Times New Roman"/>
          <w:color w:val="auto"/>
          <w:highlight w:val="none"/>
        </w:rPr>
        <w:t>1</w:t>
      </w:r>
      <w:r>
        <w:rPr>
          <w:rFonts w:hint="eastAsia" w:ascii="Times New Roman" w:hAnsi="宋体" w:eastAsia="宋体" w:cs="Times New Roman"/>
          <w:color w:val="auto"/>
          <w:highlight w:val="none"/>
        </w:rPr>
        <w:t>）</w:t>
      </w:r>
      <w:r>
        <w:rPr>
          <w:rFonts w:ascii="Times New Roman" w:hAnsi="宋体" w:eastAsia="宋体" w:cs="Times New Roman"/>
          <w:color w:val="auto"/>
          <w:highlight w:val="none"/>
        </w:rPr>
        <w:t>-</w:t>
      </w:r>
      <w:r>
        <w:rPr>
          <w:rFonts w:hint="eastAsia" w:ascii="Times New Roman" w:hAnsi="宋体" w:eastAsia="宋体" w:cs="Times New Roman"/>
          <w:color w:val="auto"/>
          <w:highlight w:val="none"/>
        </w:rPr>
        <w:t>（</w:t>
      </w:r>
      <w:r>
        <w:rPr>
          <w:rFonts w:ascii="Times New Roman" w:hAnsi="宋体" w:eastAsia="宋体" w:cs="Times New Roman"/>
          <w:color w:val="auto"/>
          <w:highlight w:val="none"/>
        </w:rPr>
        <w:t>4</w:t>
      </w:r>
      <w:r>
        <w:rPr>
          <w:rFonts w:hint="eastAsia" w:ascii="Times New Roman" w:hAnsi="宋体" w:eastAsia="宋体" w:cs="Times New Roman"/>
          <w:color w:val="auto"/>
          <w:highlight w:val="none"/>
        </w:rPr>
        <w:t>）规定的顺序修正。修正后的报价经投标人确认后产生约束力，投标人不确认的，其投标无效。</w:t>
      </w:r>
    </w:p>
    <w:p w14:paraId="78D61802">
      <w:pPr>
        <w:keepNext w:val="0"/>
        <w:keepLines w:val="0"/>
        <w:pageBreakBefore w:val="0"/>
        <w:kinsoku/>
        <w:wordWrap/>
        <w:overflowPunct/>
        <w:topLinePunct w:val="0"/>
        <w:bidi w:val="0"/>
        <w:snapToGrid/>
        <w:spacing w:line="4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4.2经投标人确认修正后的报价若超过采购预算金额或者最高限价，投标人的投标文件作无效投标处理。</w:t>
      </w:r>
    </w:p>
    <w:p w14:paraId="13B66994">
      <w:pPr>
        <w:keepNext w:val="0"/>
        <w:keepLines w:val="0"/>
        <w:pageBreakBefore w:val="0"/>
        <w:kinsoku/>
        <w:wordWrap/>
        <w:overflowPunct/>
        <w:topLinePunct w:val="0"/>
        <w:bidi w:val="0"/>
        <w:snapToGrid/>
        <w:spacing w:line="40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4.3经投标人确认修正后的报价作为签订合同的依据，并以此报价计算价格分。</w:t>
      </w:r>
    </w:p>
    <w:p w14:paraId="4C378B36">
      <w:pPr>
        <w:keepNext w:val="0"/>
        <w:keepLines w:val="0"/>
        <w:pageBreakBefore w:val="0"/>
        <w:kinsoku/>
        <w:wordWrap/>
        <w:overflowPunct/>
        <w:topLinePunct w:val="0"/>
        <w:bidi w:val="0"/>
        <w:snapToGrid/>
        <w:spacing w:line="40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5.比较与评价</w:t>
      </w:r>
    </w:p>
    <w:p w14:paraId="07CF9D04">
      <w:pPr>
        <w:keepNext w:val="0"/>
        <w:keepLines w:val="0"/>
        <w:pageBreakBefore w:val="0"/>
        <w:kinsoku/>
        <w:wordWrap/>
        <w:overflowPunct/>
        <w:topLinePunct w:val="0"/>
        <w:bidi w:val="0"/>
        <w:snapToGrid/>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5.1评标委员会按照招标文件中规定的评标方法和评标标准，对符合性审查合格的投标文件进行商务和技术评估，综合比较与评价。</w:t>
      </w:r>
    </w:p>
    <w:p w14:paraId="387D49C4">
      <w:pPr>
        <w:keepNext w:val="0"/>
        <w:keepLines w:val="0"/>
        <w:pageBreakBefore w:val="0"/>
        <w:kinsoku/>
        <w:wordWrap/>
        <w:overflowPunct/>
        <w:topLinePunct w:val="0"/>
        <w:bidi w:val="0"/>
        <w:snapToGrid/>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5.2评标委员会</w:t>
      </w:r>
      <w:r>
        <w:rPr>
          <w:rFonts w:hint="eastAsia" w:ascii="宋体" w:hAnsi="宋体" w:eastAsia="宋体" w:cs="宋体"/>
          <w:color w:val="auto"/>
          <w:highlight w:val="none"/>
          <w:lang w:eastAsia="zh-CN"/>
        </w:rPr>
        <w:t>各成员</w:t>
      </w:r>
      <w:r>
        <w:rPr>
          <w:rFonts w:hint="eastAsia" w:ascii="宋体" w:hAnsi="宋体" w:eastAsia="宋体" w:cs="宋体"/>
          <w:color w:val="auto"/>
          <w:highlight w:val="none"/>
        </w:rPr>
        <w:t>独立对每个投标人的投标文件进行评价，并汇总每个投标人的得分。</w:t>
      </w:r>
    </w:p>
    <w:p w14:paraId="5893DDC2">
      <w:pPr>
        <w:keepNext w:val="0"/>
        <w:keepLines w:val="0"/>
        <w:pageBreakBefore w:val="0"/>
        <w:widowControl/>
        <w:numPr>
          <w:ilvl w:val="0"/>
          <w:numId w:val="0"/>
        </w:numPr>
        <w:kinsoku/>
        <w:wordWrap/>
        <w:overflowPunct/>
        <w:topLinePunct w:val="0"/>
        <w:bidi w:val="0"/>
        <w:snapToGrid/>
        <w:spacing w:after="150" w:line="40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kern w:val="2"/>
          <w:sz w:val="21"/>
          <w:szCs w:val="24"/>
          <w:highlight w:val="none"/>
          <w:lang w:val="en-US" w:eastAsia="zh-CN" w:bidi="ar-SA"/>
        </w:rPr>
        <w:t>（1）</w:t>
      </w:r>
      <w:r>
        <w:rPr>
          <w:rFonts w:hint="eastAsia" w:ascii="宋体" w:hAnsi="宋体" w:eastAsia="宋体" w:cs="宋体"/>
          <w:color w:val="auto"/>
          <w:highlight w:val="none"/>
        </w:rPr>
        <w:t>评审委员会成员要根据政府采购法律法规和</w:t>
      </w:r>
      <w:r>
        <w:rPr>
          <w:rFonts w:hint="eastAsia" w:ascii="宋体" w:hAnsi="宋体" w:eastAsia="宋体" w:cs="宋体"/>
          <w:color w:val="auto"/>
          <w:highlight w:val="none"/>
          <w:lang w:eastAsia="zh-CN"/>
        </w:rPr>
        <w:t>招标</w:t>
      </w:r>
      <w:r>
        <w:rPr>
          <w:rFonts w:hint="eastAsia" w:ascii="宋体" w:hAnsi="宋体" w:eastAsia="宋体" w:cs="宋体"/>
          <w:color w:val="auto"/>
          <w:highlight w:val="none"/>
        </w:rPr>
        <w:t>文件所载明的评</w:t>
      </w:r>
      <w:r>
        <w:rPr>
          <w:rFonts w:hint="eastAsia" w:ascii="宋体" w:hAnsi="宋体" w:eastAsia="宋体" w:cs="宋体"/>
          <w:color w:val="auto"/>
          <w:highlight w:val="none"/>
          <w:lang w:eastAsia="zh-CN"/>
        </w:rPr>
        <w:t>标</w:t>
      </w:r>
      <w:r>
        <w:rPr>
          <w:rFonts w:hint="eastAsia" w:ascii="宋体" w:hAnsi="宋体" w:eastAsia="宋体" w:cs="宋体"/>
          <w:color w:val="auto"/>
          <w:highlight w:val="none"/>
        </w:rPr>
        <w:t>方法、标准进行评审。对</w:t>
      </w: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rPr>
        <w:t>的价格分等客观评分项的评分应当一致，对其他需要借助专业知识评判的主观评分项，应当严格按照评分细则公正评分。</w:t>
      </w:r>
    </w:p>
    <w:p w14:paraId="4DDBE667">
      <w:pPr>
        <w:keepNext w:val="0"/>
        <w:keepLines w:val="0"/>
        <w:pageBreakBefore w:val="0"/>
        <w:widowControl/>
        <w:numPr>
          <w:ilvl w:val="0"/>
          <w:numId w:val="0"/>
        </w:numPr>
        <w:kinsoku/>
        <w:wordWrap/>
        <w:overflowPunct/>
        <w:topLinePunct w:val="0"/>
        <w:bidi w:val="0"/>
        <w:snapToGrid/>
        <w:spacing w:after="150" w:line="400" w:lineRule="exact"/>
        <w:ind w:firstLine="422" w:firstLineChars="200"/>
        <w:jc w:val="left"/>
        <w:rPr>
          <w:rFonts w:hint="eastAsia" w:ascii="宋体" w:hAnsi="宋体" w:eastAsia="宋体" w:cs="宋体"/>
          <w:b/>
          <w:bCs/>
          <w:color w:val="auto"/>
          <w:highlight w:val="none"/>
        </w:rPr>
      </w:pPr>
      <w:r>
        <w:rPr>
          <w:rFonts w:hint="eastAsia" w:ascii="宋体" w:hAnsi="宋体" w:eastAsia="宋体" w:cs="宋体"/>
          <w:b/>
          <w:bCs/>
          <w:color w:val="auto"/>
          <w:kern w:val="2"/>
          <w:sz w:val="21"/>
          <w:szCs w:val="24"/>
          <w:highlight w:val="none"/>
          <w:lang w:val="en-US" w:eastAsia="zh-CN" w:bidi="ar-SA"/>
        </w:rPr>
        <w:t>（2）</w:t>
      </w:r>
      <w:r>
        <w:rPr>
          <w:rFonts w:hint="eastAsia" w:ascii="宋体" w:hAnsi="宋体" w:eastAsia="宋体" w:cs="宋体"/>
          <w:b/>
          <w:bCs/>
          <w:color w:val="auto"/>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14:paraId="37C4E4BD">
      <w:pPr>
        <w:keepNext w:val="0"/>
        <w:keepLines w:val="0"/>
        <w:pageBreakBefore w:val="0"/>
        <w:kinsoku/>
        <w:wordWrap/>
        <w:overflowPunct/>
        <w:topLinePunct w:val="0"/>
        <w:bidi w:val="0"/>
        <w:snapToGrid/>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5.3评标委员会按照招标文件中规定的评标方法和标准计算各投标人的报价得分。在评标过程中，不得去掉报价中的最高报价和最低报价。</w:t>
      </w:r>
    </w:p>
    <w:p w14:paraId="6B152FF4">
      <w:pPr>
        <w:keepNext w:val="0"/>
        <w:keepLines w:val="0"/>
        <w:pageBreakBefore w:val="0"/>
        <w:kinsoku/>
        <w:wordWrap/>
        <w:overflowPunct/>
        <w:topLinePunct w:val="0"/>
        <w:bidi w:val="0"/>
        <w:snapToGrid/>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5.4各投标人的得分为评标委员会各成员的有效评分的算术平均数。</w:t>
      </w:r>
    </w:p>
    <w:p w14:paraId="0A6E5D94">
      <w:pPr>
        <w:keepNext w:val="0"/>
        <w:keepLines w:val="0"/>
        <w:pageBreakBefore w:val="0"/>
        <w:kinsoku/>
        <w:wordWrap/>
        <w:overflowPunct/>
        <w:topLinePunct w:val="0"/>
        <w:bidi w:val="0"/>
        <w:snapToGrid/>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5.5评标委员会按照招标文件中的规定推荐中标候选人。</w:t>
      </w:r>
    </w:p>
    <w:p w14:paraId="19EE8D33">
      <w:pPr>
        <w:keepNext w:val="0"/>
        <w:keepLines w:val="0"/>
        <w:pageBreakBefore w:val="0"/>
        <w:kinsoku/>
        <w:wordWrap/>
        <w:overflowPunct/>
        <w:topLinePunct w:val="0"/>
        <w:bidi w:val="0"/>
        <w:snapToGrid/>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5.6起草并签署评标报告。评标委员会根据评标委员会</w:t>
      </w:r>
      <w:r>
        <w:rPr>
          <w:rFonts w:hint="eastAsia" w:ascii="宋体" w:hAnsi="宋体" w:eastAsia="宋体" w:cs="宋体"/>
          <w:color w:val="auto"/>
          <w:highlight w:val="none"/>
          <w:lang w:eastAsia="zh-CN"/>
        </w:rPr>
        <w:t>各</w:t>
      </w:r>
      <w:r>
        <w:rPr>
          <w:rFonts w:hint="eastAsia" w:ascii="宋体" w:hAnsi="宋体" w:eastAsia="宋体" w:cs="宋体"/>
          <w:color w:val="auto"/>
          <w:highlight w:val="none"/>
        </w:rPr>
        <w:t>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应当在评标报告上签署不同意见及理由，否则视为同意评标报告。</w:t>
      </w:r>
    </w:p>
    <w:p w14:paraId="6586C550">
      <w:pPr>
        <w:keepNext w:val="0"/>
        <w:keepLines w:val="0"/>
        <w:pageBreakBefore w:val="0"/>
        <w:kinsoku/>
        <w:wordWrap/>
        <w:overflowPunct/>
        <w:topLinePunct w:val="0"/>
        <w:bidi w:val="0"/>
        <w:snapToGrid/>
        <w:spacing w:line="400" w:lineRule="exact"/>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6.评审复核</w:t>
      </w:r>
    </w:p>
    <w:p w14:paraId="7162874F">
      <w:pPr>
        <w:keepNext w:val="0"/>
        <w:keepLines w:val="0"/>
        <w:pageBreakBefore w:val="0"/>
        <w:kinsoku/>
        <w:wordWrap/>
        <w:overflowPunct/>
        <w:topLinePunct w:val="0"/>
        <w:bidi w:val="0"/>
        <w:snapToGrid/>
        <w:spacing w:line="40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6.1评标报告签署前，评标委员会要对评审结果进行复核，复核意见要体现在评标报告中。</w:t>
      </w:r>
    </w:p>
    <w:p w14:paraId="3A2FFF36">
      <w:pPr>
        <w:keepNext w:val="0"/>
        <w:keepLines w:val="0"/>
        <w:pageBreakBefore w:val="0"/>
        <w:widowControl/>
        <w:kinsoku/>
        <w:wordWrap/>
        <w:overflowPunct/>
        <w:topLinePunct w:val="0"/>
        <w:bidi w:val="0"/>
        <w:snapToGrid/>
        <w:spacing w:line="400" w:lineRule="exact"/>
        <w:ind w:firstLine="420" w:firstLineChars="200"/>
        <w:jc w:val="left"/>
        <w:textAlignment w:val="baseline"/>
        <w:rPr>
          <w:rFonts w:hint="eastAsia" w:ascii="Times New Roman" w:hAnsi="宋体" w:eastAsia="宋体" w:cs="Times New Roman"/>
          <w:color w:val="auto"/>
          <w:highlight w:val="none"/>
        </w:rPr>
      </w:pPr>
      <w:r>
        <w:rPr>
          <w:rFonts w:hint="eastAsia" w:ascii="宋体" w:hAnsi="宋体" w:eastAsia="宋体" w:cs="宋体"/>
          <w:color w:val="auto"/>
          <w:highlight w:val="none"/>
        </w:rPr>
        <w:t>6.2</w:t>
      </w:r>
      <w:r>
        <w:rPr>
          <w:rFonts w:hint="eastAsia" w:ascii="Times New Roman" w:hAnsi="宋体" w:eastAsia="宋体" w:cs="Times New Roman"/>
          <w:color w:val="auto"/>
          <w:highlight w:val="none"/>
        </w:rPr>
        <w:t>评标结果汇总完成后，除下列情形外，任何人不得修改评标结果：</w:t>
      </w:r>
    </w:p>
    <w:p w14:paraId="3C0C3C1D">
      <w:pPr>
        <w:keepNext w:val="0"/>
        <w:keepLines w:val="0"/>
        <w:pageBreakBefore w:val="0"/>
        <w:widowControl/>
        <w:kinsoku/>
        <w:wordWrap/>
        <w:overflowPunct/>
        <w:topLinePunct w:val="0"/>
        <w:bidi w:val="0"/>
        <w:snapToGrid/>
        <w:spacing w:line="400" w:lineRule="exact"/>
        <w:jc w:val="left"/>
        <w:textAlignment w:val="baseline"/>
        <w:rPr>
          <w:rFonts w:ascii="Times New Roman" w:hAnsi="宋体" w:eastAsia="宋体" w:cs="Times New Roman"/>
          <w:color w:val="auto"/>
          <w:highlight w:val="none"/>
        </w:rPr>
      </w:pPr>
      <w:r>
        <w:rPr>
          <w:rFonts w:hint="eastAsia" w:ascii="Times New Roman" w:hAnsi="宋体" w:eastAsia="宋体" w:cs="Times New Roman"/>
          <w:color w:val="auto"/>
          <w:highlight w:val="none"/>
        </w:rPr>
        <w:t>　　（一）分值汇总计算错误的；</w:t>
      </w:r>
    </w:p>
    <w:p w14:paraId="5B6386A6">
      <w:pPr>
        <w:keepNext w:val="0"/>
        <w:keepLines w:val="0"/>
        <w:pageBreakBefore w:val="0"/>
        <w:widowControl/>
        <w:kinsoku/>
        <w:wordWrap/>
        <w:overflowPunct/>
        <w:topLinePunct w:val="0"/>
        <w:bidi w:val="0"/>
        <w:snapToGrid/>
        <w:spacing w:line="400" w:lineRule="exact"/>
        <w:jc w:val="left"/>
        <w:textAlignment w:val="baseline"/>
        <w:rPr>
          <w:rFonts w:ascii="Times New Roman" w:hAnsi="宋体" w:eastAsia="宋体" w:cs="Times New Roman"/>
          <w:color w:val="auto"/>
          <w:highlight w:val="none"/>
        </w:rPr>
      </w:pPr>
      <w:r>
        <w:rPr>
          <w:rFonts w:hint="eastAsia" w:ascii="Times New Roman" w:hAnsi="宋体" w:eastAsia="宋体" w:cs="Times New Roman"/>
          <w:color w:val="auto"/>
          <w:highlight w:val="none"/>
        </w:rPr>
        <w:t>　　（二）分项评分超出评分标准范围的；</w:t>
      </w:r>
    </w:p>
    <w:p w14:paraId="0D021520">
      <w:pPr>
        <w:keepNext w:val="0"/>
        <w:keepLines w:val="0"/>
        <w:pageBreakBefore w:val="0"/>
        <w:widowControl/>
        <w:kinsoku/>
        <w:wordWrap/>
        <w:overflowPunct/>
        <w:topLinePunct w:val="0"/>
        <w:bidi w:val="0"/>
        <w:snapToGrid/>
        <w:spacing w:line="400" w:lineRule="exact"/>
        <w:jc w:val="left"/>
        <w:textAlignment w:val="baseline"/>
        <w:rPr>
          <w:rFonts w:ascii="Times New Roman" w:hAnsi="宋体" w:eastAsia="宋体" w:cs="Times New Roman"/>
          <w:color w:val="auto"/>
          <w:highlight w:val="none"/>
        </w:rPr>
      </w:pPr>
      <w:r>
        <w:rPr>
          <w:rFonts w:hint="eastAsia" w:ascii="Times New Roman" w:hAnsi="宋体" w:eastAsia="宋体" w:cs="Times New Roman"/>
          <w:color w:val="auto"/>
          <w:highlight w:val="none"/>
        </w:rPr>
        <w:t>　　（三）评标委员会成员对客观评审因素评分不一致的；</w:t>
      </w:r>
    </w:p>
    <w:p w14:paraId="56F4D898">
      <w:pPr>
        <w:keepNext w:val="0"/>
        <w:keepLines w:val="0"/>
        <w:pageBreakBefore w:val="0"/>
        <w:widowControl/>
        <w:kinsoku/>
        <w:wordWrap/>
        <w:overflowPunct/>
        <w:topLinePunct w:val="0"/>
        <w:bidi w:val="0"/>
        <w:snapToGrid/>
        <w:spacing w:line="400" w:lineRule="exact"/>
        <w:jc w:val="left"/>
        <w:textAlignment w:val="baseline"/>
        <w:rPr>
          <w:rFonts w:ascii="Times New Roman" w:hAnsi="宋体" w:eastAsia="宋体" w:cs="Times New Roman"/>
          <w:color w:val="auto"/>
          <w:highlight w:val="none"/>
        </w:rPr>
      </w:pPr>
      <w:r>
        <w:rPr>
          <w:rFonts w:hint="eastAsia" w:ascii="Times New Roman" w:hAnsi="宋体" w:eastAsia="宋体" w:cs="Times New Roman"/>
          <w:color w:val="auto"/>
          <w:highlight w:val="none"/>
        </w:rPr>
        <w:t>　　（四）经评标委员会认定评分畸高、畸低的。</w:t>
      </w:r>
    </w:p>
    <w:p w14:paraId="2C83ADEC">
      <w:pPr>
        <w:keepNext w:val="0"/>
        <w:keepLines w:val="0"/>
        <w:pageBreakBefore w:val="0"/>
        <w:kinsoku/>
        <w:wordWrap/>
        <w:overflowPunct/>
        <w:topLinePunct w:val="0"/>
        <w:bidi w:val="0"/>
        <w:snapToGrid/>
        <w:spacing w:line="400" w:lineRule="exact"/>
        <w:ind w:firstLine="420" w:firstLineChars="200"/>
        <w:rPr>
          <w:rFonts w:ascii="Times New Roman" w:hAnsi="宋体" w:eastAsia="宋体" w:cs="Times New Roman"/>
          <w:color w:val="auto"/>
          <w:highlight w:val="none"/>
        </w:rPr>
      </w:pPr>
      <w:r>
        <w:rPr>
          <w:rFonts w:hint="eastAsia" w:ascii="Times New Roman" w:hAnsi="宋体" w:eastAsia="宋体" w:cs="Times New Roman"/>
          <w:color w:val="auto"/>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2C1B06BD">
      <w:pPr>
        <w:rPr>
          <w:rFonts w:hint="eastAsia" w:cs="Times New Roman"/>
          <w:b w:val="0"/>
          <w:color w:val="auto"/>
          <w:sz w:val="36"/>
          <w:szCs w:val="36"/>
          <w:highlight w:val="none"/>
        </w:rPr>
      </w:pPr>
      <w:bookmarkStart w:id="293" w:name="_Toc22963"/>
      <w:bookmarkStart w:id="294" w:name="_Toc27331"/>
      <w:bookmarkStart w:id="295" w:name="_Toc17834"/>
      <w:bookmarkStart w:id="296" w:name="_Toc28829"/>
      <w:bookmarkStart w:id="297" w:name="_Toc5755"/>
      <w:bookmarkStart w:id="298" w:name="_Toc25728"/>
      <w:bookmarkStart w:id="299" w:name="_Toc28193"/>
      <w:bookmarkStart w:id="300" w:name="_Toc4866"/>
      <w:bookmarkStart w:id="301" w:name="_Toc19942"/>
      <w:bookmarkStart w:id="302" w:name="_Toc13548"/>
      <w:r>
        <w:rPr>
          <w:rFonts w:hint="eastAsia" w:cs="Times New Roman"/>
          <w:b w:val="0"/>
          <w:color w:val="auto"/>
          <w:sz w:val="36"/>
          <w:szCs w:val="36"/>
          <w:highlight w:val="none"/>
        </w:rPr>
        <w:br w:type="page"/>
      </w:r>
    </w:p>
    <w:p w14:paraId="28BD96F3">
      <w:pPr>
        <w:pStyle w:val="3"/>
        <w:jc w:val="center"/>
        <w:rPr>
          <w:rFonts w:cs="Times New Roman"/>
          <w:b w:val="0"/>
          <w:color w:val="auto"/>
          <w:sz w:val="36"/>
          <w:szCs w:val="36"/>
          <w:highlight w:val="none"/>
        </w:rPr>
      </w:pPr>
      <w:r>
        <w:rPr>
          <w:rFonts w:hint="eastAsia" w:cs="Times New Roman"/>
          <w:b w:val="0"/>
          <w:color w:val="auto"/>
          <w:sz w:val="36"/>
          <w:szCs w:val="36"/>
          <w:highlight w:val="none"/>
        </w:rPr>
        <w:t>第三节</w:t>
      </w:r>
      <w:r>
        <w:rPr>
          <w:rFonts w:cs="Times New Roman"/>
          <w:b w:val="0"/>
          <w:color w:val="auto"/>
          <w:sz w:val="36"/>
          <w:szCs w:val="36"/>
          <w:highlight w:val="none"/>
        </w:rPr>
        <w:t xml:space="preserve"> </w:t>
      </w:r>
      <w:r>
        <w:rPr>
          <w:rFonts w:hint="eastAsia" w:cs="Times New Roman"/>
          <w:b w:val="0"/>
          <w:color w:val="auto"/>
          <w:sz w:val="36"/>
          <w:szCs w:val="36"/>
          <w:highlight w:val="none"/>
        </w:rPr>
        <w:t>评分标准</w:t>
      </w:r>
      <w:bookmarkEnd w:id="293"/>
      <w:bookmarkEnd w:id="294"/>
      <w:bookmarkEnd w:id="295"/>
      <w:bookmarkEnd w:id="296"/>
      <w:bookmarkEnd w:id="297"/>
      <w:bookmarkEnd w:id="298"/>
      <w:bookmarkEnd w:id="299"/>
      <w:bookmarkEnd w:id="300"/>
      <w:bookmarkEnd w:id="301"/>
      <w:bookmarkEnd w:id="302"/>
    </w:p>
    <w:p w14:paraId="63D7931E">
      <w:pPr>
        <w:pStyle w:val="16"/>
        <w:ind w:firstLine="602" w:firstLineChars="200"/>
        <w:jc w:val="center"/>
        <w:rPr>
          <w:rFonts w:hint="eastAsia" w:ascii="Times New Roman" w:hAnsi="Times New Roman" w:eastAsia="宋体" w:cs="Times New Roman"/>
          <w:b/>
          <w:color w:val="auto"/>
          <w:sz w:val="30"/>
          <w:szCs w:val="30"/>
          <w:highlight w:val="none"/>
          <w:lang w:eastAsia="zh-CN"/>
        </w:rPr>
      </w:pPr>
      <w:r>
        <w:rPr>
          <w:rFonts w:hint="eastAsia" w:ascii="Times New Roman" w:hAnsi="Times New Roman" w:eastAsia="宋体" w:cs="Times New Roman"/>
          <w:b/>
          <w:color w:val="auto"/>
          <w:sz w:val="30"/>
          <w:szCs w:val="30"/>
          <w:highlight w:val="none"/>
        </w:rPr>
        <w:t>综合评分法</w:t>
      </w:r>
      <w:r>
        <w:rPr>
          <w:rFonts w:hint="eastAsia" w:ascii="Times New Roman" w:hAnsi="Times New Roman" w:cs="Times New Roman"/>
          <w:b/>
          <w:color w:val="auto"/>
          <w:sz w:val="30"/>
          <w:szCs w:val="30"/>
          <w:highlight w:val="none"/>
          <w:lang w:eastAsia="zh-CN"/>
        </w:rPr>
        <w:t>（</w:t>
      </w:r>
      <w:r>
        <w:rPr>
          <w:rFonts w:hint="eastAsia" w:ascii="Times New Roman" w:hAnsi="Times New Roman" w:cs="Times New Roman"/>
          <w:b/>
          <w:color w:val="auto"/>
          <w:sz w:val="30"/>
          <w:szCs w:val="30"/>
          <w:highlight w:val="none"/>
          <w:lang w:val="en-US" w:eastAsia="zh-CN"/>
        </w:rPr>
        <w:t>适用所有分标</w:t>
      </w:r>
      <w:r>
        <w:rPr>
          <w:rFonts w:hint="eastAsia" w:ascii="Times New Roman" w:hAnsi="Times New Roman" w:cs="Times New Roman"/>
          <w:b/>
          <w:color w:val="auto"/>
          <w:sz w:val="30"/>
          <w:szCs w:val="30"/>
          <w:highlight w:val="none"/>
          <w:lang w:eastAsia="zh-CN"/>
        </w:rPr>
        <w:t>）</w:t>
      </w:r>
    </w:p>
    <w:p w14:paraId="61FA8B79">
      <w:pPr>
        <w:rPr>
          <w:rFonts w:hint="eastAsia"/>
          <w:color w:val="auto"/>
          <w:highlight w:val="none"/>
          <w:lang w:eastAsia="zh-CN"/>
        </w:rPr>
      </w:pPr>
    </w:p>
    <w:p w14:paraId="0A2E0AC5">
      <w:pPr>
        <w:shd w:val="clear" w:color="auto" w:fill="auto"/>
        <w:wordWrap w:val="0"/>
        <w:spacing w:line="460" w:lineRule="exact"/>
        <w:jc w:val="left"/>
        <w:rPr>
          <w:rFonts w:hint="eastAsia" w:ascii="宋体" w:hAnsi="宋体" w:cs="宋体"/>
          <w:b/>
          <w:color w:val="auto"/>
          <w:szCs w:val="21"/>
          <w:highlight w:val="none"/>
        </w:rPr>
      </w:pPr>
      <w:r>
        <w:rPr>
          <w:rFonts w:hint="eastAsia" w:ascii="宋体" w:hAnsi="宋体" w:cs="宋体"/>
          <w:b/>
          <w:color w:val="auto"/>
          <w:szCs w:val="21"/>
          <w:highlight w:val="none"/>
        </w:rPr>
        <w:t>一、评标原则</w:t>
      </w:r>
    </w:p>
    <w:p w14:paraId="62AAB827">
      <w:pPr>
        <w:shd w:val="clear" w:color="auto" w:fill="auto"/>
        <w:wordWrap w:val="0"/>
        <w:spacing w:line="460" w:lineRule="exact"/>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（一）评委构成：本招标采购项目的评委分别由依法组成的评审专家、招标单位代表共</w:t>
      </w:r>
      <w:r>
        <w:rPr>
          <w:rFonts w:hint="eastAsia" w:ascii="宋体" w:hAnsi="宋体" w:cs="宋体"/>
          <w:bCs/>
          <w:color w:val="auto"/>
          <w:szCs w:val="21"/>
          <w:highlight w:val="none"/>
          <w:lang w:val="en-US" w:eastAsia="zh-CN"/>
        </w:rPr>
        <w:t>7</w:t>
      </w:r>
      <w:r>
        <w:rPr>
          <w:rFonts w:hint="eastAsia" w:ascii="宋体" w:hAnsi="宋体" w:cs="宋体"/>
          <w:bCs/>
          <w:color w:val="auto"/>
          <w:szCs w:val="21"/>
          <w:highlight w:val="none"/>
        </w:rPr>
        <w:t>人以上单数构成，其中专家人数不少于成员总数的三分之二。</w:t>
      </w:r>
    </w:p>
    <w:p w14:paraId="0148BD50">
      <w:pPr>
        <w:shd w:val="clear" w:color="auto" w:fill="auto"/>
        <w:wordWrap w:val="0"/>
        <w:spacing w:line="460" w:lineRule="exact"/>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（二）评标依据：评委将以招投标文件为评标依据，对投标人的投标报价、服务实施方案分</w:t>
      </w:r>
      <w:r>
        <w:rPr>
          <w:rFonts w:hint="eastAsia" w:ascii="宋体" w:hAnsi="宋体" w:cs="宋体"/>
          <w:bCs/>
          <w:color w:val="auto"/>
          <w:szCs w:val="21"/>
          <w:highlight w:val="none"/>
          <w:lang w:eastAsia="zh-CN"/>
        </w:rPr>
        <w:t>、管理制度分、企业综合实力分</w:t>
      </w:r>
      <w:r>
        <w:rPr>
          <w:rFonts w:hint="eastAsia" w:ascii="宋体" w:hAnsi="宋体" w:cs="宋体"/>
          <w:bCs/>
          <w:color w:val="auto"/>
          <w:szCs w:val="21"/>
          <w:highlight w:val="none"/>
        </w:rPr>
        <w:t>等</w:t>
      </w:r>
      <w:r>
        <w:rPr>
          <w:rFonts w:hint="eastAsia" w:ascii="宋体" w:hAnsi="宋体" w:cs="宋体"/>
          <w:bCs/>
          <w:color w:val="auto"/>
          <w:szCs w:val="21"/>
          <w:highlight w:val="none"/>
          <w:lang w:eastAsia="zh-CN"/>
        </w:rPr>
        <w:t>四</w:t>
      </w:r>
      <w:r>
        <w:rPr>
          <w:rFonts w:hint="eastAsia" w:ascii="宋体" w:hAnsi="宋体" w:cs="宋体"/>
          <w:bCs/>
          <w:color w:val="auto"/>
          <w:szCs w:val="21"/>
          <w:highlight w:val="none"/>
        </w:rPr>
        <w:t>方面内容按百分制打分。</w:t>
      </w:r>
    </w:p>
    <w:p w14:paraId="45198DB9">
      <w:pPr>
        <w:shd w:val="clear" w:color="auto" w:fill="auto"/>
        <w:wordWrap w:val="0"/>
        <w:spacing w:line="460" w:lineRule="exact"/>
        <w:ind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（三）评标方式：以封闭方式进行。</w:t>
      </w:r>
    </w:p>
    <w:p w14:paraId="16FE6404">
      <w:pPr>
        <w:shd w:val="clear" w:color="auto" w:fill="auto"/>
        <w:wordWrap w:val="0"/>
        <w:spacing w:line="460" w:lineRule="exact"/>
        <w:jc w:val="left"/>
        <w:rPr>
          <w:rFonts w:hint="eastAsia" w:ascii="宋体" w:hAnsi="宋体" w:cs="宋体"/>
          <w:b/>
          <w:color w:val="auto"/>
          <w:szCs w:val="21"/>
          <w:highlight w:val="none"/>
        </w:rPr>
      </w:pPr>
      <w:r>
        <w:rPr>
          <w:rFonts w:hint="eastAsia" w:ascii="宋体" w:hAnsi="宋体" w:cs="宋体"/>
          <w:b/>
          <w:color w:val="auto"/>
          <w:szCs w:val="21"/>
          <w:highlight w:val="none"/>
        </w:rPr>
        <w:t>二、评定方法</w:t>
      </w:r>
    </w:p>
    <w:p w14:paraId="14DC7945">
      <w:pPr>
        <w:shd w:val="clear" w:color="auto" w:fill="auto"/>
        <w:wordWrap w:val="0"/>
        <w:spacing w:line="4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（一）评标标准：本招标项目评标方法采用综合评分法，实行百分制。</w:t>
      </w:r>
    </w:p>
    <w:p w14:paraId="58664682">
      <w:pPr>
        <w:shd w:val="clear" w:color="auto" w:fill="auto"/>
        <w:wordWrap w:val="0"/>
        <w:spacing w:line="46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w:t>
      </w:r>
      <w:r>
        <w:rPr>
          <w:rFonts w:hint="eastAsia" w:ascii="宋体" w:hAnsi="宋体" w:cs="宋体"/>
          <w:color w:val="auto"/>
          <w:szCs w:val="21"/>
          <w:highlight w:val="none"/>
          <w:lang w:val="en-US" w:eastAsia="zh-CN"/>
        </w:rPr>
        <w:t>二</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计分办法（按四舍五入取至百分位）：</w:t>
      </w:r>
    </w:p>
    <w:p w14:paraId="235539D1">
      <w:pPr>
        <w:pStyle w:val="36"/>
        <w:rPr>
          <w:rFonts w:hint="eastAsia" w:eastAsia="宋体"/>
          <w:color w:val="auto"/>
          <w:highlight w:val="none"/>
          <w:lang w:eastAsia="zh-CN"/>
        </w:rPr>
      </w:pPr>
    </w:p>
    <w:p w14:paraId="63E5A399">
      <w:pPr>
        <w:rPr>
          <w:rFonts w:hint="eastAsia"/>
          <w:color w:val="auto"/>
          <w:highlight w:val="none"/>
          <w:lang w:eastAsia="zh-CN"/>
        </w:rPr>
      </w:pPr>
    </w:p>
    <w:tbl>
      <w:tblPr>
        <w:tblStyle w:val="27"/>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585"/>
        <w:gridCol w:w="1520"/>
        <w:gridCol w:w="6096"/>
      </w:tblGrid>
      <w:tr w14:paraId="3AE39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2147" w:type="dxa"/>
            <w:gridSpan w:val="2"/>
            <w:noWrap w:val="0"/>
            <w:vAlign w:val="center"/>
          </w:tcPr>
          <w:p w14:paraId="29DC5E8C">
            <w:pPr>
              <w:adjustRightInd w:val="0"/>
              <w:spacing w:line="410" w:lineRule="exact"/>
              <w:jc w:val="center"/>
              <w:textAlignment w:val="baseline"/>
              <w:rPr>
                <w:rFonts w:hint="eastAsia" w:ascii="宋体" w:hAnsi="宋体" w:eastAsia="宋体" w:cs="宋体"/>
                <w:b/>
                <w:color w:val="auto"/>
                <w:sz w:val="21"/>
                <w:szCs w:val="21"/>
                <w:highlight w:val="none"/>
                <w:shd w:val="clear" w:color="auto" w:fill="auto"/>
              </w:rPr>
            </w:pPr>
            <w:r>
              <w:rPr>
                <w:rFonts w:hint="eastAsia" w:ascii="宋体" w:hAnsi="宋体" w:eastAsia="宋体" w:cs="宋体"/>
                <w:b/>
                <w:color w:val="auto"/>
                <w:sz w:val="21"/>
                <w:szCs w:val="21"/>
                <w:highlight w:val="none"/>
                <w:shd w:val="clear" w:color="auto" w:fill="auto"/>
              </w:rPr>
              <w:t>序号</w:t>
            </w:r>
          </w:p>
        </w:tc>
        <w:tc>
          <w:tcPr>
            <w:tcW w:w="1520" w:type="dxa"/>
            <w:noWrap w:val="0"/>
            <w:vAlign w:val="center"/>
          </w:tcPr>
          <w:p w14:paraId="1DD8A9A6">
            <w:pPr>
              <w:adjustRightInd w:val="0"/>
              <w:spacing w:line="410" w:lineRule="exact"/>
              <w:jc w:val="center"/>
              <w:textAlignment w:val="baseline"/>
              <w:rPr>
                <w:rFonts w:hint="eastAsia" w:ascii="宋体" w:hAnsi="宋体" w:eastAsia="宋体" w:cs="宋体"/>
                <w:b/>
                <w:color w:val="auto"/>
                <w:sz w:val="21"/>
                <w:szCs w:val="21"/>
                <w:highlight w:val="none"/>
                <w:shd w:val="clear" w:color="auto" w:fill="auto"/>
              </w:rPr>
            </w:pPr>
            <w:r>
              <w:rPr>
                <w:rFonts w:hint="eastAsia" w:ascii="宋体" w:hAnsi="宋体" w:eastAsia="宋体" w:cs="宋体"/>
                <w:b/>
                <w:color w:val="auto"/>
                <w:sz w:val="21"/>
                <w:szCs w:val="21"/>
                <w:highlight w:val="none"/>
                <w:shd w:val="clear" w:color="auto" w:fill="auto"/>
              </w:rPr>
              <w:t>评</w:t>
            </w:r>
            <w:r>
              <w:rPr>
                <w:rFonts w:hint="eastAsia" w:ascii="宋体" w:hAnsi="宋体" w:eastAsia="宋体" w:cs="宋体"/>
                <w:b/>
                <w:color w:val="auto"/>
                <w:sz w:val="21"/>
                <w:szCs w:val="21"/>
                <w:highlight w:val="none"/>
                <w:shd w:val="clear" w:color="auto" w:fill="auto"/>
                <w:lang w:eastAsia="zh-CN"/>
              </w:rPr>
              <w:t>审</w:t>
            </w:r>
            <w:r>
              <w:rPr>
                <w:rFonts w:hint="eastAsia" w:ascii="宋体" w:hAnsi="宋体" w:eastAsia="宋体" w:cs="宋体"/>
                <w:b/>
                <w:color w:val="auto"/>
                <w:sz w:val="21"/>
                <w:szCs w:val="21"/>
                <w:highlight w:val="none"/>
                <w:shd w:val="clear" w:color="auto" w:fill="auto"/>
              </w:rPr>
              <w:t>因素</w:t>
            </w:r>
          </w:p>
        </w:tc>
        <w:tc>
          <w:tcPr>
            <w:tcW w:w="6096" w:type="dxa"/>
            <w:noWrap w:val="0"/>
            <w:vAlign w:val="center"/>
          </w:tcPr>
          <w:p w14:paraId="7FE9ABD0">
            <w:pPr>
              <w:adjustRightInd w:val="0"/>
              <w:spacing w:line="410" w:lineRule="exact"/>
              <w:jc w:val="center"/>
              <w:textAlignment w:val="baseline"/>
              <w:rPr>
                <w:rFonts w:hint="eastAsia" w:ascii="宋体" w:hAnsi="宋体" w:eastAsia="宋体" w:cs="宋体"/>
                <w:b/>
                <w:color w:val="auto"/>
                <w:sz w:val="21"/>
                <w:szCs w:val="21"/>
                <w:highlight w:val="none"/>
                <w:shd w:val="clear" w:color="auto" w:fill="auto"/>
              </w:rPr>
            </w:pPr>
            <w:r>
              <w:rPr>
                <w:rFonts w:hint="eastAsia" w:ascii="宋体" w:hAnsi="宋体" w:eastAsia="宋体" w:cs="宋体"/>
                <w:b/>
                <w:color w:val="auto"/>
                <w:sz w:val="21"/>
                <w:szCs w:val="21"/>
                <w:highlight w:val="none"/>
                <w:shd w:val="clear" w:color="auto" w:fill="auto"/>
              </w:rPr>
              <w:t>评分标准</w:t>
            </w:r>
          </w:p>
        </w:tc>
      </w:tr>
      <w:tr w14:paraId="292C8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5" w:hRule="atLeast"/>
          <w:jc w:val="center"/>
        </w:trPr>
        <w:tc>
          <w:tcPr>
            <w:tcW w:w="562" w:type="dxa"/>
            <w:noWrap w:val="0"/>
            <w:vAlign w:val="center"/>
          </w:tcPr>
          <w:p w14:paraId="333B9577">
            <w:pPr>
              <w:adjustRightInd w:val="0"/>
              <w:spacing w:line="360" w:lineRule="exact"/>
              <w:jc w:val="center"/>
              <w:textAlignment w:val="baseline"/>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w:t>
            </w:r>
          </w:p>
        </w:tc>
        <w:tc>
          <w:tcPr>
            <w:tcW w:w="1585" w:type="dxa"/>
            <w:noWrap w:val="0"/>
            <w:vAlign w:val="center"/>
          </w:tcPr>
          <w:p w14:paraId="2EB03BBD">
            <w:pPr>
              <w:widowControl/>
              <w:snapToGrid w:val="0"/>
              <w:spacing w:line="360" w:lineRule="atLeast"/>
              <w:jc w:val="center"/>
              <w:rPr>
                <w:rFonts w:hint="eastAsia" w:ascii="宋体" w:hAnsi="宋体" w:eastAsia="宋体" w:cs="宋体"/>
                <w:b/>
                <w:bCs w:val="0"/>
                <w:color w:val="auto"/>
                <w:kern w:val="0"/>
                <w:sz w:val="21"/>
                <w:szCs w:val="21"/>
                <w:highlight w:val="none"/>
                <w:shd w:val="clear" w:color="auto" w:fill="auto"/>
                <w:lang w:val="en-US" w:eastAsia="zh-CN" w:bidi="ar-SA"/>
              </w:rPr>
            </w:pPr>
            <w:r>
              <w:rPr>
                <w:rFonts w:hint="eastAsia" w:ascii="宋体" w:hAnsi="宋体" w:eastAsia="宋体" w:cs="宋体"/>
                <w:b/>
                <w:bCs w:val="0"/>
                <w:color w:val="auto"/>
                <w:kern w:val="0"/>
                <w:sz w:val="21"/>
                <w:szCs w:val="21"/>
                <w:highlight w:val="none"/>
                <w:shd w:val="clear" w:color="auto" w:fill="auto"/>
                <w:lang w:val="en-US" w:eastAsia="zh-CN" w:bidi="ar-SA"/>
              </w:rPr>
              <w:t>价格分</w:t>
            </w:r>
          </w:p>
          <w:p w14:paraId="5E23977C">
            <w:pPr>
              <w:widowControl/>
              <w:snapToGrid w:val="0"/>
              <w:spacing w:line="360" w:lineRule="atLeast"/>
              <w:rPr>
                <w:rFonts w:hint="eastAsia" w:ascii="宋体" w:hAnsi="宋体" w:eastAsia="宋体" w:cs="宋体"/>
                <w:bCs/>
                <w:color w:val="auto"/>
                <w:kern w:val="0"/>
                <w:sz w:val="21"/>
                <w:szCs w:val="21"/>
                <w:highlight w:val="none"/>
                <w:shd w:val="clear" w:color="auto" w:fill="auto"/>
                <w:lang w:val="en-US" w:eastAsia="zh-CN" w:bidi="ar-SA"/>
              </w:rPr>
            </w:pPr>
            <w:r>
              <w:rPr>
                <w:rFonts w:hint="eastAsia" w:ascii="宋体" w:hAnsi="宋体" w:eastAsia="宋体" w:cs="宋体"/>
                <w:bCs/>
                <w:color w:val="auto"/>
                <w:kern w:val="0"/>
                <w:sz w:val="21"/>
                <w:szCs w:val="21"/>
                <w:highlight w:val="none"/>
                <w:shd w:val="clear" w:color="auto" w:fill="auto"/>
                <w:lang w:val="en-US" w:eastAsia="zh-CN" w:bidi="ar-SA"/>
              </w:rPr>
              <w:t>（满分</w:t>
            </w:r>
            <w:r>
              <w:rPr>
                <w:rFonts w:hint="eastAsia" w:ascii="宋体" w:hAnsi="宋体" w:eastAsia="宋体" w:cs="宋体"/>
                <w:bCs/>
                <w:color w:val="auto"/>
                <w:kern w:val="0"/>
                <w:sz w:val="21"/>
                <w:szCs w:val="21"/>
                <w:highlight w:val="none"/>
                <w:u w:val="single"/>
                <w:shd w:val="clear" w:color="auto" w:fill="auto"/>
                <w:lang w:val="en-US" w:eastAsia="zh-CN" w:bidi="ar-SA"/>
              </w:rPr>
              <w:t xml:space="preserve"> </w:t>
            </w:r>
            <w:r>
              <w:rPr>
                <w:rFonts w:hint="eastAsia" w:ascii="宋体" w:hAnsi="宋体" w:cs="宋体"/>
                <w:bCs/>
                <w:color w:val="auto"/>
                <w:kern w:val="0"/>
                <w:sz w:val="21"/>
                <w:szCs w:val="21"/>
                <w:highlight w:val="none"/>
                <w:u w:val="single"/>
                <w:shd w:val="clear" w:color="auto" w:fill="auto"/>
                <w:lang w:val="en-US" w:eastAsia="zh-CN" w:bidi="ar-SA"/>
              </w:rPr>
              <w:t>2</w:t>
            </w:r>
            <w:r>
              <w:rPr>
                <w:rFonts w:hint="eastAsia" w:ascii="宋体" w:hAnsi="宋体" w:eastAsia="宋体" w:cs="宋体"/>
                <w:bCs/>
                <w:color w:val="auto"/>
                <w:kern w:val="0"/>
                <w:sz w:val="21"/>
                <w:szCs w:val="21"/>
                <w:highlight w:val="none"/>
                <w:u w:val="single"/>
                <w:shd w:val="clear" w:color="auto" w:fill="auto"/>
                <w:lang w:val="en-US" w:eastAsia="zh-CN" w:bidi="ar-SA"/>
              </w:rPr>
              <w:t xml:space="preserve">0 </w:t>
            </w:r>
            <w:r>
              <w:rPr>
                <w:rFonts w:hint="eastAsia" w:ascii="宋体" w:hAnsi="宋体" w:eastAsia="宋体" w:cs="宋体"/>
                <w:bCs/>
                <w:color w:val="auto"/>
                <w:kern w:val="0"/>
                <w:sz w:val="21"/>
                <w:szCs w:val="21"/>
                <w:highlight w:val="none"/>
                <w:shd w:val="clear" w:color="auto" w:fill="auto"/>
                <w:lang w:val="en-US" w:eastAsia="zh-CN" w:bidi="ar-SA"/>
              </w:rPr>
              <w:t>分）</w:t>
            </w:r>
          </w:p>
        </w:tc>
        <w:tc>
          <w:tcPr>
            <w:tcW w:w="1520" w:type="dxa"/>
            <w:noWrap w:val="0"/>
            <w:vAlign w:val="center"/>
          </w:tcPr>
          <w:p w14:paraId="6645A3C8">
            <w:pPr>
              <w:widowControl/>
              <w:snapToGrid w:val="0"/>
              <w:spacing w:line="360" w:lineRule="atLeast"/>
              <w:jc w:val="center"/>
              <w:rPr>
                <w:rFonts w:hint="eastAsia" w:ascii="宋体" w:hAnsi="宋体" w:eastAsia="宋体" w:cs="宋体"/>
                <w:bCs/>
                <w:color w:val="auto"/>
                <w:kern w:val="0"/>
                <w:sz w:val="21"/>
                <w:szCs w:val="21"/>
                <w:highlight w:val="none"/>
                <w:shd w:val="clear" w:color="auto" w:fill="auto"/>
                <w:lang w:val="en-US" w:eastAsia="zh-CN" w:bidi="ar-SA"/>
              </w:rPr>
            </w:pPr>
            <w:r>
              <w:rPr>
                <w:rFonts w:hint="eastAsia" w:ascii="宋体" w:hAnsi="宋体" w:eastAsia="宋体" w:cs="宋体"/>
                <w:b/>
                <w:bCs w:val="0"/>
                <w:color w:val="auto"/>
                <w:kern w:val="0"/>
                <w:sz w:val="21"/>
                <w:szCs w:val="21"/>
                <w:highlight w:val="none"/>
                <w:shd w:val="clear" w:color="auto" w:fill="auto"/>
                <w:lang w:val="en-US" w:eastAsia="zh-CN" w:bidi="ar-SA"/>
              </w:rPr>
              <w:t>投标报价</w:t>
            </w:r>
          </w:p>
        </w:tc>
        <w:tc>
          <w:tcPr>
            <w:tcW w:w="6096" w:type="dxa"/>
            <w:noWrap w:val="0"/>
            <w:vAlign w:val="center"/>
          </w:tcPr>
          <w:p w14:paraId="6791F4B8">
            <w:pPr>
              <w:keepNext w:val="0"/>
              <w:keepLines w:val="0"/>
              <w:pageBreakBefore w:val="0"/>
              <w:kinsoku/>
              <w:overflowPunct/>
              <w:topLinePunct w:val="0"/>
              <w:autoSpaceDE/>
              <w:autoSpaceDN/>
              <w:bidi w:val="0"/>
              <w:spacing w:line="360" w:lineRule="exact"/>
              <w:ind w:firstLine="422" w:firstLineChars="200"/>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eastAsia="zh-CN"/>
              </w:rPr>
              <w:t>本项目属于专门面向中小企业采购的项目，不再执行价格评审优惠的扶持政策。</w:t>
            </w:r>
          </w:p>
          <w:p w14:paraId="40B4F893">
            <w:pPr>
              <w:keepNext w:val="0"/>
              <w:keepLines w:val="0"/>
              <w:pageBreakBefore w:val="0"/>
              <w:kinsoku/>
              <w:overflowPunct/>
              <w:topLinePunct w:val="0"/>
              <w:autoSpaceDE/>
              <w:autoSpaceDN/>
              <w:bidi w:val="0"/>
              <w:spacing w:line="36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本项目为专门面向中小企业采购的项目，按照《政府采购促进中小企业发展管理办法》（财库〔2020〕46号）的规定，对投标人的投标报价不再执行价格评审优惠的扶持政策。</w:t>
            </w:r>
          </w:p>
          <w:p w14:paraId="4BF93B48">
            <w:pPr>
              <w:keepNext w:val="0"/>
              <w:keepLines w:val="0"/>
              <w:pageBreakBefore w:val="0"/>
              <w:kinsoku/>
              <w:overflowPunct/>
              <w:topLinePunct w:val="0"/>
              <w:autoSpaceDE/>
              <w:autoSpaceDN/>
              <w:bidi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评</w:t>
            </w:r>
            <w:r>
              <w:rPr>
                <w:rFonts w:hint="eastAsia" w:ascii="宋体" w:hAnsi="宋体" w:eastAsia="宋体" w:cs="宋体"/>
                <w:color w:val="auto"/>
                <w:szCs w:val="21"/>
                <w:highlight w:val="none"/>
                <w:lang w:eastAsia="zh-CN"/>
              </w:rPr>
              <w:t>标报</w:t>
            </w:r>
            <w:r>
              <w:rPr>
                <w:rFonts w:hint="eastAsia" w:ascii="宋体" w:hAnsi="宋体" w:eastAsia="宋体" w:cs="宋体"/>
                <w:color w:val="auto"/>
                <w:szCs w:val="21"/>
                <w:highlight w:val="none"/>
              </w:rPr>
              <w:t>价为</w:t>
            </w: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的</w:t>
            </w:r>
            <w:r>
              <w:rPr>
                <w:rFonts w:hint="eastAsia" w:ascii="宋体" w:hAnsi="宋体" w:eastAsia="宋体" w:cs="宋体"/>
                <w:color w:val="auto"/>
                <w:szCs w:val="21"/>
                <w:highlight w:val="none"/>
                <w:lang w:eastAsia="zh-CN"/>
              </w:rPr>
              <w:t>投标</w:t>
            </w:r>
            <w:r>
              <w:rPr>
                <w:rFonts w:hint="eastAsia" w:ascii="宋体" w:hAnsi="宋体" w:cs="宋体"/>
                <w:color w:val="auto"/>
                <w:szCs w:val="21"/>
                <w:highlight w:val="none"/>
                <w:lang w:val="en-US" w:eastAsia="zh-CN"/>
              </w:rPr>
              <w:t>折扣率</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评</w:t>
            </w:r>
            <w:r>
              <w:rPr>
                <w:rFonts w:hint="eastAsia" w:ascii="宋体" w:hAnsi="宋体" w:eastAsia="宋体" w:cs="宋体"/>
                <w:color w:val="auto"/>
                <w:szCs w:val="21"/>
                <w:highlight w:val="none"/>
                <w:lang w:eastAsia="zh-CN"/>
              </w:rPr>
              <w:t>标报</w:t>
            </w:r>
            <w:r>
              <w:rPr>
                <w:rFonts w:hint="eastAsia" w:ascii="宋体" w:hAnsi="宋体" w:eastAsia="宋体" w:cs="宋体"/>
                <w:color w:val="auto"/>
                <w:szCs w:val="21"/>
                <w:highlight w:val="none"/>
              </w:rPr>
              <w:t>价只是作为评审时使用。最终</w:t>
            </w:r>
            <w:r>
              <w:rPr>
                <w:rFonts w:hint="eastAsia" w:ascii="宋体" w:hAnsi="宋体" w:eastAsia="宋体" w:cs="宋体"/>
                <w:color w:val="auto"/>
                <w:szCs w:val="21"/>
                <w:highlight w:val="none"/>
                <w:lang w:eastAsia="zh-CN"/>
              </w:rPr>
              <w:t>中标人</w:t>
            </w:r>
            <w:r>
              <w:rPr>
                <w:rFonts w:hint="eastAsia" w:ascii="宋体" w:hAnsi="宋体" w:eastAsia="宋体" w:cs="宋体"/>
                <w:color w:val="auto"/>
                <w:szCs w:val="21"/>
                <w:highlight w:val="none"/>
              </w:rPr>
              <w:t>的</w:t>
            </w:r>
            <w:r>
              <w:rPr>
                <w:rFonts w:hint="eastAsia" w:ascii="宋体" w:hAnsi="宋体" w:eastAsia="宋体" w:cs="宋体"/>
                <w:color w:val="auto"/>
                <w:szCs w:val="21"/>
                <w:highlight w:val="none"/>
                <w:lang w:eastAsia="zh-CN"/>
              </w:rPr>
              <w:t>中标</w:t>
            </w:r>
            <w:r>
              <w:rPr>
                <w:rFonts w:hint="eastAsia" w:ascii="宋体" w:hAnsi="宋体" w:cs="宋体"/>
                <w:color w:val="auto"/>
                <w:szCs w:val="21"/>
                <w:highlight w:val="none"/>
                <w:lang w:val="en-US" w:eastAsia="zh-CN"/>
              </w:rPr>
              <w:t>折扣率</w:t>
            </w:r>
            <w:r>
              <w:rPr>
                <w:rFonts w:hint="eastAsia" w:ascii="宋体" w:hAnsi="宋体" w:eastAsia="宋体" w:cs="宋体"/>
                <w:color w:val="auto"/>
                <w:szCs w:val="21"/>
                <w:highlight w:val="none"/>
              </w:rPr>
              <w:t>等于</w:t>
            </w:r>
            <w:r>
              <w:rPr>
                <w:rFonts w:hint="eastAsia" w:ascii="宋体" w:hAnsi="宋体" w:eastAsia="宋体" w:cs="宋体"/>
                <w:color w:val="auto"/>
                <w:szCs w:val="21"/>
                <w:highlight w:val="none"/>
                <w:lang w:eastAsia="zh-CN"/>
              </w:rPr>
              <w:t>投标</w:t>
            </w:r>
            <w:r>
              <w:rPr>
                <w:rFonts w:hint="eastAsia" w:ascii="宋体" w:hAnsi="宋体" w:cs="宋体"/>
                <w:color w:val="auto"/>
                <w:szCs w:val="21"/>
                <w:highlight w:val="none"/>
                <w:lang w:val="en-US" w:eastAsia="zh-CN"/>
              </w:rPr>
              <w:t>折扣率</w:t>
            </w:r>
            <w:r>
              <w:rPr>
                <w:rFonts w:hint="eastAsia" w:ascii="宋体" w:hAnsi="宋体" w:eastAsia="宋体" w:cs="宋体"/>
                <w:color w:val="auto"/>
                <w:szCs w:val="21"/>
                <w:highlight w:val="none"/>
              </w:rPr>
              <w:t>。</w:t>
            </w:r>
          </w:p>
          <w:p w14:paraId="5AFDDC9F">
            <w:pPr>
              <w:keepNext w:val="0"/>
              <w:keepLines w:val="0"/>
              <w:pageBreakBefore w:val="0"/>
              <w:shd w:val="clear" w:color="auto" w:fill="auto"/>
              <w:kinsoku/>
              <w:wordWrap w:val="0"/>
              <w:overflowPunct/>
              <w:topLinePunct w:val="0"/>
              <w:autoSpaceDE/>
              <w:autoSpaceDN/>
              <w:bidi w:val="0"/>
              <w:spacing w:line="360" w:lineRule="exact"/>
              <w:ind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w:t>
            </w:r>
            <w:r>
              <w:rPr>
                <w:rFonts w:hint="eastAsia" w:ascii="宋体" w:hAnsi="宋体" w:eastAsia="宋体" w:cs="宋体"/>
                <w:bCs/>
                <w:color w:val="auto"/>
                <w:szCs w:val="21"/>
                <w:highlight w:val="none"/>
                <w:lang w:val="en-US" w:eastAsia="zh-CN"/>
              </w:rPr>
              <w:t>3</w:t>
            </w:r>
            <w:r>
              <w:rPr>
                <w:rFonts w:hint="eastAsia" w:ascii="宋体" w:hAnsi="宋体" w:eastAsia="宋体" w:cs="宋体"/>
                <w:bCs/>
                <w:color w:val="auto"/>
                <w:szCs w:val="21"/>
                <w:highlight w:val="none"/>
              </w:rPr>
              <w:t>）满足招标文件要求且</w:t>
            </w:r>
            <w:r>
              <w:rPr>
                <w:rFonts w:hint="eastAsia" w:ascii="宋体" w:hAnsi="宋体" w:cs="宋体"/>
                <w:bCs/>
                <w:color w:val="auto"/>
                <w:szCs w:val="21"/>
                <w:highlight w:val="none"/>
                <w:lang w:val="en-US" w:eastAsia="zh-CN"/>
              </w:rPr>
              <w:t>投标折扣率</w:t>
            </w:r>
            <w:r>
              <w:rPr>
                <w:rFonts w:hint="eastAsia" w:ascii="宋体" w:hAnsi="宋体" w:eastAsia="宋体" w:cs="宋体"/>
                <w:bCs/>
                <w:color w:val="auto"/>
                <w:szCs w:val="21"/>
                <w:highlight w:val="none"/>
              </w:rPr>
              <w:t xml:space="preserve">最低的为评标基准价，基准价得分为 </w:t>
            </w:r>
            <w:r>
              <w:rPr>
                <w:rFonts w:hint="eastAsia" w:ascii="宋体" w:hAnsi="宋体" w:cs="宋体"/>
                <w:bCs/>
                <w:color w:val="auto"/>
                <w:szCs w:val="21"/>
                <w:highlight w:val="none"/>
                <w:lang w:val="en-US" w:eastAsia="zh-CN"/>
              </w:rPr>
              <w:t>2</w:t>
            </w:r>
            <w:r>
              <w:rPr>
                <w:rFonts w:hint="eastAsia" w:ascii="宋体" w:hAnsi="宋体" w:eastAsia="宋体" w:cs="宋体"/>
                <w:bCs/>
                <w:color w:val="auto"/>
                <w:szCs w:val="21"/>
                <w:highlight w:val="none"/>
                <w:lang w:val="en-US" w:eastAsia="zh-CN"/>
              </w:rPr>
              <w:t>0</w:t>
            </w:r>
            <w:r>
              <w:rPr>
                <w:rFonts w:hint="eastAsia" w:ascii="宋体" w:hAnsi="宋体" w:eastAsia="宋体" w:cs="宋体"/>
                <w:bCs/>
                <w:color w:val="auto"/>
                <w:szCs w:val="21"/>
                <w:highlight w:val="none"/>
              </w:rPr>
              <w:t xml:space="preserve"> 分。</w:t>
            </w:r>
          </w:p>
          <w:p w14:paraId="2510DA5C">
            <w:pPr>
              <w:keepNext w:val="0"/>
              <w:keepLines w:val="0"/>
              <w:pageBreakBefore w:val="0"/>
              <w:kinsoku/>
              <w:overflowPunct/>
              <w:topLinePunct w:val="0"/>
              <w:autoSpaceDE/>
              <w:autoSpaceDN/>
              <w:bidi w:val="0"/>
              <w:spacing w:line="360" w:lineRule="exact"/>
              <w:ind w:firstLine="420" w:firstLineChars="200"/>
              <w:rPr>
                <w:rFonts w:hint="eastAsia" w:ascii="宋体" w:hAnsi="宋体" w:eastAsia="宋体" w:cs="宋体"/>
                <w:bCs/>
                <w:color w:val="auto"/>
                <w:kern w:val="0"/>
                <w:sz w:val="21"/>
                <w:szCs w:val="21"/>
                <w:highlight w:val="none"/>
                <w:shd w:val="clear" w:color="auto" w:fill="auto"/>
                <w:lang w:val="en-US" w:eastAsia="zh-CN" w:bidi="ar-SA"/>
              </w:rPr>
            </w:pPr>
            <w:r>
              <w:rPr>
                <w:rFonts w:hint="eastAsia" w:ascii="宋体" w:hAnsi="宋体" w:eastAsia="宋体" w:cs="宋体"/>
                <w:bCs/>
                <w:color w:val="auto"/>
                <w:szCs w:val="21"/>
                <w:highlight w:val="none"/>
              </w:rPr>
              <w:t>（</w:t>
            </w:r>
            <w:r>
              <w:rPr>
                <w:rFonts w:hint="eastAsia" w:ascii="宋体" w:hAnsi="宋体" w:cs="宋体"/>
                <w:bCs/>
                <w:color w:val="auto"/>
                <w:szCs w:val="21"/>
                <w:highlight w:val="none"/>
                <w:lang w:val="en-US" w:eastAsia="zh-CN"/>
              </w:rPr>
              <w:t>4</w:t>
            </w:r>
            <w:r>
              <w:rPr>
                <w:rFonts w:hint="eastAsia" w:ascii="宋体" w:hAnsi="宋体" w:eastAsia="宋体" w:cs="宋体"/>
                <w:bCs/>
                <w:color w:val="auto"/>
                <w:szCs w:val="21"/>
                <w:highlight w:val="none"/>
              </w:rPr>
              <w:t>）价格分计算公式：</w:t>
            </w:r>
            <w:r>
              <w:rPr>
                <w:rFonts w:hint="eastAsia" w:ascii="宋体" w:hAnsi="宋体" w:eastAsia="宋体" w:cs="宋体"/>
                <w:bCs/>
                <w:color w:val="auto"/>
                <w:sz w:val="21"/>
                <w:highlight w:val="none"/>
                <w:lang w:val="en-US" w:eastAsia="zh-CN"/>
              </w:rPr>
              <w:t>价格分</w:t>
            </w:r>
            <w:r>
              <w:rPr>
                <w:rFonts w:hint="eastAsia" w:ascii="宋体" w:hAnsi="宋体" w:eastAsia="宋体" w:cs="宋体"/>
                <w:bCs/>
                <w:color w:val="auto"/>
                <w:kern w:val="2"/>
                <w:sz w:val="21"/>
                <w:highlight w:val="none"/>
                <w:lang w:val="en-US" w:eastAsia="zh-CN"/>
              </w:rPr>
              <w:t>=(评标基准价</w:t>
            </w:r>
            <w:r>
              <w:rPr>
                <w:rFonts w:hint="default" w:ascii="Arial" w:hAnsi="Arial" w:eastAsia="宋体" w:cs="Arial"/>
                <w:bCs/>
                <w:color w:val="auto"/>
                <w:kern w:val="2"/>
                <w:sz w:val="28"/>
                <w:szCs w:val="28"/>
                <w:highlight w:val="none"/>
                <w:lang w:val="en-US" w:eastAsia="zh-CN"/>
              </w:rPr>
              <w:t>÷</w:t>
            </w:r>
            <w:r>
              <w:rPr>
                <w:rFonts w:hint="eastAsia" w:ascii="宋体" w:hAnsi="宋体" w:eastAsia="宋体" w:cs="宋体"/>
                <w:color w:val="auto"/>
                <w:szCs w:val="21"/>
                <w:highlight w:val="none"/>
              </w:rPr>
              <w:t>评</w:t>
            </w:r>
            <w:r>
              <w:rPr>
                <w:rFonts w:hint="eastAsia" w:ascii="宋体" w:hAnsi="宋体" w:eastAsia="宋体" w:cs="宋体"/>
                <w:color w:val="auto"/>
                <w:szCs w:val="21"/>
                <w:highlight w:val="none"/>
                <w:lang w:eastAsia="zh-CN"/>
              </w:rPr>
              <w:t>标报</w:t>
            </w:r>
            <w:r>
              <w:rPr>
                <w:rFonts w:hint="eastAsia" w:ascii="宋体" w:hAnsi="宋体" w:eastAsia="宋体" w:cs="宋体"/>
                <w:color w:val="auto"/>
                <w:szCs w:val="21"/>
                <w:highlight w:val="none"/>
              </w:rPr>
              <w:t>价</w:t>
            </w:r>
            <w:r>
              <w:rPr>
                <w:rFonts w:hint="eastAsia" w:ascii="宋体" w:hAnsi="宋体" w:eastAsia="宋体" w:cs="宋体"/>
                <w:bCs/>
                <w:color w:val="auto"/>
                <w:kern w:val="2"/>
                <w:sz w:val="21"/>
                <w:highlight w:val="none"/>
                <w:lang w:val="en-US" w:eastAsia="zh-CN"/>
              </w:rPr>
              <w:t>)×</w:t>
            </w:r>
            <w:r>
              <w:rPr>
                <w:rFonts w:hint="eastAsia" w:ascii="宋体" w:hAnsi="宋体" w:eastAsia="宋体" w:cs="宋体"/>
                <w:bCs/>
                <w:color w:val="auto"/>
                <w:sz w:val="21"/>
                <w:highlight w:val="none"/>
                <w:u w:val="none"/>
                <w:lang w:val="en-US" w:eastAsia="zh-CN"/>
              </w:rPr>
              <w:t xml:space="preserve"> </w:t>
            </w:r>
            <w:r>
              <w:rPr>
                <w:rFonts w:hint="eastAsia" w:ascii="宋体" w:hAnsi="宋体" w:cs="宋体"/>
                <w:bCs/>
                <w:strike w:val="0"/>
                <w:dstrike w:val="0"/>
                <w:color w:val="auto"/>
                <w:sz w:val="21"/>
                <w:highlight w:val="none"/>
                <w:u w:val="none"/>
                <w:lang w:val="en-US" w:eastAsia="zh-CN"/>
              </w:rPr>
              <w:t>20</w:t>
            </w:r>
            <w:r>
              <w:rPr>
                <w:rFonts w:hint="eastAsia" w:ascii="宋体" w:hAnsi="宋体" w:eastAsia="宋体" w:cs="宋体"/>
                <w:bCs/>
                <w:strike w:val="0"/>
                <w:dstrike w:val="0"/>
                <w:color w:val="auto"/>
                <w:sz w:val="21"/>
                <w:highlight w:val="none"/>
                <w:u w:val="none"/>
                <w:lang w:val="en-US" w:eastAsia="zh-CN"/>
              </w:rPr>
              <w:t xml:space="preserve"> </w:t>
            </w:r>
            <w:r>
              <w:rPr>
                <w:rFonts w:hint="eastAsia" w:ascii="宋体" w:hAnsi="宋体" w:eastAsia="宋体" w:cs="宋体"/>
                <w:bCs/>
                <w:color w:val="auto"/>
                <w:kern w:val="2"/>
                <w:sz w:val="21"/>
                <w:highlight w:val="none"/>
                <w:lang w:val="en-US" w:eastAsia="zh-CN"/>
              </w:rPr>
              <w:t>分</w:t>
            </w:r>
          </w:p>
        </w:tc>
      </w:tr>
      <w:tr w14:paraId="02E7A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562" w:type="dxa"/>
            <w:vMerge w:val="restart"/>
            <w:noWrap w:val="0"/>
            <w:vAlign w:val="center"/>
          </w:tcPr>
          <w:p w14:paraId="1AF2D0CA">
            <w:pPr>
              <w:adjustRightInd w:val="0"/>
              <w:snapToGrid w:val="0"/>
              <w:spacing w:line="360" w:lineRule="atLeast"/>
              <w:jc w:val="center"/>
              <w:textAlignment w:val="baseline"/>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w:t>
            </w:r>
          </w:p>
        </w:tc>
        <w:tc>
          <w:tcPr>
            <w:tcW w:w="1585" w:type="dxa"/>
            <w:vMerge w:val="restart"/>
            <w:noWrap w:val="0"/>
            <w:vAlign w:val="center"/>
          </w:tcPr>
          <w:p w14:paraId="0375B6FA">
            <w:pPr>
              <w:adjustRightInd w:val="0"/>
              <w:snapToGrid w:val="0"/>
              <w:spacing w:line="360" w:lineRule="atLeast"/>
              <w:ind w:left="-105" w:leftChars="-50" w:right="-105" w:rightChars="-50"/>
              <w:jc w:val="center"/>
              <w:textAlignment w:val="baseline"/>
              <w:rPr>
                <w:rFonts w:hint="eastAsia" w:ascii="宋体" w:hAnsi="宋体" w:eastAsia="宋体" w:cs="宋体"/>
                <w:b/>
                <w:bCs w:val="0"/>
                <w:color w:val="auto"/>
                <w:kern w:val="0"/>
                <w:sz w:val="21"/>
                <w:szCs w:val="21"/>
                <w:highlight w:val="none"/>
                <w:shd w:val="clear" w:color="auto" w:fill="auto"/>
                <w:lang w:val="en-US" w:eastAsia="zh-CN" w:bidi="ar-SA"/>
              </w:rPr>
            </w:pPr>
            <w:r>
              <w:rPr>
                <w:rFonts w:hint="eastAsia" w:ascii="宋体" w:hAnsi="宋体" w:eastAsia="宋体" w:cs="宋体"/>
                <w:b/>
                <w:bCs/>
                <w:color w:val="auto"/>
                <w:szCs w:val="21"/>
                <w:highlight w:val="none"/>
                <w:shd w:val="clear" w:color="auto" w:fill="auto"/>
              </w:rPr>
              <w:t>服务实施方案分</w:t>
            </w:r>
          </w:p>
          <w:p w14:paraId="3181CC8E">
            <w:pPr>
              <w:adjustRightInd w:val="0"/>
              <w:snapToGrid w:val="0"/>
              <w:spacing w:line="360" w:lineRule="atLeast"/>
              <w:ind w:left="-105" w:leftChars="-50" w:right="-105" w:rightChars="-50"/>
              <w:jc w:val="center"/>
              <w:textAlignment w:val="baseline"/>
              <w:rPr>
                <w:rFonts w:hint="eastAsia" w:ascii="宋体" w:hAnsi="宋体" w:eastAsia="宋体" w:cs="宋体"/>
                <w:b/>
                <w:bCs/>
                <w:color w:val="auto"/>
                <w:kern w:val="0"/>
                <w:sz w:val="21"/>
                <w:szCs w:val="21"/>
                <w:highlight w:val="none"/>
                <w:shd w:val="clear" w:color="auto" w:fill="auto"/>
                <w:lang w:val="en-US" w:eastAsia="zh-CN" w:bidi="ar-SA"/>
              </w:rPr>
            </w:pPr>
            <w:r>
              <w:rPr>
                <w:rFonts w:hint="eastAsia" w:ascii="宋体" w:hAnsi="宋体" w:eastAsia="宋体" w:cs="宋体"/>
                <w:bCs/>
                <w:color w:val="auto"/>
                <w:kern w:val="0"/>
                <w:sz w:val="21"/>
                <w:szCs w:val="21"/>
                <w:highlight w:val="none"/>
                <w:shd w:val="clear" w:color="auto" w:fill="auto"/>
                <w:lang w:val="en-US" w:eastAsia="zh-CN" w:bidi="ar-SA"/>
              </w:rPr>
              <w:t>（满分</w:t>
            </w:r>
            <w:r>
              <w:rPr>
                <w:rFonts w:hint="eastAsia" w:ascii="宋体" w:hAnsi="宋体" w:cs="宋体"/>
                <w:bCs/>
                <w:color w:val="auto"/>
                <w:kern w:val="0"/>
                <w:sz w:val="21"/>
                <w:szCs w:val="21"/>
                <w:highlight w:val="none"/>
                <w:u w:val="single"/>
                <w:shd w:val="clear" w:color="auto" w:fill="auto"/>
                <w:lang w:val="en-US" w:eastAsia="zh-CN" w:bidi="ar-SA"/>
              </w:rPr>
              <w:t>42</w:t>
            </w:r>
            <w:r>
              <w:rPr>
                <w:rFonts w:hint="eastAsia" w:ascii="宋体" w:hAnsi="宋体" w:eastAsia="宋体" w:cs="宋体"/>
                <w:bCs/>
                <w:color w:val="auto"/>
                <w:kern w:val="0"/>
                <w:sz w:val="21"/>
                <w:szCs w:val="21"/>
                <w:highlight w:val="none"/>
                <w:shd w:val="clear" w:color="auto" w:fill="auto"/>
                <w:lang w:val="en-US" w:eastAsia="zh-CN" w:bidi="ar-SA"/>
              </w:rPr>
              <w:t>分）</w:t>
            </w:r>
          </w:p>
        </w:tc>
        <w:tc>
          <w:tcPr>
            <w:tcW w:w="1520" w:type="dxa"/>
            <w:noWrap w:val="0"/>
            <w:vAlign w:val="center"/>
          </w:tcPr>
          <w:p w14:paraId="19FB9829">
            <w:pPr>
              <w:snapToGrid w:val="0"/>
              <w:spacing w:line="360" w:lineRule="atLeast"/>
              <w:jc w:val="center"/>
              <w:rPr>
                <w:rFonts w:hint="eastAsia" w:ascii="宋体" w:hAnsi="宋体" w:eastAsia="宋体" w:cs="宋体"/>
                <w:bCs/>
                <w:color w:val="auto"/>
                <w:kern w:val="0"/>
                <w:sz w:val="21"/>
                <w:szCs w:val="21"/>
                <w:highlight w:val="none"/>
                <w:shd w:val="clear" w:color="auto" w:fill="auto"/>
                <w:lang w:val="en-US" w:eastAsia="zh-CN" w:bidi="ar-SA"/>
              </w:rPr>
            </w:pPr>
            <w:r>
              <w:rPr>
                <w:rFonts w:hint="eastAsia" w:ascii="宋体" w:hAnsi="宋体" w:eastAsia="宋体" w:cs="宋体"/>
                <w:b/>
                <w:bCs/>
                <w:color w:val="auto"/>
                <w:szCs w:val="21"/>
                <w:highlight w:val="none"/>
                <w:shd w:val="clear" w:color="auto" w:fill="auto"/>
              </w:rPr>
              <w:t>（1）项目实施方案（满分</w:t>
            </w:r>
            <w:r>
              <w:rPr>
                <w:rFonts w:hint="eastAsia" w:ascii="宋体" w:hAnsi="宋体" w:eastAsia="宋体" w:cs="宋体"/>
                <w:b/>
                <w:bCs/>
                <w:color w:val="auto"/>
                <w:szCs w:val="21"/>
                <w:highlight w:val="none"/>
                <w:shd w:val="clear" w:color="auto" w:fill="auto"/>
                <w:lang w:val="en-US" w:eastAsia="zh-CN"/>
              </w:rPr>
              <w:t>2</w:t>
            </w:r>
            <w:r>
              <w:rPr>
                <w:rFonts w:hint="eastAsia" w:ascii="宋体" w:hAnsi="宋体" w:cs="宋体"/>
                <w:b/>
                <w:bCs/>
                <w:color w:val="auto"/>
                <w:szCs w:val="21"/>
                <w:highlight w:val="none"/>
                <w:shd w:val="clear" w:color="auto" w:fill="auto"/>
                <w:lang w:val="en-US" w:eastAsia="zh-CN"/>
              </w:rPr>
              <w:t>0</w:t>
            </w:r>
            <w:r>
              <w:rPr>
                <w:rFonts w:hint="eastAsia" w:ascii="宋体" w:hAnsi="宋体" w:eastAsia="宋体" w:cs="宋体"/>
                <w:b/>
                <w:bCs/>
                <w:color w:val="auto"/>
                <w:szCs w:val="21"/>
                <w:highlight w:val="none"/>
                <w:shd w:val="clear" w:color="auto" w:fill="auto"/>
              </w:rPr>
              <w:t>分）</w:t>
            </w:r>
          </w:p>
        </w:tc>
        <w:tc>
          <w:tcPr>
            <w:tcW w:w="6096" w:type="dxa"/>
            <w:noWrap w:val="0"/>
            <w:vAlign w:val="center"/>
          </w:tcPr>
          <w:p w14:paraId="78BA7548">
            <w:pPr>
              <w:shd w:val="clear" w:color="auto" w:fill="auto"/>
              <w:wordWrap w:val="0"/>
              <w:spacing w:line="460" w:lineRule="exact"/>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由评标委员会进行独立打分。</w:t>
            </w:r>
          </w:p>
          <w:p w14:paraId="4F2A351B">
            <w:pPr>
              <w:shd w:val="clear" w:color="auto" w:fill="auto"/>
              <w:wordWrap w:val="0"/>
              <w:spacing w:line="460" w:lineRule="exact"/>
              <w:ind w:firstLine="422" w:firstLineChars="200"/>
              <w:jc w:val="left"/>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eastAsia="zh-CN"/>
              </w:rPr>
              <w:t>评审标准如下：</w:t>
            </w:r>
          </w:p>
          <w:p w14:paraId="700306D6">
            <w:pPr>
              <w:shd w:val="clear" w:color="auto" w:fill="auto"/>
              <w:wordWrap w:val="0"/>
              <w:spacing w:line="46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提供的项目实施方案【配送服务方案、应急方案、项目实施内容、流程、项目人员及配送人员的组织管理架构（包括：整个项目拟投入人员的健康状况、配送人员岗位配置、配送人员培训、综合素质考核等方面）】</w:t>
            </w:r>
            <w:r>
              <w:rPr>
                <w:rFonts w:hint="eastAsia" w:ascii="宋体" w:hAnsi="宋体" w:cs="宋体"/>
                <w:color w:val="auto"/>
                <w:szCs w:val="21"/>
                <w:highlight w:val="none"/>
                <w:lang w:eastAsia="zh-CN"/>
              </w:rPr>
              <w:t>。</w:t>
            </w:r>
          </w:p>
          <w:p w14:paraId="3321B2C2">
            <w:pPr>
              <w:shd w:val="clear" w:color="auto" w:fill="auto"/>
              <w:wordWrap w:val="0"/>
              <w:spacing w:line="460" w:lineRule="exact"/>
              <w:ind w:firstLine="422" w:firstLineChars="200"/>
              <w:jc w:val="left"/>
              <w:rPr>
                <w:rFonts w:hint="eastAsia" w:ascii="宋体" w:hAnsi="宋体" w:eastAsia="宋体" w:cs="宋体"/>
                <w:color w:val="auto"/>
                <w:szCs w:val="21"/>
                <w:highlight w:val="none"/>
                <w:shd w:val="clear" w:color="auto" w:fill="auto"/>
              </w:rPr>
            </w:pPr>
            <w:r>
              <w:rPr>
                <w:rFonts w:hint="eastAsia" w:ascii="宋体" w:hAnsi="宋体" w:eastAsia="宋体" w:cs="宋体"/>
                <w:b/>
                <w:bCs/>
                <w:color w:val="auto"/>
                <w:szCs w:val="21"/>
                <w:highlight w:val="none"/>
                <w:shd w:val="clear" w:color="auto" w:fill="auto"/>
              </w:rPr>
              <w:t>一档（</w:t>
            </w:r>
            <w:r>
              <w:rPr>
                <w:rFonts w:hint="eastAsia" w:ascii="宋体" w:hAnsi="宋体" w:eastAsia="宋体" w:cs="宋体"/>
                <w:b/>
                <w:bCs/>
                <w:color w:val="auto"/>
                <w:szCs w:val="21"/>
                <w:highlight w:val="none"/>
                <w:shd w:val="clear" w:color="auto" w:fill="auto"/>
                <w:lang w:val="en-US" w:eastAsia="zh-CN"/>
              </w:rPr>
              <w:t>0</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color w:val="auto"/>
                <w:szCs w:val="21"/>
                <w:highlight w:val="none"/>
                <w:shd w:val="clear" w:color="auto" w:fill="auto"/>
              </w:rPr>
              <w:t>：</w:t>
            </w:r>
            <w:r>
              <w:rPr>
                <w:rFonts w:hint="eastAsia" w:ascii="宋体" w:hAnsi="宋体" w:eastAsia="宋体" w:cs="宋体"/>
                <w:color w:val="auto"/>
                <w:szCs w:val="21"/>
                <w:highlight w:val="none"/>
                <w:shd w:val="clear" w:color="auto" w:fill="auto"/>
                <w:lang w:eastAsia="zh-CN"/>
              </w:rPr>
              <w:t>投标人</w:t>
            </w:r>
            <w:r>
              <w:rPr>
                <w:rFonts w:hint="eastAsia" w:ascii="宋体" w:hAnsi="宋体" w:eastAsia="宋体" w:cs="宋体"/>
                <w:color w:val="auto"/>
                <w:szCs w:val="21"/>
                <w:highlight w:val="none"/>
                <w:shd w:val="clear" w:color="auto" w:fill="auto"/>
                <w:lang w:val="en-US" w:eastAsia="zh-CN"/>
              </w:rPr>
              <w:t>未提供项目实施方案的</w:t>
            </w:r>
            <w:r>
              <w:rPr>
                <w:rFonts w:hint="eastAsia" w:ascii="宋体" w:hAnsi="宋体" w:eastAsia="宋体" w:cs="宋体"/>
                <w:color w:val="auto"/>
                <w:szCs w:val="21"/>
                <w:highlight w:val="none"/>
                <w:shd w:val="clear" w:color="auto" w:fill="auto"/>
              </w:rPr>
              <w:t>。</w:t>
            </w:r>
          </w:p>
          <w:p w14:paraId="72E0ADE3">
            <w:pPr>
              <w:shd w:val="clear" w:color="auto" w:fill="auto"/>
              <w:wordWrap w:val="0"/>
              <w:spacing w:line="460" w:lineRule="exact"/>
              <w:ind w:firstLine="422" w:firstLineChars="200"/>
              <w:jc w:val="left"/>
              <w:rPr>
                <w:rFonts w:hint="eastAsia" w:ascii="宋体" w:hAnsi="宋体" w:eastAsia="宋体" w:cs="宋体"/>
                <w:b w:val="0"/>
                <w:bCs w:val="0"/>
                <w:color w:val="auto"/>
                <w:szCs w:val="21"/>
                <w:highlight w:val="none"/>
                <w:shd w:val="clear" w:color="auto" w:fill="auto"/>
              </w:rPr>
            </w:pPr>
            <w:r>
              <w:rPr>
                <w:rFonts w:hint="eastAsia" w:ascii="宋体" w:hAnsi="宋体" w:cs="宋体"/>
                <w:b/>
                <w:bCs/>
                <w:color w:val="auto"/>
                <w:szCs w:val="21"/>
                <w:highlight w:val="none"/>
                <w:shd w:val="clear" w:color="auto" w:fill="auto"/>
                <w:lang w:val="en-US" w:eastAsia="zh-CN"/>
              </w:rPr>
              <w:t>二</w:t>
            </w:r>
            <w:r>
              <w:rPr>
                <w:rFonts w:hint="eastAsia" w:ascii="宋体" w:hAnsi="宋体" w:eastAsia="宋体" w:cs="宋体"/>
                <w:b/>
                <w:bCs/>
                <w:color w:val="auto"/>
                <w:szCs w:val="21"/>
                <w:highlight w:val="none"/>
                <w:shd w:val="clear" w:color="auto" w:fill="auto"/>
              </w:rPr>
              <w:t>档（</w:t>
            </w:r>
            <w:r>
              <w:rPr>
                <w:rFonts w:hint="eastAsia" w:ascii="宋体" w:hAnsi="宋体" w:cs="宋体"/>
                <w:b/>
                <w:bCs/>
                <w:color w:val="auto"/>
                <w:szCs w:val="21"/>
                <w:highlight w:val="none"/>
                <w:shd w:val="clear" w:color="auto" w:fill="auto"/>
                <w:lang w:val="en-US" w:eastAsia="zh-CN"/>
              </w:rPr>
              <w:t>4</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b w:val="0"/>
                <w:bCs w:val="0"/>
                <w:color w:val="auto"/>
                <w:szCs w:val="21"/>
                <w:highlight w:val="none"/>
                <w:shd w:val="clear" w:color="auto" w:fill="auto"/>
              </w:rPr>
              <w:t>：管理制度不够完善，配送服务方案基本符合要求。针对采购人实际需求的描述不够详细，基本能保证配送服务的质量。对于问题食材引发的紧急事件处理预案内容缺乏针对性，且对紧急事件的现场处理时间超过 60 分钟；</w:t>
            </w:r>
          </w:p>
          <w:p w14:paraId="39D52ADC">
            <w:pPr>
              <w:shd w:val="clear" w:color="auto" w:fill="auto"/>
              <w:wordWrap w:val="0"/>
              <w:spacing w:line="460" w:lineRule="exact"/>
              <w:ind w:firstLine="422" w:firstLineChars="200"/>
              <w:jc w:val="left"/>
              <w:rPr>
                <w:rFonts w:hint="eastAsia" w:ascii="宋体" w:hAnsi="宋体" w:eastAsia="宋体" w:cs="宋体"/>
                <w:b w:val="0"/>
                <w:bCs w:val="0"/>
                <w:color w:val="auto"/>
                <w:szCs w:val="21"/>
                <w:highlight w:val="none"/>
                <w:shd w:val="clear" w:color="auto" w:fill="auto"/>
              </w:rPr>
            </w:pPr>
            <w:r>
              <w:rPr>
                <w:rFonts w:hint="eastAsia" w:ascii="宋体" w:hAnsi="宋体" w:cs="宋体"/>
                <w:b/>
                <w:bCs/>
                <w:color w:val="auto"/>
                <w:szCs w:val="21"/>
                <w:highlight w:val="none"/>
                <w:shd w:val="clear" w:color="auto" w:fill="auto"/>
                <w:lang w:val="en-US" w:eastAsia="zh-CN"/>
              </w:rPr>
              <w:t>三</w:t>
            </w:r>
            <w:r>
              <w:rPr>
                <w:rFonts w:hint="eastAsia" w:ascii="宋体" w:hAnsi="宋体" w:eastAsia="宋体" w:cs="宋体"/>
                <w:b/>
                <w:bCs/>
                <w:color w:val="auto"/>
                <w:szCs w:val="21"/>
                <w:highlight w:val="none"/>
                <w:shd w:val="clear" w:color="auto" w:fill="auto"/>
              </w:rPr>
              <w:t>档（</w:t>
            </w:r>
            <w:r>
              <w:rPr>
                <w:rFonts w:hint="eastAsia" w:ascii="宋体" w:hAnsi="宋体" w:cs="宋体"/>
                <w:b/>
                <w:bCs/>
                <w:color w:val="auto"/>
                <w:szCs w:val="21"/>
                <w:highlight w:val="none"/>
                <w:shd w:val="clear" w:color="auto" w:fill="auto"/>
                <w:lang w:val="en-US" w:eastAsia="zh-CN"/>
              </w:rPr>
              <w:t>8</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b w:val="0"/>
                <w:bCs w:val="0"/>
                <w:color w:val="auto"/>
                <w:szCs w:val="21"/>
                <w:highlight w:val="none"/>
                <w:shd w:val="clear" w:color="auto" w:fill="auto"/>
              </w:rPr>
              <w:t>：项目配送供货时间安排合理，管理制度简洁明了，配送服务方案基本满足需求。针对采购人实际需求的描述较为简略，具体实施步骤和要求的阐述不够详尽，但能确保配送服务的正常进行。能在</w:t>
            </w:r>
            <w:r>
              <w:rPr>
                <w:rFonts w:hint="eastAsia" w:ascii="宋体" w:hAnsi="宋体" w:cs="宋体"/>
                <w:b w:val="0"/>
                <w:bCs w:val="0"/>
                <w:color w:val="auto"/>
                <w:szCs w:val="21"/>
                <w:highlight w:val="none"/>
                <w:shd w:val="clear" w:color="auto" w:fill="auto"/>
                <w:lang w:val="en-US" w:eastAsia="zh-CN"/>
              </w:rPr>
              <w:t>5</w:t>
            </w:r>
            <w:r>
              <w:rPr>
                <w:rFonts w:hint="eastAsia" w:ascii="宋体" w:hAnsi="宋体" w:eastAsia="宋体" w:cs="宋体"/>
                <w:b w:val="0"/>
                <w:bCs w:val="0"/>
                <w:color w:val="auto"/>
                <w:szCs w:val="21"/>
                <w:highlight w:val="none"/>
                <w:shd w:val="clear" w:color="auto" w:fill="auto"/>
              </w:rPr>
              <w:t>0 分钟内到达现场处理紧急事件。问题食材发生紧急事件处理预案内容简洁实用；</w:t>
            </w:r>
          </w:p>
          <w:p w14:paraId="2878CAD4">
            <w:pPr>
              <w:shd w:val="clear" w:color="auto" w:fill="auto"/>
              <w:wordWrap w:val="0"/>
              <w:spacing w:line="460" w:lineRule="exact"/>
              <w:ind w:firstLine="422" w:firstLineChars="200"/>
              <w:jc w:val="left"/>
              <w:rPr>
                <w:rFonts w:hint="eastAsia" w:ascii="宋体" w:hAnsi="宋体" w:eastAsia="宋体" w:cs="宋体"/>
                <w:b w:val="0"/>
                <w:bCs w:val="0"/>
                <w:color w:val="auto"/>
                <w:szCs w:val="21"/>
                <w:highlight w:val="none"/>
                <w:shd w:val="clear" w:color="auto" w:fill="auto"/>
              </w:rPr>
            </w:pPr>
            <w:r>
              <w:rPr>
                <w:rFonts w:hint="eastAsia" w:ascii="宋体" w:hAnsi="宋体" w:cs="宋体"/>
                <w:b/>
                <w:bCs/>
                <w:color w:val="auto"/>
                <w:szCs w:val="21"/>
                <w:highlight w:val="none"/>
                <w:shd w:val="clear" w:color="auto" w:fill="auto"/>
                <w:lang w:val="en-US" w:eastAsia="zh-CN"/>
              </w:rPr>
              <w:t>四</w:t>
            </w:r>
            <w:r>
              <w:rPr>
                <w:rFonts w:hint="eastAsia" w:ascii="宋体" w:hAnsi="宋体" w:eastAsia="宋体" w:cs="宋体"/>
                <w:b/>
                <w:bCs/>
                <w:color w:val="auto"/>
                <w:szCs w:val="21"/>
                <w:highlight w:val="none"/>
                <w:shd w:val="clear" w:color="auto" w:fill="auto"/>
              </w:rPr>
              <w:t>档（</w:t>
            </w:r>
            <w:r>
              <w:rPr>
                <w:rFonts w:hint="eastAsia" w:ascii="宋体" w:hAnsi="宋体" w:eastAsia="宋体" w:cs="宋体"/>
                <w:b/>
                <w:bCs/>
                <w:color w:val="auto"/>
                <w:szCs w:val="21"/>
                <w:highlight w:val="none"/>
                <w:shd w:val="clear" w:color="auto" w:fill="auto"/>
                <w:lang w:val="en-US" w:eastAsia="zh-CN"/>
              </w:rPr>
              <w:t>1</w:t>
            </w:r>
            <w:r>
              <w:rPr>
                <w:rFonts w:hint="eastAsia" w:ascii="宋体" w:hAnsi="宋体" w:cs="宋体"/>
                <w:b/>
                <w:bCs/>
                <w:color w:val="auto"/>
                <w:szCs w:val="21"/>
                <w:highlight w:val="none"/>
                <w:shd w:val="clear" w:color="auto" w:fill="auto"/>
                <w:lang w:val="en-US" w:eastAsia="zh-CN"/>
              </w:rPr>
              <w:t>2</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b w:val="0"/>
                <w:bCs w:val="0"/>
                <w:color w:val="auto"/>
                <w:szCs w:val="21"/>
                <w:highlight w:val="none"/>
                <w:shd w:val="clear" w:color="auto" w:fill="auto"/>
              </w:rPr>
              <w:t xml:space="preserve">：项目配送体系合理，供货时间安排得当。管理制度完善，配送服务方案详尽。针对采购人实际需求描述详细，具体实施步骤和要求明确。除保证配送服务业务外，还配备有机动人员应对紧急事件处理。对配送及应急处理的响应时间不超过 10 分钟，对紧急事件的现场处理时间不超过 </w:t>
            </w:r>
            <w:r>
              <w:rPr>
                <w:rFonts w:hint="eastAsia" w:ascii="宋体" w:hAnsi="宋体" w:cs="宋体"/>
                <w:b w:val="0"/>
                <w:bCs w:val="0"/>
                <w:color w:val="auto"/>
                <w:szCs w:val="21"/>
                <w:highlight w:val="none"/>
                <w:shd w:val="clear" w:color="auto" w:fill="auto"/>
                <w:lang w:val="en-US" w:eastAsia="zh-CN"/>
              </w:rPr>
              <w:t>4</w:t>
            </w:r>
            <w:r>
              <w:rPr>
                <w:rFonts w:hint="eastAsia" w:ascii="宋体" w:hAnsi="宋体" w:eastAsia="宋体" w:cs="宋体"/>
                <w:b w:val="0"/>
                <w:bCs w:val="0"/>
                <w:color w:val="auto"/>
                <w:szCs w:val="21"/>
                <w:highlight w:val="none"/>
                <w:shd w:val="clear" w:color="auto" w:fill="auto"/>
              </w:rPr>
              <w:t>0 分钟。问题食材发生紧急事件处理预案内容具体，具有一定针对性；</w:t>
            </w:r>
          </w:p>
          <w:p w14:paraId="299F23F3">
            <w:pPr>
              <w:shd w:val="clear" w:color="auto" w:fill="auto"/>
              <w:wordWrap w:val="0"/>
              <w:spacing w:line="460" w:lineRule="exact"/>
              <w:ind w:firstLine="422" w:firstLineChars="200"/>
              <w:jc w:val="left"/>
              <w:rPr>
                <w:rFonts w:hint="eastAsia" w:ascii="宋体" w:hAnsi="宋体" w:eastAsia="宋体" w:cs="宋体"/>
                <w:color w:val="auto"/>
                <w:szCs w:val="21"/>
                <w:highlight w:val="none"/>
                <w:shd w:val="clear" w:color="auto" w:fill="auto"/>
              </w:rPr>
            </w:pPr>
            <w:r>
              <w:rPr>
                <w:rFonts w:hint="eastAsia" w:ascii="宋体" w:hAnsi="宋体" w:cs="宋体"/>
                <w:b/>
                <w:bCs/>
                <w:color w:val="auto"/>
                <w:szCs w:val="21"/>
                <w:highlight w:val="none"/>
                <w:shd w:val="clear" w:color="auto" w:fill="auto"/>
                <w:lang w:val="en-US" w:eastAsia="zh-CN"/>
              </w:rPr>
              <w:t>五</w:t>
            </w:r>
            <w:r>
              <w:rPr>
                <w:rFonts w:hint="eastAsia" w:ascii="宋体" w:hAnsi="宋体" w:eastAsia="宋体" w:cs="宋体"/>
                <w:b/>
                <w:bCs/>
                <w:color w:val="auto"/>
                <w:szCs w:val="21"/>
                <w:highlight w:val="none"/>
                <w:shd w:val="clear" w:color="auto" w:fill="auto"/>
              </w:rPr>
              <w:t>档（</w:t>
            </w:r>
            <w:r>
              <w:rPr>
                <w:rFonts w:hint="eastAsia" w:ascii="宋体" w:hAnsi="宋体" w:eastAsia="宋体" w:cs="宋体"/>
                <w:b/>
                <w:bCs/>
                <w:color w:val="auto"/>
                <w:szCs w:val="21"/>
                <w:highlight w:val="none"/>
                <w:shd w:val="clear" w:color="auto" w:fill="auto"/>
                <w:lang w:val="en-US" w:eastAsia="zh-CN"/>
              </w:rPr>
              <w:t>1</w:t>
            </w:r>
            <w:r>
              <w:rPr>
                <w:rFonts w:hint="eastAsia" w:ascii="宋体" w:hAnsi="宋体" w:cs="宋体"/>
                <w:b/>
                <w:bCs/>
                <w:color w:val="auto"/>
                <w:szCs w:val="21"/>
                <w:highlight w:val="none"/>
                <w:shd w:val="clear" w:color="auto" w:fill="auto"/>
                <w:lang w:val="en-US" w:eastAsia="zh-CN"/>
              </w:rPr>
              <w:t>6</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b w:val="0"/>
                <w:bCs w:val="0"/>
                <w:color w:val="auto"/>
                <w:szCs w:val="21"/>
                <w:highlight w:val="none"/>
                <w:shd w:val="clear" w:color="auto" w:fill="auto"/>
              </w:rPr>
              <w:t xml:space="preserve">：项目具备较强的生产或销售能力，配送工作体系完备。供货时间安排合理，管理制度和配送服务方案较为完善，描述详尽，具体实施步骤和要求明确。除保证常规配送服务外，还配备有机动人员专门处理紧急事件。对配送和应急处理的响应迅速，不超过 5 分钟。处理紧急事件时，能在 </w:t>
            </w:r>
            <w:r>
              <w:rPr>
                <w:rFonts w:hint="eastAsia" w:ascii="宋体" w:hAnsi="宋体" w:cs="宋体"/>
                <w:b w:val="0"/>
                <w:bCs w:val="0"/>
                <w:color w:val="auto"/>
                <w:szCs w:val="21"/>
                <w:highlight w:val="none"/>
                <w:shd w:val="clear" w:color="auto" w:fill="auto"/>
                <w:lang w:val="en-US" w:eastAsia="zh-CN"/>
              </w:rPr>
              <w:t>3</w:t>
            </w:r>
            <w:r>
              <w:rPr>
                <w:rFonts w:hint="eastAsia" w:ascii="宋体" w:hAnsi="宋体" w:eastAsia="宋体" w:cs="宋体"/>
                <w:b w:val="0"/>
                <w:bCs w:val="0"/>
                <w:color w:val="auto"/>
                <w:szCs w:val="21"/>
                <w:highlight w:val="none"/>
                <w:shd w:val="clear" w:color="auto" w:fill="auto"/>
              </w:rPr>
              <w:t>0 分钟内到达现场。针对问题食材发生的紧急事件，制定了具体且有针对性的处理预案。</w:t>
            </w:r>
          </w:p>
          <w:p w14:paraId="14705D77">
            <w:pPr>
              <w:shd w:val="clear" w:color="auto" w:fill="auto"/>
              <w:wordWrap w:val="0"/>
              <w:spacing w:line="460" w:lineRule="exact"/>
              <w:ind w:firstLine="422" w:firstLineChars="200"/>
              <w:jc w:val="left"/>
              <w:rPr>
                <w:rFonts w:hint="eastAsia" w:ascii="宋体" w:hAnsi="宋体" w:eastAsia="宋体" w:cs="宋体"/>
                <w:bCs/>
                <w:color w:val="auto"/>
                <w:kern w:val="0"/>
                <w:sz w:val="21"/>
                <w:szCs w:val="21"/>
                <w:highlight w:val="none"/>
                <w:shd w:val="clear" w:color="auto" w:fill="auto"/>
                <w:lang w:val="en-US" w:eastAsia="zh-CN" w:bidi="ar-SA"/>
              </w:rPr>
            </w:pPr>
            <w:r>
              <w:rPr>
                <w:rFonts w:hint="eastAsia" w:ascii="宋体" w:hAnsi="宋体" w:cs="宋体"/>
                <w:b/>
                <w:bCs/>
                <w:color w:val="auto"/>
                <w:szCs w:val="21"/>
                <w:highlight w:val="none"/>
                <w:shd w:val="clear" w:color="auto" w:fill="auto"/>
                <w:lang w:val="en-US" w:eastAsia="zh-CN"/>
              </w:rPr>
              <w:t>六</w:t>
            </w:r>
            <w:r>
              <w:rPr>
                <w:rFonts w:hint="eastAsia" w:ascii="宋体" w:hAnsi="宋体" w:eastAsia="宋体" w:cs="宋体"/>
                <w:b/>
                <w:bCs/>
                <w:color w:val="auto"/>
                <w:szCs w:val="21"/>
                <w:highlight w:val="none"/>
                <w:shd w:val="clear" w:color="auto" w:fill="auto"/>
              </w:rPr>
              <w:t>档（</w:t>
            </w:r>
            <w:r>
              <w:rPr>
                <w:rFonts w:hint="eastAsia" w:ascii="宋体" w:hAnsi="宋体" w:eastAsia="宋体" w:cs="宋体"/>
                <w:b/>
                <w:bCs/>
                <w:color w:val="auto"/>
                <w:szCs w:val="21"/>
                <w:highlight w:val="none"/>
                <w:shd w:val="clear" w:color="auto" w:fill="auto"/>
                <w:lang w:val="en-US" w:eastAsia="zh-CN"/>
              </w:rPr>
              <w:t>2</w:t>
            </w:r>
            <w:r>
              <w:rPr>
                <w:rFonts w:hint="eastAsia" w:ascii="宋体" w:hAnsi="宋体" w:cs="宋体"/>
                <w:b/>
                <w:bCs/>
                <w:color w:val="auto"/>
                <w:szCs w:val="21"/>
                <w:highlight w:val="none"/>
                <w:shd w:val="clear" w:color="auto" w:fill="auto"/>
                <w:lang w:val="en-US" w:eastAsia="zh-CN"/>
              </w:rPr>
              <w:t>0</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b w:val="0"/>
                <w:bCs w:val="0"/>
                <w:color w:val="auto"/>
                <w:szCs w:val="21"/>
                <w:highlight w:val="none"/>
                <w:shd w:val="clear" w:color="auto" w:fill="auto"/>
              </w:rPr>
              <w:t>：项目生产与销售能力出众，配送工作体系成熟完备，供货时间安排合理。针对项目实际，提供全面细致、可靠的管理制度和配送服务方案，描述详尽，实施步骤和要求全面，具备较高的可行性，充分满足项目需求。问题食材紧急事件处理预案具体、全面，在保障配送服务的同时，配备充足的机动人员处理紧急事件，人员配置充足。对配送及应急处理的响应迅速，不超过 1 分钟，紧急事件现场处理时间不超 20 分钟，可行性高。方案具有针对性，重点突出，预案清晰，且能根据具体情况制定全面细致的方案，确保采购食材的卫生安全等重要因素。</w:t>
            </w:r>
          </w:p>
        </w:tc>
      </w:tr>
      <w:tr w14:paraId="6704E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562" w:type="dxa"/>
            <w:vMerge w:val="continue"/>
            <w:noWrap w:val="0"/>
            <w:vAlign w:val="center"/>
          </w:tcPr>
          <w:p w14:paraId="29DCA253">
            <w:pPr>
              <w:adjustRightInd w:val="0"/>
              <w:snapToGrid w:val="0"/>
              <w:spacing w:line="360" w:lineRule="atLeast"/>
              <w:jc w:val="center"/>
              <w:textAlignment w:val="baseline"/>
              <w:rPr>
                <w:rFonts w:hint="eastAsia" w:ascii="宋体" w:hAnsi="宋体" w:eastAsia="宋体" w:cs="宋体"/>
                <w:color w:val="auto"/>
                <w:sz w:val="24"/>
                <w:highlight w:val="none"/>
                <w:shd w:val="clear" w:color="auto" w:fill="auto"/>
              </w:rPr>
            </w:pPr>
          </w:p>
        </w:tc>
        <w:tc>
          <w:tcPr>
            <w:tcW w:w="1585" w:type="dxa"/>
            <w:vMerge w:val="continue"/>
            <w:noWrap w:val="0"/>
            <w:vAlign w:val="center"/>
          </w:tcPr>
          <w:p w14:paraId="73B84DDF">
            <w:pPr>
              <w:adjustRightInd w:val="0"/>
              <w:snapToGrid w:val="0"/>
              <w:spacing w:line="360" w:lineRule="atLeast"/>
              <w:ind w:left="-105" w:leftChars="-50" w:right="-105" w:rightChars="-50"/>
              <w:jc w:val="center"/>
              <w:textAlignment w:val="baseline"/>
              <w:rPr>
                <w:rFonts w:hint="eastAsia" w:ascii="宋体" w:hAnsi="宋体" w:eastAsia="宋体" w:cs="宋体"/>
                <w:bCs/>
                <w:color w:val="auto"/>
                <w:kern w:val="0"/>
                <w:sz w:val="21"/>
                <w:szCs w:val="21"/>
                <w:highlight w:val="none"/>
                <w:shd w:val="clear" w:color="auto" w:fill="auto"/>
                <w:lang w:val="en-US" w:eastAsia="zh-CN" w:bidi="ar-SA"/>
              </w:rPr>
            </w:pPr>
          </w:p>
        </w:tc>
        <w:tc>
          <w:tcPr>
            <w:tcW w:w="1520" w:type="dxa"/>
            <w:noWrap w:val="0"/>
            <w:vAlign w:val="center"/>
          </w:tcPr>
          <w:p w14:paraId="7F966523">
            <w:pPr>
              <w:snapToGrid w:val="0"/>
              <w:spacing w:line="360" w:lineRule="atLeast"/>
              <w:jc w:val="center"/>
              <w:rPr>
                <w:rFonts w:hint="eastAsia" w:ascii="宋体" w:hAnsi="宋体" w:eastAsia="宋体" w:cs="宋体"/>
                <w:bCs/>
                <w:color w:val="auto"/>
                <w:kern w:val="0"/>
                <w:sz w:val="21"/>
                <w:szCs w:val="21"/>
                <w:highlight w:val="none"/>
                <w:shd w:val="clear" w:color="auto" w:fill="auto"/>
                <w:lang w:val="en-US" w:eastAsia="zh-CN" w:bidi="ar-SA"/>
              </w:rPr>
            </w:pPr>
            <w:r>
              <w:rPr>
                <w:rFonts w:hint="eastAsia" w:ascii="宋体" w:hAnsi="宋体" w:eastAsia="宋体" w:cs="宋体"/>
                <w:b/>
                <w:bCs/>
                <w:color w:val="auto"/>
                <w:szCs w:val="21"/>
                <w:highlight w:val="none"/>
                <w:shd w:val="clear" w:color="auto" w:fill="auto"/>
              </w:rPr>
              <w:t>（2）食品安全与质量保障能力（满分</w:t>
            </w:r>
            <w:r>
              <w:rPr>
                <w:rFonts w:hint="eastAsia" w:ascii="宋体" w:hAnsi="宋体" w:cs="宋体"/>
                <w:b/>
                <w:bCs/>
                <w:color w:val="auto"/>
                <w:szCs w:val="21"/>
                <w:highlight w:val="none"/>
                <w:shd w:val="clear" w:color="auto" w:fill="auto"/>
                <w:lang w:val="en-US" w:eastAsia="zh-CN"/>
              </w:rPr>
              <w:t>12</w:t>
            </w:r>
            <w:r>
              <w:rPr>
                <w:rFonts w:hint="eastAsia" w:ascii="宋体" w:hAnsi="宋体" w:eastAsia="宋体" w:cs="宋体"/>
                <w:b/>
                <w:bCs/>
                <w:color w:val="auto"/>
                <w:szCs w:val="21"/>
                <w:highlight w:val="none"/>
                <w:shd w:val="clear" w:color="auto" w:fill="auto"/>
              </w:rPr>
              <w:t>分）</w:t>
            </w:r>
          </w:p>
        </w:tc>
        <w:tc>
          <w:tcPr>
            <w:tcW w:w="6096" w:type="dxa"/>
            <w:noWrap w:val="0"/>
            <w:vAlign w:val="center"/>
          </w:tcPr>
          <w:p w14:paraId="3EBEFF86">
            <w:pPr>
              <w:shd w:val="clear" w:color="auto" w:fill="auto"/>
              <w:wordWrap w:val="0"/>
              <w:spacing w:line="460" w:lineRule="exact"/>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由评标委员会进行独立打分。</w:t>
            </w:r>
          </w:p>
          <w:p w14:paraId="4CD1F1DA">
            <w:pPr>
              <w:shd w:val="clear" w:color="auto" w:fill="auto"/>
              <w:wordWrap w:val="0"/>
              <w:spacing w:line="460" w:lineRule="exact"/>
              <w:ind w:firstLine="422" w:firstLineChars="200"/>
              <w:jc w:val="left"/>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eastAsia="zh-CN"/>
              </w:rPr>
              <w:t>评审标准如下：</w:t>
            </w:r>
          </w:p>
          <w:p w14:paraId="3F5BE93E">
            <w:pPr>
              <w:shd w:val="clear" w:color="auto" w:fill="auto"/>
              <w:wordWrap w:val="0"/>
              <w:spacing w:line="460" w:lineRule="exact"/>
              <w:ind w:firstLine="420" w:firstLineChars="200"/>
              <w:jc w:val="left"/>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包括进货采购渠道、食材控制管理措施、检验检疫措施、食材质量标准、追溯方式等。</w:t>
            </w:r>
          </w:p>
          <w:p w14:paraId="79984202">
            <w:pPr>
              <w:shd w:val="clear" w:color="auto" w:fill="auto"/>
              <w:wordWrap w:val="0"/>
              <w:spacing w:line="460" w:lineRule="exact"/>
              <w:ind w:firstLine="422" w:firstLineChars="200"/>
              <w:jc w:val="left"/>
              <w:rPr>
                <w:rFonts w:hint="eastAsia" w:ascii="宋体" w:hAnsi="宋体" w:eastAsia="宋体" w:cs="宋体"/>
                <w:color w:val="auto"/>
                <w:szCs w:val="21"/>
                <w:highlight w:val="none"/>
                <w:shd w:val="clear" w:color="auto" w:fill="auto"/>
              </w:rPr>
            </w:pPr>
            <w:r>
              <w:rPr>
                <w:rFonts w:hint="eastAsia" w:ascii="宋体" w:hAnsi="宋体" w:eastAsia="宋体" w:cs="宋体"/>
                <w:b/>
                <w:bCs/>
                <w:color w:val="auto"/>
                <w:szCs w:val="21"/>
                <w:highlight w:val="none"/>
                <w:shd w:val="clear" w:color="auto" w:fill="auto"/>
              </w:rPr>
              <w:t>一档（</w:t>
            </w:r>
            <w:r>
              <w:rPr>
                <w:rFonts w:hint="eastAsia" w:ascii="宋体" w:hAnsi="宋体" w:eastAsia="宋体" w:cs="宋体"/>
                <w:b/>
                <w:bCs/>
                <w:color w:val="auto"/>
                <w:szCs w:val="21"/>
                <w:highlight w:val="none"/>
                <w:shd w:val="clear" w:color="auto" w:fill="auto"/>
                <w:lang w:val="en-US" w:eastAsia="zh-CN"/>
              </w:rPr>
              <w:t>0</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color w:val="auto"/>
                <w:szCs w:val="21"/>
                <w:highlight w:val="none"/>
                <w:shd w:val="clear" w:color="auto" w:fill="auto"/>
              </w:rPr>
              <w:t>：</w:t>
            </w:r>
            <w:r>
              <w:rPr>
                <w:rFonts w:hint="eastAsia" w:ascii="宋体" w:hAnsi="宋体" w:eastAsia="宋体" w:cs="宋体"/>
                <w:color w:val="auto"/>
                <w:szCs w:val="21"/>
                <w:highlight w:val="none"/>
                <w:shd w:val="clear" w:color="auto" w:fill="auto"/>
                <w:lang w:eastAsia="zh-CN"/>
              </w:rPr>
              <w:t>投标人</w:t>
            </w:r>
            <w:r>
              <w:rPr>
                <w:rFonts w:hint="eastAsia" w:ascii="宋体" w:hAnsi="宋体" w:eastAsia="宋体" w:cs="宋体"/>
                <w:color w:val="auto"/>
                <w:szCs w:val="21"/>
                <w:highlight w:val="none"/>
                <w:shd w:val="clear" w:color="auto" w:fill="auto"/>
                <w:lang w:val="en-US" w:eastAsia="zh-CN"/>
              </w:rPr>
              <w:t>未提供食品安全与质量保障能力的</w:t>
            </w:r>
            <w:r>
              <w:rPr>
                <w:rFonts w:hint="eastAsia" w:ascii="宋体" w:hAnsi="宋体" w:eastAsia="宋体" w:cs="宋体"/>
                <w:color w:val="auto"/>
                <w:szCs w:val="21"/>
                <w:highlight w:val="none"/>
                <w:shd w:val="clear" w:color="auto" w:fill="auto"/>
              </w:rPr>
              <w:t>。</w:t>
            </w:r>
          </w:p>
          <w:p w14:paraId="5D061D0D">
            <w:pPr>
              <w:shd w:val="clear" w:color="auto" w:fill="auto"/>
              <w:wordWrap w:val="0"/>
              <w:spacing w:line="460" w:lineRule="exact"/>
              <w:ind w:firstLine="422" w:firstLineChars="200"/>
              <w:jc w:val="left"/>
              <w:rPr>
                <w:rFonts w:hint="eastAsia" w:ascii="宋体" w:hAnsi="宋体" w:eastAsia="宋体" w:cs="宋体"/>
                <w:color w:val="auto"/>
                <w:szCs w:val="21"/>
                <w:highlight w:val="none"/>
                <w:shd w:val="clear" w:color="auto" w:fill="auto"/>
              </w:rPr>
            </w:pPr>
            <w:r>
              <w:rPr>
                <w:rFonts w:hint="eastAsia" w:ascii="宋体" w:hAnsi="宋体" w:cs="宋体"/>
                <w:b/>
                <w:bCs/>
                <w:color w:val="auto"/>
                <w:szCs w:val="21"/>
                <w:highlight w:val="none"/>
                <w:shd w:val="clear" w:color="auto" w:fill="auto"/>
                <w:lang w:val="en-US" w:eastAsia="zh-CN"/>
              </w:rPr>
              <w:t>二</w:t>
            </w:r>
            <w:r>
              <w:rPr>
                <w:rFonts w:hint="eastAsia" w:ascii="宋体" w:hAnsi="宋体" w:eastAsia="宋体" w:cs="宋体"/>
                <w:b/>
                <w:bCs/>
                <w:color w:val="auto"/>
                <w:szCs w:val="21"/>
                <w:highlight w:val="none"/>
                <w:shd w:val="clear" w:color="auto" w:fill="auto"/>
              </w:rPr>
              <w:t>档（</w:t>
            </w:r>
            <w:r>
              <w:rPr>
                <w:rFonts w:hint="eastAsia" w:ascii="宋体" w:hAnsi="宋体" w:cs="宋体"/>
                <w:b/>
                <w:bCs/>
                <w:color w:val="auto"/>
                <w:szCs w:val="21"/>
                <w:highlight w:val="none"/>
                <w:shd w:val="clear" w:color="auto" w:fill="auto"/>
                <w:lang w:val="en-US" w:eastAsia="zh-CN"/>
              </w:rPr>
              <w:t>3</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b w:val="0"/>
                <w:bCs w:val="0"/>
                <w:color w:val="auto"/>
                <w:szCs w:val="21"/>
                <w:highlight w:val="none"/>
                <w:shd w:val="clear" w:color="auto" w:fill="auto"/>
              </w:rPr>
              <w:t>：食材安全措施在进货渠道、食材控制管理、检验检疫、质量标准管控和追溯方式等方面的描述较为简略，仅达到采购文件的基本要求。</w:t>
            </w:r>
          </w:p>
          <w:p w14:paraId="7AF119AA">
            <w:pPr>
              <w:shd w:val="clear" w:color="auto" w:fill="auto"/>
              <w:wordWrap w:val="0"/>
              <w:spacing w:line="460" w:lineRule="exact"/>
              <w:ind w:firstLine="422" w:firstLineChars="200"/>
              <w:jc w:val="left"/>
              <w:rPr>
                <w:rFonts w:hint="eastAsia" w:ascii="宋体" w:hAnsi="宋体" w:eastAsia="宋体" w:cs="宋体"/>
                <w:color w:val="auto"/>
                <w:szCs w:val="21"/>
                <w:highlight w:val="none"/>
                <w:shd w:val="clear" w:color="auto" w:fill="auto"/>
              </w:rPr>
            </w:pPr>
            <w:r>
              <w:rPr>
                <w:rFonts w:hint="eastAsia" w:ascii="宋体" w:hAnsi="宋体" w:cs="宋体"/>
                <w:b/>
                <w:bCs/>
                <w:color w:val="auto"/>
                <w:szCs w:val="21"/>
                <w:highlight w:val="none"/>
                <w:shd w:val="clear" w:color="auto" w:fill="auto"/>
                <w:lang w:val="en-US" w:eastAsia="zh-CN"/>
              </w:rPr>
              <w:t>三</w:t>
            </w:r>
            <w:r>
              <w:rPr>
                <w:rFonts w:hint="eastAsia" w:ascii="宋体" w:hAnsi="宋体" w:eastAsia="宋体" w:cs="宋体"/>
                <w:b/>
                <w:bCs/>
                <w:color w:val="auto"/>
                <w:szCs w:val="21"/>
                <w:highlight w:val="none"/>
                <w:shd w:val="clear" w:color="auto" w:fill="auto"/>
              </w:rPr>
              <w:t>档（</w:t>
            </w:r>
            <w:r>
              <w:rPr>
                <w:rFonts w:hint="eastAsia" w:ascii="宋体" w:hAnsi="宋体" w:cs="宋体"/>
                <w:b/>
                <w:bCs/>
                <w:color w:val="auto"/>
                <w:szCs w:val="21"/>
                <w:highlight w:val="none"/>
                <w:shd w:val="clear" w:color="auto" w:fill="auto"/>
                <w:lang w:val="en-US" w:eastAsia="zh-CN"/>
              </w:rPr>
              <w:t>6</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color w:val="auto"/>
                <w:szCs w:val="21"/>
                <w:highlight w:val="none"/>
                <w:shd w:val="clear" w:color="auto" w:fill="auto"/>
              </w:rPr>
              <w:t>：食材安全措施涵盖了进货渠道、食材控制管理、检验检疫、质量标准管控和追溯方式等方面，描述清晰、全面、详细，并且主动开展了检验工作。</w:t>
            </w:r>
          </w:p>
          <w:p w14:paraId="6FDB8919">
            <w:pPr>
              <w:shd w:val="clear" w:color="auto" w:fill="auto"/>
              <w:wordWrap w:val="0"/>
              <w:spacing w:line="460" w:lineRule="exact"/>
              <w:ind w:firstLine="422" w:firstLineChars="200"/>
              <w:jc w:val="left"/>
              <w:rPr>
                <w:rFonts w:hint="eastAsia" w:ascii="宋体" w:hAnsi="宋体" w:eastAsia="宋体" w:cs="宋体"/>
                <w:color w:val="auto"/>
                <w:szCs w:val="21"/>
                <w:highlight w:val="none"/>
                <w:shd w:val="clear" w:color="auto" w:fill="auto"/>
              </w:rPr>
            </w:pPr>
            <w:r>
              <w:rPr>
                <w:rFonts w:hint="eastAsia" w:ascii="宋体" w:hAnsi="宋体" w:cs="宋体"/>
                <w:b/>
                <w:bCs/>
                <w:color w:val="auto"/>
                <w:szCs w:val="21"/>
                <w:highlight w:val="none"/>
                <w:shd w:val="clear" w:color="auto" w:fill="auto"/>
                <w:lang w:val="en-US" w:eastAsia="zh-CN"/>
              </w:rPr>
              <w:t>四</w:t>
            </w:r>
            <w:r>
              <w:rPr>
                <w:rFonts w:hint="eastAsia" w:ascii="宋体" w:hAnsi="宋体" w:eastAsia="宋体" w:cs="宋体"/>
                <w:b/>
                <w:bCs/>
                <w:color w:val="auto"/>
                <w:szCs w:val="21"/>
                <w:highlight w:val="none"/>
                <w:shd w:val="clear" w:color="auto" w:fill="auto"/>
              </w:rPr>
              <w:t>档（</w:t>
            </w:r>
            <w:r>
              <w:rPr>
                <w:rFonts w:hint="eastAsia" w:ascii="宋体" w:hAnsi="宋体" w:cs="宋体"/>
                <w:b/>
                <w:bCs/>
                <w:color w:val="auto"/>
                <w:szCs w:val="21"/>
                <w:highlight w:val="none"/>
                <w:shd w:val="clear" w:color="auto" w:fill="auto"/>
                <w:lang w:val="en-US" w:eastAsia="zh-CN"/>
              </w:rPr>
              <w:t>9</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color w:val="auto"/>
                <w:szCs w:val="21"/>
                <w:highlight w:val="none"/>
                <w:shd w:val="clear" w:color="auto" w:fill="auto"/>
              </w:rPr>
              <w:t>：食材安全措施在进货渠道、食材控制管理、检验检疫、质量标准管控以及追溯方式等方面的描述清晰明确、全面系统、详细具体，且主动积极地开展检验工作。</w:t>
            </w:r>
          </w:p>
          <w:p w14:paraId="0A9DC839">
            <w:pPr>
              <w:shd w:val="clear" w:color="auto" w:fill="auto"/>
              <w:wordWrap w:val="0"/>
              <w:spacing w:line="460" w:lineRule="exact"/>
              <w:ind w:firstLine="422" w:firstLineChars="200"/>
              <w:jc w:val="left"/>
              <w:rPr>
                <w:rFonts w:hint="eastAsia" w:ascii="宋体" w:hAnsi="宋体" w:eastAsia="宋体" w:cs="宋体"/>
                <w:bCs/>
                <w:color w:val="auto"/>
                <w:kern w:val="0"/>
                <w:sz w:val="21"/>
                <w:szCs w:val="21"/>
                <w:highlight w:val="none"/>
                <w:shd w:val="clear" w:color="auto" w:fill="auto"/>
                <w:lang w:val="en-US" w:eastAsia="zh-CN" w:bidi="ar-SA"/>
              </w:rPr>
            </w:pPr>
            <w:r>
              <w:rPr>
                <w:rFonts w:hint="eastAsia" w:ascii="宋体" w:hAnsi="宋体" w:cs="宋体"/>
                <w:b/>
                <w:bCs/>
                <w:color w:val="auto"/>
                <w:szCs w:val="21"/>
                <w:highlight w:val="none"/>
                <w:shd w:val="clear" w:color="auto" w:fill="auto"/>
                <w:lang w:val="en-US" w:eastAsia="zh-CN"/>
              </w:rPr>
              <w:t>五</w:t>
            </w:r>
            <w:r>
              <w:rPr>
                <w:rFonts w:hint="eastAsia" w:ascii="宋体" w:hAnsi="宋体" w:eastAsia="宋体" w:cs="宋体"/>
                <w:b/>
                <w:bCs/>
                <w:color w:val="auto"/>
                <w:szCs w:val="21"/>
                <w:highlight w:val="none"/>
                <w:shd w:val="clear" w:color="auto" w:fill="auto"/>
              </w:rPr>
              <w:t>档（</w:t>
            </w:r>
            <w:r>
              <w:rPr>
                <w:rFonts w:hint="eastAsia" w:ascii="宋体" w:hAnsi="宋体" w:cs="宋体"/>
                <w:b/>
                <w:bCs/>
                <w:color w:val="auto"/>
                <w:szCs w:val="21"/>
                <w:highlight w:val="none"/>
                <w:shd w:val="clear" w:color="auto" w:fill="auto"/>
                <w:lang w:val="en-US" w:eastAsia="zh-CN"/>
              </w:rPr>
              <w:t>12</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color w:val="auto"/>
                <w:szCs w:val="21"/>
                <w:highlight w:val="none"/>
                <w:shd w:val="clear" w:color="auto" w:fill="auto"/>
              </w:rPr>
              <w:t>：</w:t>
            </w:r>
            <w:r>
              <w:rPr>
                <w:rFonts w:hint="eastAsia" w:ascii="宋体" w:hAnsi="宋体" w:eastAsia="宋体" w:cs="宋体"/>
                <w:color w:val="auto"/>
                <w:szCs w:val="21"/>
                <w:highlight w:val="none"/>
                <w:shd w:val="clear" w:color="auto" w:fill="auto"/>
                <w:lang w:val="en-US" w:eastAsia="zh-CN"/>
              </w:rPr>
              <w:t>食材安全措施中进货渠道、食材控制管理措施、检验检疫措施、食材质量标准管控措施、追溯方式等方面描述清晰、完整详细，各种措施具有很强的针对性，能够有效地保障食材的安全和质量。</w:t>
            </w:r>
          </w:p>
        </w:tc>
      </w:tr>
      <w:tr w14:paraId="347C9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562" w:type="dxa"/>
            <w:vMerge w:val="continue"/>
            <w:noWrap w:val="0"/>
            <w:vAlign w:val="top"/>
          </w:tcPr>
          <w:p w14:paraId="1974856B">
            <w:pPr>
              <w:adjustRightInd w:val="0"/>
              <w:snapToGrid w:val="0"/>
              <w:spacing w:line="360" w:lineRule="atLeast"/>
              <w:jc w:val="center"/>
              <w:textAlignment w:val="baseline"/>
              <w:rPr>
                <w:rFonts w:hint="eastAsia" w:ascii="宋体" w:hAnsi="宋体" w:eastAsia="宋体" w:cs="宋体"/>
                <w:color w:val="auto"/>
                <w:sz w:val="24"/>
                <w:highlight w:val="none"/>
                <w:shd w:val="clear" w:color="auto" w:fill="auto"/>
              </w:rPr>
            </w:pPr>
          </w:p>
        </w:tc>
        <w:tc>
          <w:tcPr>
            <w:tcW w:w="1585" w:type="dxa"/>
            <w:vMerge w:val="continue"/>
            <w:noWrap w:val="0"/>
            <w:vAlign w:val="top"/>
          </w:tcPr>
          <w:p w14:paraId="724BF5E9">
            <w:pPr>
              <w:adjustRightInd w:val="0"/>
              <w:snapToGrid w:val="0"/>
              <w:spacing w:line="360" w:lineRule="atLeast"/>
              <w:jc w:val="center"/>
              <w:textAlignment w:val="baseline"/>
              <w:rPr>
                <w:rFonts w:hint="eastAsia" w:ascii="宋体" w:hAnsi="宋体" w:eastAsia="宋体" w:cs="宋体"/>
                <w:bCs/>
                <w:color w:val="auto"/>
                <w:kern w:val="0"/>
                <w:sz w:val="21"/>
                <w:szCs w:val="21"/>
                <w:highlight w:val="none"/>
                <w:shd w:val="clear" w:color="auto" w:fill="auto"/>
                <w:lang w:val="en-US" w:eastAsia="zh-CN" w:bidi="ar-SA"/>
              </w:rPr>
            </w:pPr>
          </w:p>
        </w:tc>
        <w:tc>
          <w:tcPr>
            <w:tcW w:w="1520" w:type="dxa"/>
            <w:noWrap w:val="0"/>
            <w:tcMar>
              <w:left w:w="57" w:type="dxa"/>
              <w:right w:w="57" w:type="dxa"/>
            </w:tcMar>
            <w:vAlign w:val="center"/>
          </w:tcPr>
          <w:p w14:paraId="565EBB2D">
            <w:pPr>
              <w:snapToGrid w:val="0"/>
              <w:spacing w:line="360" w:lineRule="atLeast"/>
              <w:jc w:val="center"/>
              <w:rPr>
                <w:rFonts w:hint="eastAsia" w:ascii="宋体" w:hAnsi="宋体" w:eastAsia="宋体" w:cs="宋体"/>
                <w:bCs/>
                <w:color w:val="auto"/>
                <w:kern w:val="0"/>
                <w:sz w:val="21"/>
                <w:szCs w:val="21"/>
                <w:highlight w:val="none"/>
                <w:shd w:val="clear" w:color="auto" w:fill="auto"/>
                <w:lang w:val="en-US" w:eastAsia="zh-CN" w:bidi="ar-SA"/>
              </w:rPr>
            </w:pPr>
            <w:r>
              <w:rPr>
                <w:rFonts w:hint="eastAsia" w:ascii="宋体" w:hAnsi="宋体" w:eastAsia="宋体" w:cs="宋体"/>
                <w:b/>
                <w:bCs/>
                <w:color w:val="auto"/>
                <w:szCs w:val="21"/>
                <w:highlight w:val="none"/>
                <w:shd w:val="clear" w:color="auto" w:fill="auto"/>
              </w:rPr>
              <w:t>（3）服务承诺与售后服务方案（满分1</w:t>
            </w:r>
            <w:r>
              <w:rPr>
                <w:rFonts w:hint="eastAsia" w:ascii="宋体" w:hAnsi="宋体" w:cs="宋体"/>
                <w:b/>
                <w:bCs/>
                <w:color w:val="auto"/>
                <w:szCs w:val="21"/>
                <w:highlight w:val="none"/>
                <w:shd w:val="clear" w:color="auto" w:fill="auto"/>
                <w:lang w:val="en-US" w:eastAsia="zh-CN"/>
              </w:rPr>
              <w:t>0</w:t>
            </w:r>
            <w:r>
              <w:rPr>
                <w:rFonts w:hint="eastAsia" w:ascii="宋体" w:hAnsi="宋体" w:eastAsia="宋体" w:cs="宋体"/>
                <w:b/>
                <w:bCs/>
                <w:color w:val="auto"/>
                <w:szCs w:val="21"/>
                <w:highlight w:val="none"/>
                <w:shd w:val="clear" w:color="auto" w:fill="auto"/>
              </w:rPr>
              <w:t>分）</w:t>
            </w:r>
          </w:p>
        </w:tc>
        <w:tc>
          <w:tcPr>
            <w:tcW w:w="6096" w:type="dxa"/>
            <w:noWrap w:val="0"/>
            <w:vAlign w:val="center"/>
          </w:tcPr>
          <w:p w14:paraId="683B0B92">
            <w:pPr>
              <w:widowControl/>
              <w:snapToGrid w:val="0"/>
              <w:spacing w:line="360" w:lineRule="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由评标委员会进行独立打分。</w:t>
            </w:r>
          </w:p>
          <w:p w14:paraId="1CE310A4">
            <w:pPr>
              <w:widowControl/>
              <w:snapToGrid w:val="0"/>
              <w:spacing w:line="360" w:lineRule="auto"/>
              <w:ind w:firstLine="422" w:firstLineChars="200"/>
              <w:rPr>
                <w:rFonts w:hint="eastAsia" w:ascii="宋体" w:hAnsi="宋体" w:eastAsia="宋体" w:cs="宋体"/>
                <w:b/>
                <w:bCs w:val="0"/>
                <w:color w:val="auto"/>
                <w:kern w:val="0"/>
                <w:sz w:val="21"/>
                <w:szCs w:val="21"/>
                <w:highlight w:val="none"/>
                <w:lang w:val="en-US" w:eastAsia="zh-CN" w:bidi="ar-SA"/>
              </w:rPr>
            </w:pPr>
            <w:r>
              <w:rPr>
                <w:rFonts w:hint="eastAsia" w:ascii="宋体" w:hAnsi="宋体" w:eastAsia="宋体" w:cs="宋体"/>
                <w:b/>
                <w:bCs w:val="0"/>
                <w:color w:val="auto"/>
                <w:kern w:val="0"/>
                <w:sz w:val="21"/>
                <w:szCs w:val="21"/>
                <w:highlight w:val="none"/>
                <w:lang w:val="en-US" w:eastAsia="zh-CN" w:bidi="ar-SA"/>
              </w:rPr>
              <w:t>评审标准如下：</w:t>
            </w:r>
          </w:p>
          <w:p w14:paraId="0AB7497E">
            <w:pPr>
              <w:shd w:val="clear" w:color="auto" w:fill="auto"/>
              <w:wordWrap w:val="0"/>
              <w:spacing w:line="4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售后服务要求的响应程度及提供的服务承诺方案、售后服务措施（包括：服务期及地点，服务承诺的内容和措施，承诺如何确保按期、按质、按量供货：出现问题时如何采取相应的措施；如何保障后期服务）等情况。</w:t>
            </w:r>
          </w:p>
          <w:p w14:paraId="5EAD8C21">
            <w:pPr>
              <w:shd w:val="clear" w:color="auto" w:fill="auto"/>
              <w:wordWrap w:val="0"/>
              <w:spacing w:line="460" w:lineRule="exact"/>
              <w:ind w:firstLine="422" w:firstLineChars="200"/>
              <w:jc w:val="left"/>
              <w:rPr>
                <w:rFonts w:hint="eastAsia" w:ascii="宋体" w:hAnsi="宋体" w:eastAsia="宋体" w:cs="宋体"/>
                <w:color w:val="auto"/>
                <w:szCs w:val="21"/>
                <w:highlight w:val="none"/>
                <w:shd w:val="clear" w:color="auto" w:fill="auto"/>
              </w:rPr>
            </w:pPr>
            <w:r>
              <w:rPr>
                <w:rFonts w:hint="eastAsia" w:ascii="宋体" w:hAnsi="宋体" w:eastAsia="宋体" w:cs="宋体"/>
                <w:b/>
                <w:bCs/>
                <w:color w:val="auto"/>
                <w:szCs w:val="21"/>
                <w:highlight w:val="none"/>
                <w:shd w:val="clear" w:color="auto" w:fill="auto"/>
              </w:rPr>
              <w:t>一档（</w:t>
            </w:r>
            <w:r>
              <w:rPr>
                <w:rFonts w:hint="eastAsia" w:ascii="宋体" w:hAnsi="宋体" w:eastAsia="宋体" w:cs="宋体"/>
                <w:b/>
                <w:bCs/>
                <w:color w:val="auto"/>
                <w:szCs w:val="21"/>
                <w:highlight w:val="none"/>
                <w:shd w:val="clear" w:color="auto" w:fill="auto"/>
                <w:lang w:val="en-US" w:eastAsia="zh-CN"/>
              </w:rPr>
              <w:t>0</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color w:val="auto"/>
                <w:szCs w:val="21"/>
                <w:highlight w:val="none"/>
                <w:shd w:val="clear" w:color="auto" w:fill="auto"/>
              </w:rPr>
              <w:t>：</w:t>
            </w:r>
            <w:r>
              <w:rPr>
                <w:rFonts w:hint="eastAsia" w:ascii="宋体" w:hAnsi="宋体" w:eastAsia="宋体" w:cs="宋体"/>
                <w:color w:val="auto"/>
                <w:szCs w:val="21"/>
                <w:highlight w:val="none"/>
                <w:shd w:val="clear" w:color="auto" w:fill="auto"/>
                <w:lang w:eastAsia="zh-CN"/>
              </w:rPr>
              <w:t>投标人</w:t>
            </w:r>
            <w:r>
              <w:rPr>
                <w:rFonts w:hint="eastAsia" w:ascii="宋体" w:hAnsi="宋体" w:eastAsia="宋体" w:cs="宋体"/>
                <w:color w:val="auto"/>
                <w:szCs w:val="21"/>
                <w:highlight w:val="none"/>
                <w:shd w:val="clear" w:color="auto" w:fill="auto"/>
                <w:lang w:val="en-US" w:eastAsia="zh-CN"/>
              </w:rPr>
              <w:t>未提供服务承诺与售后服务方案的或</w:t>
            </w:r>
            <w:r>
              <w:rPr>
                <w:rFonts w:hint="eastAsia" w:ascii="宋体" w:hAnsi="宋体" w:eastAsia="宋体" w:cs="宋体"/>
                <w:color w:val="auto"/>
                <w:szCs w:val="21"/>
                <w:highlight w:val="none"/>
                <w:shd w:val="clear" w:color="auto" w:fill="auto"/>
              </w:rPr>
              <w:t>缺少其中一项</w:t>
            </w:r>
            <w:r>
              <w:rPr>
                <w:rFonts w:hint="eastAsia" w:ascii="宋体" w:hAnsi="宋体" w:eastAsia="宋体" w:cs="宋体"/>
                <w:color w:val="auto"/>
                <w:szCs w:val="21"/>
                <w:highlight w:val="none"/>
                <w:shd w:val="clear" w:color="auto" w:fill="auto"/>
                <w:lang w:eastAsia="zh-CN"/>
              </w:rPr>
              <w:t>措施内容</w:t>
            </w:r>
            <w:r>
              <w:rPr>
                <w:rFonts w:hint="eastAsia" w:ascii="宋体" w:hAnsi="宋体" w:eastAsia="宋体" w:cs="宋体"/>
                <w:color w:val="auto"/>
                <w:szCs w:val="21"/>
                <w:highlight w:val="none"/>
                <w:shd w:val="clear" w:color="auto" w:fill="auto"/>
              </w:rPr>
              <w:t>的本评审项目不得分。</w:t>
            </w:r>
          </w:p>
          <w:p w14:paraId="54097E3A">
            <w:pPr>
              <w:shd w:val="clear" w:color="auto" w:fill="auto"/>
              <w:wordWrap w:val="0"/>
              <w:spacing w:line="460" w:lineRule="exact"/>
              <w:ind w:firstLine="422" w:firstLineChars="200"/>
              <w:jc w:val="left"/>
              <w:rPr>
                <w:rFonts w:hint="eastAsia" w:ascii="宋体" w:hAnsi="宋体" w:eastAsia="宋体" w:cs="宋体"/>
                <w:color w:val="auto"/>
                <w:szCs w:val="21"/>
                <w:highlight w:val="none"/>
                <w:shd w:val="clear" w:color="auto" w:fill="auto"/>
                <w:lang w:eastAsia="zh-CN"/>
              </w:rPr>
            </w:pPr>
            <w:r>
              <w:rPr>
                <w:rFonts w:hint="eastAsia" w:ascii="宋体" w:hAnsi="宋体" w:cs="宋体"/>
                <w:b/>
                <w:bCs/>
                <w:color w:val="auto"/>
                <w:szCs w:val="21"/>
                <w:highlight w:val="none"/>
                <w:shd w:val="clear" w:color="auto" w:fill="auto"/>
                <w:lang w:val="en-US" w:eastAsia="zh-CN"/>
              </w:rPr>
              <w:t>二</w:t>
            </w:r>
            <w:r>
              <w:rPr>
                <w:rFonts w:hint="eastAsia" w:ascii="宋体" w:hAnsi="宋体" w:eastAsia="宋体" w:cs="宋体"/>
                <w:b/>
                <w:bCs/>
                <w:color w:val="auto"/>
                <w:szCs w:val="21"/>
                <w:highlight w:val="none"/>
                <w:shd w:val="clear" w:color="auto" w:fill="auto"/>
              </w:rPr>
              <w:t>档（</w:t>
            </w:r>
            <w:r>
              <w:rPr>
                <w:rFonts w:hint="eastAsia" w:ascii="宋体" w:hAnsi="宋体" w:cs="宋体"/>
                <w:b/>
                <w:bCs/>
                <w:color w:val="auto"/>
                <w:szCs w:val="21"/>
                <w:highlight w:val="none"/>
                <w:shd w:val="clear" w:color="auto" w:fill="auto"/>
                <w:lang w:val="en-US" w:eastAsia="zh-CN"/>
              </w:rPr>
              <w:t>2</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color w:val="auto"/>
                <w:szCs w:val="21"/>
                <w:highlight w:val="none"/>
                <w:shd w:val="clear" w:color="auto" w:fill="auto"/>
              </w:rPr>
              <w:t>：承诺退换完成时间超过 10 小时，售后服务承诺仅具备基础性，服务承诺内容单一、浅显。</w:t>
            </w:r>
          </w:p>
          <w:p w14:paraId="2021EAA7">
            <w:pPr>
              <w:shd w:val="clear" w:color="auto" w:fill="auto"/>
              <w:wordWrap w:val="0"/>
              <w:spacing w:line="460" w:lineRule="exact"/>
              <w:ind w:firstLine="422" w:firstLineChars="200"/>
              <w:jc w:val="left"/>
              <w:rPr>
                <w:rFonts w:hint="eastAsia" w:ascii="宋体" w:hAnsi="宋体" w:eastAsia="宋体" w:cs="宋体"/>
                <w:color w:val="auto"/>
                <w:szCs w:val="21"/>
                <w:highlight w:val="none"/>
                <w:shd w:val="clear" w:color="auto" w:fill="auto"/>
              </w:rPr>
            </w:pPr>
            <w:r>
              <w:rPr>
                <w:rFonts w:hint="eastAsia" w:ascii="宋体" w:hAnsi="宋体" w:cs="宋体"/>
                <w:b/>
                <w:bCs/>
                <w:color w:val="auto"/>
                <w:szCs w:val="21"/>
                <w:highlight w:val="none"/>
                <w:shd w:val="clear" w:color="auto" w:fill="auto"/>
                <w:lang w:val="en-US" w:eastAsia="zh-CN"/>
              </w:rPr>
              <w:t>三</w:t>
            </w:r>
            <w:r>
              <w:rPr>
                <w:rFonts w:hint="eastAsia" w:ascii="宋体" w:hAnsi="宋体" w:eastAsia="宋体" w:cs="宋体"/>
                <w:b/>
                <w:bCs/>
                <w:color w:val="auto"/>
                <w:szCs w:val="21"/>
                <w:highlight w:val="none"/>
                <w:shd w:val="clear" w:color="auto" w:fill="auto"/>
              </w:rPr>
              <w:t>档（</w:t>
            </w:r>
            <w:r>
              <w:rPr>
                <w:rFonts w:hint="eastAsia" w:ascii="宋体" w:hAnsi="宋体" w:cs="宋体"/>
                <w:b/>
                <w:bCs/>
                <w:color w:val="auto"/>
                <w:szCs w:val="21"/>
                <w:highlight w:val="none"/>
                <w:shd w:val="clear" w:color="auto" w:fill="auto"/>
                <w:lang w:val="en-US" w:eastAsia="zh-CN"/>
              </w:rPr>
              <w:t>4</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color w:val="auto"/>
                <w:szCs w:val="21"/>
                <w:highlight w:val="none"/>
                <w:shd w:val="clear" w:color="auto" w:fill="auto"/>
              </w:rPr>
              <w:t>：</w:t>
            </w:r>
            <w:r>
              <w:rPr>
                <w:rFonts w:hint="eastAsia" w:ascii="宋体" w:hAnsi="宋体" w:eastAsia="宋体" w:cs="宋体"/>
                <w:color w:val="auto"/>
                <w:szCs w:val="21"/>
                <w:highlight w:val="none"/>
                <w:shd w:val="clear" w:color="auto" w:fill="auto"/>
                <w:lang w:val="en-US" w:eastAsia="zh-CN"/>
              </w:rPr>
              <w:t xml:space="preserve">承诺退换完成时间在 </w:t>
            </w:r>
            <w:r>
              <w:rPr>
                <w:rFonts w:hint="eastAsia" w:ascii="宋体" w:hAnsi="宋体" w:cs="宋体"/>
                <w:color w:val="auto"/>
                <w:szCs w:val="21"/>
                <w:highlight w:val="none"/>
                <w:shd w:val="clear" w:color="auto" w:fill="auto"/>
                <w:lang w:val="en-US" w:eastAsia="zh-CN"/>
              </w:rPr>
              <w:t>8</w:t>
            </w:r>
            <w:r>
              <w:rPr>
                <w:rFonts w:hint="eastAsia" w:ascii="宋体" w:hAnsi="宋体" w:eastAsia="宋体" w:cs="宋体"/>
                <w:color w:val="auto"/>
                <w:szCs w:val="21"/>
                <w:highlight w:val="none"/>
                <w:shd w:val="clear" w:color="auto" w:fill="auto"/>
                <w:lang w:val="en-US" w:eastAsia="zh-CN"/>
              </w:rPr>
              <w:t xml:space="preserve"> 小时以内，但服务承诺、措施以及后期服务承诺缺乏针对性。</w:t>
            </w:r>
            <w:r>
              <w:rPr>
                <w:rFonts w:hint="eastAsia" w:ascii="宋体" w:hAnsi="宋体" w:eastAsia="宋体" w:cs="宋体"/>
                <w:color w:val="auto"/>
                <w:szCs w:val="21"/>
                <w:highlight w:val="none"/>
                <w:shd w:val="clear" w:color="auto" w:fill="auto"/>
              </w:rPr>
              <w:t xml:space="preserve"> </w:t>
            </w:r>
          </w:p>
          <w:p w14:paraId="49C81FEB">
            <w:pPr>
              <w:shd w:val="clear" w:color="auto" w:fill="auto"/>
              <w:wordWrap w:val="0"/>
              <w:spacing w:line="460" w:lineRule="exact"/>
              <w:ind w:firstLine="422" w:firstLineChars="200"/>
              <w:jc w:val="left"/>
              <w:rPr>
                <w:rFonts w:hint="eastAsia" w:ascii="宋体" w:hAnsi="宋体" w:eastAsia="宋体" w:cs="宋体"/>
                <w:color w:val="auto"/>
                <w:szCs w:val="21"/>
                <w:highlight w:val="none"/>
                <w:shd w:val="clear" w:color="auto" w:fill="auto"/>
              </w:rPr>
            </w:pPr>
            <w:r>
              <w:rPr>
                <w:rFonts w:hint="eastAsia" w:ascii="宋体" w:hAnsi="宋体" w:cs="宋体"/>
                <w:b/>
                <w:bCs/>
                <w:color w:val="auto"/>
                <w:szCs w:val="21"/>
                <w:highlight w:val="none"/>
                <w:shd w:val="clear" w:color="auto" w:fill="auto"/>
                <w:lang w:val="en-US" w:eastAsia="zh-CN"/>
              </w:rPr>
              <w:t>四</w:t>
            </w:r>
            <w:r>
              <w:rPr>
                <w:rFonts w:hint="eastAsia" w:ascii="宋体" w:hAnsi="宋体" w:eastAsia="宋体" w:cs="宋体"/>
                <w:b/>
                <w:bCs/>
                <w:color w:val="auto"/>
                <w:szCs w:val="21"/>
                <w:highlight w:val="none"/>
                <w:shd w:val="clear" w:color="auto" w:fill="auto"/>
              </w:rPr>
              <w:t>档（</w:t>
            </w:r>
            <w:r>
              <w:rPr>
                <w:rFonts w:hint="eastAsia" w:ascii="宋体" w:hAnsi="宋体" w:cs="宋体"/>
                <w:b/>
                <w:bCs/>
                <w:color w:val="auto"/>
                <w:szCs w:val="21"/>
                <w:highlight w:val="none"/>
                <w:shd w:val="clear" w:color="auto" w:fill="auto"/>
                <w:lang w:val="en-US" w:eastAsia="zh-CN"/>
              </w:rPr>
              <w:t>6</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color w:val="auto"/>
                <w:szCs w:val="21"/>
                <w:highlight w:val="none"/>
                <w:shd w:val="clear" w:color="auto" w:fill="auto"/>
              </w:rPr>
              <w:t xml:space="preserve">：承诺退换完成时间在 </w:t>
            </w:r>
            <w:r>
              <w:rPr>
                <w:rFonts w:hint="eastAsia" w:ascii="宋体" w:hAnsi="宋体" w:cs="宋体"/>
                <w:color w:val="auto"/>
                <w:szCs w:val="21"/>
                <w:highlight w:val="none"/>
                <w:shd w:val="clear" w:color="auto" w:fill="auto"/>
                <w:lang w:val="en-US" w:eastAsia="zh-CN"/>
              </w:rPr>
              <w:t>6</w:t>
            </w:r>
            <w:r>
              <w:rPr>
                <w:rFonts w:hint="eastAsia" w:ascii="宋体" w:hAnsi="宋体" w:eastAsia="宋体" w:cs="宋体"/>
                <w:color w:val="auto"/>
                <w:szCs w:val="21"/>
                <w:highlight w:val="none"/>
                <w:shd w:val="clear" w:color="auto" w:fill="auto"/>
              </w:rPr>
              <w:t xml:space="preserve"> 小时以内，且服务承诺、措施切实可行，后期服务承诺响应迅速，能够满足项目需求。</w:t>
            </w:r>
          </w:p>
          <w:p w14:paraId="6EAAB8CB">
            <w:pPr>
              <w:shd w:val="clear" w:color="auto" w:fill="auto"/>
              <w:wordWrap w:val="0"/>
              <w:spacing w:line="460" w:lineRule="exact"/>
              <w:ind w:firstLine="422" w:firstLineChars="200"/>
              <w:jc w:val="left"/>
              <w:rPr>
                <w:rFonts w:hint="eastAsia" w:ascii="宋体" w:hAnsi="宋体" w:eastAsia="宋体" w:cs="宋体"/>
                <w:color w:val="auto"/>
                <w:szCs w:val="21"/>
                <w:highlight w:val="none"/>
                <w:shd w:val="clear" w:color="auto" w:fill="auto"/>
              </w:rPr>
            </w:pPr>
            <w:r>
              <w:rPr>
                <w:rFonts w:hint="eastAsia" w:ascii="宋体" w:hAnsi="宋体" w:cs="宋体"/>
                <w:b/>
                <w:bCs/>
                <w:color w:val="auto"/>
                <w:szCs w:val="21"/>
                <w:highlight w:val="none"/>
                <w:shd w:val="clear" w:color="auto" w:fill="auto"/>
                <w:lang w:val="en-US" w:eastAsia="zh-CN"/>
              </w:rPr>
              <w:t>五</w:t>
            </w:r>
            <w:r>
              <w:rPr>
                <w:rFonts w:hint="eastAsia" w:ascii="宋体" w:hAnsi="宋体" w:eastAsia="宋体" w:cs="宋体"/>
                <w:b/>
                <w:bCs/>
                <w:color w:val="auto"/>
                <w:szCs w:val="21"/>
                <w:highlight w:val="none"/>
                <w:shd w:val="clear" w:color="auto" w:fill="auto"/>
              </w:rPr>
              <w:t>档（</w:t>
            </w:r>
            <w:r>
              <w:rPr>
                <w:rFonts w:hint="eastAsia" w:ascii="宋体" w:hAnsi="宋体" w:cs="宋体"/>
                <w:b/>
                <w:bCs/>
                <w:color w:val="auto"/>
                <w:szCs w:val="21"/>
                <w:highlight w:val="none"/>
                <w:shd w:val="clear" w:color="auto" w:fill="auto"/>
                <w:lang w:val="en-US" w:eastAsia="zh-CN"/>
              </w:rPr>
              <w:t>8</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color w:val="auto"/>
                <w:szCs w:val="21"/>
                <w:highlight w:val="none"/>
                <w:shd w:val="clear" w:color="auto" w:fill="auto"/>
              </w:rPr>
              <w:t xml:space="preserve">：对于紧急事件的处理预案内容详细全面，承诺退换时间在 </w:t>
            </w:r>
            <w:r>
              <w:rPr>
                <w:rFonts w:hint="eastAsia" w:ascii="宋体" w:hAnsi="宋体" w:cs="宋体"/>
                <w:color w:val="auto"/>
                <w:szCs w:val="21"/>
                <w:highlight w:val="none"/>
                <w:shd w:val="clear" w:color="auto" w:fill="auto"/>
                <w:lang w:val="en-US" w:eastAsia="zh-CN"/>
              </w:rPr>
              <w:t>4</w:t>
            </w:r>
            <w:r>
              <w:rPr>
                <w:rFonts w:hint="eastAsia" w:ascii="宋体" w:hAnsi="宋体" w:eastAsia="宋体" w:cs="宋体"/>
                <w:color w:val="auto"/>
                <w:szCs w:val="21"/>
                <w:highlight w:val="none"/>
                <w:shd w:val="clear" w:color="auto" w:fill="auto"/>
              </w:rPr>
              <w:t xml:space="preserve"> 小时以内，并且具有健全、详细的服务承诺和多种有效的后期售后服务方式，措施</w:t>
            </w:r>
            <w:r>
              <w:rPr>
                <w:rFonts w:hint="eastAsia" w:ascii="宋体" w:hAnsi="宋体" w:eastAsia="宋体" w:cs="宋体"/>
                <w:color w:val="auto"/>
                <w:szCs w:val="21"/>
                <w:highlight w:val="none"/>
                <w:shd w:val="clear" w:color="auto" w:fill="auto"/>
              </w:rPr>
              <w:fldChar w:fldCharType="begin"/>
            </w:r>
            <w:r>
              <w:rPr>
                <w:rFonts w:hint="eastAsia" w:ascii="宋体" w:hAnsi="宋体" w:eastAsia="宋体" w:cs="宋体"/>
                <w:color w:val="auto"/>
                <w:szCs w:val="21"/>
                <w:highlight w:val="none"/>
                <w:shd w:val="clear" w:color="auto" w:fill="auto"/>
              </w:rPr>
              <w:instrText xml:space="preserve"> HYPERLINK "coco://sendMessage?ext={"s$wiki_link":"https://m.baike.com/wikiid/5718075250627280003"}&amp;msg=%E5%BE%97%E5%8A%9B" \t "https://www.doubao.com/chat/_blank" </w:instrText>
            </w:r>
            <w:r>
              <w:rPr>
                <w:rFonts w:hint="eastAsia" w:ascii="宋体" w:hAnsi="宋体" w:eastAsia="宋体" w:cs="宋体"/>
                <w:color w:val="auto"/>
                <w:szCs w:val="21"/>
                <w:highlight w:val="none"/>
                <w:shd w:val="clear" w:color="auto" w:fill="auto"/>
              </w:rPr>
              <w:fldChar w:fldCharType="separate"/>
            </w:r>
            <w:r>
              <w:rPr>
                <w:rFonts w:hint="eastAsia" w:ascii="宋体" w:hAnsi="宋体" w:eastAsia="宋体" w:cs="宋体"/>
                <w:color w:val="auto"/>
                <w:szCs w:val="21"/>
                <w:highlight w:val="none"/>
                <w:shd w:val="clear" w:color="auto" w:fill="auto"/>
              </w:rPr>
              <w:t>得力</w:t>
            </w:r>
            <w:r>
              <w:rPr>
                <w:rFonts w:hint="eastAsia" w:ascii="宋体" w:hAnsi="宋体" w:eastAsia="宋体" w:cs="宋体"/>
                <w:color w:val="auto"/>
                <w:szCs w:val="21"/>
                <w:highlight w:val="none"/>
                <w:shd w:val="clear" w:color="auto" w:fill="auto"/>
              </w:rPr>
              <w:fldChar w:fldCharType="end"/>
            </w:r>
            <w:r>
              <w:rPr>
                <w:rFonts w:hint="eastAsia" w:ascii="宋体" w:hAnsi="宋体" w:eastAsia="宋体" w:cs="宋体"/>
                <w:color w:val="auto"/>
                <w:szCs w:val="21"/>
                <w:highlight w:val="none"/>
                <w:shd w:val="clear" w:color="auto" w:fill="auto"/>
              </w:rPr>
              <w:t>，能够满足项目需求。</w:t>
            </w:r>
          </w:p>
          <w:p w14:paraId="2EA0AAF8">
            <w:pPr>
              <w:shd w:val="clear" w:color="auto" w:fill="auto"/>
              <w:wordWrap w:val="0"/>
              <w:spacing w:line="460" w:lineRule="exact"/>
              <w:ind w:firstLine="422" w:firstLineChars="200"/>
              <w:jc w:val="left"/>
              <w:rPr>
                <w:rFonts w:hint="eastAsia" w:ascii="宋体" w:hAnsi="宋体" w:eastAsia="宋体" w:cs="宋体"/>
                <w:bCs/>
                <w:color w:val="auto"/>
                <w:kern w:val="0"/>
                <w:sz w:val="21"/>
                <w:szCs w:val="21"/>
                <w:highlight w:val="none"/>
                <w:shd w:val="clear" w:color="auto" w:fill="auto"/>
                <w:lang w:val="en-US" w:eastAsia="zh-CN" w:bidi="ar-SA"/>
              </w:rPr>
            </w:pPr>
            <w:r>
              <w:rPr>
                <w:rFonts w:hint="eastAsia" w:ascii="宋体" w:hAnsi="宋体" w:cs="宋体"/>
                <w:b/>
                <w:bCs/>
                <w:color w:val="auto"/>
                <w:szCs w:val="21"/>
                <w:highlight w:val="none"/>
                <w:shd w:val="clear" w:color="auto" w:fill="auto"/>
                <w:lang w:val="en-US" w:eastAsia="zh-CN"/>
              </w:rPr>
              <w:t>六</w:t>
            </w:r>
            <w:r>
              <w:rPr>
                <w:rFonts w:hint="eastAsia" w:ascii="宋体" w:hAnsi="宋体" w:eastAsia="宋体" w:cs="宋体"/>
                <w:b/>
                <w:bCs/>
                <w:color w:val="auto"/>
                <w:szCs w:val="21"/>
                <w:highlight w:val="none"/>
                <w:shd w:val="clear" w:color="auto" w:fill="auto"/>
              </w:rPr>
              <w:t>档（</w:t>
            </w:r>
            <w:r>
              <w:rPr>
                <w:rFonts w:hint="eastAsia" w:ascii="宋体" w:hAnsi="宋体" w:cs="宋体"/>
                <w:b/>
                <w:bCs/>
                <w:color w:val="auto"/>
                <w:szCs w:val="21"/>
                <w:highlight w:val="none"/>
                <w:shd w:val="clear" w:color="auto" w:fill="auto"/>
                <w:lang w:val="en-US" w:eastAsia="zh-CN"/>
              </w:rPr>
              <w:t>10</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color w:val="auto"/>
                <w:szCs w:val="21"/>
                <w:highlight w:val="none"/>
                <w:shd w:val="clear" w:color="auto" w:fill="auto"/>
              </w:rPr>
              <w:t xml:space="preserve">：针对发生紧急事件的问题处理预案内容详尽、全面，且承诺退换完成时间在 </w:t>
            </w:r>
            <w:r>
              <w:rPr>
                <w:rFonts w:hint="eastAsia" w:ascii="宋体" w:hAnsi="宋体" w:cs="宋体"/>
                <w:color w:val="auto"/>
                <w:szCs w:val="21"/>
                <w:highlight w:val="none"/>
                <w:shd w:val="clear" w:color="auto" w:fill="auto"/>
                <w:lang w:val="en-US" w:eastAsia="zh-CN"/>
              </w:rPr>
              <w:t>2</w:t>
            </w:r>
            <w:r>
              <w:rPr>
                <w:rFonts w:hint="eastAsia" w:ascii="宋体" w:hAnsi="宋体" w:eastAsia="宋体" w:cs="宋体"/>
                <w:color w:val="auto"/>
                <w:szCs w:val="21"/>
                <w:highlight w:val="none"/>
                <w:shd w:val="clear" w:color="auto" w:fill="auto"/>
              </w:rPr>
              <w:t xml:space="preserve"> 小时以内。此外，还具备健全、详细、高效的服务承诺，后期售后服务方式多样且有效，措施</w:t>
            </w:r>
            <w:r>
              <w:rPr>
                <w:rFonts w:hint="eastAsia" w:ascii="宋体" w:hAnsi="宋体" w:eastAsia="宋体" w:cs="宋体"/>
                <w:color w:val="auto"/>
                <w:szCs w:val="21"/>
                <w:highlight w:val="none"/>
                <w:shd w:val="clear" w:color="auto" w:fill="auto"/>
              </w:rPr>
              <w:fldChar w:fldCharType="begin"/>
            </w:r>
            <w:r>
              <w:rPr>
                <w:rFonts w:hint="eastAsia" w:ascii="宋体" w:hAnsi="宋体" w:eastAsia="宋体" w:cs="宋体"/>
                <w:color w:val="auto"/>
                <w:szCs w:val="21"/>
                <w:highlight w:val="none"/>
                <w:shd w:val="clear" w:color="auto" w:fill="auto"/>
              </w:rPr>
              <w:instrText xml:space="preserve"> HYPERLINK "coco://sendMessage?ext={"s$wiki_link":"https://m.baike.com/wikiid/5718075250627280003"}&amp;msg=%E5%BE%97%E5%8A%9B" \t "https://www.doubao.com/chat/_blank" </w:instrText>
            </w:r>
            <w:r>
              <w:rPr>
                <w:rFonts w:hint="eastAsia" w:ascii="宋体" w:hAnsi="宋体" w:eastAsia="宋体" w:cs="宋体"/>
                <w:color w:val="auto"/>
                <w:szCs w:val="21"/>
                <w:highlight w:val="none"/>
                <w:shd w:val="clear" w:color="auto" w:fill="auto"/>
              </w:rPr>
              <w:fldChar w:fldCharType="separate"/>
            </w:r>
            <w:r>
              <w:rPr>
                <w:rFonts w:hint="eastAsia" w:ascii="宋体" w:hAnsi="宋体" w:eastAsia="宋体" w:cs="宋体"/>
                <w:color w:val="auto"/>
                <w:szCs w:val="21"/>
                <w:highlight w:val="none"/>
                <w:shd w:val="clear" w:color="auto" w:fill="auto"/>
              </w:rPr>
              <w:t>得力</w:t>
            </w:r>
            <w:r>
              <w:rPr>
                <w:rFonts w:hint="eastAsia" w:ascii="宋体" w:hAnsi="宋体" w:eastAsia="宋体" w:cs="宋体"/>
                <w:color w:val="auto"/>
                <w:szCs w:val="21"/>
                <w:highlight w:val="none"/>
                <w:shd w:val="clear" w:color="auto" w:fill="auto"/>
              </w:rPr>
              <w:fldChar w:fldCharType="end"/>
            </w:r>
            <w:r>
              <w:rPr>
                <w:rFonts w:hint="eastAsia" w:ascii="宋体" w:hAnsi="宋体" w:eastAsia="宋体" w:cs="宋体"/>
                <w:color w:val="auto"/>
                <w:szCs w:val="21"/>
                <w:highlight w:val="none"/>
                <w:shd w:val="clear" w:color="auto" w:fill="auto"/>
              </w:rPr>
              <w:t>，完全符合采购需求，服务意识极高。</w:t>
            </w:r>
          </w:p>
        </w:tc>
      </w:tr>
      <w:tr w14:paraId="27048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4" w:hRule="atLeast"/>
          <w:jc w:val="center"/>
        </w:trPr>
        <w:tc>
          <w:tcPr>
            <w:tcW w:w="562" w:type="dxa"/>
            <w:noWrap w:val="0"/>
            <w:vAlign w:val="center"/>
          </w:tcPr>
          <w:p w14:paraId="7034776F">
            <w:pPr>
              <w:adjustRightInd w:val="0"/>
              <w:snapToGrid w:val="0"/>
              <w:spacing w:line="360" w:lineRule="atLeast"/>
              <w:jc w:val="center"/>
              <w:textAlignment w:val="baseline"/>
              <w:rPr>
                <w:rFonts w:hint="eastAsia" w:ascii="宋体" w:hAnsi="宋体" w:eastAsia="宋体" w:cs="宋体"/>
                <w:color w:val="auto"/>
                <w:sz w:val="24"/>
                <w:highlight w:val="none"/>
                <w:shd w:val="clear" w:color="auto" w:fill="auto"/>
                <w:lang w:val="en-US" w:eastAsia="zh-CN"/>
              </w:rPr>
            </w:pPr>
            <w:r>
              <w:rPr>
                <w:rFonts w:hint="eastAsia" w:ascii="宋体" w:hAnsi="宋体" w:eastAsia="宋体" w:cs="宋体"/>
                <w:color w:val="auto"/>
                <w:sz w:val="24"/>
                <w:highlight w:val="none"/>
                <w:shd w:val="clear" w:color="auto" w:fill="auto"/>
                <w:lang w:val="en-US" w:eastAsia="zh-CN"/>
              </w:rPr>
              <w:t>3</w:t>
            </w:r>
          </w:p>
        </w:tc>
        <w:tc>
          <w:tcPr>
            <w:tcW w:w="1585" w:type="dxa"/>
            <w:noWrap w:val="0"/>
            <w:vAlign w:val="center"/>
          </w:tcPr>
          <w:p w14:paraId="5DDD1E46">
            <w:pPr>
              <w:adjustRightInd w:val="0"/>
              <w:snapToGrid w:val="0"/>
              <w:spacing w:line="360" w:lineRule="atLeast"/>
              <w:ind w:left="-105" w:leftChars="-50" w:right="-105" w:rightChars="-50"/>
              <w:jc w:val="center"/>
              <w:textAlignment w:val="baseline"/>
              <w:rPr>
                <w:rFonts w:hint="eastAsia" w:ascii="宋体" w:hAnsi="宋体" w:eastAsia="宋体" w:cs="宋体"/>
                <w:b/>
                <w:bCs w:val="0"/>
                <w:color w:val="auto"/>
                <w:kern w:val="0"/>
                <w:sz w:val="21"/>
                <w:szCs w:val="21"/>
                <w:highlight w:val="none"/>
                <w:shd w:val="clear" w:color="auto" w:fill="auto"/>
                <w:lang w:val="en-US" w:eastAsia="zh-CN" w:bidi="ar-SA"/>
              </w:rPr>
            </w:pPr>
            <w:r>
              <w:rPr>
                <w:rFonts w:hint="eastAsia" w:ascii="宋体" w:hAnsi="宋体" w:eastAsia="宋体" w:cs="宋体"/>
                <w:b/>
                <w:bCs/>
                <w:color w:val="auto"/>
                <w:szCs w:val="21"/>
                <w:highlight w:val="none"/>
                <w:shd w:val="clear" w:color="auto" w:fill="auto"/>
              </w:rPr>
              <w:t>管理制度分</w:t>
            </w:r>
          </w:p>
          <w:p w14:paraId="6BDA5BD3">
            <w:pPr>
              <w:adjustRightInd w:val="0"/>
              <w:snapToGrid w:val="0"/>
              <w:spacing w:line="360" w:lineRule="atLeast"/>
              <w:jc w:val="center"/>
              <w:textAlignment w:val="baseline"/>
              <w:rPr>
                <w:rFonts w:hint="eastAsia" w:ascii="宋体" w:hAnsi="宋体" w:eastAsia="宋体" w:cs="宋体"/>
                <w:bCs/>
                <w:color w:val="auto"/>
                <w:kern w:val="0"/>
                <w:sz w:val="21"/>
                <w:szCs w:val="21"/>
                <w:highlight w:val="none"/>
                <w:shd w:val="clear" w:color="auto" w:fill="auto"/>
                <w:lang w:val="en-US" w:eastAsia="zh-CN" w:bidi="ar-SA"/>
              </w:rPr>
            </w:pPr>
            <w:r>
              <w:rPr>
                <w:rFonts w:hint="eastAsia" w:ascii="宋体" w:hAnsi="宋体" w:eastAsia="宋体" w:cs="宋体"/>
                <w:bCs/>
                <w:color w:val="auto"/>
                <w:kern w:val="0"/>
                <w:sz w:val="21"/>
                <w:szCs w:val="21"/>
                <w:highlight w:val="none"/>
                <w:shd w:val="clear" w:color="auto" w:fill="auto"/>
                <w:lang w:val="en-US" w:eastAsia="zh-CN" w:bidi="ar-SA"/>
              </w:rPr>
              <w:t>（满分</w:t>
            </w:r>
            <w:r>
              <w:rPr>
                <w:rFonts w:hint="eastAsia" w:ascii="宋体" w:hAnsi="宋体" w:cs="宋体"/>
                <w:bCs/>
                <w:color w:val="auto"/>
                <w:kern w:val="0"/>
                <w:sz w:val="21"/>
                <w:szCs w:val="21"/>
                <w:highlight w:val="none"/>
                <w:u w:val="single"/>
                <w:shd w:val="clear" w:color="auto" w:fill="auto"/>
                <w:lang w:val="en-US" w:eastAsia="zh-CN" w:bidi="ar-SA"/>
              </w:rPr>
              <w:t>8</w:t>
            </w:r>
            <w:r>
              <w:rPr>
                <w:rFonts w:hint="eastAsia" w:ascii="宋体" w:hAnsi="宋体" w:eastAsia="宋体" w:cs="宋体"/>
                <w:bCs/>
                <w:color w:val="auto"/>
                <w:kern w:val="0"/>
                <w:sz w:val="21"/>
                <w:szCs w:val="21"/>
                <w:highlight w:val="none"/>
                <w:u w:val="single"/>
                <w:shd w:val="clear" w:color="auto" w:fill="auto"/>
                <w:lang w:val="en-US" w:eastAsia="zh-CN" w:bidi="ar-SA"/>
              </w:rPr>
              <w:t xml:space="preserve"> </w:t>
            </w:r>
            <w:r>
              <w:rPr>
                <w:rFonts w:hint="eastAsia" w:ascii="宋体" w:hAnsi="宋体" w:eastAsia="宋体" w:cs="宋体"/>
                <w:bCs/>
                <w:color w:val="auto"/>
                <w:kern w:val="0"/>
                <w:sz w:val="21"/>
                <w:szCs w:val="21"/>
                <w:highlight w:val="none"/>
                <w:shd w:val="clear" w:color="auto" w:fill="auto"/>
                <w:lang w:val="en-US" w:eastAsia="zh-CN" w:bidi="ar-SA"/>
              </w:rPr>
              <w:t>分）</w:t>
            </w:r>
          </w:p>
        </w:tc>
        <w:tc>
          <w:tcPr>
            <w:tcW w:w="1520" w:type="dxa"/>
            <w:noWrap w:val="0"/>
            <w:tcMar>
              <w:left w:w="57" w:type="dxa"/>
              <w:right w:w="57" w:type="dxa"/>
            </w:tcMar>
            <w:vAlign w:val="center"/>
          </w:tcPr>
          <w:p w14:paraId="04D07EE1">
            <w:pPr>
              <w:snapToGrid w:val="0"/>
              <w:spacing w:line="360" w:lineRule="atLeast"/>
              <w:jc w:val="center"/>
              <w:rPr>
                <w:rFonts w:hint="eastAsia" w:ascii="宋体" w:hAnsi="宋体" w:eastAsia="宋体" w:cs="宋体"/>
                <w:b/>
                <w:bCs/>
                <w:color w:val="auto"/>
                <w:szCs w:val="21"/>
                <w:highlight w:val="none"/>
                <w:shd w:val="clear" w:color="auto" w:fill="auto"/>
              </w:rPr>
            </w:pPr>
            <w:r>
              <w:rPr>
                <w:rFonts w:hint="eastAsia" w:ascii="宋体" w:hAnsi="宋体" w:eastAsia="宋体" w:cs="宋体"/>
                <w:b/>
                <w:bCs/>
                <w:color w:val="auto"/>
                <w:szCs w:val="21"/>
                <w:highlight w:val="none"/>
                <w:shd w:val="clear" w:color="auto" w:fill="auto"/>
              </w:rPr>
              <w:t>管理制度分</w:t>
            </w:r>
          </w:p>
          <w:p w14:paraId="62C25815">
            <w:pPr>
              <w:snapToGrid w:val="0"/>
              <w:spacing w:line="360" w:lineRule="atLeast"/>
              <w:jc w:val="center"/>
              <w:rPr>
                <w:rFonts w:hint="eastAsia" w:ascii="宋体" w:hAnsi="宋体" w:eastAsia="宋体" w:cs="宋体"/>
                <w:b/>
                <w:bCs/>
                <w:color w:val="auto"/>
                <w:szCs w:val="21"/>
                <w:highlight w:val="none"/>
                <w:shd w:val="clear" w:color="auto" w:fill="auto"/>
              </w:rPr>
            </w:pPr>
            <w:r>
              <w:rPr>
                <w:rFonts w:hint="eastAsia" w:ascii="宋体" w:hAnsi="宋体" w:eastAsia="宋体" w:cs="宋体"/>
                <w:b/>
                <w:bCs/>
                <w:color w:val="auto"/>
                <w:szCs w:val="21"/>
                <w:highlight w:val="none"/>
                <w:shd w:val="clear" w:color="auto" w:fill="auto"/>
              </w:rPr>
              <w:t>（满分</w:t>
            </w:r>
            <w:r>
              <w:rPr>
                <w:rFonts w:hint="eastAsia" w:ascii="宋体" w:hAnsi="宋体" w:cs="宋体"/>
                <w:b/>
                <w:bCs/>
                <w:color w:val="auto"/>
                <w:szCs w:val="21"/>
                <w:highlight w:val="none"/>
                <w:shd w:val="clear" w:color="auto" w:fill="auto"/>
                <w:lang w:val="en-US" w:eastAsia="zh-CN"/>
              </w:rPr>
              <w:t>8</w:t>
            </w:r>
            <w:r>
              <w:rPr>
                <w:rFonts w:hint="eastAsia" w:ascii="宋体" w:hAnsi="宋体" w:eastAsia="宋体" w:cs="宋体"/>
                <w:b/>
                <w:bCs/>
                <w:color w:val="auto"/>
                <w:szCs w:val="21"/>
                <w:highlight w:val="none"/>
                <w:shd w:val="clear" w:color="auto" w:fill="auto"/>
              </w:rPr>
              <w:t>分）</w:t>
            </w:r>
          </w:p>
        </w:tc>
        <w:tc>
          <w:tcPr>
            <w:tcW w:w="6096" w:type="dxa"/>
            <w:noWrap w:val="0"/>
            <w:vAlign w:val="center"/>
          </w:tcPr>
          <w:p w14:paraId="00EE26A1">
            <w:pPr>
              <w:widowControl/>
              <w:snapToGrid w:val="0"/>
              <w:spacing w:line="360" w:lineRule="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由评标委员会进行独立打分。</w:t>
            </w:r>
          </w:p>
          <w:p w14:paraId="3164CCA2">
            <w:pPr>
              <w:widowControl/>
              <w:snapToGrid w:val="0"/>
              <w:spacing w:line="360" w:lineRule="auto"/>
              <w:ind w:firstLine="422" w:firstLineChars="200"/>
              <w:rPr>
                <w:rFonts w:hint="eastAsia" w:ascii="宋体" w:hAnsi="宋体" w:eastAsia="宋体" w:cs="宋体"/>
                <w:b/>
                <w:bCs/>
                <w:color w:val="auto"/>
                <w:szCs w:val="21"/>
                <w:highlight w:val="none"/>
                <w:shd w:val="clear" w:color="auto" w:fill="auto"/>
              </w:rPr>
            </w:pPr>
            <w:r>
              <w:rPr>
                <w:rFonts w:hint="eastAsia" w:ascii="宋体" w:hAnsi="宋体" w:eastAsia="宋体" w:cs="宋体"/>
                <w:b/>
                <w:bCs/>
                <w:color w:val="auto"/>
                <w:szCs w:val="21"/>
                <w:highlight w:val="none"/>
                <w:shd w:val="clear" w:color="auto" w:fill="auto"/>
              </w:rPr>
              <w:t>一档（</w:t>
            </w:r>
            <w:r>
              <w:rPr>
                <w:rFonts w:hint="eastAsia" w:ascii="宋体" w:hAnsi="宋体" w:eastAsia="宋体" w:cs="宋体"/>
                <w:b/>
                <w:bCs/>
                <w:color w:val="auto"/>
                <w:szCs w:val="21"/>
                <w:highlight w:val="none"/>
                <w:shd w:val="clear" w:color="auto" w:fill="auto"/>
                <w:lang w:val="en-US" w:eastAsia="zh-CN"/>
              </w:rPr>
              <w:t>0</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b w:val="0"/>
                <w:bCs w:val="0"/>
                <w:color w:val="auto"/>
                <w:szCs w:val="21"/>
                <w:highlight w:val="none"/>
                <w:shd w:val="clear" w:color="auto" w:fill="auto"/>
              </w:rPr>
              <w:t>：</w:t>
            </w:r>
            <w:r>
              <w:rPr>
                <w:rFonts w:hint="eastAsia" w:ascii="宋体" w:hAnsi="宋体" w:eastAsia="宋体" w:cs="宋体"/>
                <w:b w:val="0"/>
                <w:bCs w:val="0"/>
                <w:color w:val="auto"/>
                <w:szCs w:val="21"/>
                <w:highlight w:val="none"/>
                <w:shd w:val="clear" w:color="auto" w:fill="auto"/>
                <w:lang w:eastAsia="zh-CN"/>
              </w:rPr>
              <w:t>投标人</w:t>
            </w:r>
            <w:r>
              <w:rPr>
                <w:rFonts w:hint="eastAsia" w:ascii="宋体" w:hAnsi="宋体" w:eastAsia="宋体" w:cs="宋体"/>
                <w:b w:val="0"/>
                <w:bCs w:val="0"/>
                <w:color w:val="auto"/>
                <w:szCs w:val="21"/>
                <w:highlight w:val="none"/>
                <w:shd w:val="clear" w:color="auto" w:fill="auto"/>
                <w:lang w:val="en-US" w:eastAsia="zh-CN"/>
              </w:rPr>
              <w:t>未提供管理制度</w:t>
            </w:r>
            <w:r>
              <w:rPr>
                <w:rFonts w:hint="eastAsia" w:ascii="宋体" w:hAnsi="宋体" w:cs="宋体"/>
                <w:b w:val="0"/>
                <w:bCs w:val="0"/>
                <w:color w:val="auto"/>
                <w:szCs w:val="21"/>
                <w:highlight w:val="none"/>
                <w:shd w:val="clear" w:color="auto" w:fill="auto"/>
                <w:lang w:val="en-US" w:eastAsia="zh-CN"/>
              </w:rPr>
              <w:t>内容</w:t>
            </w:r>
            <w:r>
              <w:rPr>
                <w:rFonts w:hint="eastAsia" w:ascii="宋体" w:hAnsi="宋体" w:eastAsia="宋体" w:cs="宋体"/>
                <w:b w:val="0"/>
                <w:bCs w:val="0"/>
                <w:color w:val="auto"/>
                <w:szCs w:val="21"/>
                <w:highlight w:val="none"/>
                <w:shd w:val="clear" w:color="auto" w:fill="auto"/>
                <w:lang w:val="en-US" w:eastAsia="zh-CN"/>
              </w:rPr>
              <w:t>的</w:t>
            </w:r>
            <w:r>
              <w:rPr>
                <w:rFonts w:hint="eastAsia" w:ascii="宋体" w:hAnsi="宋体" w:cs="宋体"/>
                <w:b w:val="0"/>
                <w:bCs w:val="0"/>
                <w:color w:val="auto"/>
                <w:szCs w:val="21"/>
                <w:highlight w:val="none"/>
                <w:shd w:val="clear" w:color="auto" w:fill="auto"/>
                <w:lang w:val="en-US" w:eastAsia="zh-CN"/>
              </w:rPr>
              <w:t>或</w:t>
            </w:r>
            <w:r>
              <w:rPr>
                <w:rFonts w:hint="eastAsia" w:ascii="宋体" w:hAnsi="宋体" w:eastAsia="宋体" w:cs="宋体"/>
                <w:color w:val="auto"/>
                <w:szCs w:val="21"/>
                <w:highlight w:val="none"/>
                <w:shd w:val="clear" w:color="auto" w:fill="auto"/>
              </w:rPr>
              <w:t>缺少其中一项服务的本评审项目不得分</w:t>
            </w:r>
            <w:r>
              <w:rPr>
                <w:rFonts w:hint="eastAsia" w:ascii="宋体" w:hAnsi="宋体" w:eastAsia="宋体" w:cs="宋体"/>
                <w:b w:val="0"/>
                <w:bCs w:val="0"/>
                <w:color w:val="auto"/>
                <w:szCs w:val="21"/>
                <w:highlight w:val="none"/>
                <w:shd w:val="clear" w:color="auto" w:fill="auto"/>
              </w:rPr>
              <w:t>。</w:t>
            </w:r>
          </w:p>
          <w:p w14:paraId="66C42BCD">
            <w:pPr>
              <w:widowControl/>
              <w:spacing w:line="360" w:lineRule="auto"/>
              <w:ind w:firstLine="422"/>
              <w:rPr>
                <w:rFonts w:ascii="宋体" w:hAnsi="宋体" w:cs="宋体"/>
                <w:color w:val="auto"/>
                <w:kern w:val="1"/>
                <w:szCs w:val="21"/>
                <w:highlight w:val="none"/>
              </w:rPr>
            </w:pPr>
            <w:r>
              <w:rPr>
                <w:rFonts w:hint="eastAsia" w:ascii="宋体" w:hAnsi="宋体" w:cs="宋体"/>
                <w:b/>
                <w:bCs/>
                <w:color w:val="auto"/>
                <w:kern w:val="1"/>
                <w:szCs w:val="21"/>
                <w:highlight w:val="none"/>
                <w:lang w:val="en-US" w:eastAsia="zh-CN"/>
              </w:rPr>
              <w:t>二</w:t>
            </w:r>
            <w:r>
              <w:rPr>
                <w:rFonts w:ascii="宋体" w:hAnsi="宋体" w:cs="宋体"/>
                <w:b/>
                <w:bCs/>
                <w:color w:val="auto"/>
                <w:kern w:val="1"/>
                <w:szCs w:val="21"/>
                <w:highlight w:val="none"/>
              </w:rPr>
              <w:t>档（</w:t>
            </w:r>
            <w:r>
              <w:rPr>
                <w:rFonts w:hint="eastAsia" w:ascii="宋体" w:hAnsi="宋体" w:cs="宋体"/>
                <w:b/>
                <w:bCs/>
                <w:color w:val="auto"/>
                <w:kern w:val="1"/>
                <w:szCs w:val="21"/>
                <w:highlight w:val="none"/>
                <w:lang w:val="en-US" w:eastAsia="zh-CN"/>
              </w:rPr>
              <w:t>2</w:t>
            </w:r>
            <w:r>
              <w:rPr>
                <w:rFonts w:ascii="宋体" w:hAnsi="宋体" w:cs="宋体"/>
                <w:b/>
                <w:bCs/>
                <w:color w:val="auto"/>
                <w:kern w:val="1"/>
                <w:szCs w:val="21"/>
                <w:highlight w:val="none"/>
              </w:rPr>
              <w:t>分）</w:t>
            </w:r>
            <w:r>
              <w:rPr>
                <w:rFonts w:ascii="宋体" w:hAnsi="宋体" w:cs="宋体"/>
                <w:color w:val="auto"/>
                <w:kern w:val="1"/>
                <w:szCs w:val="21"/>
                <w:highlight w:val="none"/>
              </w:rPr>
              <w:t>：供应商提供管理制度方案内容不全，管理制度不完备。</w:t>
            </w:r>
          </w:p>
          <w:p w14:paraId="78AE5187">
            <w:pPr>
              <w:widowControl/>
              <w:spacing w:line="360" w:lineRule="auto"/>
              <w:ind w:firstLine="422"/>
              <w:rPr>
                <w:rFonts w:ascii="宋体" w:hAnsi="宋体" w:cs="宋体"/>
                <w:color w:val="auto"/>
                <w:kern w:val="1"/>
                <w:szCs w:val="21"/>
                <w:highlight w:val="none"/>
              </w:rPr>
            </w:pPr>
            <w:r>
              <w:rPr>
                <w:rFonts w:hint="eastAsia" w:ascii="宋体" w:hAnsi="宋体" w:cs="宋体"/>
                <w:b/>
                <w:bCs/>
                <w:color w:val="auto"/>
                <w:kern w:val="1"/>
                <w:szCs w:val="21"/>
                <w:highlight w:val="none"/>
                <w:lang w:val="en-US" w:eastAsia="zh-CN"/>
              </w:rPr>
              <w:t>三</w:t>
            </w:r>
            <w:r>
              <w:rPr>
                <w:rFonts w:ascii="宋体" w:hAnsi="宋体" w:cs="宋体"/>
                <w:b/>
                <w:bCs/>
                <w:color w:val="auto"/>
                <w:kern w:val="1"/>
                <w:szCs w:val="21"/>
                <w:highlight w:val="none"/>
              </w:rPr>
              <w:t>档（</w:t>
            </w:r>
            <w:r>
              <w:rPr>
                <w:rFonts w:hint="eastAsia" w:ascii="宋体" w:hAnsi="宋体" w:cs="宋体"/>
                <w:b/>
                <w:bCs/>
                <w:color w:val="auto"/>
                <w:kern w:val="1"/>
                <w:szCs w:val="21"/>
                <w:highlight w:val="none"/>
                <w:lang w:val="en-US" w:eastAsia="zh-CN"/>
              </w:rPr>
              <w:t>4</w:t>
            </w:r>
            <w:r>
              <w:rPr>
                <w:rFonts w:ascii="宋体" w:hAnsi="宋体" w:cs="宋体"/>
                <w:b/>
                <w:bCs/>
                <w:color w:val="auto"/>
                <w:kern w:val="1"/>
                <w:szCs w:val="21"/>
                <w:highlight w:val="none"/>
              </w:rPr>
              <w:t>分）</w:t>
            </w:r>
            <w:r>
              <w:rPr>
                <w:rFonts w:ascii="宋体" w:hAnsi="宋体" w:cs="宋体"/>
                <w:color w:val="auto"/>
                <w:kern w:val="1"/>
                <w:szCs w:val="21"/>
                <w:highlight w:val="none"/>
              </w:rPr>
              <w:t>：供应商具备完整的各类管理制度，但描述不详细。</w:t>
            </w:r>
          </w:p>
          <w:p w14:paraId="62BD3212">
            <w:pPr>
              <w:widowControl/>
              <w:spacing w:line="360" w:lineRule="auto"/>
              <w:ind w:firstLine="422"/>
              <w:rPr>
                <w:rFonts w:ascii="宋体" w:hAnsi="宋体" w:cs="宋体"/>
                <w:color w:val="auto"/>
                <w:kern w:val="1"/>
                <w:szCs w:val="21"/>
                <w:highlight w:val="none"/>
              </w:rPr>
            </w:pPr>
            <w:r>
              <w:rPr>
                <w:rFonts w:hint="eastAsia" w:ascii="宋体" w:hAnsi="宋体" w:cs="宋体"/>
                <w:b/>
                <w:bCs/>
                <w:color w:val="auto"/>
                <w:kern w:val="1"/>
                <w:szCs w:val="21"/>
                <w:highlight w:val="none"/>
                <w:lang w:eastAsia="zh-CN"/>
              </w:rPr>
              <w:t>四</w:t>
            </w:r>
            <w:r>
              <w:rPr>
                <w:rFonts w:ascii="宋体" w:hAnsi="宋体" w:cs="宋体"/>
                <w:b/>
                <w:bCs/>
                <w:color w:val="auto"/>
                <w:kern w:val="1"/>
                <w:szCs w:val="21"/>
                <w:highlight w:val="none"/>
              </w:rPr>
              <w:t>档（</w:t>
            </w:r>
            <w:r>
              <w:rPr>
                <w:rFonts w:hint="eastAsia" w:ascii="宋体" w:hAnsi="宋体" w:cs="宋体"/>
                <w:b/>
                <w:bCs/>
                <w:color w:val="auto"/>
                <w:kern w:val="1"/>
                <w:szCs w:val="21"/>
                <w:highlight w:val="none"/>
                <w:lang w:val="en-US" w:eastAsia="zh-CN"/>
              </w:rPr>
              <w:t>6</w:t>
            </w:r>
            <w:r>
              <w:rPr>
                <w:rFonts w:ascii="宋体" w:hAnsi="宋体" w:cs="宋体"/>
                <w:b/>
                <w:bCs/>
                <w:color w:val="auto"/>
                <w:kern w:val="1"/>
                <w:szCs w:val="21"/>
                <w:highlight w:val="none"/>
              </w:rPr>
              <w:t>分）：</w:t>
            </w:r>
            <w:r>
              <w:rPr>
                <w:rFonts w:ascii="宋体" w:hAnsi="宋体" w:cs="宋体"/>
                <w:color w:val="auto"/>
                <w:kern w:val="1"/>
                <w:szCs w:val="21"/>
                <w:highlight w:val="none"/>
              </w:rPr>
              <w:t>供应商管理制度完备，各项制度完备，且描述明确符合学校情况。</w:t>
            </w:r>
          </w:p>
          <w:p w14:paraId="59388C60">
            <w:pPr>
              <w:widowControl/>
              <w:spacing w:line="360" w:lineRule="auto"/>
              <w:ind w:firstLine="422"/>
              <w:rPr>
                <w:rFonts w:hint="eastAsia" w:ascii="宋体" w:hAnsi="宋体" w:eastAsia="宋体" w:cs="宋体"/>
                <w:color w:val="auto"/>
                <w:szCs w:val="21"/>
                <w:highlight w:val="none"/>
                <w:shd w:val="clear" w:color="auto" w:fill="auto"/>
              </w:rPr>
            </w:pPr>
            <w:r>
              <w:rPr>
                <w:rFonts w:hint="eastAsia" w:ascii="宋体" w:hAnsi="宋体" w:cs="宋体"/>
                <w:b/>
                <w:bCs/>
                <w:color w:val="auto"/>
                <w:kern w:val="1"/>
                <w:szCs w:val="21"/>
                <w:highlight w:val="none"/>
                <w:lang w:val="en-US" w:eastAsia="zh-CN"/>
              </w:rPr>
              <w:t>五</w:t>
            </w:r>
            <w:r>
              <w:rPr>
                <w:rFonts w:ascii="宋体" w:hAnsi="宋体" w:cs="宋体"/>
                <w:b/>
                <w:bCs/>
                <w:color w:val="auto"/>
                <w:kern w:val="1"/>
                <w:szCs w:val="21"/>
                <w:highlight w:val="none"/>
              </w:rPr>
              <w:t>档（</w:t>
            </w:r>
            <w:r>
              <w:rPr>
                <w:rFonts w:hint="eastAsia" w:ascii="宋体" w:hAnsi="宋体" w:cs="宋体"/>
                <w:b/>
                <w:bCs/>
                <w:color w:val="auto"/>
                <w:kern w:val="1"/>
                <w:szCs w:val="21"/>
                <w:highlight w:val="none"/>
                <w:lang w:val="en-US" w:eastAsia="zh-CN"/>
              </w:rPr>
              <w:t>8</w:t>
            </w:r>
            <w:r>
              <w:rPr>
                <w:rFonts w:ascii="宋体" w:hAnsi="宋体" w:cs="宋体"/>
                <w:b/>
                <w:bCs/>
                <w:color w:val="auto"/>
                <w:kern w:val="1"/>
                <w:szCs w:val="21"/>
                <w:highlight w:val="none"/>
              </w:rPr>
              <w:t>分）：</w:t>
            </w:r>
            <w:r>
              <w:rPr>
                <w:rFonts w:ascii="宋体" w:hAnsi="宋体" w:cs="宋体"/>
                <w:color w:val="auto"/>
                <w:kern w:val="1"/>
                <w:szCs w:val="21"/>
                <w:highlight w:val="none"/>
              </w:rPr>
              <w:t>供应商管理制度完善，描述清晰详尽，且有根据供应商内部管理和学校项目</w:t>
            </w:r>
            <w:r>
              <w:rPr>
                <w:rFonts w:hint="eastAsia" w:ascii="宋体" w:hAnsi="宋体" w:cs="宋体"/>
                <w:color w:val="auto"/>
                <w:kern w:val="1"/>
                <w:szCs w:val="21"/>
                <w:highlight w:val="none"/>
                <w:lang w:val="en-US" w:eastAsia="zh-CN"/>
              </w:rPr>
              <w:t>现场</w:t>
            </w:r>
            <w:r>
              <w:rPr>
                <w:rFonts w:ascii="宋体" w:hAnsi="宋体" w:cs="宋体"/>
                <w:color w:val="auto"/>
                <w:kern w:val="1"/>
                <w:szCs w:val="21"/>
                <w:highlight w:val="none"/>
              </w:rPr>
              <w:t>实际情况制定的各项专项管理制度。</w:t>
            </w:r>
          </w:p>
        </w:tc>
      </w:tr>
      <w:tr w14:paraId="74138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562" w:type="dxa"/>
            <w:vMerge w:val="restart"/>
            <w:noWrap w:val="0"/>
            <w:vAlign w:val="center"/>
          </w:tcPr>
          <w:p w14:paraId="59D27286">
            <w:pPr>
              <w:snapToGrid w:val="0"/>
              <w:spacing w:line="360" w:lineRule="atLeast"/>
              <w:jc w:val="center"/>
              <w:rPr>
                <w:rFonts w:hint="eastAsia" w:ascii="宋体" w:hAnsi="宋体" w:eastAsia="宋体" w:cs="宋体"/>
                <w:color w:val="auto"/>
                <w:sz w:val="24"/>
                <w:highlight w:val="none"/>
                <w:shd w:val="clear" w:color="auto" w:fill="auto"/>
                <w:lang w:val="en-US" w:eastAsia="zh-CN"/>
              </w:rPr>
            </w:pPr>
            <w:r>
              <w:rPr>
                <w:rFonts w:hint="eastAsia" w:ascii="宋体" w:hAnsi="宋体" w:eastAsia="宋体" w:cs="宋体"/>
                <w:color w:val="auto"/>
                <w:sz w:val="24"/>
                <w:highlight w:val="none"/>
                <w:shd w:val="clear" w:color="auto" w:fill="auto"/>
                <w:lang w:val="en-US" w:eastAsia="zh-CN"/>
              </w:rPr>
              <w:t>4</w:t>
            </w:r>
          </w:p>
        </w:tc>
        <w:tc>
          <w:tcPr>
            <w:tcW w:w="1585" w:type="dxa"/>
            <w:vMerge w:val="restart"/>
            <w:noWrap w:val="0"/>
            <w:vAlign w:val="center"/>
          </w:tcPr>
          <w:p w14:paraId="280CB7B3">
            <w:pPr>
              <w:adjustRightInd w:val="0"/>
              <w:snapToGrid w:val="0"/>
              <w:spacing w:line="360" w:lineRule="atLeast"/>
              <w:ind w:left="-105" w:leftChars="-50" w:right="-105" w:rightChars="-50"/>
              <w:jc w:val="center"/>
              <w:textAlignment w:val="baseline"/>
              <w:rPr>
                <w:rFonts w:hint="eastAsia" w:ascii="宋体" w:hAnsi="宋体" w:eastAsia="宋体" w:cs="宋体"/>
                <w:b/>
                <w:bCs w:val="0"/>
                <w:color w:val="auto"/>
                <w:kern w:val="0"/>
                <w:sz w:val="21"/>
                <w:szCs w:val="21"/>
                <w:highlight w:val="none"/>
                <w:shd w:val="clear" w:color="auto" w:fill="auto"/>
                <w:lang w:val="en-US" w:eastAsia="zh-CN" w:bidi="ar-SA"/>
              </w:rPr>
            </w:pPr>
            <w:r>
              <w:rPr>
                <w:rFonts w:hint="eastAsia" w:ascii="宋体" w:hAnsi="宋体" w:eastAsia="宋体" w:cs="宋体"/>
                <w:b/>
                <w:bCs/>
                <w:color w:val="auto"/>
                <w:szCs w:val="21"/>
                <w:highlight w:val="none"/>
                <w:shd w:val="clear" w:color="auto" w:fill="auto"/>
              </w:rPr>
              <w:t>企业综合实力分</w:t>
            </w:r>
          </w:p>
          <w:p w14:paraId="6E16101F">
            <w:pPr>
              <w:snapToGrid w:val="0"/>
              <w:spacing w:line="360" w:lineRule="atLeast"/>
              <w:jc w:val="center"/>
              <w:rPr>
                <w:rFonts w:hint="eastAsia" w:ascii="宋体" w:hAnsi="宋体" w:eastAsia="宋体" w:cs="宋体"/>
                <w:b/>
                <w:bCs/>
                <w:color w:val="auto"/>
                <w:kern w:val="0"/>
                <w:sz w:val="21"/>
                <w:szCs w:val="21"/>
                <w:highlight w:val="none"/>
                <w:shd w:val="clear" w:color="auto" w:fill="auto"/>
                <w:lang w:val="en-US" w:eastAsia="zh-CN" w:bidi="ar-SA"/>
              </w:rPr>
            </w:pPr>
            <w:r>
              <w:rPr>
                <w:rFonts w:hint="eastAsia" w:ascii="宋体" w:hAnsi="宋体" w:eastAsia="宋体" w:cs="宋体"/>
                <w:bCs/>
                <w:color w:val="auto"/>
                <w:kern w:val="0"/>
                <w:sz w:val="21"/>
                <w:szCs w:val="21"/>
                <w:highlight w:val="none"/>
                <w:shd w:val="clear" w:color="auto" w:fill="auto"/>
                <w:lang w:val="en-US" w:eastAsia="zh-CN" w:bidi="ar-SA"/>
              </w:rPr>
              <w:t>（满分</w:t>
            </w:r>
            <w:r>
              <w:rPr>
                <w:rFonts w:hint="eastAsia" w:ascii="宋体" w:hAnsi="宋体" w:eastAsia="宋体" w:cs="宋体"/>
                <w:bCs/>
                <w:color w:val="auto"/>
                <w:kern w:val="0"/>
                <w:sz w:val="21"/>
                <w:szCs w:val="21"/>
                <w:highlight w:val="none"/>
                <w:u w:val="single"/>
                <w:shd w:val="clear" w:color="auto" w:fill="auto"/>
                <w:lang w:val="en-US" w:eastAsia="zh-CN" w:bidi="ar-SA"/>
              </w:rPr>
              <w:t xml:space="preserve"> </w:t>
            </w:r>
            <w:r>
              <w:rPr>
                <w:rFonts w:hint="eastAsia" w:ascii="宋体" w:hAnsi="宋体" w:cs="宋体"/>
                <w:bCs/>
                <w:color w:val="auto"/>
                <w:kern w:val="0"/>
                <w:sz w:val="21"/>
                <w:szCs w:val="21"/>
                <w:highlight w:val="none"/>
                <w:u w:val="single"/>
                <w:shd w:val="clear" w:color="auto" w:fill="auto"/>
                <w:lang w:val="en-US" w:eastAsia="zh-CN" w:bidi="ar-SA"/>
              </w:rPr>
              <w:t>30</w:t>
            </w:r>
            <w:r>
              <w:rPr>
                <w:rFonts w:hint="eastAsia" w:ascii="宋体" w:hAnsi="宋体" w:eastAsia="宋体" w:cs="宋体"/>
                <w:bCs/>
                <w:color w:val="auto"/>
                <w:kern w:val="0"/>
                <w:sz w:val="21"/>
                <w:szCs w:val="21"/>
                <w:highlight w:val="none"/>
                <w:shd w:val="clear" w:color="auto" w:fill="auto"/>
                <w:lang w:val="en-US" w:eastAsia="zh-CN" w:bidi="ar-SA"/>
              </w:rPr>
              <w:t>分）</w:t>
            </w:r>
          </w:p>
        </w:tc>
        <w:tc>
          <w:tcPr>
            <w:tcW w:w="1520" w:type="dxa"/>
            <w:noWrap w:val="0"/>
            <w:vAlign w:val="center"/>
          </w:tcPr>
          <w:p w14:paraId="6BD1B79A">
            <w:pPr>
              <w:snapToGrid w:val="0"/>
              <w:spacing w:line="360" w:lineRule="atLeast"/>
              <w:jc w:val="center"/>
              <w:rPr>
                <w:rFonts w:hint="eastAsia" w:ascii="宋体" w:hAnsi="宋体" w:eastAsia="宋体" w:cs="宋体"/>
                <w:bCs/>
                <w:color w:val="auto"/>
                <w:kern w:val="0"/>
                <w:sz w:val="21"/>
                <w:szCs w:val="21"/>
                <w:highlight w:val="none"/>
                <w:shd w:val="clear" w:color="auto" w:fill="auto"/>
                <w:lang w:val="en-US" w:eastAsia="zh-CN" w:bidi="ar-SA"/>
              </w:rPr>
            </w:pPr>
            <w:r>
              <w:rPr>
                <w:rFonts w:hint="eastAsia" w:ascii="宋体" w:hAnsi="宋体" w:eastAsia="宋体" w:cs="宋体"/>
                <w:b/>
                <w:bCs/>
                <w:color w:val="auto"/>
                <w:szCs w:val="21"/>
                <w:highlight w:val="none"/>
                <w:shd w:val="clear" w:color="auto" w:fill="auto"/>
              </w:rPr>
              <w:t>（1）配送能力（</w:t>
            </w:r>
            <w:r>
              <w:rPr>
                <w:rFonts w:hint="eastAsia" w:ascii="宋体" w:hAnsi="宋体" w:eastAsia="宋体" w:cs="宋体"/>
                <w:b/>
                <w:bCs/>
                <w:color w:val="auto"/>
                <w:szCs w:val="21"/>
                <w:highlight w:val="none"/>
                <w:shd w:val="clear" w:color="auto" w:fill="auto"/>
                <w:lang w:eastAsia="zh-CN"/>
              </w:rPr>
              <w:t>满分</w:t>
            </w:r>
            <w:r>
              <w:rPr>
                <w:rFonts w:hint="eastAsia" w:ascii="宋体" w:hAnsi="宋体" w:cs="宋体"/>
                <w:b/>
                <w:bCs/>
                <w:color w:val="auto"/>
                <w:szCs w:val="21"/>
                <w:highlight w:val="none"/>
                <w:shd w:val="clear" w:color="auto" w:fill="auto"/>
                <w:lang w:val="en-US" w:eastAsia="zh-CN"/>
              </w:rPr>
              <w:t>8</w:t>
            </w:r>
            <w:r>
              <w:rPr>
                <w:rFonts w:hint="eastAsia" w:ascii="宋体" w:hAnsi="宋体" w:eastAsia="宋体" w:cs="宋体"/>
                <w:b/>
                <w:bCs/>
                <w:color w:val="auto"/>
                <w:szCs w:val="21"/>
                <w:highlight w:val="none"/>
                <w:shd w:val="clear" w:color="auto" w:fill="auto"/>
              </w:rPr>
              <w:t>分）</w:t>
            </w:r>
          </w:p>
        </w:tc>
        <w:tc>
          <w:tcPr>
            <w:tcW w:w="6096" w:type="dxa"/>
            <w:noWrap w:val="0"/>
            <w:vAlign w:val="top"/>
          </w:tcPr>
          <w:p w14:paraId="7AF22F66">
            <w:pPr>
              <w:shd w:val="clear" w:color="auto" w:fill="auto"/>
              <w:wordWrap w:val="0"/>
              <w:spacing w:line="460" w:lineRule="exact"/>
              <w:ind w:firstLine="420" w:firstLineChars="200"/>
              <w:jc w:val="left"/>
              <w:rPr>
                <w:rFonts w:hint="eastAsia" w:ascii="宋体" w:hAnsi="宋体" w:eastAsia="宋体" w:cs="宋体"/>
                <w:color w:val="auto"/>
                <w:szCs w:val="21"/>
                <w:highlight w:val="none"/>
                <w:shd w:val="clear" w:color="auto" w:fill="auto"/>
                <w:lang w:val="en-US" w:eastAsia="zh-CN"/>
              </w:rPr>
            </w:pPr>
            <w:r>
              <w:rPr>
                <w:rFonts w:hint="eastAsia" w:ascii="宋体" w:hAnsi="宋体" w:eastAsia="宋体" w:cs="宋体"/>
                <w:color w:val="auto"/>
                <w:szCs w:val="21"/>
                <w:highlight w:val="none"/>
                <w:shd w:val="clear" w:color="auto" w:fill="auto"/>
                <w:lang w:eastAsia="zh-CN"/>
              </w:rPr>
              <w:t>投标人</w:t>
            </w:r>
            <w:r>
              <w:rPr>
                <w:rFonts w:hint="eastAsia" w:ascii="宋体" w:hAnsi="宋体" w:eastAsia="宋体" w:cs="宋体"/>
                <w:color w:val="auto"/>
                <w:szCs w:val="21"/>
                <w:highlight w:val="none"/>
                <w:shd w:val="clear" w:color="auto" w:fill="auto"/>
                <w:lang w:val="en-US" w:eastAsia="zh-CN"/>
              </w:rPr>
              <w:t>具有</w:t>
            </w:r>
            <w:r>
              <w:rPr>
                <w:rFonts w:hint="eastAsia" w:ascii="宋体" w:hAnsi="宋体" w:cs="宋体"/>
                <w:color w:val="auto"/>
                <w:szCs w:val="21"/>
                <w:highlight w:val="none"/>
                <w:shd w:val="clear" w:color="auto" w:fill="auto"/>
                <w:lang w:val="en-US" w:eastAsia="zh-CN"/>
              </w:rPr>
              <w:t>4</w:t>
            </w:r>
            <w:r>
              <w:rPr>
                <w:rFonts w:hint="eastAsia" w:ascii="宋体" w:hAnsi="宋体" w:eastAsia="宋体" w:cs="宋体"/>
                <w:color w:val="auto"/>
                <w:szCs w:val="21"/>
                <w:highlight w:val="none"/>
                <w:shd w:val="clear" w:color="auto" w:fill="auto"/>
                <w:lang w:val="en-US" w:eastAsia="zh-CN"/>
              </w:rPr>
              <w:t>辆</w:t>
            </w:r>
            <w:r>
              <w:rPr>
                <w:rFonts w:hint="eastAsia" w:ascii="宋体" w:hAnsi="宋体" w:eastAsia="宋体" w:cs="宋体"/>
                <w:color w:val="auto"/>
                <w:szCs w:val="21"/>
                <w:highlight w:val="none"/>
                <w:shd w:val="clear" w:color="auto" w:fill="auto"/>
                <w:lang w:eastAsia="zh-CN"/>
              </w:rPr>
              <w:t>自有或租赁全程监控</w:t>
            </w:r>
            <w:r>
              <w:rPr>
                <w:rFonts w:hint="eastAsia" w:ascii="宋体" w:hAnsi="宋体" w:eastAsia="宋体" w:cs="宋体"/>
                <w:color w:val="auto"/>
                <w:szCs w:val="21"/>
                <w:highlight w:val="none"/>
                <w:shd w:val="clear" w:color="auto" w:fill="auto"/>
                <w:lang w:val="en-US" w:eastAsia="zh-CN"/>
              </w:rPr>
              <w:t>配送厢式冷藏专用车</w:t>
            </w:r>
            <w:r>
              <w:rPr>
                <w:rFonts w:hint="eastAsia" w:ascii="宋体" w:hAnsi="宋体" w:cs="宋体"/>
                <w:color w:val="auto"/>
                <w:szCs w:val="21"/>
                <w:highlight w:val="none"/>
                <w:shd w:val="clear" w:color="auto" w:fill="auto"/>
                <w:lang w:val="en-US" w:eastAsia="zh-CN"/>
              </w:rPr>
              <w:t>得2分</w:t>
            </w:r>
            <w:r>
              <w:rPr>
                <w:rFonts w:hint="eastAsia" w:ascii="宋体" w:hAnsi="宋体" w:cs="宋体"/>
                <w:color w:val="auto"/>
                <w:szCs w:val="21"/>
                <w:highlight w:val="none"/>
                <w:shd w:val="clear" w:color="auto" w:fill="auto"/>
                <w:lang w:eastAsia="zh-CN"/>
              </w:rPr>
              <w:t>；</w:t>
            </w:r>
            <w:r>
              <w:rPr>
                <w:rFonts w:hint="eastAsia" w:ascii="宋体" w:hAnsi="宋体" w:eastAsia="宋体" w:cs="宋体"/>
                <w:color w:val="auto"/>
                <w:szCs w:val="21"/>
                <w:highlight w:val="none"/>
                <w:shd w:val="clear" w:color="auto" w:fill="auto"/>
                <w:lang w:eastAsia="zh-CN"/>
              </w:rPr>
              <w:t>投标人</w:t>
            </w:r>
            <w:r>
              <w:rPr>
                <w:rFonts w:hint="eastAsia" w:ascii="宋体" w:hAnsi="宋体" w:eastAsia="宋体" w:cs="宋体"/>
                <w:color w:val="auto"/>
                <w:szCs w:val="21"/>
                <w:highlight w:val="none"/>
                <w:shd w:val="clear" w:color="auto" w:fill="auto"/>
              </w:rPr>
              <w:t>每增加1辆</w:t>
            </w:r>
            <w:r>
              <w:rPr>
                <w:rFonts w:hint="eastAsia" w:ascii="宋体" w:hAnsi="宋体" w:eastAsia="宋体" w:cs="宋体"/>
                <w:color w:val="auto"/>
                <w:szCs w:val="21"/>
                <w:highlight w:val="none"/>
                <w:shd w:val="clear" w:color="auto" w:fill="auto"/>
                <w:lang w:eastAsia="zh-CN"/>
              </w:rPr>
              <w:t>自有或租赁全程监控</w:t>
            </w:r>
            <w:r>
              <w:rPr>
                <w:rFonts w:hint="eastAsia" w:ascii="宋体" w:hAnsi="宋体" w:eastAsia="宋体" w:cs="宋体"/>
                <w:color w:val="auto"/>
                <w:highlight w:val="none"/>
                <w:lang w:val="en-US" w:eastAsia="zh-CN"/>
              </w:rPr>
              <w:t>配送厢式冷藏专用车</w:t>
            </w:r>
            <w:r>
              <w:rPr>
                <w:rFonts w:hint="eastAsia" w:ascii="宋体" w:hAnsi="宋体" w:eastAsia="宋体" w:cs="宋体"/>
                <w:color w:val="auto"/>
                <w:szCs w:val="21"/>
                <w:highlight w:val="none"/>
                <w:shd w:val="clear" w:color="auto" w:fill="auto"/>
                <w:lang w:eastAsia="zh-CN"/>
              </w:rPr>
              <w:t>得</w:t>
            </w:r>
            <w:r>
              <w:rPr>
                <w:rFonts w:hint="eastAsia" w:ascii="宋体" w:hAnsi="宋体" w:cs="宋体"/>
                <w:color w:val="auto"/>
                <w:szCs w:val="21"/>
                <w:highlight w:val="none"/>
                <w:shd w:val="clear" w:color="auto" w:fill="auto"/>
                <w:lang w:val="en-US" w:eastAsia="zh-CN"/>
              </w:rPr>
              <w:t>1</w:t>
            </w:r>
            <w:r>
              <w:rPr>
                <w:rFonts w:hint="eastAsia" w:ascii="宋体" w:hAnsi="宋体" w:eastAsia="宋体" w:cs="宋体"/>
                <w:color w:val="auto"/>
                <w:szCs w:val="21"/>
                <w:highlight w:val="none"/>
                <w:shd w:val="clear" w:color="auto" w:fill="auto"/>
                <w:lang w:val="en-US" w:eastAsia="zh-CN"/>
              </w:rPr>
              <w:t>分</w:t>
            </w:r>
            <w:r>
              <w:rPr>
                <w:rFonts w:hint="eastAsia" w:ascii="宋体" w:hAnsi="宋体" w:cs="宋体"/>
                <w:color w:val="auto"/>
                <w:szCs w:val="21"/>
                <w:highlight w:val="none"/>
                <w:shd w:val="clear" w:color="auto" w:fill="auto"/>
                <w:lang w:eastAsia="zh-CN"/>
              </w:rPr>
              <w:t>；</w:t>
            </w:r>
            <w:r>
              <w:rPr>
                <w:rFonts w:hint="eastAsia" w:ascii="宋体" w:hAnsi="宋体" w:eastAsia="宋体" w:cs="宋体"/>
                <w:color w:val="auto"/>
                <w:szCs w:val="21"/>
                <w:highlight w:val="none"/>
                <w:shd w:val="clear" w:color="auto" w:fill="auto"/>
                <w:lang w:eastAsia="zh-CN"/>
              </w:rPr>
              <w:t>此项满分</w:t>
            </w:r>
            <w:r>
              <w:rPr>
                <w:rFonts w:hint="eastAsia" w:ascii="宋体" w:hAnsi="宋体" w:cs="宋体"/>
                <w:color w:val="auto"/>
                <w:szCs w:val="21"/>
                <w:highlight w:val="none"/>
                <w:shd w:val="clear" w:color="auto" w:fill="auto"/>
                <w:lang w:val="en-US" w:eastAsia="zh-CN"/>
              </w:rPr>
              <w:t>8</w:t>
            </w:r>
            <w:r>
              <w:rPr>
                <w:rFonts w:hint="eastAsia" w:ascii="宋体" w:hAnsi="宋体" w:eastAsia="宋体" w:cs="宋体"/>
                <w:color w:val="auto"/>
                <w:szCs w:val="21"/>
                <w:highlight w:val="none"/>
                <w:shd w:val="clear" w:color="auto" w:fill="auto"/>
                <w:lang w:val="en-US" w:eastAsia="zh-CN"/>
              </w:rPr>
              <w:t>分。</w:t>
            </w:r>
          </w:p>
          <w:p w14:paraId="72BD7592">
            <w:pPr>
              <w:shd w:val="clear" w:color="auto" w:fill="auto"/>
              <w:wordWrap w:val="0"/>
              <w:spacing w:line="460" w:lineRule="exact"/>
              <w:ind w:firstLine="420" w:firstLineChars="200"/>
              <w:jc w:val="left"/>
              <w:rPr>
                <w:rFonts w:hint="default" w:ascii="宋体" w:hAnsi="宋体" w:eastAsia="宋体" w:cs="宋体"/>
                <w:color w:val="auto"/>
                <w:szCs w:val="21"/>
                <w:highlight w:val="none"/>
                <w:shd w:val="clear" w:color="auto" w:fill="auto"/>
                <w:lang w:val="en-US" w:eastAsia="zh-CN"/>
              </w:rPr>
            </w:pPr>
            <w:r>
              <w:rPr>
                <w:rFonts w:hint="eastAsia" w:ascii="宋体" w:hAnsi="宋体" w:eastAsia="宋体" w:cs="宋体"/>
                <w:color w:val="auto"/>
                <w:szCs w:val="21"/>
                <w:highlight w:val="none"/>
                <w:shd w:val="clear" w:color="auto" w:fill="auto"/>
              </w:rPr>
              <w:t>注：【自有车辆必须提供车辆行驶证或购买车辆发票（车辆所有人为</w:t>
            </w:r>
            <w:r>
              <w:rPr>
                <w:rFonts w:hint="eastAsia" w:ascii="宋体" w:hAnsi="宋体" w:eastAsia="宋体" w:cs="宋体"/>
                <w:color w:val="auto"/>
                <w:szCs w:val="21"/>
                <w:highlight w:val="none"/>
                <w:shd w:val="clear" w:color="auto" w:fill="auto"/>
                <w:lang w:eastAsia="zh-CN"/>
              </w:rPr>
              <w:t>法定代表人</w:t>
            </w:r>
            <w:r>
              <w:rPr>
                <w:rFonts w:hint="eastAsia" w:ascii="宋体" w:hAnsi="宋体" w:eastAsia="宋体" w:cs="宋体"/>
                <w:color w:val="auto"/>
                <w:szCs w:val="21"/>
                <w:highlight w:val="none"/>
                <w:shd w:val="clear" w:color="auto" w:fill="auto"/>
              </w:rPr>
              <w:t>名字或投标单位名字）</w:t>
            </w:r>
            <w:r>
              <w:rPr>
                <w:rFonts w:hint="eastAsia" w:ascii="宋体" w:hAnsi="宋体" w:cs="宋体"/>
                <w:color w:val="auto"/>
                <w:szCs w:val="21"/>
                <w:highlight w:val="none"/>
                <w:shd w:val="clear" w:color="auto" w:fill="auto"/>
                <w:lang w:val="en-US" w:eastAsia="zh-CN"/>
              </w:rPr>
              <w:t>扫描件</w:t>
            </w:r>
            <w:r>
              <w:rPr>
                <w:rFonts w:hint="eastAsia" w:ascii="宋体" w:hAnsi="宋体" w:eastAsia="宋体" w:cs="宋体"/>
                <w:color w:val="auto"/>
                <w:szCs w:val="21"/>
                <w:highlight w:val="none"/>
                <w:shd w:val="clear" w:color="auto" w:fill="auto"/>
              </w:rPr>
              <w:t>，并提供车辆正面、侧面、后面</w:t>
            </w:r>
            <w:r>
              <w:rPr>
                <w:rFonts w:hint="eastAsia" w:ascii="宋体" w:hAnsi="宋体" w:eastAsia="宋体" w:cs="宋体"/>
                <w:color w:val="auto"/>
                <w:kern w:val="2"/>
                <w:sz w:val="21"/>
                <w:szCs w:val="21"/>
                <w:highlight w:val="none"/>
                <w:shd w:val="clear" w:color="auto" w:fill="auto"/>
                <w:lang w:val="en-US" w:eastAsia="zh-CN" w:bidi="ar-SA"/>
              </w:rPr>
              <w:t>实拍照片</w:t>
            </w:r>
            <w:r>
              <w:rPr>
                <w:rFonts w:hint="eastAsia" w:ascii="宋体" w:hAnsi="宋体" w:eastAsia="宋体" w:cs="宋体"/>
                <w:color w:val="auto"/>
                <w:szCs w:val="21"/>
                <w:highlight w:val="none"/>
                <w:shd w:val="clear" w:color="auto" w:fill="auto"/>
              </w:rPr>
              <w:t>且清晰可辨等</w:t>
            </w:r>
            <w:r>
              <w:rPr>
                <w:rFonts w:hint="eastAsia" w:ascii="宋体" w:hAnsi="宋体" w:eastAsia="宋体" w:cs="宋体"/>
                <w:color w:val="auto"/>
                <w:szCs w:val="21"/>
                <w:highlight w:val="none"/>
                <w:shd w:val="clear" w:color="auto" w:fill="auto"/>
                <w:lang w:eastAsia="zh-CN"/>
              </w:rPr>
              <w:t>证明</w:t>
            </w:r>
            <w:r>
              <w:rPr>
                <w:rFonts w:hint="eastAsia" w:ascii="宋体" w:hAnsi="宋体" w:eastAsia="宋体" w:cs="宋体"/>
                <w:color w:val="auto"/>
                <w:szCs w:val="21"/>
                <w:highlight w:val="none"/>
                <w:shd w:val="clear" w:color="auto" w:fill="auto"/>
              </w:rPr>
              <w:t>文件】；【租赁车辆必须提供行驶证或购买发票（所有人为出租方）</w:t>
            </w:r>
            <w:r>
              <w:rPr>
                <w:rFonts w:hint="eastAsia" w:ascii="宋体" w:hAnsi="宋体" w:cs="宋体"/>
                <w:color w:val="auto"/>
                <w:szCs w:val="21"/>
                <w:highlight w:val="none"/>
                <w:shd w:val="clear" w:color="auto" w:fill="auto"/>
                <w:lang w:eastAsia="zh-CN"/>
              </w:rPr>
              <w:t>，</w:t>
            </w:r>
            <w:r>
              <w:rPr>
                <w:rFonts w:hint="eastAsia" w:ascii="宋体" w:hAnsi="宋体" w:eastAsia="宋体" w:cs="宋体"/>
                <w:color w:val="auto"/>
                <w:szCs w:val="21"/>
                <w:highlight w:val="none"/>
                <w:shd w:val="clear" w:color="auto" w:fill="auto"/>
              </w:rPr>
              <w:t>及租赁合同</w:t>
            </w:r>
            <w:r>
              <w:rPr>
                <w:rFonts w:hint="eastAsia" w:ascii="宋体" w:hAnsi="宋体" w:cs="宋体"/>
                <w:color w:val="auto"/>
                <w:szCs w:val="21"/>
                <w:highlight w:val="none"/>
                <w:shd w:val="clear" w:color="auto" w:fill="auto"/>
                <w:lang w:val="en-US" w:eastAsia="zh-CN"/>
              </w:rPr>
              <w:t>扫描件</w:t>
            </w:r>
            <w:r>
              <w:rPr>
                <w:rFonts w:hint="eastAsia" w:ascii="宋体" w:hAnsi="宋体" w:eastAsia="宋体" w:cs="宋体"/>
                <w:color w:val="auto"/>
                <w:szCs w:val="21"/>
                <w:highlight w:val="none"/>
                <w:shd w:val="clear" w:color="auto" w:fill="auto"/>
              </w:rPr>
              <w:t>（租车时必须提供，租赁期须包含本项目服务期），并提供车辆正面、侧面、后面</w:t>
            </w:r>
            <w:r>
              <w:rPr>
                <w:rFonts w:hint="eastAsia" w:ascii="宋体" w:hAnsi="宋体" w:cs="宋体"/>
                <w:color w:val="auto"/>
                <w:kern w:val="2"/>
                <w:sz w:val="21"/>
                <w:szCs w:val="21"/>
                <w:highlight w:val="none"/>
                <w:shd w:val="clear" w:color="auto" w:fill="auto"/>
                <w:lang w:val="en-US" w:eastAsia="zh-CN" w:bidi="ar-SA"/>
              </w:rPr>
              <w:t>车辆</w:t>
            </w:r>
            <w:r>
              <w:rPr>
                <w:rFonts w:hint="eastAsia" w:ascii="宋体" w:hAnsi="宋体" w:eastAsia="宋体" w:cs="宋体"/>
                <w:color w:val="auto"/>
                <w:kern w:val="2"/>
                <w:sz w:val="21"/>
                <w:szCs w:val="21"/>
                <w:highlight w:val="none"/>
                <w:shd w:val="clear" w:color="auto" w:fill="auto"/>
                <w:lang w:val="en-US" w:eastAsia="zh-CN" w:bidi="ar-SA"/>
              </w:rPr>
              <w:t>实拍照片</w:t>
            </w:r>
            <w:r>
              <w:rPr>
                <w:rFonts w:hint="eastAsia" w:ascii="宋体" w:hAnsi="宋体" w:eastAsia="宋体" w:cs="宋体"/>
                <w:color w:val="auto"/>
                <w:szCs w:val="21"/>
                <w:highlight w:val="none"/>
                <w:shd w:val="clear" w:color="auto" w:fill="auto"/>
              </w:rPr>
              <w:t>且清晰可辨等</w:t>
            </w:r>
            <w:r>
              <w:rPr>
                <w:rFonts w:hint="eastAsia" w:ascii="宋体" w:hAnsi="宋体" w:eastAsia="宋体" w:cs="宋体"/>
                <w:color w:val="auto"/>
                <w:szCs w:val="21"/>
                <w:highlight w:val="none"/>
                <w:shd w:val="clear" w:color="auto" w:fill="auto"/>
                <w:lang w:eastAsia="zh-CN"/>
              </w:rPr>
              <w:t>证明</w:t>
            </w:r>
            <w:r>
              <w:rPr>
                <w:rFonts w:hint="eastAsia" w:ascii="宋体" w:hAnsi="宋体" w:eastAsia="宋体" w:cs="宋体"/>
                <w:color w:val="auto"/>
                <w:szCs w:val="21"/>
                <w:highlight w:val="none"/>
                <w:shd w:val="clear" w:color="auto" w:fill="auto"/>
              </w:rPr>
              <w:t>文件】，所提供的</w:t>
            </w:r>
            <w:r>
              <w:rPr>
                <w:rFonts w:hint="eastAsia" w:ascii="宋体" w:hAnsi="宋体" w:cs="宋体"/>
                <w:color w:val="auto"/>
                <w:szCs w:val="21"/>
                <w:highlight w:val="none"/>
                <w:shd w:val="clear" w:color="auto" w:fill="auto"/>
                <w:lang w:val="en-US" w:eastAsia="zh-CN"/>
              </w:rPr>
              <w:t>扫描件</w:t>
            </w:r>
            <w:r>
              <w:rPr>
                <w:rFonts w:hint="eastAsia" w:ascii="宋体" w:hAnsi="宋体" w:eastAsia="宋体" w:cs="宋体"/>
                <w:color w:val="auto"/>
                <w:szCs w:val="21"/>
                <w:highlight w:val="none"/>
                <w:shd w:val="clear" w:color="auto" w:fill="auto"/>
              </w:rPr>
              <w:t>须加盖</w:t>
            </w:r>
            <w:r>
              <w:rPr>
                <w:rFonts w:hint="eastAsia" w:ascii="宋体" w:hAnsi="宋体" w:eastAsia="宋体" w:cs="宋体"/>
                <w:color w:val="auto"/>
                <w:szCs w:val="21"/>
                <w:highlight w:val="none"/>
                <w:shd w:val="clear" w:color="auto" w:fill="auto"/>
                <w:lang w:eastAsia="zh-CN"/>
              </w:rPr>
              <w:t>投标人</w:t>
            </w:r>
            <w:r>
              <w:rPr>
                <w:rFonts w:hint="eastAsia" w:ascii="宋体" w:hAnsi="宋体" w:eastAsia="宋体" w:cs="宋体"/>
                <w:color w:val="auto"/>
                <w:szCs w:val="21"/>
                <w:highlight w:val="none"/>
                <w:shd w:val="clear" w:color="auto" w:fill="auto"/>
              </w:rPr>
              <w:t>公章，未按要求提供相关材料或扫描不清晰导致无法识别的不计得分。</w:t>
            </w:r>
            <w:r>
              <w:rPr>
                <w:rFonts w:hint="eastAsia" w:ascii="宋体" w:hAnsi="宋体" w:cs="宋体"/>
                <w:color w:val="auto"/>
                <w:szCs w:val="21"/>
                <w:highlight w:val="none"/>
                <w:shd w:val="clear" w:color="auto" w:fill="auto"/>
                <w:lang w:val="en-US" w:eastAsia="zh-CN"/>
              </w:rPr>
              <w:t>投标人拟投入的每一辆</w:t>
            </w:r>
            <w:r>
              <w:rPr>
                <w:rFonts w:hint="eastAsia" w:ascii="宋体" w:hAnsi="宋体" w:eastAsia="宋体" w:cs="宋体"/>
                <w:color w:val="auto"/>
                <w:szCs w:val="21"/>
                <w:highlight w:val="none"/>
                <w:shd w:val="clear" w:color="auto" w:fill="auto"/>
                <w:lang w:val="en-US" w:eastAsia="zh-CN"/>
              </w:rPr>
              <w:t>专业配送</w:t>
            </w:r>
            <w:r>
              <w:rPr>
                <w:rFonts w:hint="eastAsia" w:ascii="宋体" w:hAnsi="宋体" w:eastAsia="宋体" w:cs="宋体"/>
                <w:color w:val="auto"/>
                <w:szCs w:val="21"/>
                <w:highlight w:val="none"/>
                <w:shd w:val="clear" w:color="auto" w:fill="auto"/>
              </w:rPr>
              <w:t>货车</w:t>
            </w:r>
            <w:r>
              <w:rPr>
                <w:rFonts w:hint="eastAsia" w:ascii="宋体" w:hAnsi="宋体" w:eastAsia="宋体" w:cs="宋体"/>
                <w:color w:val="auto"/>
                <w:szCs w:val="21"/>
                <w:highlight w:val="none"/>
                <w:shd w:val="clear" w:color="auto" w:fill="auto"/>
                <w:lang w:val="en-US" w:eastAsia="zh-CN"/>
              </w:rPr>
              <w:t>配备1名（含1名）以上</w:t>
            </w:r>
            <w:r>
              <w:rPr>
                <w:rFonts w:hint="eastAsia" w:ascii="宋体" w:hAnsi="宋体" w:eastAsia="宋体" w:cs="宋体"/>
                <w:color w:val="auto"/>
                <w:szCs w:val="21"/>
                <w:highlight w:val="none"/>
                <w:shd w:val="clear" w:color="auto" w:fill="auto"/>
                <w:lang w:eastAsia="zh-CN"/>
              </w:rPr>
              <w:t>配送</w:t>
            </w:r>
            <w:r>
              <w:rPr>
                <w:rFonts w:hint="eastAsia" w:ascii="宋体" w:hAnsi="宋体" w:eastAsia="宋体" w:cs="宋体"/>
                <w:color w:val="auto"/>
                <w:szCs w:val="21"/>
                <w:highlight w:val="none"/>
                <w:shd w:val="clear" w:color="auto" w:fill="auto"/>
                <w:lang w:val="en-US" w:eastAsia="zh-CN"/>
              </w:rPr>
              <w:t>司机且有相对应的驾驶证扫描件、身份证扫描件，未按要求提供者不得分。</w:t>
            </w:r>
          </w:p>
          <w:p w14:paraId="1AA81CA9">
            <w:pPr>
              <w:shd w:val="clear" w:color="auto" w:fill="auto"/>
              <w:wordWrap w:val="0"/>
              <w:spacing w:line="460" w:lineRule="exact"/>
              <w:ind w:firstLine="420" w:firstLineChars="200"/>
              <w:jc w:val="left"/>
              <w:rPr>
                <w:rFonts w:hint="eastAsia" w:ascii="宋体" w:hAnsi="宋体" w:eastAsia="宋体" w:cs="宋体"/>
                <w:bCs/>
                <w:color w:val="auto"/>
                <w:kern w:val="0"/>
                <w:sz w:val="21"/>
                <w:szCs w:val="21"/>
                <w:highlight w:val="none"/>
                <w:shd w:val="clear" w:color="auto" w:fill="auto"/>
                <w:lang w:val="en-US" w:eastAsia="zh-CN" w:bidi="ar-SA"/>
              </w:rPr>
            </w:pPr>
            <w:r>
              <w:rPr>
                <w:rFonts w:hint="eastAsia" w:ascii="宋体" w:hAnsi="宋体" w:eastAsia="宋体" w:cs="宋体"/>
                <w:color w:val="auto"/>
                <w:szCs w:val="21"/>
                <w:highlight w:val="none"/>
                <w:shd w:val="clear" w:color="auto" w:fill="auto"/>
              </w:rPr>
              <w:t>中标后核查行驶证、发票及租赁合同原件，如发现虚假应标则取消中标资格，由下一中标候选人递补。</w:t>
            </w:r>
          </w:p>
        </w:tc>
      </w:tr>
      <w:tr w14:paraId="17C06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562" w:type="dxa"/>
            <w:vMerge w:val="continue"/>
            <w:noWrap w:val="0"/>
            <w:vAlign w:val="center"/>
          </w:tcPr>
          <w:p w14:paraId="4128ECD7">
            <w:pPr>
              <w:snapToGrid w:val="0"/>
              <w:spacing w:line="360" w:lineRule="atLeast"/>
              <w:jc w:val="center"/>
              <w:rPr>
                <w:rFonts w:hint="eastAsia" w:ascii="宋体" w:hAnsi="宋体" w:eastAsia="宋体" w:cs="宋体"/>
                <w:color w:val="auto"/>
                <w:sz w:val="24"/>
                <w:highlight w:val="none"/>
                <w:shd w:val="clear" w:color="auto" w:fill="auto"/>
                <w:lang w:val="en-US" w:eastAsia="zh-CN"/>
              </w:rPr>
            </w:pPr>
          </w:p>
        </w:tc>
        <w:tc>
          <w:tcPr>
            <w:tcW w:w="1585" w:type="dxa"/>
            <w:vMerge w:val="continue"/>
            <w:noWrap w:val="0"/>
            <w:vAlign w:val="center"/>
          </w:tcPr>
          <w:p w14:paraId="57584927">
            <w:pPr>
              <w:snapToGrid w:val="0"/>
              <w:spacing w:line="360" w:lineRule="atLeast"/>
              <w:jc w:val="center"/>
              <w:rPr>
                <w:rFonts w:hint="eastAsia" w:ascii="宋体" w:hAnsi="宋体" w:eastAsia="宋体" w:cs="宋体"/>
                <w:bCs/>
                <w:color w:val="auto"/>
                <w:kern w:val="0"/>
                <w:sz w:val="21"/>
                <w:szCs w:val="21"/>
                <w:highlight w:val="none"/>
                <w:shd w:val="clear" w:color="auto" w:fill="auto"/>
                <w:lang w:val="en-US" w:eastAsia="zh-CN" w:bidi="ar-SA"/>
              </w:rPr>
            </w:pPr>
          </w:p>
        </w:tc>
        <w:tc>
          <w:tcPr>
            <w:tcW w:w="1520" w:type="dxa"/>
            <w:noWrap w:val="0"/>
            <w:vAlign w:val="center"/>
          </w:tcPr>
          <w:p w14:paraId="2A4721CD">
            <w:pPr>
              <w:snapToGrid w:val="0"/>
              <w:spacing w:line="360" w:lineRule="atLeast"/>
              <w:jc w:val="center"/>
              <w:rPr>
                <w:rFonts w:hint="eastAsia" w:ascii="宋体" w:hAnsi="宋体" w:eastAsia="宋体" w:cs="宋体"/>
                <w:b/>
                <w:bCs/>
                <w:color w:val="auto"/>
                <w:szCs w:val="21"/>
                <w:highlight w:val="none"/>
                <w:shd w:val="clear" w:color="auto" w:fill="auto"/>
              </w:rPr>
            </w:pPr>
            <w:r>
              <w:rPr>
                <w:rFonts w:hint="eastAsia" w:ascii="宋体" w:hAnsi="宋体" w:eastAsia="宋体" w:cs="宋体"/>
                <w:b/>
                <w:bCs/>
                <w:color w:val="auto"/>
                <w:szCs w:val="21"/>
                <w:highlight w:val="none"/>
                <w:shd w:val="clear" w:color="auto" w:fill="auto"/>
              </w:rPr>
              <w:t>（2）拟投入人员（</w:t>
            </w:r>
            <w:r>
              <w:rPr>
                <w:rFonts w:hint="eastAsia" w:ascii="宋体" w:hAnsi="宋体" w:eastAsia="宋体" w:cs="宋体"/>
                <w:b/>
                <w:bCs/>
                <w:color w:val="auto"/>
                <w:szCs w:val="21"/>
                <w:highlight w:val="none"/>
                <w:shd w:val="clear" w:color="auto" w:fill="auto"/>
                <w:lang w:eastAsia="zh-CN"/>
              </w:rPr>
              <w:t>满分</w:t>
            </w:r>
            <w:r>
              <w:rPr>
                <w:rFonts w:hint="eastAsia" w:ascii="宋体" w:hAnsi="宋体" w:cs="宋体"/>
                <w:b/>
                <w:bCs/>
                <w:color w:val="auto"/>
                <w:szCs w:val="21"/>
                <w:highlight w:val="none"/>
                <w:shd w:val="clear" w:color="auto" w:fill="auto"/>
                <w:lang w:val="en-US" w:eastAsia="zh-CN"/>
              </w:rPr>
              <w:t>8</w:t>
            </w:r>
            <w:r>
              <w:rPr>
                <w:rFonts w:hint="eastAsia" w:ascii="宋体" w:hAnsi="宋体" w:eastAsia="宋体" w:cs="宋体"/>
                <w:b/>
                <w:bCs/>
                <w:color w:val="auto"/>
                <w:szCs w:val="21"/>
                <w:highlight w:val="none"/>
                <w:shd w:val="clear" w:color="auto" w:fill="auto"/>
              </w:rPr>
              <w:t>分）</w:t>
            </w:r>
          </w:p>
        </w:tc>
        <w:tc>
          <w:tcPr>
            <w:tcW w:w="6096" w:type="dxa"/>
            <w:noWrap w:val="0"/>
            <w:vAlign w:val="top"/>
          </w:tcPr>
          <w:p w14:paraId="48B52ADA">
            <w:pPr>
              <w:spacing w:line="500" w:lineRule="exact"/>
              <w:ind w:firstLine="420" w:firstLineChars="200"/>
              <w:jc w:val="left"/>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lang w:eastAsia="zh-CN"/>
              </w:rPr>
              <w:t>投标人</w:t>
            </w:r>
            <w:r>
              <w:rPr>
                <w:rFonts w:hint="eastAsia" w:ascii="宋体" w:hAnsi="宋体" w:eastAsia="宋体" w:cs="宋体"/>
                <w:color w:val="auto"/>
                <w:szCs w:val="21"/>
                <w:highlight w:val="none"/>
                <w:shd w:val="clear" w:color="auto" w:fill="auto"/>
              </w:rPr>
              <w:t>拟投入本项目的项目实施人员</w:t>
            </w:r>
            <w:r>
              <w:rPr>
                <w:rFonts w:hint="eastAsia" w:ascii="宋体" w:hAnsi="宋体" w:cs="宋体"/>
                <w:color w:val="auto"/>
                <w:szCs w:val="21"/>
                <w:highlight w:val="none"/>
                <w:shd w:val="clear" w:color="auto" w:fill="auto"/>
                <w:lang w:val="en-US" w:eastAsia="zh-CN"/>
              </w:rPr>
              <w:t>6</w:t>
            </w:r>
            <w:r>
              <w:rPr>
                <w:rFonts w:hint="eastAsia" w:ascii="宋体" w:hAnsi="宋体" w:eastAsia="宋体" w:cs="宋体"/>
                <w:color w:val="auto"/>
                <w:szCs w:val="21"/>
                <w:highlight w:val="none"/>
                <w:shd w:val="clear" w:color="auto" w:fill="auto"/>
              </w:rPr>
              <w:t>人</w:t>
            </w:r>
            <w:r>
              <w:rPr>
                <w:rFonts w:hint="eastAsia" w:ascii="宋体" w:hAnsi="宋体" w:eastAsia="宋体" w:cs="宋体"/>
                <w:color w:val="auto"/>
                <w:szCs w:val="21"/>
                <w:highlight w:val="none"/>
                <w:shd w:val="clear" w:color="auto" w:fill="auto"/>
                <w:lang w:eastAsia="zh-CN"/>
              </w:rPr>
              <w:t>（含配送司机）</w:t>
            </w:r>
            <w:r>
              <w:rPr>
                <w:rFonts w:hint="eastAsia" w:ascii="宋体" w:hAnsi="宋体" w:eastAsia="宋体" w:cs="宋体"/>
                <w:color w:val="auto"/>
                <w:szCs w:val="21"/>
                <w:highlight w:val="none"/>
                <w:shd w:val="clear" w:color="auto" w:fill="auto"/>
              </w:rPr>
              <w:t>得</w:t>
            </w:r>
            <w:r>
              <w:rPr>
                <w:rFonts w:hint="eastAsia" w:ascii="宋体" w:hAnsi="宋体" w:cs="宋体"/>
                <w:color w:val="auto"/>
                <w:szCs w:val="21"/>
                <w:highlight w:val="none"/>
                <w:shd w:val="clear" w:color="auto" w:fill="auto"/>
                <w:lang w:val="en-US" w:eastAsia="zh-CN"/>
              </w:rPr>
              <w:t>2</w:t>
            </w:r>
            <w:r>
              <w:rPr>
                <w:rFonts w:hint="eastAsia" w:ascii="宋体" w:hAnsi="宋体" w:eastAsia="宋体" w:cs="宋体"/>
                <w:color w:val="auto"/>
                <w:szCs w:val="21"/>
                <w:highlight w:val="none"/>
                <w:shd w:val="clear" w:color="auto" w:fill="auto"/>
              </w:rPr>
              <w:t>分，每增加1人得</w:t>
            </w:r>
            <w:r>
              <w:rPr>
                <w:rFonts w:hint="eastAsia" w:ascii="宋体" w:hAnsi="宋体" w:cs="宋体"/>
                <w:color w:val="auto"/>
                <w:szCs w:val="21"/>
                <w:highlight w:val="none"/>
                <w:shd w:val="clear" w:color="auto" w:fill="auto"/>
                <w:lang w:val="en-US" w:eastAsia="zh-CN"/>
              </w:rPr>
              <w:t>0.5</w:t>
            </w:r>
            <w:r>
              <w:rPr>
                <w:rFonts w:hint="eastAsia" w:ascii="宋体" w:hAnsi="宋体" w:eastAsia="宋体" w:cs="宋体"/>
                <w:color w:val="auto"/>
                <w:szCs w:val="21"/>
                <w:highlight w:val="none"/>
                <w:shd w:val="clear" w:color="auto" w:fill="auto"/>
              </w:rPr>
              <w:t>分，满分</w:t>
            </w:r>
            <w:r>
              <w:rPr>
                <w:rFonts w:hint="eastAsia" w:ascii="宋体" w:hAnsi="宋体" w:cs="宋体"/>
                <w:color w:val="auto"/>
                <w:szCs w:val="21"/>
                <w:highlight w:val="none"/>
                <w:shd w:val="clear" w:color="auto" w:fill="auto"/>
                <w:lang w:val="en-US" w:eastAsia="zh-CN"/>
              </w:rPr>
              <w:t>8</w:t>
            </w:r>
            <w:r>
              <w:rPr>
                <w:rFonts w:hint="eastAsia" w:ascii="宋体" w:hAnsi="宋体" w:eastAsia="宋体" w:cs="宋体"/>
                <w:color w:val="auto"/>
                <w:szCs w:val="21"/>
                <w:highlight w:val="none"/>
                <w:shd w:val="clear" w:color="auto" w:fill="auto"/>
              </w:rPr>
              <w:t>分。</w:t>
            </w:r>
          </w:p>
          <w:p w14:paraId="2A4A304A">
            <w:pPr>
              <w:spacing w:line="500" w:lineRule="exact"/>
              <w:ind w:firstLine="422" w:firstLineChars="200"/>
              <w:jc w:val="left"/>
              <w:rPr>
                <w:rFonts w:hint="eastAsia" w:ascii="宋体" w:hAnsi="宋体" w:eastAsia="宋体" w:cs="宋体"/>
                <w:color w:val="auto"/>
                <w:szCs w:val="21"/>
                <w:highlight w:val="none"/>
                <w:shd w:val="clear" w:color="auto" w:fill="auto"/>
              </w:rPr>
            </w:pPr>
            <w:r>
              <w:rPr>
                <w:rFonts w:hint="eastAsia" w:ascii="宋体" w:hAnsi="宋体" w:eastAsia="宋体" w:cs="宋体"/>
                <w:b/>
                <w:bCs/>
                <w:color w:val="auto"/>
                <w:szCs w:val="21"/>
                <w:highlight w:val="none"/>
                <w:shd w:val="clear" w:color="auto" w:fill="auto"/>
              </w:rPr>
              <w:t>注：投标文件须附企业与拟投入人员签订的劳动合同扫描件 （或其他证明其为供应商单位员工证明材料）、身份证扫描件、有效的健康证扫描件；拟投入配送司机有效的健康证扫描件、身份证扫描件、驾驶证扫描件及劳动合同扫描件（或其他证明其为供应商单位员工证明材料）。</w:t>
            </w:r>
          </w:p>
        </w:tc>
      </w:tr>
      <w:tr w14:paraId="49A51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562" w:type="dxa"/>
            <w:vMerge w:val="continue"/>
            <w:noWrap w:val="0"/>
            <w:vAlign w:val="center"/>
          </w:tcPr>
          <w:p w14:paraId="00F1212D">
            <w:pPr>
              <w:snapToGrid w:val="0"/>
              <w:spacing w:line="360" w:lineRule="atLeast"/>
              <w:jc w:val="center"/>
              <w:rPr>
                <w:rFonts w:hint="eastAsia" w:ascii="宋体" w:hAnsi="宋体" w:eastAsia="宋体" w:cs="宋体"/>
                <w:color w:val="auto"/>
                <w:sz w:val="24"/>
                <w:highlight w:val="none"/>
                <w:shd w:val="clear" w:color="auto" w:fill="auto"/>
                <w:lang w:val="en-US" w:eastAsia="zh-CN"/>
              </w:rPr>
            </w:pPr>
          </w:p>
        </w:tc>
        <w:tc>
          <w:tcPr>
            <w:tcW w:w="1585" w:type="dxa"/>
            <w:vMerge w:val="continue"/>
            <w:noWrap w:val="0"/>
            <w:vAlign w:val="center"/>
          </w:tcPr>
          <w:p w14:paraId="0E2A7242">
            <w:pPr>
              <w:snapToGrid w:val="0"/>
              <w:spacing w:line="360" w:lineRule="atLeast"/>
              <w:jc w:val="center"/>
              <w:rPr>
                <w:rFonts w:hint="eastAsia" w:ascii="宋体" w:hAnsi="宋体" w:eastAsia="宋体" w:cs="宋体"/>
                <w:bCs/>
                <w:color w:val="auto"/>
                <w:kern w:val="0"/>
                <w:sz w:val="21"/>
                <w:szCs w:val="21"/>
                <w:highlight w:val="none"/>
                <w:shd w:val="clear" w:color="auto" w:fill="auto"/>
                <w:lang w:val="en-US" w:eastAsia="zh-CN" w:bidi="ar-SA"/>
              </w:rPr>
            </w:pPr>
          </w:p>
        </w:tc>
        <w:tc>
          <w:tcPr>
            <w:tcW w:w="1520" w:type="dxa"/>
            <w:noWrap w:val="0"/>
            <w:vAlign w:val="center"/>
          </w:tcPr>
          <w:p w14:paraId="31A4F419">
            <w:pPr>
              <w:snapToGrid w:val="0"/>
              <w:spacing w:line="360" w:lineRule="atLeast"/>
              <w:jc w:val="center"/>
              <w:rPr>
                <w:rFonts w:hint="eastAsia" w:ascii="宋体" w:hAnsi="宋体" w:eastAsia="宋体" w:cs="宋体"/>
                <w:bCs/>
                <w:color w:val="auto"/>
                <w:kern w:val="0"/>
                <w:sz w:val="21"/>
                <w:szCs w:val="21"/>
                <w:highlight w:val="none"/>
                <w:shd w:val="clear" w:color="auto" w:fill="auto"/>
                <w:lang w:val="en-US" w:eastAsia="zh-CN" w:bidi="ar-SA"/>
              </w:rPr>
            </w:pPr>
            <w:r>
              <w:rPr>
                <w:rFonts w:hint="eastAsia" w:ascii="宋体" w:hAnsi="宋体" w:eastAsia="宋体" w:cs="宋体"/>
                <w:b/>
                <w:bCs/>
                <w:color w:val="auto"/>
                <w:szCs w:val="21"/>
                <w:highlight w:val="none"/>
                <w:shd w:val="clear" w:color="auto" w:fill="auto"/>
              </w:rPr>
              <w:t>（3）</w:t>
            </w:r>
            <w:r>
              <w:rPr>
                <w:rFonts w:hint="eastAsia" w:ascii="宋体" w:hAnsi="宋体" w:cs="宋体"/>
                <w:b/>
                <w:bCs/>
                <w:color w:val="auto"/>
                <w:szCs w:val="21"/>
                <w:highlight w:val="none"/>
                <w:shd w:val="clear" w:color="auto" w:fill="auto"/>
                <w:lang w:val="en-US" w:eastAsia="zh-CN"/>
              </w:rPr>
              <w:t>配送</w:t>
            </w:r>
            <w:r>
              <w:rPr>
                <w:rFonts w:hint="eastAsia" w:ascii="宋体" w:hAnsi="宋体" w:eastAsia="宋体" w:cs="宋体"/>
                <w:b/>
                <w:bCs/>
                <w:color w:val="auto"/>
                <w:szCs w:val="21"/>
                <w:highlight w:val="none"/>
                <w:shd w:val="clear" w:color="auto" w:fill="auto"/>
              </w:rPr>
              <w:t>场所（</w:t>
            </w:r>
            <w:r>
              <w:rPr>
                <w:rFonts w:hint="eastAsia" w:ascii="宋体" w:hAnsi="宋体" w:eastAsia="宋体" w:cs="宋体"/>
                <w:b/>
                <w:bCs/>
                <w:color w:val="auto"/>
                <w:szCs w:val="21"/>
                <w:highlight w:val="none"/>
                <w:shd w:val="clear" w:color="auto" w:fill="auto"/>
                <w:lang w:eastAsia="zh-CN"/>
              </w:rPr>
              <w:t>满分</w:t>
            </w:r>
            <w:r>
              <w:rPr>
                <w:rFonts w:hint="eastAsia" w:ascii="宋体" w:hAnsi="宋体" w:cs="宋体"/>
                <w:b/>
                <w:bCs/>
                <w:color w:val="auto"/>
                <w:szCs w:val="21"/>
                <w:highlight w:val="none"/>
                <w:shd w:val="clear" w:color="auto" w:fill="auto"/>
                <w:lang w:val="en-US" w:eastAsia="zh-CN"/>
              </w:rPr>
              <w:t>8</w:t>
            </w:r>
            <w:r>
              <w:rPr>
                <w:rFonts w:hint="eastAsia" w:ascii="宋体" w:hAnsi="宋体" w:eastAsia="宋体" w:cs="宋体"/>
                <w:b/>
                <w:bCs/>
                <w:color w:val="auto"/>
                <w:szCs w:val="21"/>
                <w:highlight w:val="none"/>
                <w:shd w:val="clear" w:color="auto" w:fill="auto"/>
              </w:rPr>
              <w:t>分）</w:t>
            </w:r>
          </w:p>
        </w:tc>
        <w:tc>
          <w:tcPr>
            <w:tcW w:w="6096" w:type="dxa"/>
            <w:noWrap w:val="0"/>
            <w:vAlign w:val="top"/>
          </w:tcPr>
          <w:p w14:paraId="3CD9CBC9">
            <w:pPr>
              <w:keepNext w:val="0"/>
              <w:keepLines w:val="0"/>
              <w:pageBreakBefore w:val="0"/>
              <w:widowControl/>
              <w:kinsoku w:val="0"/>
              <w:wordWrap/>
              <w:overflowPunct/>
              <w:topLinePunct w:val="0"/>
              <w:autoSpaceDE w:val="0"/>
              <w:autoSpaceDN w:val="0"/>
              <w:bidi w:val="0"/>
              <w:adjustRightInd w:val="0"/>
              <w:snapToGrid w:val="0"/>
              <w:spacing w:line="400" w:lineRule="exact"/>
              <w:ind w:firstLine="420" w:firstLineChars="200"/>
              <w:jc w:val="both"/>
              <w:textAlignment w:val="baseline"/>
              <w:rPr>
                <w:rFonts w:hint="eastAsia" w:asciiTheme="minorEastAsia" w:hAnsiTheme="minorEastAsia" w:eastAsiaTheme="minorEastAsia" w:cstheme="minorEastAsia"/>
                <w:color w:val="auto"/>
                <w:spacing w:val="0"/>
                <w:sz w:val="21"/>
                <w:szCs w:val="21"/>
                <w:highlight w:val="none"/>
                <w:lang w:val="en-US" w:eastAsia="zh-CN" w:bidi="ar-SA"/>
              </w:rPr>
            </w:pPr>
            <w:r>
              <w:rPr>
                <w:rFonts w:hint="eastAsia" w:asciiTheme="minorEastAsia" w:hAnsiTheme="minorEastAsia" w:eastAsiaTheme="minorEastAsia" w:cstheme="minorEastAsia"/>
                <w:color w:val="auto"/>
                <w:spacing w:val="0"/>
                <w:sz w:val="21"/>
                <w:szCs w:val="21"/>
                <w:highlight w:val="none"/>
                <w:lang w:val="en-US" w:eastAsia="zh-CN"/>
              </w:rPr>
              <w:t>投入</w:t>
            </w:r>
            <w:r>
              <w:rPr>
                <w:rFonts w:hint="eastAsia" w:asciiTheme="minorEastAsia" w:hAnsiTheme="minorEastAsia" w:eastAsiaTheme="minorEastAsia" w:cstheme="minorEastAsia"/>
                <w:color w:val="auto"/>
                <w:spacing w:val="0"/>
                <w:sz w:val="21"/>
                <w:szCs w:val="21"/>
                <w:highlight w:val="none"/>
                <w:lang w:eastAsia="zh-CN"/>
              </w:rPr>
              <w:t>本项目</w:t>
            </w:r>
            <w:r>
              <w:rPr>
                <w:rFonts w:hint="eastAsia" w:asciiTheme="minorEastAsia" w:hAnsiTheme="minorEastAsia" w:eastAsiaTheme="minorEastAsia" w:cstheme="minorEastAsia"/>
                <w:color w:val="auto"/>
                <w:spacing w:val="0"/>
                <w:sz w:val="21"/>
                <w:szCs w:val="21"/>
                <w:highlight w:val="none"/>
              </w:rPr>
              <w:t>配送</w:t>
            </w:r>
            <w:r>
              <w:rPr>
                <w:rFonts w:hint="eastAsia" w:asciiTheme="minorEastAsia" w:hAnsiTheme="minorEastAsia" w:eastAsiaTheme="minorEastAsia" w:cstheme="minorEastAsia"/>
                <w:color w:val="auto"/>
                <w:spacing w:val="0"/>
                <w:sz w:val="21"/>
                <w:szCs w:val="21"/>
                <w:highlight w:val="none"/>
                <w:lang w:val="en-US" w:eastAsia="zh-CN"/>
              </w:rPr>
              <w:t>场所</w:t>
            </w:r>
            <w:r>
              <w:rPr>
                <w:rFonts w:hint="eastAsia" w:asciiTheme="minorEastAsia" w:hAnsiTheme="minorEastAsia" w:eastAsiaTheme="minorEastAsia" w:cstheme="minorEastAsia"/>
                <w:color w:val="auto"/>
                <w:spacing w:val="0"/>
                <w:sz w:val="21"/>
                <w:szCs w:val="21"/>
                <w:highlight w:val="none"/>
              </w:rPr>
              <w:t>满足招标</w:t>
            </w:r>
            <w:r>
              <w:rPr>
                <w:rFonts w:hint="eastAsia" w:asciiTheme="minorEastAsia" w:hAnsiTheme="minorEastAsia" w:eastAsiaTheme="minorEastAsia" w:cstheme="minorEastAsia"/>
                <w:color w:val="auto"/>
                <w:spacing w:val="0"/>
                <w:sz w:val="21"/>
                <w:szCs w:val="21"/>
                <w:highlight w:val="none"/>
                <w:lang w:val="en-US" w:eastAsia="zh-CN"/>
              </w:rPr>
              <w:t>文件配送场所功能要求，且</w:t>
            </w:r>
            <w:r>
              <w:rPr>
                <w:rFonts w:hint="eastAsia" w:ascii="宋体" w:hAnsi="宋体" w:cs="宋体"/>
                <w:b w:val="0"/>
                <w:bCs w:val="0"/>
                <w:color w:val="auto"/>
                <w:szCs w:val="21"/>
                <w:highlight w:val="none"/>
                <w:shd w:val="clear" w:color="auto" w:fill="auto"/>
                <w:lang w:val="en-US" w:eastAsia="zh-CN"/>
              </w:rPr>
              <w:t>符合卫生标准，交通便利、通风透光，有办公室、快检室、</w:t>
            </w:r>
            <w:r>
              <w:rPr>
                <w:rFonts w:hint="eastAsia" w:asciiTheme="minorEastAsia" w:hAnsiTheme="minorEastAsia" w:eastAsiaTheme="minorEastAsia" w:cstheme="minorEastAsia"/>
                <w:color w:val="auto"/>
                <w:spacing w:val="0"/>
                <w:sz w:val="21"/>
                <w:szCs w:val="21"/>
                <w:highlight w:val="none"/>
                <w:lang w:val="en-US" w:eastAsia="zh-CN"/>
              </w:rPr>
              <w:t>食品</w:t>
            </w:r>
            <w:r>
              <w:rPr>
                <w:rFonts w:hint="eastAsia" w:ascii="宋体" w:hAnsi="宋体" w:cs="宋体"/>
                <w:b w:val="0"/>
                <w:bCs w:val="0"/>
                <w:color w:val="auto"/>
                <w:szCs w:val="21"/>
                <w:highlight w:val="none"/>
                <w:shd w:val="clear" w:color="auto" w:fill="auto"/>
                <w:lang w:val="en-US" w:eastAsia="zh-CN"/>
              </w:rPr>
              <w:t>仓库、</w:t>
            </w:r>
            <w:r>
              <w:rPr>
                <w:rFonts w:hint="eastAsia" w:asciiTheme="minorEastAsia" w:hAnsiTheme="minorEastAsia" w:eastAsiaTheme="minorEastAsia" w:cstheme="minorEastAsia"/>
                <w:color w:val="auto"/>
                <w:spacing w:val="0"/>
                <w:sz w:val="21"/>
                <w:szCs w:val="21"/>
                <w:highlight w:val="none"/>
                <w:lang w:val="en-US" w:eastAsia="zh-CN"/>
              </w:rPr>
              <w:t>加工生产车间、</w:t>
            </w:r>
            <w:r>
              <w:rPr>
                <w:rFonts w:hint="eastAsia" w:ascii="宋体" w:hAnsi="宋体" w:cs="宋体"/>
                <w:b w:val="0"/>
                <w:bCs w:val="0"/>
                <w:color w:val="auto"/>
                <w:szCs w:val="21"/>
                <w:highlight w:val="none"/>
                <w:shd w:val="clear" w:color="auto" w:fill="auto"/>
                <w:lang w:val="en-US" w:eastAsia="zh-CN"/>
              </w:rPr>
              <w:t>冷藏室（含冷冻室）</w:t>
            </w:r>
            <w:r>
              <w:rPr>
                <w:rFonts w:hint="eastAsia" w:asciiTheme="minorEastAsia" w:hAnsiTheme="minorEastAsia" w:eastAsiaTheme="minorEastAsia" w:cstheme="minorEastAsia"/>
                <w:color w:val="auto"/>
                <w:spacing w:val="0"/>
                <w:sz w:val="21"/>
                <w:szCs w:val="21"/>
                <w:highlight w:val="none"/>
                <w:lang w:val="en-US" w:eastAsia="zh-CN"/>
              </w:rPr>
              <w:t>和其他办公用房</w:t>
            </w:r>
            <w:r>
              <w:rPr>
                <w:rFonts w:hint="eastAsia" w:ascii="宋体" w:hAnsi="宋体" w:cs="宋体"/>
                <w:b w:val="0"/>
                <w:bCs w:val="0"/>
                <w:color w:val="auto"/>
                <w:szCs w:val="21"/>
                <w:highlight w:val="none"/>
                <w:shd w:val="clear" w:color="auto" w:fill="auto"/>
                <w:lang w:val="en-US" w:eastAsia="zh-CN"/>
              </w:rPr>
              <w:t>的，</w:t>
            </w:r>
            <w:r>
              <w:rPr>
                <w:rFonts w:hint="eastAsia" w:asciiTheme="minorEastAsia" w:hAnsiTheme="minorEastAsia" w:eastAsiaTheme="minorEastAsia" w:cstheme="minorEastAsia"/>
                <w:color w:val="auto"/>
                <w:spacing w:val="0"/>
                <w:sz w:val="21"/>
                <w:szCs w:val="21"/>
                <w:highlight w:val="none"/>
                <w:lang w:val="en-US" w:eastAsia="zh-CN" w:bidi="ar-SA"/>
              </w:rPr>
              <w:t>得8分。</w:t>
            </w:r>
          </w:p>
          <w:p w14:paraId="19CD4C04">
            <w:pPr>
              <w:keepNext w:val="0"/>
              <w:keepLines w:val="0"/>
              <w:pageBreakBefore w:val="0"/>
              <w:widowControl/>
              <w:kinsoku w:val="0"/>
              <w:wordWrap/>
              <w:overflowPunct/>
              <w:topLinePunct w:val="0"/>
              <w:autoSpaceDE w:val="0"/>
              <w:autoSpaceDN w:val="0"/>
              <w:bidi w:val="0"/>
              <w:adjustRightInd w:val="0"/>
              <w:snapToGrid w:val="0"/>
              <w:spacing w:line="400" w:lineRule="exact"/>
              <w:ind w:firstLine="420" w:firstLineChars="200"/>
              <w:jc w:val="both"/>
              <w:textAlignment w:val="baseline"/>
              <w:rPr>
                <w:rFonts w:hint="eastAsia" w:ascii="宋体" w:hAnsi="宋体" w:eastAsia="宋体" w:cs="宋体"/>
                <w:bCs/>
                <w:color w:val="auto"/>
                <w:kern w:val="0"/>
                <w:sz w:val="21"/>
                <w:szCs w:val="21"/>
                <w:highlight w:val="none"/>
                <w:shd w:val="clear" w:color="auto" w:fill="auto"/>
                <w:lang w:val="en-US" w:eastAsia="zh-CN" w:bidi="ar-SA"/>
              </w:rPr>
            </w:pPr>
            <w:r>
              <w:rPr>
                <w:rFonts w:hint="eastAsia" w:asciiTheme="minorEastAsia" w:hAnsiTheme="minorEastAsia" w:eastAsiaTheme="minorEastAsia" w:cstheme="minorEastAsia"/>
                <w:color w:val="auto"/>
                <w:spacing w:val="0"/>
                <w:sz w:val="21"/>
                <w:szCs w:val="21"/>
                <w:highlight w:val="none"/>
                <w:lang w:val="en-US" w:eastAsia="zh-CN"/>
              </w:rPr>
              <w:t>【注：涉及到场地的证明材料，投标文件需提供“（一）投标人从现有场地中投入本项目使用的提供：</w:t>
            </w:r>
            <w:r>
              <w:rPr>
                <w:rFonts w:hint="eastAsia" w:ascii="宋体" w:hAnsi="宋体" w:eastAsia="宋体" w:cs="宋体"/>
                <w:b/>
                <w:bCs/>
                <w:color w:val="auto"/>
                <w:szCs w:val="21"/>
                <w:highlight w:val="none"/>
                <w:shd w:val="clear" w:color="auto" w:fill="auto"/>
                <w:lang w:val="en-US" w:eastAsia="zh-CN"/>
              </w:rPr>
              <w:t>①</w:t>
            </w:r>
            <w:r>
              <w:rPr>
                <w:rFonts w:hint="eastAsia" w:asciiTheme="minorEastAsia" w:hAnsiTheme="minorEastAsia" w:eastAsiaTheme="minorEastAsia" w:cstheme="minorEastAsia"/>
                <w:color w:val="auto"/>
                <w:spacing w:val="0"/>
                <w:sz w:val="21"/>
                <w:szCs w:val="21"/>
                <w:highlight w:val="none"/>
                <w:lang w:val="en-US" w:eastAsia="zh-CN"/>
              </w:rPr>
              <w:t>配送场所可自有或租赁：属自有的需提供土地权属证</w:t>
            </w:r>
            <w:r>
              <w:rPr>
                <w:rFonts w:hint="eastAsia" w:asciiTheme="minorEastAsia" w:hAnsiTheme="minorEastAsia" w:eastAsiaTheme="minorEastAsia" w:cstheme="minorEastAsia"/>
                <w:color w:val="auto"/>
                <w:spacing w:val="0"/>
                <w:kern w:val="0"/>
                <w:sz w:val="21"/>
                <w:szCs w:val="21"/>
                <w:highlight w:val="none"/>
                <w:lang w:val="en-US" w:eastAsia="zh-CN" w:bidi="ar-SA"/>
              </w:rPr>
              <w:t>明或不动产权证明材料</w:t>
            </w:r>
            <w:r>
              <w:rPr>
                <w:rFonts w:hint="eastAsia" w:asciiTheme="minorEastAsia" w:hAnsiTheme="minorEastAsia" w:eastAsiaTheme="minorEastAsia" w:cstheme="minorEastAsia"/>
                <w:color w:val="auto"/>
                <w:spacing w:val="0"/>
                <w:sz w:val="21"/>
                <w:szCs w:val="21"/>
                <w:highlight w:val="none"/>
                <w:lang w:val="en-US" w:eastAsia="zh-CN"/>
              </w:rPr>
              <w:t>扫描件</w:t>
            </w:r>
            <w:r>
              <w:rPr>
                <w:rFonts w:hint="eastAsia" w:asciiTheme="minorEastAsia" w:hAnsiTheme="minorEastAsia" w:eastAsiaTheme="minorEastAsia" w:cstheme="minorEastAsia"/>
                <w:color w:val="auto"/>
                <w:spacing w:val="0"/>
                <w:kern w:val="0"/>
                <w:sz w:val="21"/>
                <w:szCs w:val="21"/>
                <w:highlight w:val="none"/>
                <w:lang w:val="en-US" w:eastAsia="zh-CN" w:bidi="ar-SA"/>
              </w:rPr>
              <w:t>及配送</w:t>
            </w:r>
            <w:r>
              <w:rPr>
                <w:rFonts w:hint="eastAsia" w:asciiTheme="minorEastAsia" w:hAnsiTheme="minorEastAsia" w:eastAsiaTheme="minorEastAsia" w:cstheme="minorEastAsia"/>
                <w:color w:val="auto"/>
                <w:spacing w:val="0"/>
                <w:sz w:val="21"/>
                <w:szCs w:val="21"/>
                <w:highlight w:val="none"/>
                <w:lang w:val="en-US" w:eastAsia="zh-CN"/>
              </w:rPr>
              <w:t>场所</w:t>
            </w:r>
            <w:r>
              <w:rPr>
                <w:rFonts w:hint="eastAsia" w:asciiTheme="minorEastAsia" w:hAnsiTheme="minorEastAsia" w:eastAsiaTheme="minorEastAsia" w:cstheme="minorEastAsia"/>
                <w:color w:val="auto"/>
                <w:spacing w:val="0"/>
                <w:kern w:val="0"/>
                <w:sz w:val="21"/>
                <w:szCs w:val="21"/>
                <w:highlight w:val="none"/>
                <w:lang w:val="en-US" w:eastAsia="zh-CN" w:bidi="ar-SA"/>
              </w:rPr>
              <w:t>平面图；属租赁的，除提供土地权属证明或不动</w:t>
            </w:r>
            <w:r>
              <w:rPr>
                <w:rFonts w:hint="eastAsia" w:asciiTheme="minorEastAsia" w:hAnsiTheme="minorEastAsia" w:eastAsiaTheme="minorEastAsia" w:cstheme="minorEastAsia"/>
                <w:color w:val="auto"/>
                <w:spacing w:val="0"/>
                <w:sz w:val="21"/>
                <w:szCs w:val="21"/>
                <w:highlight w:val="none"/>
                <w:lang w:val="en-US" w:eastAsia="zh-CN"/>
              </w:rPr>
              <w:t>产权证明材料复印件及配送场所平面图外，还需提供租赁合同扫描件。</w:t>
            </w:r>
            <w:r>
              <w:rPr>
                <w:rFonts w:hint="eastAsia" w:ascii="宋体" w:hAnsi="宋体" w:eastAsia="宋体" w:cs="宋体"/>
                <w:b/>
                <w:bCs/>
                <w:color w:val="auto"/>
                <w:szCs w:val="21"/>
                <w:highlight w:val="none"/>
                <w:shd w:val="clear" w:color="auto" w:fill="auto"/>
                <w:lang w:val="en-US" w:eastAsia="zh-CN"/>
              </w:rPr>
              <w:t>②</w:t>
            </w:r>
            <w:r>
              <w:rPr>
                <w:rFonts w:hint="eastAsia" w:asciiTheme="minorEastAsia" w:hAnsiTheme="minorEastAsia" w:eastAsiaTheme="minorEastAsia" w:cstheme="minorEastAsia"/>
                <w:color w:val="auto"/>
                <w:spacing w:val="0"/>
                <w:sz w:val="21"/>
                <w:szCs w:val="21"/>
                <w:highlight w:val="none"/>
                <w:lang w:val="en-US" w:eastAsia="zh-CN"/>
              </w:rPr>
              <w:t>配送场所至少包含办公室、检测室、食品仓库、加工生产车间、</w:t>
            </w:r>
            <w:r>
              <w:rPr>
                <w:rFonts w:hint="eastAsia" w:ascii="宋体" w:hAnsi="宋体" w:cs="宋体"/>
                <w:b w:val="0"/>
                <w:bCs w:val="0"/>
                <w:color w:val="auto"/>
                <w:szCs w:val="21"/>
                <w:highlight w:val="none"/>
                <w:shd w:val="clear" w:color="auto" w:fill="auto"/>
                <w:lang w:val="en-US" w:eastAsia="zh-CN"/>
              </w:rPr>
              <w:t>冷藏室（含冷冻室）</w:t>
            </w:r>
            <w:r>
              <w:rPr>
                <w:rFonts w:hint="eastAsia" w:asciiTheme="minorEastAsia" w:hAnsiTheme="minorEastAsia" w:eastAsiaTheme="minorEastAsia" w:cstheme="minorEastAsia"/>
                <w:color w:val="auto"/>
                <w:spacing w:val="0"/>
                <w:sz w:val="21"/>
                <w:szCs w:val="21"/>
                <w:highlight w:val="none"/>
                <w:lang w:val="en-US" w:eastAsia="zh-CN"/>
              </w:rPr>
              <w:t>和其他办公用房等（提供各个区域现场照片）。</w:t>
            </w:r>
            <w:r>
              <w:rPr>
                <w:rFonts w:hint="eastAsia" w:ascii="宋体" w:hAnsi="宋体" w:eastAsia="宋体" w:cs="宋体"/>
                <w:b/>
                <w:bCs/>
                <w:color w:val="auto"/>
                <w:szCs w:val="21"/>
                <w:highlight w:val="none"/>
                <w:shd w:val="clear" w:color="auto" w:fill="auto"/>
                <w:lang w:val="en-US" w:eastAsia="zh-CN"/>
              </w:rPr>
              <w:t>③</w:t>
            </w:r>
            <w:r>
              <w:rPr>
                <w:rFonts w:hint="eastAsia" w:ascii="宋体" w:hAnsi="宋体" w:cs="宋体"/>
                <w:b w:val="0"/>
                <w:bCs w:val="0"/>
                <w:color w:val="auto"/>
                <w:szCs w:val="21"/>
                <w:highlight w:val="none"/>
                <w:shd w:val="clear" w:color="auto" w:fill="auto"/>
                <w:lang w:val="en-US" w:eastAsia="zh-CN"/>
              </w:rPr>
              <w:t>冷藏室（含冷冻室）</w:t>
            </w:r>
            <w:r>
              <w:rPr>
                <w:rFonts w:hint="eastAsia" w:asciiTheme="minorEastAsia" w:hAnsiTheme="minorEastAsia" w:eastAsiaTheme="minorEastAsia" w:cstheme="minorEastAsia"/>
                <w:color w:val="auto"/>
                <w:spacing w:val="0"/>
                <w:sz w:val="21"/>
                <w:szCs w:val="21"/>
                <w:highlight w:val="none"/>
                <w:lang w:val="en-US" w:eastAsia="zh-CN"/>
              </w:rPr>
              <w:t>制冷设备采购发票（或冷库建设安装合同）扫描件”或（二）“投标人承诺在中标前或中标后建立相应面积配送场所的，投标文件中提供相应承诺函”。由采购单位组织进行考察核实投入场地情况，未能按承诺建立的将取消其中标资格。】</w:t>
            </w:r>
            <w:r>
              <w:rPr>
                <w:rFonts w:hint="eastAsia" w:ascii="宋体" w:hAnsi="宋体" w:cs="宋体"/>
                <w:b/>
                <w:bCs/>
                <w:color w:val="auto"/>
                <w:szCs w:val="21"/>
                <w:highlight w:val="none"/>
                <w:shd w:val="clear" w:color="auto" w:fill="auto"/>
                <w:lang w:val="en-US" w:eastAsia="zh-CN"/>
              </w:rPr>
              <w:t>配送</w:t>
            </w:r>
            <w:r>
              <w:rPr>
                <w:rFonts w:hint="eastAsia" w:ascii="宋体" w:hAnsi="宋体" w:eastAsia="宋体" w:cs="宋体"/>
                <w:b/>
                <w:bCs/>
                <w:color w:val="auto"/>
                <w:szCs w:val="21"/>
                <w:highlight w:val="none"/>
                <w:shd w:val="clear" w:color="auto" w:fill="auto"/>
              </w:rPr>
              <w:t>场所</w:t>
            </w:r>
            <w:r>
              <w:rPr>
                <w:rFonts w:hint="eastAsia" w:ascii="宋体" w:hAnsi="宋体" w:cs="宋体"/>
                <w:b/>
                <w:bCs/>
                <w:color w:val="auto"/>
                <w:szCs w:val="21"/>
                <w:highlight w:val="none"/>
                <w:shd w:val="clear" w:color="auto" w:fill="auto"/>
                <w:lang w:val="en-US" w:eastAsia="zh-CN"/>
              </w:rPr>
              <w:t>未按评分要求提供的不计分</w:t>
            </w:r>
            <w:r>
              <w:rPr>
                <w:rFonts w:hint="eastAsia" w:ascii="宋体" w:hAnsi="宋体" w:eastAsia="宋体" w:cs="宋体"/>
                <w:b/>
                <w:bCs/>
                <w:color w:val="auto"/>
                <w:szCs w:val="21"/>
                <w:highlight w:val="none"/>
                <w:shd w:val="clear" w:color="auto" w:fill="auto"/>
                <w:lang w:val="en-US" w:eastAsia="zh-CN"/>
              </w:rPr>
              <w:t>。</w:t>
            </w:r>
          </w:p>
        </w:tc>
      </w:tr>
      <w:tr w14:paraId="61EB3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562" w:type="dxa"/>
            <w:vMerge w:val="continue"/>
            <w:noWrap w:val="0"/>
            <w:vAlign w:val="center"/>
          </w:tcPr>
          <w:p w14:paraId="6D2B1777">
            <w:pPr>
              <w:snapToGrid w:val="0"/>
              <w:spacing w:line="360" w:lineRule="atLeast"/>
              <w:jc w:val="center"/>
              <w:rPr>
                <w:rFonts w:hint="eastAsia" w:ascii="宋体" w:hAnsi="宋体" w:eastAsia="宋体" w:cs="宋体"/>
                <w:color w:val="auto"/>
                <w:sz w:val="24"/>
                <w:highlight w:val="none"/>
                <w:shd w:val="clear" w:color="auto" w:fill="auto"/>
                <w:lang w:val="en-US" w:eastAsia="zh-CN"/>
              </w:rPr>
            </w:pPr>
          </w:p>
        </w:tc>
        <w:tc>
          <w:tcPr>
            <w:tcW w:w="1585" w:type="dxa"/>
            <w:vMerge w:val="continue"/>
            <w:noWrap w:val="0"/>
            <w:vAlign w:val="center"/>
          </w:tcPr>
          <w:p w14:paraId="14D8733C">
            <w:pPr>
              <w:snapToGrid w:val="0"/>
              <w:spacing w:line="360" w:lineRule="atLeast"/>
              <w:jc w:val="center"/>
              <w:rPr>
                <w:rFonts w:hint="eastAsia" w:ascii="宋体" w:hAnsi="宋体" w:eastAsia="宋体" w:cs="宋体"/>
                <w:bCs/>
                <w:color w:val="auto"/>
                <w:kern w:val="0"/>
                <w:sz w:val="21"/>
                <w:szCs w:val="21"/>
                <w:highlight w:val="none"/>
                <w:shd w:val="clear" w:color="auto" w:fill="auto"/>
                <w:lang w:val="en-US" w:eastAsia="zh-CN" w:bidi="ar-SA"/>
              </w:rPr>
            </w:pPr>
          </w:p>
        </w:tc>
        <w:tc>
          <w:tcPr>
            <w:tcW w:w="1520" w:type="dxa"/>
            <w:noWrap w:val="0"/>
            <w:vAlign w:val="center"/>
          </w:tcPr>
          <w:p w14:paraId="09C88130">
            <w:pPr>
              <w:snapToGrid w:val="0"/>
              <w:spacing w:line="360" w:lineRule="atLeast"/>
              <w:jc w:val="center"/>
              <w:rPr>
                <w:rFonts w:hint="eastAsia" w:ascii="宋体" w:hAnsi="宋体" w:eastAsia="宋体" w:cs="宋体"/>
                <w:b/>
                <w:bCs/>
                <w:color w:val="auto"/>
                <w:szCs w:val="21"/>
                <w:highlight w:val="none"/>
                <w:shd w:val="clear" w:color="auto" w:fill="auto"/>
              </w:rPr>
            </w:pPr>
            <w:r>
              <w:rPr>
                <w:rFonts w:hint="eastAsia" w:ascii="宋体" w:hAnsi="宋体" w:eastAsia="宋体" w:cs="宋体"/>
                <w:b/>
                <w:bCs/>
                <w:color w:val="auto"/>
                <w:szCs w:val="21"/>
                <w:highlight w:val="none"/>
                <w:shd w:val="clear" w:color="auto" w:fill="auto"/>
              </w:rPr>
              <w:t>（4）</w:t>
            </w:r>
            <w:r>
              <w:rPr>
                <w:rFonts w:hint="eastAsia" w:ascii="宋体" w:hAnsi="宋体" w:eastAsia="宋体" w:cs="宋体"/>
                <w:b/>
                <w:bCs/>
                <w:color w:val="auto"/>
                <w:szCs w:val="21"/>
                <w:highlight w:val="none"/>
                <w:shd w:val="clear" w:color="auto" w:fill="auto"/>
                <w:lang w:eastAsia="zh-CN"/>
              </w:rPr>
              <w:t>投标人</w:t>
            </w:r>
            <w:r>
              <w:rPr>
                <w:rFonts w:hint="eastAsia" w:ascii="宋体" w:hAnsi="宋体" w:cs="宋体"/>
                <w:b/>
                <w:bCs/>
                <w:color w:val="auto"/>
                <w:szCs w:val="21"/>
                <w:highlight w:val="none"/>
                <w:shd w:val="clear" w:color="auto" w:fill="auto"/>
                <w:lang w:val="en-US" w:eastAsia="zh-CN"/>
              </w:rPr>
              <w:t>承诺或</w:t>
            </w:r>
            <w:r>
              <w:rPr>
                <w:rFonts w:hint="eastAsia" w:ascii="宋体" w:hAnsi="宋体" w:eastAsia="宋体" w:cs="宋体"/>
                <w:b/>
                <w:bCs/>
                <w:color w:val="auto"/>
                <w:szCs w:val="21"/>
                <w:highlight w:val="none"/>
                <w:shd w:val="clear" w:color="auto" w:fill="auto"/>
              </w:rPr>
              <w:t>购买《食品安全责任保险》（有效期内）（满分</w:t>
            </w:r>
            <w:r>
              <w:rPr>
                <w:rFonts w:hint="eastAsia" w:ascii="宋体" w:hAnsi="宋体" w:cs="宋体"/>
                <w:b/>
                <w:bCs/>
                <w:color w:val="auto"/>
                <w:szCs w:val="21"/>
                <w:highlight w:val="none"/>
                <w:shd w:val="clear" w:color="auto" w:fill="auto"/>
                <w:lang w:val="en-US" w:eastAsia="zh-CN"/>
              </w:rPr>
              <w:t>3</w:t>
            </w:r>
            <w:r>
              <w:rPr>
                <w:rFonts w:hint="eastAsia" w:ascii="宋体" w:hAnsi="宋体" w:eastAsia="宋体" w:cs="宋体"/>
                <w:b/>
                <w:bCs/>
                <w:color w:val="auto"/>
                <w:szCs w:val="21"/>
                <w:highlight w:val="none"/>
                <w:shd w:val="clear" w:color="auto" w:fill="auto"/>
              </w:rPr>
              <w:t>分）</w:t>
            </w:r>
          </w:p>
        </w:tc>
        <w:tc>
          <w:tcPr>
            <w:tcW w:w="6096" w:type="dxa"/>
            <w:noWrap w:val="0"/>
            <w:vAlign w:val="top"/>
          </w:tcPr>
          <w:p w14:paraId="651C3F25">
            <w:pPr>
              <w:shd w:val="clear" w:color="auto" w:fill="auto"/>
              <w:wordWrap w:val="0"/>
              <w:spacing w:line="460" w:lineRule="exact"/>
              <w:ind w:firstLine="422" w:firstLineChars="200"/>
              <w:jc w:val="left"/>
              <w:rPr>
                <w:rFonts w:hint="eastAsia" w:ascii="宋体" w:hAnsi="宋体" w:eastAsia="宋体" w:cs="宋体"/>
                <w:b/>
                <w:bCs/>
                <w:color w:val="auto"/>
                <w:szCs w:val="21"/>
                <w:highlight w:val="none"/>
                <w:shd w:val="clear" w:color="auto" w:fill="auto"/>
              </w:rPr>
            </w:pPr>
            <w:r>
              <w:rPr>
                <w:rFonts w:hint="eastAsia" w:ascii="宋体" w:hAnsi="宋体" w:eastAsia="宋体" w:cs="宋体"/>
                <w:b/>
                <w:bCs/>
                <w:color w:val="auto"/>
                <w:szCs w:val="21"/>
                <w:highlight w:val="none"/>
                <w:shd w:val="clear" w:color="auto" w:fill="auto"/>
              </w:rPr>
              <w:t>一档（</w:t>
            </w:r>
            <w:r>
              <w:rPr>
                <w:rFonts w:hint="eastAsia" w:ascii="宋体" w:hAnsi="宋体" w:eastAsia="宋体" w:cs="宋体"/>
                <w:b/>
                <w:bCs/>
                <w:color w:val="auto"/>
                <w:szCs w:val="21"/>
                <w:highlight w:val="none"/>
                <w:shd w:val="clear" w:color="auto" w:fill="auto"/>
                <w:lang w:val="en-US" w:eastAsia="zh-CN"/>
              </w:rPr>
              <w:t>0</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b w:val="0"/>
                <w:bCs w:val="0"/>
                <w:color w:val="auto"/>
                <w:szCs w:val="21"/>
                <w:highlight w:val="none"/>
                <w:shd w:val="clear" w:color="auto" w:fill="auto"/>
              </w:rPr>
              <w:t>：</w:t>
            </w:r>
            <w:r>
              <w:rPr>
                <w:rFonts w:hint="eastAsia" w:ascii="宋体" w:hAnsi="宋体" w:eastAsia="宋体" w:cs="宋体"/>
                <w:b w:val="0"/>
                <w:bCs w:val="0"/>
                <w:color w:val="auto"/>
                <w:szCs w:val="21"/>
                <w:highlight w:val="none"/>
                <w:shd w:val="clear" w:color="auto" w:fill="auto"/>
                <w:lang w:eastAsia="zh-CN"/>
              </w:rPr>
              <w:t>投标人</w:t>
            </w:r>
            <w:r>
              <w:rPr>
                <w:rFonts w:hint="eastAsia" w:ascii="宋体" w:hAnsi="宋体" w:eastAsia="宋体" w:cs="宋体"/>
                <w:b w:val="0"/>
                <w:bCs w:val="0"/>
                <w:color w:val="auto"/>
                <w:szCs w:val="21"/>
                <w:highlight w:val="none"/>
                <w:shd w:val="clear" w:color="auto" w:fill="auto"/>
                <w:lang w:val="en-US" w:eastAsia="zh-CN"/>
              </w:rPr>
              <w:t>未提供《食品安全责任保险》（有效期内）</w:t>
            </w:r>
            <w:r>
              <w:rPr>
                <w:rFonts w:hint="eastAsia" w:ascii="宋体" w:hAnsi="宋体" w:cs="宋体"/>
                <w:b w:val="0"/>
                <w:bCs w:val="0"/>
                <w:color w:val="auto"/>
                <w:szCs w:val="21"/>
                <w:highlight w:val="none"/>
                <w:shd w:val="clear" w:color="auto" w:fill="auto"/>
                <w:lang w:val="en-US" w:eastAsia="zh-CN"/>
              </w:rPr>
              <w:t>相关证明材料或未承诺中标后购买《食品安全责任保险》的</w:t>
            </w:r>
            <w:r>
              <w:rPr>
                <w:rFonts w:hint="eastAsia" w:ascii="宋体" w:hAnsi="宋体" w:eastAsia="宋体" w:cs="宋体"/>
                <w:b w:val="0"/>
                <w:bCs w:val="0"/>
                <w:color w:val="auto"/>
                <w:szCs w:val="21"/>
                <w:highlight w:val="none"/>
                <w:shd w:val="clear" w:color="auto" w:fill="auto"/>
              </w:rPr>
              <w:t>。</w:t>
            </w:r>
          </w:p>
          <w:p w14:paraId="33C25176">
            <w:pPr>
              <w:shd w:val="clear" w:color="auto" w:fill="auto"/>
              <w:wordWrap w:val="0"/>
              <w:spacing w:line="460" w:lineRule="exact"/>
              <w:ind w:firstLine="422" w:firstLineChars="200"/>
              <w:jc w:val="left"/>
              <w:rPr>
                <w:rFonts w:hint="eastAsia" w:ascii="宋体" w:hAnsi="宋体" w:eastAsia="宋体" w:cs="宋体"/>
                <w:color w:val="auto"/>
                <w:szCs w:val="21"/>
                <w:highlight w:val="none"/>
                <w:shd w:val="clear" w:color="auto" w:fill="auto"/>
              </w:rPr>
            </w:pPr>
            <w:r>
              <w:rPr>
                <w:rFonts w:hint="eastAsia" w:ascii="宋体" w:hAnsi="宋体" w:cs="宋体"/>
                <w:b/>
                <w:bCs/>
                <w:color w:val="auto"/>
                <w:szCs w:val="21"/>
                <w:highlight w:val="none"/>
                <w:shd w:val="clear" w:color="auto" w:fill="auto"/>
                <w:lang w:val="en-US" w:eastAsia="zh-CN"/>
              </w:rPr>
              <w:t>二</w:t>
            </w:r>
            <w:r>
              <w:rPr>
                <w:rFonts w:hint="eastAsia" w:ascii="宋体" w:hAnsi="宋体" w:eastAsia="宋体" w:cs="宋体"/>
                <w:b/>
                <w:bCs/>
                <w:color w:val="auto"/>
                <w:szCs w:val="21"/>
                <w:highlight w:val="none"/>
                <w:shd w:val="clear" w:color="auto" w:fill="auto"/>
              </w:rPr>
              <w:t>档（1分）：</w:t>
            </w:r>
            <w:r>
              <w:rPr>
                <w:rFonts w:hint="eastAsia" w:ascii="宋体" w:hAnsi="宋体" w:eastAsia="宋体" w:cs="宋体"/>
                <w:color w:val="auto"/>
                <w:szCs w:val="21"/>
                <w:highlight w:val="none"/>
                <w:shd w:val="clear" w:color="auto" w:fill="auto"/>
              </w:rPr>
              <w:t>投标人已购买《食品安全责任保险》或承诺中标后购买且保额</w:t>
            </w:r>
            <w:r>
              <w:rPr>
                <w:rFonts w:hint="eastAsia" w:ascii="宋体" w:hAnsi="宋体" w:cs="宋体"/>
                <w:color w:val="auto"/>
                <w:szCs w:val="21"/>
                <w:highlight w:val="none"/>
                <w:shd w:val="clear" w:color="auto" w:fill="auto"/>
                <w:lang w:val="en-US" w:eastAsia="zh-CN"/>
              </w:rPr>
              <w:t>1</w:t>
            </w:r>
            <w:r>
              <w:rPr>
                <w:rFonts w:hint="eastAsia" w:ascii="宋体" w:hAnsi="宋体" w:eastAsia="宋体" w:cs="宋体"/>
                <w:color w:val="auto"/>
                <w:szCs w:val="21"/>
                <w:highlight w:val="none"/>
                <w:shd w:val="clear" w:color="auto" w:fill="auto"/>
              </w:rPr>
              <w:t>00</w:t>
            </w:r>
            <w:r>
              <w:rPr>
                <w:rFonts w:hint="eastAsia" w:ascii="宋体" w:hAnsi="宋体" w:cs="宋体"/>
                <w:color w:val="auto"/>
                <w:szCs w:val="21"/>
                <w:highlight w:val="none"/>
                <w:shd w:val="clear" w:color="auto" w:fill="auto"/>
                <w:lang w:val="en-US" w:eastAsia="zh-CN"/>
              </w:rPr>
              <w:t>0</w:t>
            </w:r>
            <w:r>
              <w:rPr>
                <w:rFonts w:hint="eastAsia" w:ascii="宋体" w:hAnsi="宋体" w:eastAsia="宋体" w:cs="宋体"/>
                <w:color w:val="auto"/>
                <w:szCs w:val="21"/>
                <w:highlight w:val="none"/>
                <w:shd w:val="clear" w:color="auto" w:fill="auto"/>
              </w:rPr>
              <w:t>万元（不含）以下的得1分。</w:t>
            </w:r>
          </w:p>
          <w:p w14:paraId="11E5AD4A">
            <w:pPr>
              <w:shd w:val="clear" w:color="auto" w:fill="auto"/>
              <w:wordWrap w:val="0"/>
              <w:spacing w:line="460" w:lineRule="exact"/>
              <w:ind w:firstLine="422" w:firstLineChars="200"/>
              <w:jc w:val="left"/>
              <w:rPr>
                <w:rFonts w:hint="eastAsia" w:ascii="宋体" w:hAnsi="宋体" w:eastAsia="宋体" w:cs="宋体"/>
                <w:color w:val="auto"/>
                <w:szCs w:val="21"/>
                <w:highlight w:val="none"/>
                <w:shd w:val="clear" w:color="auto" w:fill="auto"/>
              </w:rPr>
            </w:pPr>
            <w:r>
              <w:rPr>
                <w:rFonts w:hint="eastAsia" w:ascii="宋体" w:hAnsi="宋体" w:cs="宋体"/>
                <w:b/>
                <w:bCs/>
                <w:color w:val="auto"/>
                <w:szCs w:val="21"/>
                <w:highlight w:val="none"/>
                <w:shd w:val="clear" w:color="auto" w:fill="auto"/>
                <w:lang w:eastAsia="zh-CN"/>
              </w:rPr>
              <w:t>三</w:t>
            </w:r>
            <w:r>
              <w:rPr>
                <w:rFonts w:hint="eastAsia" w:ascii="宋体" w:hAnsi="宋体" w:eastAsia="宋体" w:cs="宋体"/>
                <w:b/>
                <w:bCs/>
                <w:color w:val="auto"/>
                <w:szCs w:val="21"/>
                <w:highlight w:val="none"/>
                <w:shd w:val="clear" w:color="auto" w:fill="auto"/>
              </w:rPr>
              <w:t>档（2分）：</w:t>
            </w:r>
            <w:r>
              <w:rPr>
                <w:rFonts w:hint="eastAsia" w:ascii="宋体" w:hAnsi="宋体" w:eastAsia="宋体" w:cs="宋体"/>
                <w:color w:val="auto"/>
                <w:szCs w:val="21"/>
                <w:highlight w:val="none"/>
                <w:shd w:val="clear" w:color="auto" w:fill="auto"/>
              </w:rPr>
              <w:t>投标人已购买《食品安全责任保险》或承诺中标后购买且保额</w:t>
            </w:r>
            <w:r>
              <w:rPr>
                <w:rFonts w:hint="eastAsia" w:ascii="宋体" w:hAnsi="宋体" w:cs="宋体"/>
                <w:color w:val="auto"/>
                <w:szCs w:val="21"/>
                <w:highlight w:val="none"/>
                <w:shd w:val="clear" w:color="auto" w:fill="auto"/>
                <w:lang w:val="en-US" w:eastAsia="zh-CN"/>
              </w:rPr>
              <w:t>10</w:t>
            </w:r>
            <w:r>
              <w:rPr>
                <w:rFonts w:hint="eastAsia" w:ascii="宋体" w:hAnsi="宋体" w:eastAsia="宋体" w:cs="宋体"/>
                <w:color w:val="auto"/>
                <w:szCs w:val="21"/>
                <w:highlight w:val="none"/>
                <w:shd w:val="clear" w:color="auto" w:fill="auto"/>
              </w:rPr>
              <w:t>00万（含）-</w:t>
            </w:r>
            <w:r>
              <w:rPr>
                <w:rFonts w:hint="eastAsia" w:ascii="宋体" w:hAnsi="宋体" w:cs="宋体"/>
                <w:color w:val="auto"/>
                <w:szCs w:val="21"/>
                <w:highlight w:val="none"/>
                <w:shd w:val="clear" w:color="auto" w:fill="auto"/>
                <w:lang w:val="en-US" w:eastAsia="zh-CN"/>
              </w:rPr>
              <w:t>2</w:t>
            </w:r>
            <w:r>
              <w:rPr>
                <w:rFonts w:hint="eastAsia" w:ascii="宋体" w:hAnsi="宋体" w:eastAsia="宋体" w:cs="宋体"/>
                <w:color w:val="auto"/>
                <w:szCs w:val="21"/>
                <w:highlight w:val="none"/>
                <w:shd w:val="clear" w:color="auto" w:fill="auto"/>
              </w:rPr>
              <w:t>000万（不含）的得2分。</w:t>
            </w:r>
          </w:p>
          <w:p w14:paraId="3B80B8AE">
            <w:pPr>
              <w:shd w:val="clear" w:color="auto" w:fill="auto"/>
              <w:wordWrap w:val="0"/>
              <w:spacing w:line="460" w:lineRule="exact"/>
              <w:ind w:firstLine="422" w:firstLineChars="200"/>
              <w:jc w:val="left"/>
              <w:rPr>
                <w:rFonts w:hint="eastAsia" w:ascii="宋体" w:hAnsi="宋体" w:eastAsia="宋体" w:cs="宋体"/>
                <w:color w:val="auto"/>
                <w:szCs w:val="21"/>
                <w:highlight w:val="none"/>
                <w:shd w:val="clear" w:color="auto" w:fill="auto"/>
              </w:rPr>
            </w:pPr>
            <w:r>
              <w:rPr>
                <w:rFonts w:hint="eastAsia" w:ascii="宋体" w:hAnsi="宋体" w:cs="宋体"/>
                <w:b/>
                <w:bCs/>
                <w:color w:val="auto"/>
                <w:szCs w:val="21"/>
                <w:highlight w:val="none"/>
                <w:shd w:val="clear" w:color="auto" w:fill="auto"/>
                <w:lang w:val="en-US" w:eastAsia="zh-CN"/>
              </w:rPr>
              <w:t>四</w:t>
            </w:r>
            <w:r>
              <w:rPr>
                <w:rFonts w:hint="eastAsia" w:ascii="宋体" w:hAnsi="宋体" w:eastAsia="宋体" w:cs="宋体"/>
                <w:b/>
                <w:bCs/>
                <w:color w:val="auto"/>
                <w:szCs w:val="21"/>
                <w:highlight w:val="none"/>
                <w:shd w:val="clear" w:color="auto" w:fill="auto"/>
              </w:rPr>
              <w:t>档（3分）：</w:t>
            </w:r>
            <w:r>
              <w:rPr>
                <w:rFonts w:hint="eastAsia" w:ascii="宋体" w:hAnsi="宋体" w:eastAsia="宋体" w:cs="宋体"/>
                <w:color w:val="auto"/>
                <w:szCs w:val="21"/>
                <w:highlight w:val="none"/>
                <w:shd w:val="clear" w:color="auto" w:fill="auto"/>
              </w:rPr>
              <w:t>投标人已购买《食品安全责任保险》或承诺中标后购买且保额</w:t>
            </w:r>
            <w:r>
              <w:rPr>
                <w:rFonts w:hint="eastAsia" w:ascii="宋体" w:hAnsi="宋体" w:cs="宋体"/>
                <w:color w:val="auto"/>
                <w:szCs w:val="21"/>
                <w:highlight w:val="none"/>
                <w:shd w:val="clear" w:color="auto" w:fill="auto"/>
                <w:lang w:val="en-US" w:eastAsia="zh-CN"/>
              </w:rPr>
              <w:t>2</w:t>
            </w:r>
            <w:r>
              <w:rPr>
                <w:rFonts w:hint="eastAsia" w:ascii="宋体" w:hAnsi="宋体" w:eastAsia="宋体" w:cs="宋体"/>
                <w:color w:val="auto"/>
                <w:szCs w:val="21"/>
                <w:highlight w:val="none"/>
                <w:shd w:val="clear" w:color="auto" w:fill="auto"/>
              </w:rPr>
              <w:t>000万（含）以上得3分。</w:t>
            </w:r>
          </w:p>
          <w:p w14:paraId="660B8149">
            <w:pPr>
              <w:shd w:val="clear" w:color="auto" w:fill="auto"/>
              <w:wordWrap w:val="0"/>
              <w:spacing w:line="460" w:lineRule="exact"/>
              <w:ind w:firstLine="420" w:firstLineChars="200"/>
              <w:jc w:val="left"/>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（只按保额最高计分，不重复累计）。</w:t>
            </w:r>
          </w:p>
          <w:p w14:paraId="6EE48E29">
            <w:pPr>
              <w:shd w:val="clear" w:color="auto" w:fill="auto"/>
              <w:wordWrap w:val="0"/>
              <w:spacing w:line="460" w:lineRule="exact"/>
              <w:ind w:firstLine="422" w:firstLineChars="200"/>
              <w:jc w:val="left"/>
              <w:rPr>
                <w:rFonts w:hint="eastAsia" w:ascii="宋体" w:hAnsi="宋体" w:eastAsia="宋体" w:cs="宋体"/>
                <w:b/>
                <w:bCs/>
                <w:color w:val="auto"/>
                <w:szCs w:val="21"/>
                <w:highlight w:val="none"/>
                <w:shd w:val="clear" w:color="auto" w:fill="auto"/>
                <w:lang w:eastAsia="zh-CN"/>
              </w:rPr>
            </w:pPr>
            <w:r>
              <w:rPr>
                <w:rFonts w:hint="eastAsia" w:ascii="宋体" w:hAnsi="宋体" w:eastAsia="宋体" w:cs="宋体"/>
                <w:b/>
                <w:bCs/>
                <w:color w:val="auto"/>
                <w:szCs w:val="21"/>
                <w:highlight w:val="none"/>
                <w:shd w:val="clear" w:color="auto" w:fill="auto"/>
              </w:rPr>
              <w:t>注：</w:t>
            </w:r>
            <w:r>
              <w:rPr>
                <w:rFonts w:hint="eastAsia" w:ascii="宋体" w:hAnsi="宋体" w:eastAsia="宋体" w:cs="宋体"/>
                <w:b/>
                <w:bCs/>
                <w:color w:val="auto"/>
                <w:szCs w:val="21"/>
                <w:highlight w:val="none"/>
                <w:shd w:val="clear" w:color="auto" w:fill="auto"/>
                <w:lang w:eastAsia="zh-CN"/>
              </w:rPr>
              <w:t>（</w:t>
            </w:r>
            <w:r>
              <w:rPr>
                <w:rFonts w:hint="eastAsia" w:ascii="宋体" w:hAnsi="宋体" w:eastAsia="宋体" w:cs="宋体"/>
                <w:b/>
                <w:bCs/>
                <w:color w:val="auto"/>
                <w:szCs w:val="21"/>
                <w:highlight w:val="none"/>
                <w:shd w:val="clear" w:color="auto" w:fill="auto"/>
                <w:lang w:val="en-US" w:eastAsia="zh-CN"/>
              </w:rPr>
              <w:t>1</w:t>
            </w:r>
            <w:r>
              <w:rPr>
                <w:rFonts w:hint="eastAsia" w:ascii="宋体" w:hAnsi="宋体" w:eastAsia="宋体" w:cs="宋体"/>
                <w:b/>
                <w:bCs/>
                <w:color w:val="auto"/>
                <w:szCs w:val="21"/>
                <w:highlight w:val="none"/>
                <w:shd w:val="clear" w:color="auto" w:fill="auto"/>
                <w:lang w:eastAsia="zh-CN"/>
              </w:rPr>
              <w:t>）投标人</w:t>
            </w:r>
            <w:r>
              <w:rPr>
                <w:rFonts w:hint="eastAsia" w:ascii="宋体" w:hAnsi="宋体" w:eastAsia="宋体" w:cs="宋体"/>
                <w:b/>
                <w:bCs/>
                <w:color w:val="auto"/>
                <w:szCs w:val="21"/>
                <w:highlight w:val="none"/>
                <w:shd w:val="clear" w:color="auto" w:fill="auto"/>
                <w:lang w:val="en-US" w:eastAsia="zh-CN"/>
              </w:rPr>
              <w:t>已</w:t>
            </w:r>
            <w:r>
              <w:rPr>
                <w:rFonts w:hint="eastAsia" w:ascii="宋体" w:hAnsi="宋体" w:eastAsia="宋体" w:cs="宋体"/>
                <w:b/>
                <w:bCs/>
                <w:color w:val="auto"/>
                <w:szCs w:val="21"/>
                <w:highlight w:val="none"/>
                <w:shd w:val="clear" w:color="auto" w:fill="auto"/>
              </w:rPr>
              <w:t>购买</w:t>
            </w:r>
            <w:r>
              <w:rPr>
                <w:rFonts w:hint="eastAsia" w:ascii="宋体" w:hAnsi="宋体" w:eastAsia="宋体" w:cs="宋体"/>
                <w:b/>
                <w:bCs/>
                <w:color w:val="auto"/>
                <w:szCs w:val="21"/>
                <w:highlight w:val="none"/>
                <w:shd w:val="clear" w:color="auto" w:fill="auto"/>
                <w:lang w:val="en-US" w:eastAsia="zh-CN"/>
              </w:rPr>
              <w:t>《食品安全责任保险》的，</w:t>
            </w:r>
            <w:r>
              <w:rPr>
                <w:rFonts w:hint="eastAsia" w:ascii="宋体" w:hAnsi="宋体" w:eastAsia="宋体" w:cs="宋体"/>
                <w:b/>
                <w:bCs/>
                <w:color w:val="auto"/>
                <w:szCs w:val="21"/>
                <w:highlight w:val="none"/>
                <w:shd w:val="clear" w:color="auto" w:fill="auto"/>
                <w:lang w:eastAsia="zh-CN"/>
              </w:rPr>
              <w:t>在投标文件中提供</w:t>
            </w:r>
            <w:r>
              <w:rPr>
                <w:rFonts w:hint="eastAsia" w:ascii="宋体" w:hAnsi="宋体" w:eastAsia="宋体" w:cs="宋体"/>
                <w:b/>
                <w:bCs/>
                <w:color w:val="auto"/>
                <w:szCs w:val="21"/>
                <w:highlight w:val="none"/>
              </w:rPr>
              <w:t>相关</w:t>
            </w:r>
            <w:r>
              <w:rPr>
                <w:rFonts w:hint="eastAsia" w:ascii="宋体" w:hAnsi="宋体" w:cs="宋体"/>
                <w:b/>
                <w:bCs/>
                <w:color w:val="auto"/>
                <w:szCs w:val="21"/>
                <w:highlight w:val="none"/>
                <w:lang w:val="en-US" w:eastAsia="zh-CN"/>
              </w:rPr>
              <w:t>有效</w:t>
            </w:r>
            <w:r>
              <w:rPr>
                <w:rFonts w:hint="eastAsia" w:ascii="宋体" w:hAnsi="宋体" w:eastAsia="宋体" w:cs="宋体"/>
                <w:b/>
                <w:bCs/>
                <w:color w:val="auto"/>
                <w:szCs w:val="21"/>
                <w:highlight w:val="none"/>
              </w:rPr>
              <w:t>保单</w:t>
            </w:r>
            <w:r>
              <w:rPr>
                <w:rFonts w:hint="eastAsia" w:ascii="宋体" w:hAnsi="宋体" w:eastAsia="宋体" w:cs="宋体"/>
                <w:b/>
                <w:bCs/>
                <w:color w:val="auto"/>
                <w:szCs w:val="21"/>
                <w:highlight w:val="none"/>
                <w:lang w:val="en-US" w:eastAsia="zh-CN"/>
              </w:rPr>
              <w:t>及</w:t>
            </w:r>
            <w:r>
              <w:rPr>
                <w:rFonts w:hint="eastAsia" w:ascii="宋体" w:hAnsi="宋体" w:eastAsia="宋体" w:cs="宋体"/>
                <w:b/>
                <w:bCs/>
                <w:color w:val="auto"/>
                <w:szCs w:val="21"/>
                <w:highlight w:val="none"/>
              </w:rPr>
              <w:t>发票证明</w:t>
            </w:r>
            <w:r>
              <w:rPr>
                <w:rFonts w:hint="eastAsia" w:ascii="宋体" w:hAnsi="宋体" w:eastAsia="宋体" w:cs="宋体"/>
                <w:b/>
                <w:bCs/>
                <w:color w:val="auto"/>
                <w:szCs w:val="21"/>
                <w:highlight w:val="none"/>
                <w:lang w:eastAsia="zh-CN"/>
              </w:rPr>
              <w:t>原件的扫描件</w:t>
            </w:r>
            <w:r>
              <w:rPr>
                <w:rFonts w:hint="eastAsia" w:ascii="宋体" w:hAnsi="宋体" w:eastAsia="宋体" w:cs="宋体"/>
                <w:b/>
                <w:bCs/>
                <w:color w:val="auto"/>
                <w:szCs w:val="21"/>
                <w:highlight w:val="none"/>
                <w:shd w:val="clear" w:color="auto" w:fill="auto"/>
                <w:lang w:eastAsia="zh-CN"/>
              </w:rPr>
              <w:t>。</w:t>
            </w:r>
          </w:p>
          <w:p w14:paraId="59F26D4F">
            <w:pPr>
              <w:shd w:val="clear" w:color="auto" w:fill="auto"/>
              <w:wordWrap w:val="0"/>
              <w:spacing w:line="460" w:lineRule="exact"/>
              <w:ind w:firstLine="422" w:firstLineChars="200"/>
              <w:jc w:val="left"/>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b/>
                <w:bCs/>
                <w:color w:val="auto"/>
                <w:szCs w:val="21"/>
                <w:highlight w:val="none"/>
                <w:shd w:val="clear" w:color="auto" w:fill="auto"/>
                <w:lang w:eastAsia="zh-CN"/>
              </w:rPr>
              <w:t>（</w:t>
            </w:r>
            <w:r>
              <w:rPr>
                <w:rFonts w:hint="eastAsia" w:ascii="宋体" w:hAnsi="宋体" w:eastAsia="宋体" w:cs="宋体"/>
                <w:b/>
                <w:bCs/>
                <w:color w:val="auto"/>
                <w:szCs w:val="21"/>
                <w:highlight w:val="none"/>
                <w:shd w:val="clear" w:color="auto" w:fill="auto"/>
                <w:lang w:val="en-US" w:eastAsia="zh-CN"/>
              </w:rPr>
              <w:t>2</w:t>
            </w:r>
            <w:r>
              <w:rPr>
                <w:rFonts w:hint="eastAsia" w:ascii="宋体" w:hAnsi="宋体" w:eastAsia="宋体" w:cs="宋体"/>
                <w:b/>
                <w:bCs/>
                <w:color w:val="auto"/>
                <w:szCs w:val="21"/>
                <w:highlight w:val="none"/>
                <w:shd w:val="clear" w:color="auto" w:fill="auto"/>
                <w:lang w:eastAsia="zh-CN"/>
              </w:rPr>
              <w:t>）投标人</w:t>
            </w:r>
            <w:r>
              <w:rPr>
                <w:rFonts w:hint="eastAsia" w:ascii="宋体" w:hAnsi="宋体" w:eastAsia="宋体" w:cs="宋体"/>
                <w:b/>
                <w:bCs/>
                <w:color w:val="auto"/>
                <w:szCs w:val="21"/>
                <w:highlight w:val="none"/>
                <w:shd w:val="clear" w:color="auto" w:fill="auto"/>
                <w:lang w:val="en-US" w:eastAsia="zh-CN"/>
              </w:rPr>
              <w:t>承诺中标后购买《食品安全责任保险》</w:t>
            </w:r>
            <w:r>
              <w:rPr>
                <w:rFonts w:hint="eastAsia" w:ascii="宋体" w:hAnsi="宋体" w:cs="宋体"/>
                <w:b/>
                <w:bCs/>
                <w:color w:val="auto"/>
                <w:szCs w:val="21"/>
                <w:highlight w:val="none"/>
                <w:shd w:val="clear" w:color="auto" w:fill="auto"/>
                <w:lang w:val="en-US" w:eastAsia="zh-CN"/>
              </w:rPr>
              <w:t>的，</w:t>
            </w:r>
            <w:r>
              <w:rPr>
                <w:rFonts w:hint="eastAsia" w:ascii="宋体" w:hAnsi="宋体" w:eastAsia="宋体" w:cs="宋体"/>
                <w:b/>
                <w:bCs/>
                <w:color w:val="auto"/>
                <w:szCs w:val="21"/>
                <w:highlight w:val="none"/>
                <w:shd w:val="clear" w:color="auto" w:fill="auto"/>
                <w:lang w:eastAsia="zh-CN"/>
              </w:rPr>
              <w:t>在投标文件中</w:t>
            </w:r>
            <w:r>
              <w:rPr>
                <w:rFonts w:hint="eastAsia" w:ascii="宋体" w:hAnsi="宋体" w:eastAsia="宋体" w:cs="宋体"/>
                <w:b/>
                <w:bCs/>
                <w:color w:val="auto"/>
                <w:szCs w:val="21"/>
                <w:highlight w:val="none"/>
                <w:shd w:val="clear" w:color="auto" w:fill="auto"/>
                <w:lang w:val="en-US" w:eastAsia="zh-CN"/>
              </w:rPr>
              <w:t>提供承诺书，格式自拟并盖公章</w:t>
            </w:r>
            <w:r>
              <w:rPr>
                <w:rFonts w:hint="eastAsia" w:ascii="宋体" w:hAnsi="宋体" w:cs="宋体"/>
                <w:b/>
                <w:bCs/>
                <w:color w:val="auto"/>
                <w:szCs w:val="21"/>
                <w:highlight w:val="none"/>
                <w:shd w:val="clear" w:color="auto" w:fill="auto"/>
                <w:lang w:val="en-US" w:eastAsia="zh-CN"/>
              </w:rPr>
              <w:t>。签订本项目合同前提供购买《食品安全责任保险》合同或保单证明原件核查。</w:t>
            </w:r>
          </w:p>
        </w:tc>
      </w:tr>
      <w:tr w14:paraId="641B5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562" w:type="dxa"/>
            <w:vMerge w:val="continue"/>
            <w:noWrap w:val="0"/>
            <w:vAlign w:val="center"/>
          </w:tcPr>
          <w:p w14:paraId="51EA734F">
            <w:pPr>
              <w:snapToGrid w:val="0"/>
              <w:spacing w:line="360" w:lineRule="atLeast"/>
              <w:jc w:val="center"/>
              <w:rPr>
                <w:rFonts w:hint="eastAsia" w:ascii="宋体" w:hAnsi="宋体" w:eastAsia="宋体" w:cs="宋体"/>
                <w:color w:val="auto"/>
                <w:sz w:val="24"/>
                <w:highlight w:val="none"/>
                <w:shd w:val="clear" w:color="auto" w:fill="auto"/>
                <w:lang w:val="en-US" w:eastAsia="zh-CN"/>
              </w:rPr>
            </w:pPr>
          </w:p>
        </w:tc>
        <w:tc>
          <w:tcPr>
            <w:tcW w:w="1585" w:type="dxa"/>
            <w:vMerge w:val="continue"/>
            <w:noWrap w:val="0"/>
            <w:vAlign w:val="center"/>
          </w:tcPr>
          <w:p w14:paraId="1A4B5381">
            <w:pPr>
              <w:snapToGrid w:val="0"/>
              <w:spacing w:line="360" w:lineRule="atLeast"/>
              <w:jc w:val="center"/>
              <w:rPr>
                <w:rFonts w:hint="eastAsia" w:ascii="宋体" w:hAnsi="宋体" w:eastAsia="宋体" w:cs="宋体"/>
                <w:bCs/>
                <w:color w:val="auto"/>
                <w:kern w:val="0"/>
                <w:sz w:val="21"/>
                <w:szCs w:val="21"/>
                <w:highlight w:val="none"/>
                <w:shd w:val="clear" w:color="auto" w:fill="auto"/>
                <w:lang w:val="en-US" w:eastAsia="zh-CN" w:bidi="ar-SA"/>
              </w:rPr>
            </w:pPr>
          </w:p>
        </w:tc>
        <w:tc>
          <w:tcPr>
            <w:tcW w:w="1520" w:type="dxa"/>
            <w:noWrap w:val="0"/>
            <w:vAlign w:val="center"/>
          </w:tcPr>
          <w:p w14:paraId="33A4FF70">
            <w:pPr>
              <w:snapToGrid w:val="0"/>
              <w:spacing w:line="360" w:lineRule="atLeast"/>
              <w:jc w:val="center"/>
              <w:rPr>
                <w:rFonts w:hint="eastAsia" w:ascii="宋体" w:hAnsi="宋体" w:eastAsia="宋体" w:cs="宋体"/>
                <w:b/>
                <w:bCs/>
                <w:color w:val="auto"/>
                <w:szCs w:val="21"/>
                <w:highlight w:val="none"/>
                <w:shd w:val="clear" w:color="auto" w:fill="auto"/>
              </w:rPr>
            </w:pPr>
            <w:r>
              <w:rPr>
                <w:rFonts w:hint="eastAsia" w:ascii="宋体" w:hAnsi="宋体" w:eastAsia="宋体" w:cs="宋体"/>
                <w:b/>
                <w:bCs/>
                <w:color w:val="auto"/>
                <w:szCs w:val="21"/>
                <w:highlight w:val="none"/>
                <w:shd w:val="clear" w:color="auto" w:fill="auto"/>
              </w:rPr>
              <w:t>（5）业绩（满分</w:t>
            </w:r>
            <w:r>
              <w:rPr>
                <w:rFonts w:hint="eastAsia" w:ascii="宋体" w:hAnsi="宋体" w:cs="宋体"/>
                <w:b/>
                <w:bCs/>
                <w:color w:val="auto"/>
                <w:szCs w:val="21"/>
                <w:highlight w:val="none"/>
                <w:shd w:val="clear" w:color="auto" w:fill="auto"/>
                <w:lang w:val="en-US" w:eastAsia="zh-CN"/>
              </w:rPr>
              <w:t>3</w:t>
            </w:r>
            <w:r>
              <w:rPr>
                <w:rFonts w:hint="eastAsia" w:ascii="宋体" w:hAnsi="宋体" w:eastAsia="宋体" w:cs="宋体"/>
                <w:b/>
                <w:bCs/>
                <w:color w:val="auto"/>
                <w:szCs w:val="21"/>
                <w:highlight w:val="none"/>
                <w:shd w:val="clear" w:color="auto" w:fill="auto"/>
              </w:rPr>
              <w:t>分）</w:t>
            </w:r>
          </w:p>
        </w:tc>
        <w:tc>
          <w:tcPr>
            <w:tcW w:w="6096" w:type="dxa"/>
            <w:noWrap w:val="0"/>
            <w:vAlign w:val="top"/>
          </w:tcPr>
          <w:p w14:paraId="50D3DF5A">
            <w:pPr>
              <w:shd w:val="clear" w:color="auto" w:fill="auto"/>
              <w:wordWrap w:val="0"/>
              <w:spacing w:line="460" w:lineRule="exact"/>
              <w:ind w:firstLine="420" w:firstLineChars="200"/>
              <w:jc w:val="left"/>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lang w:eastAsia="zh-CN"/>
              </w:rPr>
              <w:t>投标人</w:t>
            </w:r>
            <w:r>
              <w:rPr>
                <w:rFonts w:hint="eastAsia" w:ascii="宋体" w:hAnsi="宋体" w:eastAsia="宋体" w:cs="宋体"/>
                <w:color w:val="auto"/>
                <w:szCs w:val="21"/>
                <w:highlight w:val="none"/>
                <w:shd w:val="clear" w:color="auto" w:fill="auto"/>
              </w:rPr>
              <w:t>20</w:t>
            </w:r>
            <w:r>
              <w:rPr>
                <w:rFonts w:hint="eastAsia" w:ascii="宋体" w:hAnsi="宋体" w:eastAsia="宋体" w:cs="宋体"/>
                <w:color w:val="auto"/>
                <w:szCs w:val="21"/>
                <w:highlight w:val="none"/>
                <w:shd w:val="clear" w:color="auto" w:fill="auto"/>
                <w:lang w:val="en-US" w:eastAsia="zh-CN"/>
              </w:rPr>
              <w:t>2</w:t>
            </w:r>
            <w:r>
              <w:rPr>
                <w:rFonts w:hint="eastAsia" w:ascii="宋体" w:hAnsi="宋体" w:cs="宋体"/>
                <w:color w:val="auto"/>
                <w:szCs w:val="21"/>
                <w:highlight w:val="none"/>
                <w:shd w:val="clear" w:color="auto" w:fill="auto"/>
                <w:lang w:val="en-US" w:eastAsia="zh-CN"/>
              </w:rPr>
              <w:t>2</w:t>
            </w:r>
            <w:r>
              <w:rPr>
                <w:rFonts w:hint="eastAsia" w:ascii="宋体" w:hAnsi="宋体" w:eastAsia="宋体" w:cs="宋体"/>
                <w:color w:val="auto"/>
                <w:szCs w:val="21"/>
                <w:highlight w:val="none"/>
                <w:shd w:val="clear" w:color="auto" w:fill="auto"/>
              </w:rPr>
              <w:t>年1月1日以来</w:t>
            </w:r>
            <w:r>
              <w:rPr>
                <w:rFonts w:hint="eastAsia" w:ascii="宋体" w:hAnsi="宋体" w:cs="宋体"/>
                <w:color w:val="auto"/>
                <w:szCs w:val="21"/>
                <w:highlight w:val="none"/>
                <w:shd w:val="clear" w:color="auto" w:fill="auto"/>
                <w:lang w:val="en-US" w:eastAsia="zh-CN"/>
              </w:rPr>
              <w:t>类似食堂</w:t>
            </w:r>
            <w:r>
              <w:rPr>
                <w:rFonts w:hint="eastAsia" w:ascii="宋体" w:hAnsi="宋体" w:eastAsia="宋体" w:cs="宋体"/>
                <w:color w:val="auto"/>
                <w:szCs w:val="21"/>
                <w:highlight w:val="none"/>
                <w:shd w:val="clear" w:color="auto" w:fill="auto"/>
              </w:rPr>
              <w:t>食品供应服务的业绩</w:t>
            </w:r>
            <w:r>
              <w:rPr>
                <w:rFonts w:hint="eastAsia" w:ascii="宋体" w:hAnsi="宋体" w:cs="宋体"/>
                <w:color w:val="auto"/>
                <w:szCs w:val="21"/>
                <w:highlight w:val="none"/>
                <w:shd w:val="clear" w:color="auto" w:fill="auto"/>
                <w:lang w:val="en-US" w:eastAsia="zh-CN"/>
              </w:rPr>
              <w:t xml:space="preserve"> </w:t>
            </w:r>
            <w:r>
              <w:rPr>
                <w:rFonts w:hint="eastAsia" w:ascii="宋体" w:hAnsi="宋体" w:eastAsia="宋体" w:cs="宋体"/>
                <w:color w:val="auto"/>
                <w:szCs w:val="21"/>
                <w:highlight w:val="none"/>
                <w:shd w:val="clear" w:color="auto" w:fill="auto"/>
              </w:rPr>
              <w:t>【无不良记录，须在</w:t>
            </w:r>
            <w:r>
              <w:rPr>
                <w:rFonts w:hint="eastAsia" w:ascii="宋体" w:hAnsi="宋体" w:eastAsia="宋体" w:cs="宋体"/>
                <w:color w:val="auto"/>
                <w:szCs w:val="21"/>
                <w:highlight w:val="none"/>
                <w:shd w:val="clear" w:color="auto" w:fill="auto"/>
                <w:lang w:eastAsia="zh-CN"/>
              </w:rPr>
              <w:t>投标</w:t>
            </w:r>
            <w:r>
              <w:rPr>
                <w:rFonts w:hint="eastAsia" w:ascii="宋体" w:hAnsi="宋体" w:eastAsia="宋体" w:cs="宋体"/>
                <w:color w:val="auto"/>
                <w:szCs w:val="21"/>
                <w:highlight w:val="none"/>
                <w:shd w:val="clear" w:color="auto" w:fill="auto"/>
              </w:rPr>
              <w:t>文件中提供①中标（成交）通知书扫描件或签订的合同扫描件；②对应业绩项目供货发票扫描件，否则将不予评审】，每个得</w:t>
            </w:r>
            <w:r>
              <w:rPr>
                <w:rFonts w:hint="eastAsia" w:ascii="宋体" w:hAnsi="宋体" w:cs="宋体"/>
                <w:color w:val="auto"/>
                <w:szCs w:val="21"/>
                <w:highlight w:val="none"/>
                <w:shd w:val="clear" w:color="auto" w:fill="auto"/>
                <w:lang w:val="en-US" w:eastAsia="zh-CN"/>
              </w:rPr>
              <w:t>1</w:t>
            </w:r>
            <w:r>
              <w:rPr>
                <w:rFonts w:hint="eastAsia" w:ascii="宋体" w:hAnsi="宋体" w:eastAsia="宋体" w:cs="宋体"/>
                <w:color w:val="auto"/>
                <w:szCs w:val="21"/>
                <w:highlight w:val="none"/>
                <w:shd w:val="clear" w:color="auto" w:fill="auto"/>
              </w:rPr>
              <w:t>分，最多得</w:t>
            </w:r>
            <w:r>
              <w:rPr>
                <w:rFonts w:hint="eastAsia" w:ascii="宋体" w:hAnsi="宋体" w:cs="宋体"/>
                <w:color w:val="auto"/>
                <w:szCs w:val="21"/>
                <w:highlight w:val="none"/>
                <w:shd w:val="clear" w:color="auto" w:fill="auto"/>
                <w:lang w:val="en-US" w:eastAsia="zh-CN"/>
              </w:rPr>
              <w:t>3</w:t>
            </w:r>
            <w:r>
              <w:rPr>
                <w:rFonts w:hint="eastAsia" w:ascii="宋体" w:hAnsi="宋体" w:eastAsia="宋体" w:cs="宋体"/>
                <w:color w:val="auto"/>
                <w:szCs w:val="21"/>
                <w:highlight w:val="none"/>
                <w:shd w:val="clear" w:color="auto" w:fill="auto"/>
              </w:rPr>
              <w:t>分。</w:t>
            </w:r>
          </w:p>
        </w:tc>
      </w:tr>
      <w:tr w14:paraId="6FE32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9763" w:type="dxa"/>
            <w:gridSpan w:val="4"/>
            <w:noWrap w:val="0"/>
            <w:vAlign w:val="center"/>
          </w:tcPr>
          <w:p w14:paraId="268BDB02">
            <w:pPr>
              <w:pStyle w:val="16"/>
              <w:snapToGrid w:val="0"/>
              <w:spacing w:line="360" w:lineRule="atLeast"/>
              <w:rPr>
                <w:rFonts w:hint="eastAsia" w:ascii="宋体" w:hAnsi="宋体" w:eastAsia="宋体" w:cs="宋体"/>
                <w:b/>
                <w:bCs/>
                <w:color w:val="auto"/>
                <w:sz w:val="24"/>
                <w:szCs w:val="24"/>
                <w:highlight w:val="none"/>
                <w:shd w:val="clear" w:color="auto" w:fill="auto"/>
                <w:lang w:val="en-US" w:eastAsia="zh-CN"/>
              </w:rPr>
            </w:pPr>
            <w:r>
              <w:rPr>
                <w:rFonts w:hint="eastAsia" w:ascii="宋体" w:hAnsi="宋体" w:eastAsia="宋体" w:cs="宋体"/>
                <w:b/>
                <w:bCs/>
                <w:color w:val="auto"/>
                <w:sz w:val="24"/>
                <w:szCs w:val="24"/>
                <w:highlight w:val="none"/>
                <w:shd w:val="clear" w:color="auto" w:fill="auto"/>
              </w:rPr>
              <w:t>总得分=1+2+3</w:t>
            </w:r>
            <w:r>
              <w:rPr>
                <w:rFonts w:hint="eastAsia" w:ascii="宋体" w:hAnsi="宋体" w:eastAsia="宋体" w:cs="宋体"/>
                <w:b/>
                <w:bCs/>
                <w:color w:val="auto"/>
                <w:sz w:val="24"/>
                <w:szCs w:val="24"/>
                <w:highlight w:val="none"/>
                <w:shd w:val="clear" w:color="auto" w:fill="auto"/>
                <w:lang w:val="en-US" w:eastAsia="zh-CN"/>
              </w:rPr>
              <w:t>+4</w:t>
            </w:r>
          </w:p>
        </w:tc>
      </w:tr>
    </w:tbl>
    <w:p w14:paraId="172A05A0">
      <w:pPr>
        <w:pStyle w:val="18"/>
        <w:rPr>
          <w:rFonts w:hint="eastAsia"/>
          <w:color w:val="auto"/>
          <w:highlight w:val="none"/>
          <w:lang w:eastAsia="zh-CN"/>
        </w:rPr>
      </w:pPr>
    </w:p>
    <w:p w14:paraId="07BA2770">
      <w:pPr>
        <w:rPr>
          <w:rFonts w:hint="eastAsia"/>
          <w:color w:val="auto"/>
          <w:highlight w:val="none"/>
        </w:rPr>
      </w:pPr>
    </w:p>
    <w:p w14:paraId="32E88E07">
      <w:pPr>
        <w:pStyle w:val="18"/>
        <w:rPr>
          <w:rFonts w:hint="eastAsia"/>
          <w:color w:val="auto"/>
          <w:highlight w:val="none"/>
        </w:rPr>
      </w:pPr>
    </w:p>
    <w:p w14:paraId="4AA137F9">
      <w:pPr>
        <w:pStyle w:val="18"/>
        <w:rPr>
          <w:rFonts w:hint="eastAsia"/>
          <w:color w:val="auto"/>
          <w:highlight w:val="none"/>
        </w:rPr>
      </w:pPr>
    </w:p>
    <w:p w14:paraId="37ACC27A">
      <w:pPr>
        <w:pStyle w:val="3"/>
        <w:jc w:val="center"/>
        <w:rPr>
          <w:rFonts w:hint="eastAsia" w:cs="Times New Roman"/>
          <w:b w:val="0"/>
          <w:color w:val="auto"/>
          <w:sz w:val="30"/>
          <w:szCs w:val="30"/>
          <w:highlight w:val="none"/>
        </w:rPr>
      </w:pPr>
      <w:r>
        <w:rPr>
          <w:rFonts w:hint="eastAsia" w:cs="Times New Roman"/>
          <w:b w:val="0"/>
          <w:color w:val="auto"/>
          <w:sz w:val="30"/>
          <w:szCs w:val="30"/>
          <w:highlight w:val="none"/>
        </w:rPr>
        <w:br w:type="page"/>
      </w:r>
      <w:r>
        <w:rPr>
          <w:rFonts w:hint="eastAsia" w:cs="Times New Roman"/>
          <w:b w:val="0"/>
          <w:color w:val="auto"/>
          <w:sz w:val="30"/>
          <w:szCs w:val="30"/>
          <w:highlight w:val="none"/>
        </w:rPr>
        <w:t>第四节</w:t>
      </w:r>
      <w:r>
        <w:rPr>
          <w:rFonts w:cs="Times New Roman"/>
          <w:b w:val="0"/>
          <w:color w:val="auto"/>
          <w:sz w:val="30"/>
          <w:szCs w:val="30"/>
          <w:highlight w:val="none"/>
        </w:rPr>
        <w:t xml:space="preserve"> </w:t>
      </w:r>
      <w:r>
        <w:rPr>
          <w:rFonts w:hint="eastAsia" w:cs="Times New Roman"/>
          <w:b w:val="0"/>
          <w:color w:val="auto"/>
          <w:sz w:val="30"/>
          <w:szCs w:val="30"/>
          <w:highlight w:val="none"/>
        </w:rPr>
        <w:t>中标候选人推荐原则</w:t>
      </w:r>
    </w:p>
    <w:p w14:paraId="3B3B45E9">
      <w:pPr>
        <w:shd w:val="clear" w:color="auto" w:fill="auto"/>
        <w:wordWrap w:val="0"/>
        <w:spacing w:line="460" w:lineRule="exact"/>
        <w:ind w:firstLine="422" w:firstLineChars="200"/>
        <w:jc w:val="left"/>
        <w:rPr>
          <w:rFonts w:hint="eastAsia" w:ascii="宋体" w:hAnsi="宋体" w:cs="宋体"/>
          <w:bCs/>
          <w:color w:val="auto"/>
          <w:szCs w:val="21"/>
          <w:highlight w:val="none"/>
        </w:rPr>
      </w:pPr>
      <w:r>
        <w:rPr>
          <w:rFonts w:hint="eastAsia" w:ascii="宋体" w:hAnsi="宋体" w:eastAsia="宋体" w:cs="宋体"/>
          <w:b/>
          <w:bCs/>
          <w:color w:val="auto"/>
          <w:szCs w:val="21"/>
          <w:highlight w:val="none"/>
          <w:lang w:val="en-US" w:eastAsia="zh-CN"/>
        </w:rPr>
        <w:t>一</w:t>
      </w:r>
      <w:r>
        <w:rPr>
          <w:rFonts w:hint="eastAsia" w:ascii="宋体" w:hAnsi="宋体" w:cs="宋体"/>
          <w:b/>
          <w:bCs/>
          <w:color w:val="auto"/>
          <w:szCs w:val="21"/>
          <w:highlight w:val="none"/>
          <w:lang w:val="en-US" w:eastAsia="zh-CN"/>
        </w:rPr>
        <w:t>、</w:t>
      </w:r>
      <w:r>
        <w:rPr>
          <w:rFonts w:hint="eastAsia" w:ascii="宋体" w:hAnsi="宋体" w:cs="宋体"/>
          <w:bCs/>
          <w:color w:val="auto"/>
          <w:szCs w:val="21"/>
          <w:highlight w:val="none"/>
        </w:rPr>
        <w:t>评标委员会将根据总得分由高到低排列次序（总得分相同时，以投标报价由低到高顺序排列；总得分相同且投标报价相同的，按技术分由高到低顺序排列；总得分相同、投标报价相同且技术分相同的，按商务分</w:t>
      </w:r>
      <w:r>
        <w:rPr>
          <w:rFonts w:hint="eastAsia" w:ascii="宋体" w:hAnsi="宋体" w:cs="宋体"/>
          <w:color w:val="auto"/>
          <w:kern w:val="0"/>
          <w:szCs w:val="21"/>
          <w:highlight w:val="none"/>
          <w:lang w:bidi="ar"/>
        </w:rPr>
        <w:t>由高到低顺序排列</w:t>
      </w:r>
      <w:r>
        <w:rPr>
          <w:rFonts w:hint="eastAsia" w:ascii="宋体" w:hAnsi="宋体" w:cs="宋体"/>
          <w:bCs/>
          <w:color w:val="auto"/>
          <w:szCs w:val="21"/>
          <w:highlight w:val="none"/>
        </w:rPr>
        <w:t>）并推荐三名中标候选供应商。招标人应当确定评审委员会推荐排名第一的中标候选人为中标人。排名第一的中标候选人放弃中标、因不可抗力提出不能履行合同，招标人可以确定排名第二的中标候选人为中标人。排名第二的中标候选人因前款规定的同样原因不能签订合同的，招标人可以确定排名第三的中标候选人为中标人。</w:t>
      </w:r>
    </w:p>
    <w:p w14:paraId="21830453">
      <w:pPr>
        <w:shd w:val="clear" w:color="auto" w:fill="auto"/>
        <w:wordWrap w:val="0"/>
        <w:spacing w:line="460" w:lineRule="exact"/>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注：如招标文件存在《广西壮族自治区政府采购当事人行为规则》下列的情形，评标委员会不得作为评审依据：招标代理机构不得在招标文件中列入限制、排斥潜在供应商的商务、技术条款；不得为迎合招标人列入单一品牌的规格技术标准及其他有违公平竞争的条款；不得以不合理的注册资本金、销售业绩及资格条件等条款对潜在供应商实行歧视或差别待遇。</w:t>
      </w:r>
    </w:p>
    <w:p w14:paraId="1D21E5CE">
      <w:pPr>
        <w:pStyle w:val="16"/>
        <w:tabs>
          <w:tab w:val="left" w:pos="2472"/>
        </w:tabs>
        <w:spacing w:line="480" w:lineRule="exact"/>
        <w:rPr>
          <w:rFonts w:hint="eastAsia" w:eastAsia="宋体" w:cs="Times New Roman"/>
          <w:color w:val="auto"/>
          <w:highlight w:val="none"/>
        </w:rPr>
      </w:pPr>
    </w:p>
    <w:p w14:paraId="10DC9DCA">
      <w:pPr>
        <w:rPr>
          <w:rFonts w:hint="eastAsia"/>
          <w:color w:val="auto"/>
          <w:highlight w:val="none"/>
        </w:rPr>
      </w:pPr>
    </w:p>
    <w:p w14:paraId="038E578E">
      <w:pPr>
        <w:outlineLvl w:val="9"/>
        <w:rPr>
          <w:rFonts w:hint="eastAsia"/>
          <w:color w:val="auto"/>
          <w:highlight w:val="none"/>
        </w:rPr>
      </w:pPr>
    </w:p>
    <w:p w14:paraId="1D5D1534">
      <w:pPr>
        <w:rPr>
          <w:rFonts w:hint="eastAsia"/>
          <w:color w:val="auto"/>
          <w:highlight w:val="none"/>
          <w:lang w:eastAsia="zh-CN"/>
        </w:rPr>
      </w:pPr>
    </w:p>
    <w:p w14:paraId="348E9030">
      <w:pPr>
        <w:pStyle w:val="3"/>
        <w:spacing w:before="0" w:after="0" w:line="360" w:lineRule="auto"/>
        <w:ind w:firstLine="600" w:firstLineChars="200"/>
        <w:jc w:val="center"/>
        <w:rPr>
          <w:rFonts w:hint="eastAsia" w:cs="Times New Roman"/>
          <w:b w:val="0"/>
          <w:color w:val="auto"/>
          <w:sz w:val="30"/>
          <w:szCs w:val="30"/>
          <w:highlight w:val="none"/>
        </w:rPr>
      </w:pPr>
      <w:bookmarkStart w:id="303" w:name="_Toc15061"/>
      <w:bookmarkStart w:id="304" w:name="_Toc11083"/>
      <w:bookmarkStart w:id="305" w:name="_Toc20313"/>
      <w:bookmarkStart w:id="306" w:name="_Toc12855"/>
      <w:bookmarkStart w:id="307" w:name="_Toc2202"/>
      <w:bookmarkStart w:id="308" w:name="_Toc16466"/>
      <w:bookmarkStart w:id="309" w:name="_Toc10751"/>
      <w:bookmarkStart w:id="310" w:name="_Toc23906"/>
      <w:bookmarkStart w:id="311" w:name="_Toc9480"/>
      <w:bookmarkStart w:id="312" w:name="_Toc18582"/>
      <w:r>
        <w:rPr>
          <w:rFonts w:hint="eastAsia" w:cs="Times New Roman"/>
          <w:b w:val="0"/>
          <w:color w:val="auto"/>
          <w:sz w:val="30"/>
          <w:szCs w:val="30"/>
          <w:highlight w:val="none"/>
        </w:rPr>
        <w:t>第</w:t>
      </w:r>
      <w:r>
        <w:rPr>
          <w:rFonts w:hint="eastAsia" w:cs="Times New Roman"/>
          <w:b w:val="0"/>
          <w:color w:val="auto"/>
          <w:sz w:val="30"/>
          <w:szCs w:val="30"/>
          <w:highlight w:val="none"/>
          <w:lang w:val="en-US" w:eastAsia="zh-CN"/>
        </w:rPr>
        <w:t>五</w:t>
      </w:r>
      <w:r>
        <w:rPr>
          <w:rFonts w:hint="eastAsia" w:cs="Times New Roman"/>
          <w:b w:val="0"/>
          <w:color w:val="auto"/>
          <w:sz w:val="30"/>
          <w:szCs w:val="30"/>
          <w:highlight w:val="none"/>
        </w:rPr>
        <w:t>节</w:t>
      </w:r>
      <w:bookmarkEnd w:id="303"/>
      <w:bookmarkEnd w:id="304"/>
      <w:bookmarkEnd w:id="305"/>
      <w:bookmarkEnd w:id="306"/>
      <w:bookmarkEnd w:id="307"/>
      <w:bookmarkEnd w:id="308"/>
      <w:bookmarkEnd w:id="309"/>
      <w:bookmarkEnd w:id="310"/>
      <w:bookmarkEnd w:id="311"/>
      <w:bookmarkEnd w:id="312"/>
      <w:bookmarkStart w:id="313" w:name="_Toc11545"/>
      <w:bookmarkStart w:id="314" w:name="_Toc11695"/>
      <w:bookmarkStart w:id="315" w:name="_Toc27419"/>
      <w:bookmarkStart w:id="316" w:name="_Toc13808"/>
      <w:bookmarkStart w:id="317" w:name="_Toc22384"/>
      <w:bookmarkStart w:id="318" w:name="_Toc29218"/>
      <w:bookmarkStart w:id="319" w:name="_Toc11073"/>
      <w:bookmarkStart w:id="320" w:name="_Toc7971"/>
      <w:bookmarkStart w:id="321" w:name="_Toc9602"/>
      <w:bookmarkStart w:id="322" w:name="_Toc13625"/>
      <w:r>
        <w:rPr>
          <w:rFonts w:cs="Times New Roman"/>
          <w:b w:val="0"/>
          <w:color w:val="auto"/>
          <w:sz w:val="30"/>
          <w:szCs w:val="30"/>
          <w:highlight w:val="none"/>
        </w:rPr>
        <w:t xml:space="preserve"> </w:t>
      </w:r>
      <w:r>
        <w:rPr>
          <w:rFonts w:hint="eastAsia" w:cs="Times New Roman"/>
          <w:b w:val="0"/>
          <w:color w:val="auto"/>
          <w:sz w:val="30"/>
          <w:szCs w:val="30"/>
          <w:highlight w:val="none"/>
        </w:rPr>
        <w:t>评标报告</w:t>
      </w:r>
      <w:bookmarkEnd w:id="313"/>
      <w:bookmarkEnd w:id="314"/>
      <w:bookmarkEnd w:id="315"/>
      <w:bookmarkEnd w:id="316"/>
      <w:bookmarkEnd w:id="317"/>
      <w:bookmarkEnd w:id="318"/>
      <w:bookmarkEnd w:id="319"/>
      <w:bookmarkEnd w:id="320"/>
      <w:bookmarkEnd w:id="321"/>
      <w:bookmarkEnd w:id="322"/>
    </w:p>
    <w:p w14:paraId="5ED8281E">
      <w:pPr>
        <w:pStyle w:val="40"/>
        <w:spacing w:before="0"/>
        <w:ind w:firstLine="482"/>
        <w:rPr>
          <w:rFonts w:hint="eastAsia" w:ascii="宋体" w:hAnsi="宋体" w:eastAsia="宋体" w:cs="Times New Roman"/>
          <w:b/>
          <w:bCs/>
          <w:color w:val="auto"/>
          <w:szCs w:val="24"/>
          <w:highlight w:val="none"/>
        </w:rPr>
      </w:pPr>
    </w:p>
    <w:p w14:paraId="4B46CF01">
      <w:pPr>
        <w:pStyle w:val="40"/>
        <w:spacing w:before="0"/>
        <w:ind w:firstLine="482"/>
        <w:rPr>
          <w:rFonts w:ascii="宋体" w:hAnsi="宋体" w:eastAsia="宋体" w:cs="Times New Roman"/>
          <w:b/>
          <w:bCs/>
          <w:color w:val="auto"/>
          <w:szCs w:val="24"/>
          <w:highlight w:val="none"/>
        </w:rPr>
      </w:pPr>
      <w:r>
        <w:rPr>
          <w:rFonts w:hint="eastAsia" w:ascii="宋体" w:hAnsi="宋体" w:eastAsia="宋体" w:cs="Times New Roman"/>
          <w:b/>
          <w:bCs/>
          <w:color w:val="auto"/>
          <w:szCs w:val="24"/>
          <w:highlight w:val="none"/>
        </w:rPr>
        <w:t>（一）评标报告与推荐中标候选人</w:t>
      </w:r>
    </w:p>
    <w:p w14:paraId="773911CD">
      <w:pPr>
        <w:pStyle w:val="16"/>
        <w:tabs>
          <w:tab w:val="left" w:pos="2472"/>
        </w:tabs>
        <w:spacing w:line="360" w:lineRule="auto"/>
        <w:ind w:firstLine="420" w:firstLineChars="200"/>
        <w:rPr>
          <w:rFonts w:hint="eastAsia" w:hAnsi="宋体" w:eastAsia="宋体" w:cs="Times New Roman"/>
          <w:color w:val="auto"/>
          <w:highlight w:val="none"/>
        </w:rPr>
      </w:pPr>
      <w:r>
        <w:rPr>
          <w:rFonts w:hint="eastAsia" w:hAnsi="宋体" w:eastAsia="宋体" w:cs="Times New Roman"/>
          <w:color w:val="auto"/>
          <w:highlight w:val="none"/>
        </w:rPr>
        <w:t>评标委员会根据原始评标记录和评标结果编写评标报告，并通过电子交易平台向采购人、采购代理机构提交。</w:t>
      </w:r>
    </w:p>
    <w:p w14:paraId="6CDD5C5C">
      <w:pPr>
        <w:widowControl/>
        <w:spacing w:line="360" w:lineRule="auto"/>
        <w:ind w:firstLine="482" w:firstLineChars="200"/>
        <w:jc w:val="left"/>
        <w:rPr>
          <w:rFonts w:hint="eastAsia" w:ascii="宋体" w:hAnsi="宋体" w:eastAsia="宋体" w:cs="Times New Roman"/>
          <w:b/>
          <w:bCs/>
          <w:color w:val="auto"/>
          <w:sz w:val="24"/>
          <w:highlight w:val="none"/>
        </w:rPr>
      </w:pPr>
      <w:r>
        <w:rPr>
          <w:rFonts w:hint="eastAsia" w:ascii="宋体" w:hAnsi="宋体" w:eastAsia="宋体" w:cs="Times New Roman"/>
          <w:b/>
          <w:bCs/>
          <w:color w:val="auto"/>
          <w:sz w:val="24"/>
          <w:highlight w:val="none"/>
        </w:rPr>
        <w:t>（二）评标争议事项处理</w:t>
      </w:r>
    </w:p>
    <w:p w14:paraId="1C02A116">
      <w:pPr>
        <w:pStyle w:val="16"/>
        <w:tabs>
          <w:tab w:val="left" w:pos="2472"/>
        </w:tabs>
        <w:spacing w:line="360" w:lineRule="auto"/>
        <w:ind w:firstLine="420" w:firstLineChars="200"/>
        <w:rPr>
          <w:rFonts w:hint="eastAsia" w:hAnsi="宋体" w:eastAsia="宋体" w:cs="Times New Roman"/>
          <w:color w:val="auto"/>
          <w:highlight w:val="none"/>
        </w:rPr>
      </w:pPr>
      <w:r>
        <w:rPr>
          <w:rFonts w:hint="eastAsia" w:hAnsi="宋体" w:eastAsia="宋体" w:cs="Times New Roman"/>
          <w:color w:val="auto"/>
          <w:highlight w:val="none"/>
        </w:rPr>
        <w:t>评标委员会成员对需要共同认定的事项存在争议的，应当按照少数服从多数的原则作出结论。持不同意见的评标委员会成员应当在评标报告上签署不同意见及理由，否则视为同意评标报告。</w:t>
      </w:r>
    </w:p>
    <w:p w14:paraId="614345AC">
      <w:pPr>
        <w:widowControl/>
        <w:jc w:val="left"/>
        <w:rPr>
          <w:b/>
          <w:color w:val="auto"/>
          <w:sz w:val="36"/>
          <w:szCs w:val="20"/>
          <w:highlight w:val="none"/>
        </w:rPr>
        <w:sectPr>
          <w:pgSz w:w="11905" w:h="16838"/>
          <w:pgMar w:top="1134" w:right="1134" w:bottom="1134" w:left="1134" w:header="850" w:footer="850" w:gutter="0"/>
          <w:pgNumType w:fmt="decimal"/>
          <w:cols w:space="720" w:num="1"/>
          <w:titlePg/>
          <w:rtlGutter w:val="0"/>
          <w:docGrid w:linePitch="331" w:charSpace="0"/>
        </w:sectPr>
      </w:pPr>
    </w:p>
    <w:p w14:paraId="499DD7A2">
      <w:pPr>
        <w:pStyle w:val="16"/>
        <w:tabs>
          <w:tab w:val="left" w:pos="2472"/>
        </w:tabs>
        <w:spacing w:line="460" w:lineRule="exact"/>
        <w:jc w:val="center"/>
        <w:rPr>
          <w:rFonts w:ascii="Times New Roman" w:hAnsi="Times New Roman" w:eastAsia="宋体" w:cs="Times New Roman"/>
          <w:b/>
          <w:color w:val="auto"/>
          <w:sz w:val="36"/>
          <w:highlight w:val="none"/>
        </w:rPr>
      </w:pPr>
    </w:p>
    <w:p w14:paraId="65F8A8FC">
      <w:pPr>
        <w:pStyle w:val="16"/>
        <w:tabs>
          <w:tab w:val="left" w:pos="2472"/>
        </w:tabs>
        <w:spacing w:line="460" w:lineRule="exact"/>
        <w:jc w:val="center"/>
        <w:rPr>
          <w:rFonts w:ascii="Times New Roman" w:hAnsi="Times New Roman" w:eastAsia="宋体" w:cs="Times New Roman"/>
          <w:b/>
          <w:color w:val="auto"/>
          <w:sz w:val="36"/>
          <w:highlight w:val="none"/>
        </w:rPr>
      </w:pPr>
    </w:p>
    <w:p w14:paraId="6D7CFF5C">
      <w:pPr>
        <w:pStyle w:val="16"/>
        <w:tabs>
          <w:tab w:val="left" w:pos="2472"/>
        </w:tabs>
        <w:spacing w:line="460" w:lineRule="exact"/>
        <w:jc w:val="center"/>
        <w:rPr>
          <w:rFonts w:ascii="Times New Roman" w:hAnsi="Times New Roman" w:eastAsia="宋体" w:cs="Times New Roman"/>
          <w:b/>
          <w:color w:val="auto"/>
          <w:sz w:val="36"/>
          <w:highlight w:val="none"/>
        </w:rPr>
      </w:pPr>
    </w:p>
    <w:p w14:paraId="139A8883">
      <w:pPr>
        <w:pStyle w:val="16"/>
        <w:tabs>
          <w:tab w:val="left" w:pos="2472"/>
        </w:tabs>
        <w:spacing w:line="460" w:lineRule="exact"/>
        <w:jc w:val="center"/>
        <w:rPr>
          <w:rFonts w:ascii="Times New Roman" w:hAnsi="Times New Roman" w:eastAsia="宋体" w:cs="Times New Roman"/>
          <w:b/>
          <w:color w:val="auto"/>
          <w:sz w:val="36"/>
          <w:highlight w:val="none"/>
        </w:rPr>
      </w:pPr>
    </w:p>
    <w:p w14:paraId="241D3D6B">
      <w:pPr>
        <w:pStyle w:val="16"/>
        <w:tabs>
          <w:tab w:val="left" w:pos="2472"/>
        </w:tabs>
        <w:spacing w:line="460" w:lineRule="exact"/>
        <w:jc w:val="center"/>
        <w:rPr>
          <w:rFonts w:ascii="Times New Roman" w:hAnsi="Times New Roman" w:eastAsia="宋体" w:cs="Times New Roman"/>
          <w:b/>
          <w:color w:val="auto"/>
          <w:sz w:val="36"/>
          <w:highlight w:val="none"/>
        </w:rPr>
      </w:pPr>
    </w:p>
    <w:p w14:paraId="0AE768B6">
      <w:pPr>
        <w:pStyle w:val="16"/>
        <w:tabs>
          <w:tab w:val="left" w:pos="2472"/>
        </w:tabs>
        <w:spacing w:line="460" w:lineRule="exact"/>
        <w:jc w:val="center"/>
        <w:rPr>
          <w:rFonts w:ascii="Times New Roman" w:hAnsi="Times New Roman" w:eastAsia="宋体" w:cs="Times New Roman"/>
          <w:b/>
          <w:color w:val="auto"/>
          <w:sz w:val="36"/>
          <w:highlight w:val="none"/>
        </w:rPr>
      </w:pPr>
    </w:p>
    <w:p w14:paraId="2D591800">
      <w:pPr>
        <w:pStyle w:val="16"/>
        <w:tabs>
          <w:tab w:val="left" w:pos="2472"/>
        </w:tabs>
        <w:spacing w:line="460" w:lineRule="exact"/>
        <w:jc w:val="center"/>
        <w:rPr>
          <w:rFonts w:ascii="Times New Roman" w:hAnsi="Times New Roman" w:eastAsia="宋体" w:cs="Times New Roman"/>
          <w:b/>
          <w:color w:val="auto"/>
          <w:sz w:val="36"/>
          <w:highlight w:val="none"/>
        </w:rPr>
      </w:pPr>
    </w:p>
    <w:p w14:paraId="0EE06859">
      <w:pPr>
        <w:pStyle w:val="16"/>
        <w:tabs>
          <w:tab w:val="left" w:pos="2472"/>
        </w:tabs>
        <w:spacing w:line="460" w:lineRule="exact"/>
        <w:jc w:val="center"/>
        <w:rPr>
          <w:rFonts w:ascii="Times New Roman" w:hAnsi="Times New Roman" w:eastAsia="宋体" w:cs="Times New Roman"/>
          <w:b/>
          <w:color w:val="auto"/>
          <w:sz w:val="36"/>
          <w:highlight w:val="none"/>
        </w:rPr>
      </w:pPr>
    </w:p>
    <w:p w14:paraId="40EA30BB">
      <w:pPr>
        <w:pStyle w:val="16"/>
        <w:tabs>
          <w:tab w:val="left" w:pos="2472"/>
        </w:tabs>
        <w:spacing w:line="460" w:lineRule="exact"/>
        <w:jc w:val="center"/>
        <w:outlineLvl w:val="0"/>
        <w:rPr>
          <w:rFonts w:hint="eastAsia" w:ascii="Times New Roman" w:hAnsi="Times New Roman" w:eastAsia="宋体" w:cs="Times New Roman"/>
          <w:b/>
          <w:color w:val="auto"/>
          <w:sz w:val="36"/>
          <w:highlight w:val="none"/>
        </w:rPr>
      </w:pPr>
      <w:bookmarkStart w:id="323" w:name="_Toc7167"/>
      <w:bookmarkStart w:id="324" w:name="_Toc32021"/>
      <w:bookmarkStart w:id="325" w:name="_Toc31791"/>
      <w:bookmarkStart w:id="326" w:name="_Toc29347"/>
      <w:bookmarkStart w:id="327" w:name="_Toc9012"/>
      <w:bookmarkStart w:id="328" w:name="_Toc17049"/>
      <w:bookmarkStart w:id="329" w:name="_Toc27014"/>
      <w:bookmarkStart w:id="330" w:name="_Toc9058"/>
      <w:bookmarkStart w:id="331" w:name="_Toc26262"/>
      <w:bookmarkStart w:id="332" w:name="_Toc20993"/>
      <w:bookmarkStart w:id="333" w:name="_Toc3422"/>
      <w:bookmarkStart w:id="334" w:name="_Toc25572"/>
      <w:bookmarkStart w:id="335" w:name="_Toc3838"/>
      <w:r>
        <w:rPr>
          <w:rFonts w:hint="eastAsia" w:ascii="Times New Roman" w:hAnsi="Times New Roman" w:eastAsia="宋体" w:cs="Times New Roman"/>
          <w:b/>
          <w:color w:val="auto"/>
          <w:sz w:val="36"/>
          <w:highlight w:val="none"/>
        </w:rPr>
        <w:t>第五章</w:t>
      </w:r>
      <w:r>
        <w:rPr>
          <w:rFonts w:ascii="Times New Roman" w:hAnsi="Times New Roman" w:eastAsia="宋体" w:cs="Times New Roman"/>
          <w:b/>
          <w:color w:val="auto"/>
          <w:sz w:val="36"/>
          <w:highlight w:val="none"/>
        </w:rPr>
        <w:t xml:space="preserve"> </w:t>
      </w:r>
      <w:r>
        <w:rPr>
          <w:rFonts w:hint="eastAsia" w:ascii="Times New Roman" w:hAnsi="Times New Roman" w:eastAsia="宋体" w:cs="Times New Roman"/>
          <w:b/>
          <w:color w:val="auto"/>
          <w:sz w:val="36"/>
          <w:highlight w:val="none"/>
        </w:rPr>
        <w:t>拟签订的合同文本</w:t>
      </w:r>
      <w:bookmarkEnd w:id="323"/>
      <w:bookmarkEnd w:id="324"/>
      <w:bookmarkEnd w:id="325"/>
      <w:bookmarkEnd w:id="326"/>
      <w:bookmarkEnd w:id="327"/>
      <w:bookmarkEnd w:id="328"/>
      <w:bookmarkEnd w:id="329"/>
      <w:bookmarkEnd w:id="330"/>
      <w:bookmarkEnd w:id="331"/>
      <w:bookmarkEnd w:id="332"/>
      <w:bookmarkEnd w:id="333"/>
      <w:bookmarkEnd w:id="334"/>
      <w:bookmarkEnd w:id="335"/>
    </w:p>
    <w:p w14:paraId="3ACB10FC">
      <w:pPr>
        <w:pStyle w:val="8"/>
        <w:ind w:left="0"/>
        <w:rPr>
          <w:color w:val="auto"/>
          <w:highlight w:val="none"/>
        </w:rPr>
      </w:pPr>
    </w:p>
    <w:p w14:paraId="029C56FE">
      <w:pPr>
        <w:rPr>
          <w:color w:val="auto"/>
          <w:highlight w:val="none"/>
        </w:rPr>
      </w:pPr>
    </w:p>
    <w:p w14:paraId="31A940A4">
      <w:pPr>
        <w:pStyle w:val="18"/>
        <w:rPr>
          <w:color w:val="auto"/>
          <w:highlight w:val="none"/>
        </w:rPr>
      </w:pPr>
    </w:p>
    <w:p w14:paraId="3AC70D5B">
      <w:pPr>
        <w:rPr>
          <w:color w:val="auto"/>
          <w:highlight w:val="none"/>
        </w:rPr>
      </w:pPr>
    </w:p>
    <w:p w14:paraId="27223607">
      <w:pPr>
        <w:shd w:val="clear" w:color="auto" w:fill="auto"/>
        <w:wordWrap w:val="0"/>
        <w:rPr>
          <w:rFonts w:hint="eastAsia"/>
          <w:color w:val="auto"/>
          <w:highlight w:val="none"/>
        </w:rPr>
      </w:pPr>
      <w:r>
        <w:rPr>
          <w:rFonts w:hint="eastAsia"/>
          <w:color w:val="auto"/>
          <w:highlight w:val="none"/>
        </w:rPr>
        <w:t>注：</w:t>
      </w:r>
    </w:p>
    <w:p w14:paraId="68327007">
      <w:pPr>
        <w:shd w:val="clear" w:color="auto" w:fill="auto"/>
        <w:wordWrap w:val="0"/>
        <w:rPr>
          <w:rFonts w:hint="eastAsia" w:ascii="Times New Roman" w:hAnsi="Times New Roman" w:cs="Times New Roman"/>
          <w:color w:val="auto"/>
          <w:highlight w:val="none"/>
        </w:rPr>
      </w:pPr>
      <w:r>
        <w:rPr>
          <w:rFonts w:hint="eastAsia" w:ascii="Times New Roman" w:hAnsi="Times New Roman" w:cs="Times New Roman"/>
          <w:color w:val="auto"/>
          <w:highlight w:val="none"/>
        </w:rPr>
        <w:t>1、以下合同书仅供签订正式合同时参考用，正式合同书应包括此参考格式之内容。</w:t>
      </w:r>
    </w:p>
    <w:p w14:paraId="1E6AE84F">
      <w:pPr>
        <w:shd w:val="clear" w:color="auto" w:fill="auto"/>
        <w:wordWrap w:val="0"/>
        <w:rPr>
          <w:rFonts w:hint="eastAsia" w:ascii="Times New Roman" w:hAnsi="Times New Roman" w:cs="Times New Roman"/>
          <w:color w:val="auto"/>
          <w:highlight w:val="none"/>
        </w:rPr>
      </w:pPr>
      <w:r>
        <w:rPr>
          <w:rFonts w:hint="eastAsia" w:ascii="Times New Roman" w:hAnsi="Times New Roman" w:cs="Times New Roman"/>
          <w:color w:val="auto"/>
          <w:highlight w:val="none"/>
        </w:rPr>
        <w:t>2、合同签订双方可根据项目的具体要求进行修订，但合同条款不得与招标文件和中标供应商投标文件有实质性偏离。</w:t>
      </w:r>
    </w:p>
    <w:p w14:paraId="0527A96B">
      <w:pPr>
        <w:rPr>
          <w:color w:val="auto"/>
          <w:highlight w:val="none"/>
        </w:rPr>
      </w:pPr>
    </w:p>
    <w:p w14:paraId="68A1896F">
      <w:pPr>
        <w:pStyle w:val="18"/>
        <w:rPr>
          <w:color w:val="auto"/>
          <w:highlight w:val="none"/>
        </w:rPr>
      </w:pPr>
    </w:p>
    <w:p w14:paraId="30ABBDB6">
      <w:pPr>
        <w:rPr>
          <w:color w:val="auto"/>
          <w:highlight w:val="none"/>
        </w:rPr>
      </w:pPr>
    </w:p>
    <w:p w14:paraId="7D8E2FC7">
      <w:pPr>
        <w:pStyle w:val="18"/>
        <w:rPr>
          <w:color w:val="auto"/>
          <w:highlight w:val="none"/>
        </w:rPr>
      </w:pPr>
    </w:p>
    <w:p w14:paraId="7F58BA1E">
      <w:pPr>
        <w:widowControl/>
        <w:jc w:val="left"/>
        <w:rPr>
          <w:rFonts w:ascii="宋体" w:hAnsi="Courier New"/>
          <w:bCs/>
          <w:color w:val="auto"/>
          <w:szCs w:val="20"/>
          <w:highlight w:val="none"/>
        </w:rPr>
        <w:sectPr>
          <w:pgSz w:w="11905" w:h="16838"/>
          <w:pgMar w:top="1134" w:right="1134" w:bottom="1134" w:left="1134" w:header="850" w:footer="850" w:gutter="0"/>
          <w:pgNumType w:fmt="decimal"/>
          <w:cols w:space="720" w:num="1"/>
          <w:titlePg/>
          <w:rtlGutter w:val="0"/>
          <w:docGrid w:linePitch="331" w:charSpace="0"/>
        </w:sectPr>
      </w:pPr>
    </w:p>
    <w:p w14:paraId="7B7A8BD5">
      <w:pPr>
        <w:snapToGrid w:val="0"/>
        <w:spacing w:line="400" w:lineRule="exact"/>
        <w:jc w:val="center"/>
        <w:rPr>
          <w:rFonts w:ascii="宋体" w:hAnsi="宋体"/>
          <w:b/>
          <w:bCs/>
          <w:color w:val="auto"/>
          <w:sz w:val="32"/>
          <w:szCs w:val="32"/>
          <w:highlight w:val="none"/>
        </w:rPr>
      </w:pPr>
      <w:r>
        <w:rPr>
          <w:rFonts w:hint="eastAsia" w:ascii="宋体" w:hAnsi="宋体"/>
          <w:b/>
          <w:bCs/>
          <w:color w:val="auto"/>
          <w:sz w:val="32"/>
          <w:szCs w:val="32"/>
          <w:highlight w:val="none"/>
        </w:rPr>
        <w:t>《广西壮族自治区政府采购合同》</w:t>
      </w:r>
    </w:p>
    <w:p w14:paraId="5DC793B2">
      <w:pPr>
        <w:snapToGrid w:val="0"/>
        <w:spacing w:line="400" w:lineRule="exact"/>
        <w:jc w:val="center"/>
        <w:rPr>
          <w:rFonts w:ascii="宋体" w:hAnsi="宋体"/>
          <w:b/>
          <w:bCs/>
          <w:color w:val="auto"/>
          <w:sz w:val="32"/>
          <w:szCs w:val="32"/>
          <w:highlight w:val="none"/>
        </w:rPr>
      </w:pPr>
    </w:p>
    <w:p w14:paraId="251DCA86">
      <w:pPr>
        <w:snapToGrid w:val="0"/>
        <w:spacing w:line="400" w:lineRule="exact"/>
        <w:ind w:right="480" w:firstLine="5250" w:firstLineChars="2500"/>
        <w:rPr>
          <w:rFonts w:ascii="宋体" w:hAnsi="宋体"/>
          <w:bCs/>
          <w:color w:val="auto"/>
          <w:szCs w:val="21"/>
          <w:highlight w:val="none"/>
          <w:u w:val="single"/>
        </w:rPr>
      </w:pPr>
      <w:r>
        <w:rPr>
          <w:rFonts w:hint="eastAsia" w:ascii="宋体" w:hAnsi="宋体"/>
          <w:bCs/>
          <w:color w:val="auto"/>
          <w:szCs w:val="21"/>
          <w:highlight w:val="none"/>
        </w:rPr>
        <w:t>合同编号：</w:t>
      </w:r>
    </w:p>
    <w:p w14:paraId="1B2BA1BB">
      <w:pPr>
        <w:snapToGrid w:val="0"/>
        <w:spacing w:line="360" w:lineRule="exact"/>
        <w:rPr>
          <w:rFonts w:ascii="宋体" w:hAnsi="宋体"/>
          <w:color w:val="auto"/>
          <w:szCs w:val="21"/>
          <w:highlight w:val="none"/>
        </w:rPr>
      </w:pPr>
    </w:p>
    <w:p w14:paraId="43E98117">
      <w:pPr>
        <w:snapToGrid w:val="0"/>
        <w:spacing w:line="360" w:lineRule="auto"/>
        <w:rPr>
          <w:rFonts w:ascii="宋体" w:hAnsi="宋体"/>
          <w:color w:val="auto"/>
          <w:szCs w:val="21"/>
          <w:highlight w:val="none"/>
          <w:u w:val="single"/>
        </w:rPr>
      </w:pPr>
      <w:r>
        <w:rPr>
          <w:rFonts w:hint="eastAsia" w:ascii="宋体" w:hAnsi="宋体"/>
          <w:color w:val="auto"/>
          <w:szCs w:val="21"/>
          <w:highlight w:val="none"/>
        </w:rPr>
        <w:t>采购人（甲方）</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r>
        <w:rPr>
          <w:rFonts w:hint="eastAsia" w:ascii="宋体" w:hAnsi="宋体"/>
          <w:color w:val="auto"/>
          <w:spacing w:val="-20"/>
          <w:szCs w:val="21"/>
          <w:highlight w:val="none"/>
        </w:rPr>
        <w:t>采 购 计 划 号</w:t>
      </w:r>
      <w:r>
        <w:rPr>
          <w:rFonts w:hint="eastAsia" w:ascii="宋体" w:hAnsi="宋体"/>
          <w:color w:val="auto"/>
          <w:szCs w:val="21"/>
          <w:highlight w:val="none"/>
          <w:u w:val="single"/>
        </w:rPr>
        <w:t xml:space="preserve">             </w:t>
      </w:r>
    </w:p>
    <w:p w14:paraId="2F394311">
      <w:pPr>
        <w:snapToGrid w:val="0"/>
        <w:spacing w:line="360" w:lineRule="auto"/>
        <w:rPr>
          <w:rFonts w:ascii="宋体" w:hAnsi="宋体"/>
          <w:color w:val="auto"/>
          <w:szCs w:val="21"/>
          <w:highlight w:val="none"/>
          <w:u w:val="single"/>
        </w:rPr>
      </w:pPr>
      <w:r>
        <w:rPr>
          <w:rFonts w:hint="eastAsia" w:ascii="宋体" w:hAnsi="宋体"/>
          <w:color w:val="auto"/>
          <w:szCs w:val="21"/>
          <w:highlight w:val="none"/>
        </w:rPr>
        <w:t>供应商（乙方）</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r>
        <w:rPr>
          <w:rFonts w:hint="eastAsia" w:ascii="宋体" w:hAnsi="宋体"/>
          <w:color w:val="auto"/>
          <w:spacing w:val="-20"/>
          <w:szCs w:val="21"/>
          <w:highlight w:val="none"/>
        </w:rPr>
        <w:t>招  标  编  号</w:t>
      </w:r>
      <w:r>
        <w:rPr>
          <w:rFonts w:hint="eastAsia" w:ascii="宋体" w:hAnsi="宋体"/>
          <w:color w:val="auto"/>
          <w:szCs w:val="21"/>
          <w:highlight w:val="none"/>
          <w:u w:val="single"/>
        </w:rPr>
        <w:t xml:space="preserve">             </w:t>
      </w:r>
    </w:p>
    <w:p w14:paraId="57D5D561">
      <w:pPr>
        <w:snapToGrid w:val="0"/>
        <w:spacing w:line="360" w:lineRule="auto"/>
        <w:rPr>
          <w:rFonts w:ascii="宋体" w:hAnsi="宋体"/>
          <w:color w:val="auto"/>
          <w:szCs w:val="21"/>
          <w:highlight w:val="none"/>
          <w:u w:val="single"/>
        </w:rPr>
      </w:pPr>
      <w:r>
        <w:rPr>
          <w:rFonts w:hint="eastAsia" w:ascii="宋体" w:hAnsi="宋体"/>
          <w:color w:val="auto"/>
          <w:szCs w:val="21"/>
          <w:highlight w:val="none"/>
        </w:rPr>
        <w:t xml:space="preserve">签  订  地  点  </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签 订 时 间</w:t>
      </w:r>
      <w:r>
        <w:rPr>
          <w:rFonts w:hint="eastAsia" w:ascii="宋体" w:hAnsi="宋体"/>
          <w:color w:val="auto"/>
          <w:szCs w:val="21"/>
          <w:highlight w:val="none"/>
          <w:u w:val="single"/>
        </w:rPr>
        <w:t xml:space="preserve">             </w:t>
      </w:r>
    </w:p>
    <w:p w14:paraId="33C4BDCB">
      <w:pPr>
        <w:spacing w:line="360" w:lineRule="auto"/>
        <w:rPr>
          <w:rFonts w:ascii="宋体" w:hAnsi="宋体" w:cs="宋体"/>
          <w:color w:val="auto"/>
          <w:szCs w:val="21"/>
          <w:highlight w:val="none"/>
        </w:rPr>
      </w:pPr>
      <w:r>
        <w:rPr>
          <w:rFonts w:hint="eastAsia" w:ascii="宋体" w:hAnsi="宋体" w:cs="宋体"/>
          <w:color w:val="auto"/>
          <w:szCs w:val="21"/>
          <w:highlight w:val="none"/>
        </w:rPr>
        <w:t>本合同为中小企业预留合同：</w:t>
      </w:r>
      <w:r>
        <w:rPr>
          <w:rFonts w:hint="eastAsia" w:ascii="宋体" w:hAnsi="宋体" w:cs="宋体"/>
          <w:color w:val="auto"/>
          <w:szCs w:val="21"/>
          <w:highlight w:val="none"/>
          <w:u w:val="single"/>
        </w:rPr>
        <w:t>（是/否）</w:t>
      </w:r>
      <w:r>
        <w:rPr>
          <w:rFonts w:hint="eastAsia" w:ascii="宋体" w:hAnsi="宋体" w:cs="宋体"/>
          <w:color w:val="auto"/>
          <w:szCs w:val="21"/>
          <w:highlight w:val="none"/>
        </w:rPr>
        <w:t>。</w:t>
      </w:r>
    </w:p>
    <w:p w14:paraId="01C6C9B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根据《中华人民共和国政府采购法》、《中华人民共和国民法典》等法律、法规规定，按照</w:t>
      </w:r>
      <w:r>
        <w:rPr>
          <w:rFonts w:hint="eastAsia" w:ascii="宋体" w:hAnsi="宋体"/>
          <w:color w:val="auto"/>
          <w:szCs w:val="21"/>
          <w:highlight w:val="none"/>
        </w:rPr>
        <w:t>招标文件规定条款和乙方投标文件及其承诺，甲乙双方签订本合同。</w:t>
      </w:r>
    </w:p>
    <w:p w14:paraId="0A7640F1">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第一条　合同标的</w:t>
      </w:r>
    </w:p>
    <w:p w14:paraId="0D9D9B4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1、项目一览表</w:t>
      </w:r>
    </w:p>
    <w:tbl>
      <w:tblPr>
        <w:tblStyle w:val="27"/>
        <w:tblW w:w="936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13"/>
        <w:gridCol w:w="2400"/>
        <w:gridCol w:w="1320"/>
        <w:gridCol w:w="1200"/>
        <w:gridCol w:w="2507"/>
      </w:tblGrid>
      <w:tr w14:paraId="799BB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314D17F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213" w:type="dxa"/>
            <w:tcBorders>
              <w:top w:val="single" w:color="auto" w:sz="4" w:space="0"/>
              <w:left w:val="single" w:color="auto" w:sz="4" w:space="0"/>
              <w:bottom w:val="single" w:color="auto" w:sz="4" w:space="0"/>
              <w:right w:val="single" w:color="auto" w:sz="4" w:space="0"/>
            </w:tcBorders>
            <w:noWrap w:val="0"/>
            <w:vAlign w:val="center"/>
          </w:tcPr>
          <w:p w14:paraId="022CB1C1">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名称</w:t>
            </w:r>
          </w:p>
        </w:tc>
        <w:tc>
          <w:tcPr>
            <w:tcW w:w="2400" w:type="dxa"/>
            <w:tcBorders>
              <w:top w:val="single" w:color="auto" w:sz="4" w:space="0"/>
              <w:left w:val="single" w:color="auto" w:sz="4" w:space="0"/>
              <w:bottom w:val="single" w:color="auto" w:sz="4" w:space="0"/>
              <w:right w:val="single" w:color="auto" w:sz="4" w:space="0"/>
            </w:tcBorders>
            <w:noWrap w:val="0"/>
            <w:vAlign w:val="center"/>
          </w:tcPr>
          <w:p w14:paraId="2C33C0FF">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服务内容</w:t>
            </w:r>
          </w:p>
        </w:tc>
        <w:tc>
          <w:tcPr>
            <w:tcW w:w="1320" w:type="dxa"/>
            <w:tcBorders>
              <w:top w:val="single" w:color="auto" w:sz="4" w:space="0"/>
              <w:left w:val="single" w:color="auto" w:sz="4" w:space="0"/>
              <w:bottom w:val="single" w:color="auto" w:sz="4" w:space="0"/>
              <w:right w:val="single" w:color="auto" w:sz="4" w:space="0"/>
            </w:tcBorders>
            <w:noWrap w:val="0"/>
            <w:vAlign w:val="center"/>
          </w:tcPr>
          <w:p w14:paraId="1387F353">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数  量</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73DB342B">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单位</w:t>
            </w:r>
          </w:p>
        </w:tc>
        <w:tc>
          <w:tcPr>
            <w:tcW w:w="2507" w:type="dxa"/>
            <w:tcBorders>
              <w:top w:val="single" w:color="auto" w:sz="4" w:space="0"/>
              <w:left w:val="single" w:color="auto" w:sz="4" w:space="0"/>
              <w:bottom w:val="single" w:color="auto" w:sz="4" w:space="0"/>
              <w:right w:val="single" w:color="auto" w:sz="4" w:space="0"/>
            </w:tcBorders>
            <w:noWrap w:val="0"/>
            <w:vAlign w:val="center"/>
          </w:tcPr>
          <w:p w14:paraId="5F5A6DFF">
            <w:pPr>
              <w:spacing w:line="360" w:lineRule="auto"/>
              <w:jc w:val="center"/>
              <w:rPr>
                <w:rFonts w:hint="default" w:ascii="宋体" w:hAnsi="宋体" w:eastAsia="宋体" w:cs="宋体"/>
                <w:color w:val="auto"/>
                <w:szCs w:val="21"/>
                <w:highlight w:val="none"/>
                <w:lang w:val="en-US" w:eastAsia="zh-CN"/>
              </w:rPr>
            </w:pPr>
            <w:r>
              <w:rPr>
                <w:rFonts w:hint="default" w:ascii="宋体" w:hAnsi="宋体" w:eastAsia="宋体" w:cs="宋体"/>
                <w:color w:val="auto"/>
                <w:szCs w:val="21"/>
                <w:highlight w:val="none"/>
                <w:lang w:val="en-US" w:eastAsia="zh-CN"/>
              </w:rPr>
              <w:t>折扣率</w:t>
            </w:r>
          </w:p>
        </w:tc>
      </w:tr>
      <w:tr w14:paraId="2C7BB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36629980">
            <w:pPr>
              <w:spacing w:line="360" w:lineRule="auto"/>
              <w:jc w:val="center"/>
              <w:rPr>
                <w:rFonts w:ascii="宋体" w:hAnsi="宋体" w:cs="宋体"/>
                <w:color w:val="auto"/>
                <w:szCs w:val="21"/>
                <w:highlight w:val="none"/>
              </w:rPr>
            </w:pPr>
          </w:p>
        </w:tc>
        <w:tc>
          <w:tcPr>
            <w:tcW w:w="1213" w:type="dxa"/>
            <w:tcBorders>
              <w:top w:val="single" w:color="auto" w:sz="4" w:space="0"/>
              <w:left w:val="single" w:color="auto" w:sz="4" w:space="0"/>
              <w:bottom w:val="single" w:color="auto" w:sz="4" w:space="0"/>
              <w:right w:val="single" w:color="auto" w:sz="4" w:space="0"/>
            </w:tcBorders>
            <w:noWrap w:val="0"/>
            <w:vAlign w:val="center"/>
          </w:tcPr>
          <w:p w14:paraId="01D0A48D">
            <w:pPr>
              <w:spacing w:line="360" w:lineRule="auto"/>
              <w:jc w:val="center"/>
              <w:rPr>
                <w:rFonts w:ascii="宋体" w:hAnsi="宋体" w:cs="宋体"/>
                <w:color w:val="auto"/>
                <w:szCs w:val="21"/>
                <w:highlight w:val="none"/>
              </w:rPr>
            </w:pPr>
          </w:p>
        </w:tc>
        <w:tc>
          <w:tcPr>
            <w:tcW w:w="2400" w:type="dxa"/>
            <w:tcBorders>
              <w:top w:val="single" w:color="auto" w:sz="4" w:space="0"/>
              <w:left w:val="single" w:color="auto" w:sz="4" w:space="0"/>
              <w:bottom w:val="single" w:color="auto" w:sz="4" w:space="0"/>
              <w:right w:val="single" w:color="auto" w:sz="4" w:space="0"/>
            </w:tcBorders>
            <w:noWrap w:val="0"/>
            <w:vAlign w:val="center"/>
          </w:tcPr>
          <w:p w14:paraId="764E5EF3">
            <w:pPr>
              <w:spacing w:line="360" w:lineRule="auto"/>
              <w:jc w:val="center"/>
              <w:rPr>
                <w:rFonts w:ascii="宋体" w:hAnsi="宋体" w:cs="宋体"/>
                <w:color w:val="auto"/>
                <w:szCs w:val="21"/>
                <w:highlight w:val="none"/>
              </w:rPr>
            </w:pPr>
          </w:p>
        </w:tc>
        <w:tc>
          <w:tcPr>
            <w:tcW w:w="1320" w:type="dxa"/>
            <w:tcBorders>
              <w:top w:val="single" w:color="auto" w:sz="4" w:space="0"/>
              <w:left w:val="single" w:color="auto" w:sz="4" w:space="0"/>
              <w:bottom w:val="single" w:color="auto" w:sz="4" w:space="0"/>
              <w:right w:val="single" w:color="auto" w:sz="4" w:space="0"/>
            </w:tcBorders>
            <w:noWrap w:val="0"/>
            <w:vAlign w:val="center"/>
          </w:tcPr>
          <w:p w14:paraId="15B124C0">
            <w:pPr>
              <w:spacing w:line="360" w:lineRule="auto"/>
              <w:jc w:val="center"/>
              <w:rPr>
                <w:rFonts w:ascii="宋体" w:hAnsi="宋体" w:cs="宋体"/>
                <w:color w:val="auto"/>
                <w:szCs w:val="21"/>
                <w:highlight w:val="none"/>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794A2622">
            <w:pPr>
              <w:spacing w:line="360" w:lineRule="auto"/>
              <w:jc w:val="center"/>
              <w:rPr>
                <w:rFonts w:ascii="宋体" w:hAnsi="宋体" w:cs="宋体"/>
                <w:color w:val="auto"/>
                <w:szCs w:val="21"/>
                <w:highlight w:val="none"/>
              </w:rPr>
            </w:pPr>
          </w:p>
        </w:tc>
        <w:tc>
          <w:tcPr>
            <w:tcW w:w="2507" w:type="dxa"/>
            <w:tcBorders>
              <w:top w:val="single" w:color="auto" w:sz="4" w:space="0"/>
              <w:left w:val="single" w:color="auto" w:sz="4" w:space="0"/>
              <w:bottom w:val="single" w:color="auto" w:sz="4" w:space="0"/>
              <w:right w:val="single" w:color="auto" w:sz="4" w:space="0"/>
            </w:tcBorders>
            <w:noWrap w:val="0"/>
            <w:vAlign w:val="center"/>
          </w:tcPr>
          <w:p w14:paraId="25F275AB">
            <w:pPr>
              <w:spacing w:line="360" w:lineRule="auto"/>
              <w:jc w:val="center"/>
              <w:rPr>
                <w:rFonts w:ascii="宋体" w:hAnsi="宋体" w:cs="宋体"/>
                <w:color w:val="auto"/>
                <w:szCs w:val="21"/>
                <w:highlight w:val="none"/>
              </w:rPr>
            </w:pPr>
          </w:p>
        </w:tc>
      </w:tr>
      <w:tr w14:paraId="45DBA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360" w:type="dxa"/>
            <w:gridSpan w:val="6"/>
            <w:tcBorders>
              <w:top w:val="single" w:color="auto" w:sz="4" w:space="0"/>
              <w:left w:val="single" w:color="auto" w:sz="4" w:space="0"/>
              <w:bottom w:val="single" w:color="auto" w:sz="4" w:space="0"/>
              <w:right w:val="single" w:color="auto" w:sz="4" w:space="0"/>
            </w:tcBorders>
            <w:noWrap w:val="0"/>
            <w:vAlign w:val="center"/>
          </w:tcPr>
          <w:p w14:paraId="0CF1003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详见开标一览表</w:t>
            </w:r>
          </w:p>
        </w:tc>
      </w:tr>
    </w:tbl>
    <w:p w14:paraId="175239AE">
      <w:pPr>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2、投标折扣率将作为食材或货物实际结算的合同折扣率，结算时以学校实际采购量进行结算。</w:t>
      </w:r>
    </w:p>
    <w:p w14:paraId="63C0BE3B">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定价周期为1个月，所有食品原材料价格由学校采购代表询价协商确定。先由供应商报价，学校采购代表到桂平市农贸市场或超市询价，参加询价的学校采购代表和供应商进行议价，确定价格基准价，基准价不能高于市场上的最高价，如果价格不能协商确定的，供应商暂停供应该食材，学校启动应急采购预案，从其他中标商或具有保证食品安全的供应商采购。</w:t>
      </w:r>
    </w:p>
    <w:p w14:paraId="3B6B921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、合同合计金额包括但不限于满足本次投标全部采购需求所应提供的</w:t>
      </w:r>
      <w:r>
        <w:rPr>
          <w:rFonts w:hint="eastAsia" w:ascii="宋体" w:hAnsi="宋体" w:cs="宋体"/>
          <w:color w:val="auto"/>
          <w:szCs w:val="21"/>
          <w:highlight w:val="none"/>
          <w:lang w:val="en-US" w:eastAsia="zh-CN"/>
        </w:rPr>
        <w:t>食品原材料的成本、生产、检验检测、包装、运输、仓储、配送、服务、利润、税金、政策性规费、保险、劳保等一切相关费用</w:t>
      </w:r>
      <w:r>
        <w:rPr>
          <w:rFonts w:hint="eastAsia" w:ascii="宋体" w:hAnsi="宋体" w:cs="宋体"/>
          <w:color w:val="auto"/>
          <w:szCs w:val="21"/>
          <w:highlight w:val="none"/>
        </w:rPr>
        <w:t>等所有费用。如招标文件对其另有规定的，从其规定。</w:t>
      </w:r>
    </w:p>
    <w:p w14:paraId="56C7E8FF">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第二条　质量保证</w:t>
      </w:r>
    </w:p>
    <w:p w14:paraId="231167E9">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1、乙方供应的食材或货物必须达到国家标准；乙方提供食材或货物样本，并提供相应主管部门出具的有效产品合格证件（检验报告）等，经甲方确认，按样本供货。</w:t>
      </w:r>
    </w:p>
    <w:p w14:paraId="5FDED6BD">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2、乙方在签订合同后一个月内必须到相关的保险公司进行投保，投保险种为食品安全责任保险，否则采购单位有权终止合同。</w:t>
      </w:r>
    </w:p>
    <w:p w14:paraId="7BA0F384">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3、甲方负责定期或不定期组织市场监管、卫健委等部门进行食品质量卫生监督检查，以确保所供食材或货物质量。</w:t>
      </w:r>
    </w:p>
    <w:p w14:paraId="0D52F240">
      <w:pP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第三条　权利保证</w:t>
      </w:r>
    </w:p>
    <w:p w14:paraId="4FF157FF">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1、乙方应保证所提供服务在使用时不会侵犯任何第三方的专利权、商标权、工业设计权等知识产权及其他合法权利，且所有权、处分权等没有受到任何限制。</w:t>
      </w:r>
    </w:p>
    <w:p w14:paraId="1B97E8C9">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没有甲方事先书面同意，乙方不得将由甲方提供的有关合同或者任何合同条文、规格、计划、图纸、样品或者资料提供给与履行本合同无关的任何其他人。即使向履行本合同有关的人员提供，也应注意保密并限于履行合同的必需范围。乙方的保密义务持续有效，不因为本合同履行终止、解除或者无效而解除。</w:t>
      </w:r>
    </w:p>
    <w:p w14:paraId="13C791E3">
      <w:pP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第四条　交付和验收</w:t>
      </w:r>
    </w:p>
    <w:p w14:paraId="6DB8DFC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1、服务期限：</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lang w:eastAsia="zh-CN"/>
        </w:rPr>
        <w:t>；</w:t>
      </w:r>
      <w:r>
        <w:rPr>
          <w:rFonts w:hint="eastAsia" w:ascii="宋体" w:hAnsi="宋体" w:cs="宋体"/>
          <w:color w:val="auto"/>
          <w:szCs w:val="21"/>
          <w:highlight w:val="none"/>
        </w:rPr>
        <w:t>服务地点：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采购单位指定地点</w:t>
      </w:r>
      <w:r>
        <w:rPr>
          <w:rFonts w:ascii="宋体" w:hAnsi="宋体" w:cs="宋体"/>
          <w:color w:val="auto"/>
          <w:szCs w:val="21"/>
          <w:highlight w:val="none"/>
          <w:u w:val="single"/>
        </w:rPr>
        <w:t xml:space="preserve"> </w:t>
      </w:r>
      <w:r>
        <w:rPr>
          <w:rFonts w:hint="eastAsia" w:ascii="宋体" w:hAnsi="宋体" w:cs="宋体"/>
          <w:color w:val="auto"/>
          <w:szCs w:val="21"/>
          <w:highlight w:val="none"/>
          <w:u w:val="none"/>
          <w:lang w:eastAsia="zh-CN"/>
        </w:rPr>
        <w:t>；交货方式：</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w:t>
      </w:r>
    </w:p>
    <w:p w14:paraId="3E1CC1B9">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2、乙方应按投标文件的承诺向甲方提供相应的服务，并提供所服务内容的相关技术资料。</w:t>
      </w:r>
    </w:p>
    <w:p w14:paraId="188B4A7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3、乙方提供不符合投标文件和本合同规定的服务成果，甲方有权拒绝接受。</w:t>
      </w:r>
    </w:p>
    <w:p w14:paraId="05157ED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乙方完成服务后应及时书面通知甲方进行验收，甲方应在收到通知后七个工作日内进行验收，逾期不开始验收的，乙方可视同验收合格。验收合格后由甲乙双方签署验收单并加盖采购人公章，甲乙双方各执一份。</w:t>
      </w:r>
    </w:p>
    <w:p w14:paraId="47D885FE">
      <w:pPr>
        <w:spacing w:line="360" w:lineRule="auto"/>
        <w:ind w:firstLine="420" w:firstLineChars="200"/>
        <w:rPr>
          <w:rFonts w:ascii="宋体" w:hAnsi="宋体"/>
          <w:color w:val="auto"/>
          <w:szCs w:val="21"/>
          <w:highlight w:val="none"/>
        </w:rPr>
      </w:pPr>
      <w:r>
        <w:rPr>
          <w:rFonts w:hint="eastAsia" w:ascii="宋体" w:hAnsi="宋体" w:cs="宋体"/>
          <w:color w:val="auto"/>
          <w:szCs w:val="21"/>
          <w:highlight w:val="none"/>
        </w:rPr>
        <w:t>5、甲乙双方应按照《</w:t>
      </w:r>
      <w:r>
        <w:rPr>
          <w:rFonts w:ascii="宋体" w:hAnsi="宋体" w:cs="宋体"/>
          <w:color w:val="auto"/>
          <w:szCs w:val="21"/>
          <w:highlight w:val="none"/>
        </w:rPr>
        <w:t>广西壮族自治区政府采购项目履约验收管理办法</w:t>
      </w:r>
      <w:r>
        <w:rPr>
          <w:rFonts w:hint="eastAsia" w:ascii="宋体" w:hAnsi="宋体" w:cs="宋体"/>
          <w:color w:val="auto"/>
          <w:szCs w:val="21"/>
          <w:highlight w:val="none"/>
        </w:rPr>
        <w:t>》、双方合同、投标文件验收。</w:t>
      </w:r>
    </w:p>
    <w:p w14:paraId="52725D8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6、甲方在初步验收或者最终验收过程中如发现乙方提供的服务成果不满足投标文件及本合同规定的，可暂缓向乙方付款，直到乙方及时完善并提交相应的服务成果且经甲方验收合格后，方可办理付款。</w:t>
      </w:r>
    </w:p>
    <w:p w14:paraId="1D55C35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7、甲方验收时以书面形式提出异议的，乙方应自收到甲方书面异议后五个工作日内及时予以解决，否则甲方有权不出具服务验收合格单。</w:t>
      </w:r>
    </w:p>
    <w:p w14:paraId="4116A340">
      <w:p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第五条  售后服务及培训</w:t>
      </w:r>
    </w:p>
    <w:p w14:paraId="1662A86C">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1、乙方应按照国家有关法律法规和本合同所附的《商务要求偏离表》要求为甲方提供相应的售后服务。</w:t>
      </w:r>
    </w:p>
    <w:p w14:paraId="03EEADA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2、甲方应提供必要测试条件（如场地、电源、水源等）。</w:t>
      </w:r>
    </w:p>
    <w:p w14:paraId="19C7CA4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3、乙方负责甲方有关人员的培训。培训时间、地点：</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rPr>
        <w:t>。</w:t>
      </w:r>
    </w:p>
    <w:p w14:paraId="70C12B12">
      <w:pPr>
        <w:snapToGrid w:val="0"/>
        <w:spacing w:line="360" w:lineRule="auto"/>
        <w:ind w:firstLine="422" w:firstLineChars="200"/>
        <w:rPr>
          <w:rFonts w:ascii="宋体" w:hAnsi="宋体" w:cs="宋体"/>
          <w:color w:val="auto"/>
          <w:szCs w:val="21"/>
          <w:highlight w:val="none"/>
          <w:u w:val="single"/>
        </w:rPr>
      </w:pPr>
      <w:r>
        <w:rPr>
          <w:rFonts w:hint="eastAsia" w:ascii="宋体" w:hAnsi="宋体" w:cs="宋体"/>
          <w:b/>
          <w:color w:val="auto"/>
          <w:szCs w:val="21"/>
          <w:highlight w:val="none"/>
        </w:rPr>
        <w:t>第六条　付款方式</w:t>
      </w:r>
    </w:p>
    <w:p w14:paraId="4045898A">
      <w:pPr>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rPr>
        <w:t>甲乙双方同意本合同金额的支付按以下第</w:t>
      </w:r>
      <w:r>
        <w:rPr>
          <w:rFonts w:hint="eastAsia" w:ascii="宋体" w:hAnsi="宋体"/>
          <w:color w:val="auto"/>
          <w:szCs w:val="21"/>
          <w:highlight w:val="none"/>
          <w:u w:val="single"/>
        </w:rPr>
        <w:t>2</w:t>
      </w:r>
      <w:r>
        <w:rPr>
          <w:rFonts w:hint="eastAsia" w:ascii="宋体" w:hAnsi="宋体"/>
          <w:color w:val="auto"/>
          <w:szCs w:val="21"/>
          <w:highlight w:val="none"/>
        </w:rPr>
        <w:t>项约定执行：</w:t>
      </w:r>
    </w:p>
    <w:p w14:paraId="4B8608A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1、一次性支付</w:t>
      </w:r>
    </w:p>
    <w:p w14:paraId="65BAF40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2、分期支付</w:t>
      </w:r>
    </w:p>
    <w:p w14:paraId="7CF8599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一般情况下采购单位按月进行结算，采购资金由采购单位财务账户转入中标供应商账户。每月25日前，中标供应商向采购单位开具上一月度供货相应数额的发票（农副产品免税的除外），采购单位收到发票后10个工作日内支付。特殊情况，需临时改变结算方式，双方可通过协商解决。</w:t>
      </w:r>
    </w:p>
    <w:p w14:paraId="6A45FE47">
      <w:p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第七条　履约保证金</w:t>
      </w:r>
    </w:p>
    <w:p w14:paraId="471EB0B5">
      <w:pPr>
        <w:spacing w:line="360" w:lineRule="auto"/>
        <w:ind w:firstLine="420"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履约保证金金额：人民币</w:t>
      </w:r>
      <w:r>
        <w:rPr>
          <w:rFonts w:hint="eastAsia" w:ascii="宋体" w:hAnsi="宋体" w:cs="宋体"/>
          <w:b w:val="0"/>
          <w:bCs/>
          <w:color w:val="auto"/>
          <w:szCs w:val="21"/>
          <w:highlight w:val="none"/>
          <w:lang w:val="en-US" w:eastAsia="zh-CN"/>
        </w:rPr>
        <w:t>叁</w:t>
      </w:r>
      <w:r>
        <w:rPr>
          <w:rFonts w:hint="eastAsia" w:ascii="宋体" w:hAnsi="宋体" w:cs="宋体"/>
          <w:b w:val="0"/>
          <w:bCs/>
          <w:color w:val="auto"/>
          <w:szCs w:val="21"/>
          <w:highlight w:val="none"/>
        </w:rPr>
        <w:t>拾万元整（¥</w:t>
      </w:r>
      <w:r>
        <w:rPr>
          <w:rFonts w:hint="eastAsia" w:ascii="宋体" w:hAnsi="宋体" w:cs="宋体"/>
          <w:b w:val="0"/>
          <w:bCs/>
          <w:color w:val="auto"/>
          <w:szCs w:val="21"/>
          <w:highlight w:val="none"/>
          <w:lang w:val="en-US" w:eastAsia="zh-CN"/>
        </w:rPr>
        <w:t>3</w:t>
      </w:r>
      <w:r>
        <w:rPr>
          <w:rFonts w:hint="eastAsia" w:ascii="宋体" w:hAnsi="宋体" w:cs="宋体"/>
          <w:b w:val="0"/>
          <w:bCs/>
          <w:color w:val="auto"/>
          <w:szCs w:val="21"/>
          <w:highlight w:val="none"/>
        </w:rPr>
        <w:t>00000.00）。</w:t>
      </w:r>
    </w:p>
    <w:p w14:paraId="57F75CA6">
      <w:pPr>
        <w:spacing w:line="360" w:lineRule="auto"/>
        <w:ind w:firstLine="420"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履约保证金递交方式：银行转账、支票、汇票、本票等非现金方式。</w:t>
      </w:r>
    </w:p>
    <w:p w14:paraId="28C1D42D">
      <w:pPr>
        <w:spacing w:line="360" w:lineRule="auto"/>
        <w:ind w:firstLine="420"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履约保证金退付方式、时间及条件：</w:t>
      </w:r>
    </w:p>
    <w:p w14:paraId="36B8D24A">
      <w:pPr>
        <w:spacing w:line="360" w:lineRule="auto"/>
        <w:ind w:firstLine="420" w:firstLineChars="200"/>
        <w:rPr>
          <w:rFonts w:hint="eastAsia" w:ascii="宋体" w:hAnsi="宋体" w:cs="宋体"/>
          <w:b w:val="0"/>
          <w:bCs/>
          <w:color w:val="auto"/>
          <w:szCs w:val="21"/>
          <w:highlight w:val="none"/>
        </w:rPr>
      </w:pPr>
      <w:r>
        <w:rPr>
          <w:rFonts w:hint="eastAsia" w:ascii="宋体" w:hAnsi="宋体" w:cs="宋体"/>
          <w:color w:val="auto"/>
          <w:highlight w:val="none"/>
        </w:rPr>
        <w:t>合同签订前，</w:t>
      </w:r>
      <w:r>
        <w:rPr>
          <w:rFonts w:hint="eastAsia" w:ascii="宋体" w:hAnsi="宋体" w:cs="宋体"/>
          <w:color w:val="auto"/>
          <w:highlight w:val="none"/>
          <w:lang w:eastAsia="zh-CN"/>
        </w:rPr>
        <w:t>乙方</w:t>
      </w:r>
      <w:r>
        <w:rPr>
          <w:rFonts w:hint="eastAsia" w:ascii="宋体" w:hAnsi="宋体" w:cs="宋体"/>
          <w:color w:val="auto"/>
          <w:highlight w:val="none"/>
        </w:rPr>
        <w:t>按人民币</w:t>
      </w:r>
      <w:r>
        <w:rPr>
          <w:rFonts w:hint="eastAsia" w:ascii="宋体" w:hAnsi="宋体" w:cs="宋体"/>
          <w:color w:val="auto"/>
          <w:highlight w:val="none"/>
          <w:lang w:val="en-US" w:eastAsia="zh-CN"/>
        </w:rPr>
        <w:t>叁</w:t>
      </w:r>
      <w:r>
        <w:rPr>
          <w:rFonts w:hint="eastAsia" w:ascii="宋体" w:hAnsi="宋体" w:cs="宋体"/>
          <w:color w:val="auto"/>
          <w:highlight w:val="none"/>
        </w:rPr>
        <w:t>拾万元整向</w:t>
      </w:r>
      <w:r>
        <w:rPr>
          <w:rFonts w:hint="eastAsia" w:ascii="Times New Roman" w:hAnsi="Times New Roman" w:eastAsia="宋体" w:cs="Times New Roman"/>
          <w:b w:val="0"/>
          <w:bCs/>
          <w:color w:val="auto"/>
          <w:highlight w:val="none"/>
          <w:lang w:val="en-US" w:eastAsia="zh-CN"/>
        </w:rPr>
        <w:t>采购人（牵头学校）</w:t>
      </w:r>
      <w:r>
        <w:rPr>
          <w:rFonts w:hint="eastAsia" w:ascii="宋体" w:hAnsi="宋体" w:cs="宋体"/>
          <w:color w:val="auto"/>
          <w:highlight w:val="none"/>
        </w:rPr>
        <w:t>指定账户交纳履约保证金。</w:t>
      </w:r>
      <w:r>
        <w:rPr>
          <w:rFonts w:hint="eastAsia" w:cs="Times New Roman"/>
          <w:b w:val="0"/>
          <w:bCs/>
          <w:color w:val="auto"/>
          <w:highlight w:val="none"/>
          <w:lang w:val="en-US" w:eastAsia="zh-CN"/>
        </w:rPr>
        <w:t>中标人正常配送未发生扣除履约保证金情况的，一年后</w:t>
      </w:r>
      <w:r>
        <w:rPr>
          <w:rFonts w:hint="eastAsia" w:ascii="Times New Roman" w:hAnsi="Times New Roman" w:eastAsia="宋体" w:cs="Times New Roman"/>
          <w:b w:val="0"/>
          <w:bCs/>
          <w:color w:val="auto"/>
          <w:highlight w:val="none"/>
          <w:lang w:val="en-US" w:eastAsia="zh-CN"/>
        </w:rPr>
        <w:t>采购人（牵头学校）</w:t>
      </w:r>
      <w:r>
        <w:rPr>
          <w:rFonts w:hint="eastAsia" w:cs="Times New Roman"/>
          <w:b w:val="0"/>
          <w:bCs/>
          <w:color w:val="auto"/>
          <w:highlight w:val="none"/>
          <w:lang w:val="en-US" w:eastAsia="zh-CN"/>
        </w:rPr>
        <w:t>退付</w:t>
      </w:r>
      <w:r>
        <w:rPr>
          <w:rFonts w:hint="eastAsia" w:ascii="Times New Roman" w:hAnsi="Times New Roman" w:eastAsia="宋体" w:cs="Times New Roman"/>
          <w:b w:val="0"/>
          <w:bCs/>
          <w:color w:val="auto"/>
          <w:highlight w:val="none"/>
          <w:lang w:val="en-US" w:eastAsia="zh-CN"/>
        </w:rPr>
        <w:t>人民币</w:t>
      </w:r>
      <w:r>
        <w:rPr>
          <w:rFonts w:hint="eastAsia" w:cs="Times New Roman"/>
          <w:b w:val="0"/>
          <w:bCs/>
          <w:color w:val="auto"/>
          <w:highlight w:val="none"/>
          <w:lang w:val="en-US" w:eastAsia="zh-CN"/>
        </w:rPr>
        <w:t>贰</w:t>
      </w:r>
      <w:r>
        <w:rPr>
          <w:rFonts w:hint="eastAsia" w:ascii="Times New Roman" w:hAnsi="Times New Roman" w:eastAsia="宋体" w:cs="Times New Roman"/>
          <w:b w:val="0"/>
          <w:bCs/>
          <w:color w:val="auto"/>
          <w:highlight w:val="none"/>
          <w:lang w:val="en-US" w:eastAsia="zh-CN"/>
        </w:rPr>
        <w:t>拾万元(¥</w:t>
      </w:r>
      <w:r>
        <w:rPr>
          <w:rFonts w:hint="eastAsia" w:cs="Times New Roman"/>
          <w:b w:val="0"/>
          <w:bCs/>
          <w:color w:val="auto"/>
          <w:highlight w:val="none"/>
          <w:lang w:val="en-US" w:eastAsia="zh-CN"/>
        </w:rPr>
        <w:t>2</w:t>
      </w:r>
      <w:r>
        <w:rPr>
          <w:rFonts w:hint="eastAsia" w:ascii="Times New Roman" w:hAnsi="Times New Roman" w:eastAsia="宋体" w:cs="Times New Roman"/>
          <w:b w:val="0"/>
          <w:bCs/>
          <w:color w:val="auto"/>
          <w:highlight w:val="none"/>
          <w:lang w:val="en-US" w:eastAsia="zh-CN"/>
        </w:rPr>
        <w:t>00000.00）</w:t>
      </w:r>
      <w:r>
        <w:rPr>
          <w:rFonts w:hint="eastAsia" w:cs="Times New Roman"/>
          <w:b w:val="0"/>
          <w:bCs/>
          <w:color w:val="auto"/>
          <w:highlight w:val="none"/>
          <w:lang w:val="en-US" w:eastAsia="zh-CN"/>
        </w:rPr>
        <w:t>履约保证金，</w:t>
      </w:r>
      <w:r>
        <w:rPr>
          <w:rFonts w:hint="eastAsia" w:ascii="Times New Roman" w:hAnsi="Times New Roman" w:eastAsia="宋体" w:cs="Times New Roman"/>
          <w:b w:val="0"/>
          <w:bCs/>
          <w:color w:val="auto"/>
          <w:highlight w:val="none"/>
          <w:lang w:val="en-US" w:eastAsia="zh-CN"/>
        </w:rPr>
        <w:t>合同期满后</w:t>
      </w:r>
      <w:r>
        <w:rPr>
          <w:rFonts w:hint="eastAsia" w:ascii="宋体" w:hAnsi="宋体" w:cs="宋体"/>
          <w:color w:val="auto"/>
          <w:highlight w:val="none"/>
        </w:rPr>
        <w:t>经</w:t>
      </w:r>
      <w:r>
        <w:rPr>
          <w:rFonts w:hint="eastAsia" w:ascii="宋体" w:hAnsi="宋体" w:cs="宋体"/>
          <w:color w:val="auto"/>
          <w:highlight w:val="none"/>
          <w:lang w:eastAsia="zh-CN"/>
        </w:rPr>
        <w:t>采购人</w:t>
      </w:r>
      <w:r>
        <w:rPr>
          <w:rFonts w:hint="eastAsia" w:ascii="宋体" w:hAnsi="宋体" w:cs="宋体"/>
          <w:color w:val="auto"/>
          <w:highlight w:val="none"/>
        </w:rPr>
        <w:t>验收合格后，</w:t>
      </w:r>
      <w:r>
        <w:rPr>
          <w:rFonts w:hint="eastAsia" w:ascii="宋体" w:hAnsi="宋体" w:cs="Courier New"/>
          <w:b w:val="0"/>
          <w:color w:val="auto"/>
          <w:sz w:val="21"/>
          <w:szCs w:val="21"/>
          <w:highlight w:val="none"/>
          <w:lang w:val="en-US" w:eastAsia="zh-CN"/>
        </w:rPr>
        <w:t>在5个工作日内退还</w:t>
      </w:r>
      <w:r>
        <w:rPr>
          <w:rFonts w:hint="eastAsia" w:ascii="宋体" w:hAnsi="宋体" w:cs="宋体"/>
          <w:color w:val="auto"/>
          <w:highlight w:val="none"/>
        </w:rPr>
        <w:t>全额履约保证金（不计利息）。</w:t>
      </w:r>
      <w:r>
        <w:rPr>
          <w:rFonts w:hint="eastAsia" w:ascii="宋体" w:hAnsi="宋体" w:cs="宋体"/>
          <w:color w:val="auto"/>
          <w:highlight w:val="none"/>
          <w:lang w:val="en-US" w:eastAsia="zh-CN"/>
        </w:rPr>
        <w:t>逾期退还履约保证金的，除应当退还保证金本金外，还应当按中国人民银行同期贷款基准利率上浮20%后的利率支付超期资金占用费，但因投标人自身原因导致无法及时退还的除外。</w:t>
      </w:r>
    </w:p>
    <w:p w14:paraId="20D28478">
      <w:pPr>
        <w:spacing w:line="360" w:lineRule="auto"/>
        <w:ind w:firstLine="420"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履约保证金指定账户：</w:t>
      </w:r>
    </w:p>
    <w:p w14:paraId="771681BB">
      <w:pPr>
        <w:spacing w:line="360" w:lineRule="auto"/>
        <w:ind w:firstLine="420"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 xml:space="preserve">账户全称： </w:t>
      </w:r>
    </w:p>
    <w:p w14:paraId="5DE0B268">
      <w:pPr>
        <w:spacing w:line="360" w:lineRule="auto"/>
        <w:ind w:firstLine="420"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 xml:space="preserve">账  号： </w:t>
      </w:r>
    </w:p>
    <w:p w14:paraId="4D31D180">
      <w:pPr>
        <w:spacing w:line="360" w:lineRule="auto"/>
        <w:ind w:firstLine="420" w:firstLineChars="200"/>
        <w:rPr>
          <w:rFonts w:hint="eastAsia" w:ascii="宋体" w:hAnsi="宋体" w:cs="宋体"/>
          <w:b/>
          <w:color w:val="auto"/>
          <w:szCs w:val="21"/>
          <w:highlight w:val="none"/>
        </w:rPr>
      </w:pPr>
      <w:r>
        <w:rPr>
          <w:rFonts w:hint="eastAsia" w:ascii="宋体" w:hAnsi="宋体" w:cs="宋体"/>
          <w:b w:val="0"/>
          <w:bCs/>
          <w:color w:val="auto"/>
          <w:szCs w:val="21"/>
          <w:highlight w:val="none"/>
        </w:rPr>
        <w:t>开户行：</w:t>
      </w:r>
      <w:r>
        <w:rPr>
          <w:rFonts w:hint="eastAsia" w:ascii="宋体" w:hAnsi="宋体" w:cs="宋体"/>
          <w:b/>
          <w:color w:val="auto"/>
          <w:szCs w:val="21"/>
          <w:highlight w:val="none"/>
        </w:rPr>
        <w:t xml:space="preserve"> </w:t>
      </w:r>
    </w:p>
    <w:p w14:paraId="6C27B741">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第八条  税费</w:t>
      </w:r>
    </w:p>
    <w:p w14:paraId="2A6DAE8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本合同执行中相关的一切税费均由乙方负担，合同另有约定的除外。</w:t>
      </w:r>
    </w:p>
    <w:p w14:paraId="5C3AB1CF">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第九条　违约责任</w:t>
      </w:r>
    </w:p>
    <w:p w14:paraId="3354A45D">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1、学生因食用乙方提供的食材或货物而中毒的；</w:t>
      </w:r>
    </w:p>
    <w:p w14:paraId="6C7F6A4A">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2、不按时或拒不交货的；</w:t>
      </w:r>
    </w:p>
    <w:p w14:paraId="7E83631C">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3、供应的食材或货物不对样本，并经有关部门检验证实不达国家标准以上，乙方又不同意退换的；</w:t>
      </w:r>
    </w:p>
    <w:p w14:paraId="53E33FDC">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4、因违法经营被市场监管、税务、卫健委等部门处罚的；</w:t>
      </w:r>
    </w:p>
    <w:p w14:paraId="7EBB0B6C">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5、因政策变动或其他人力不可抗拒原因导致合同无法履行的，任何一方不负违约责任。</w:t>
      </w:r>
    </w:p>
    <w:p w14:paraId="0DB2B019">
      <w:pPr>
        <w:keepNext w:val="0"/>
        <w:keepLines w:val="0"/>
        <w:pageBreakBefore w:val="0"/>
        <w:widowControl w:val="0"/>
        <w:kinsoku/>
        <w:wordWrap/>
        <w:overflowPunct/>
        <w:topLinePunct w:val="0"/>
        <w:autoSpaceDE/>
        <w:autoSpaceDN/>
        <w:bidi w:val="0"/>
        <w:adjustRightInd/>
        <w:spacing w:line="400" w:lineRule="exact"/>
        <w:ind w:firstLine="422" w:firstLineChars="200"/>
        <w:textAlignment w:val="auto"/>
        <w:rPr>
          <w:rFonts w:hint="eastAsia" w:ascii="宋体" w:hAnsi="宋体"/>
          <w:color w:val="auto"/>
          <w:sz w:val="21"/>
          <w:szCs w:val="21"/>
          <w:highlight w:val="none"/>
          <w:lang w:eastAsia="zh-CN"/>
        </w:rPr>
      </w:pPr>
      <w:r>
        <w:rPr>
          <w:rFonts w:hint="eastAsia" w:ascii="宋体" w:hAnsi="宋体" w:cs="宋体"/>
          <w:b/>
          <w:bCs w:val="0"/>
          <w:color w:val="auto"/>
          <w:sz w:val="21"/>
          <w:szCs w:val="21"/>
          <w:highlight w:val="none"/>
        </w:rPr>
        <w:t>第</w:t>
      </w:r>
      <w:r>
        <w:rPr>
          <w:rFonts w:hint="eastAsia" w:ascii="宋体" w:hAnsi="宋体" w:cs="宋体"/>
          <w:b/>
          <w:bCs w:val="0"/>
          <w:color w:val="auto"/>
          <w:sz w:val="21"/>
          <w:szCs w:val="21"/>
          <w:highlight w:val="none"/>
          <w:lang w:val="en-US" w:eastAsia="zh-CN"/>
        </w:rPr>
        <w:t>十</w:t>
      </w:r>
      <w:r>
        <w:rPr>
          <w:rFonts w:hint="eastAsia" w:ascii="宋体" w:hAnsi="宋体" w:cs="宋体"/>
          <w:b/>
          <w:bCs w:val="0"/>
          <w:color w:val="auto"/>
          <w:sz w:val="21"/>
          <w:szCs w:val="21"/>
          <w:highlight w:val="none"/>
        </w:rPr>
        <w:t>条　</w:t>
      </w:r>
      <w:r>
        <w:rPr>
          <w:rFonts w:hint="eastAsia" w:ascii="宋体" w:hAnsi="宋体"/>
          <w:b/>
          <w:bCs w:val="0"/>
          <w:color w:val="auto"/>
          <w:sz w:val="21"/>
          <w:szCs w:val="21"/>
          <w:highlight w:val="none"/>
          <w:lang w:eastAsia="zh-CN"/>
        </w:rPr>
        <w:t>监督办法与退出机制</w:t>
      </w:r>
    </w:p>
    <w:p w14:paraId="6739D4AA">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b w:val="0"/>
          <w:bCs w:val="0"/>
          <w:color w:val="auto"/>
          <w:highlight w:val="none"/>
          <w:lang w:val="en-US" w:eastAsia="zh-CN"/>
        </w:rPr>
        <w:t>1、</w:t>
      </w:r>
      <w:r>
        <w:rPr>
          <w:rFonts w:hint="eastAsia" w:ascii="宋体" w:hAnsi="宋体" w:eastAsia="宋体" w:cs="宋体"/>
          <w:b w:val="0"/>
          <w:bCs w:val="0"/>
          <w:color w:val="auto"/>
          <w:highlight w:val="none"/>
          <w:lang w:val="en-US" w:eastAsia="zh-CN"/>
        </w:rPr>
        <w:t>中标企业有下列情况之一的，经核查属实，学校约谈中标企业，责令整改，整改不到位或一个学期同一问题发生达二次（含二次）以上的，学校有权单方面解除与中标企业签订的采购协议并由中标企业承担由此造成一切损失，学校启动应急预案。</w:t>
      </w:r>
    </w:p>
    <w:p w14:paraId="0799F734">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w:t>
      </w:r>
      <w:r>
        <w:rPr>
          <w:rFonts w:hint="eastAsia" w:ascii="宋体" w:hAnsi="宋体" w:eastAsia="宋体" w:cs="宋体"/>
          <w:b w:val="0"/>
          <w:bCs w:val="0"/>
          <w:color w:val="auto"/>
          <w:highlight w:val="none"/>
          <w:lang w:val="en-US" w:eastAsia="zh-CN"/>
        </w:rPr>
        <w:t>违反食品安全法律法规，被市场监管部门吊销或注销食品生产或食品经营许可证的</w:t>
      </w:r>
      <w:r>
        <w:rPr>
          <w:rFonts w:hint="eastAsia" w:ascii="宋体" w:hAnsi="宋体" w:cs="宋体"/>
          <w:b w:val="0"/>
          <w:bCs w:val="0"/>
          <w:color w:val="auto"/>
          <w:highlight w:val="none"/>
          <w:lang w:val="en-US" w:eastAsia="zh-CN"/>
        </w:rPr>
        <w:t>；</w:t>
      </w:r>
      <w:r>
        <w:rPr>
          <w:rFonts w:hint="eastAsia" w:ascii="宋体" w:hAnsi="宋体" w:eastAsia="宋体" w:cs="宋体"/>
          <w:b w:val="0"/>
          <w:bCs w:val="0"/>
          <w:color w:val="auto"/>
          <w:highlight w:val="none"/>
          <w:lang w:val="en-US" w:eastAsia="zh-CN"/>
        </w:rPr>
        <w:t>违反相关法律法规，被登记机构吊销营业执照的。</w:t>
      </w:r>
    </w:p>
    <w:p w14:paraId="02AC33E3">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（2）</w:t>
      </w:r>
      <w:r>
        <w:rPr>
          <w:rFonts w:hint="eastAsia" w:ascii="宋体" w:hAnsi="宋体" w:eastAsia="宋体" w:cs="宋体"/>
          <w:b w:val="0"/>
          <w:bCs w:val="0"/>
          <w:color w:val="auto"/>
          <w:highlight w:val="none"/>
          <w:lang w:val="en-US" w:eastAsia="zh-CN"/>
        </w:rPr>
        <w:t>供货期内因食品安全质量问题引发食品安全事故的。</w:t>
      </w:r>
    </w:p>
    <w:p w14:paraId="080DB1DF">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（3）</w:t>
      </w:r>
      <w:r>
        <w:rPr>
          <w:rFonts w:hint="eastAsia" w:ascii="宋体" w:hAnsi="宋体" w:eastAsia="宋体" w:cs="宋体"/>
          <w:b w:val="0"/>
          <w:bCs w:val="0"/>
          <w:color w:val="auto"/>
          <w:highlight w:val="none"/>
          <w:lang w:val="en-US" w:eastAsia="zh-CN"/>
        </w:rPr>
        <w:t>给学校配送《食品安全法》规定禁止生产经营食品的。</w:t>
      </w:r>
    </w:p>
    <w:p w14:paraId="41171F79">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（4）</w:t>
      </w:r>
      <w:r>
        <w:rPr>
          <w:rFonts w:hint="eastAsia" w:ascii="宋体" w:hAnsi="宋体" w:eastAsia="宋体" w:cs="宋体"/>
          <w:b w:val="0"/>
          <w:bCs w:val="0"/>
          <w:color w:val="auto"/>
          <w:highlight w:val="none"/>
          <w:lang w:val="en-US" w:eastAsia="zh-CN"/>
        </w:rPr>
        <w:t>生产、经营者的生产经营条件发生变化，不符合生产经营要求，有发生食品安全事故潜在风险，所配送产品不符合食品安全标准的。</w:t>
      </w:r>
    </w:p>
    <w:p w14:paraId="627B1C05">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（5）</w:t>
      </w:r>
      <w:r>
        <w:rPr>
          <w:rFonts w:hint="eastAsia" w:ascii="宋体" w:hAnsi="宋体" w:eastAsia="宋体" w:cs="宋体"/>
          <w:b w:val="0"/>
          <w:bCs w:val="0"/>
          <w:color w:val="auto"/>
          <w:highlight w:val="none"/>
          <w:lang w:val="en-US" w:eastAsia="zh-CN"/>
        </w:rPr>
        <w:t>出现降低供货质量标准,擅自更换履约人等其他违反法律法规或合同的行为的。</w:t>
      </w:r>
    </w:p>
    <w:p w14:paraId="788D06A4">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（6）</w:t>
      </w:r>
      <w:r>
        <w:rPr>
          <w:rFonts w:hint="eastAsia" w:ascii="宋体" w:hAnsi="宋体" w:eastAsia="宋体" w:cs="宋体"/>
          <w:b w:val="0"/>
          <w:bCs w:val="0"/>
          <w:color w:val="auto"/>
          <w:highlight w:val="none"/>
          <w:lang w:val="en-US" w:eastAsia="zh-CN"/>
        </w:rPr>
        <w:t>配送的食材价格高于县(市、区)及周边地区的同期市场价格(市场实际交易价)并拒绝调整的;擅自更换采购合同约定的品牌、型号、规格的;擅自更换和学校约定的食谱所需食材品种的;供货时无正当理由拒绝供货或不按约定时间、地点送货的。</w:t>
      </w:r>
    </w:p>
    <w:p w14:paraId="63589D20">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（7）</w:t>
      </w:r>
      <w:r>
        <w:rPr>
          <w:rFonts w:hint="eastAsia" w:ascii="宋体" w:hAnsi="宋体" w:eastAsia="宋体" w:cs="宋体"/>
          <w:b w:val="0"/>
          <w:bCs w:val="0"/>
          <w:color w:val="auto"/>
          <w:highlight w:val="none"/>
          <w:lang w:val="en-US" w:eastAsia="zh-CN"/>
        </w:rPr>
        <w:t>供货期间存在克扣、减量、延时、拒绝供货或服务态度恶劣等行为，情节较为严重的。</w:t>
      </w:r>
    </w:p>
    <w:p w14:paraId="7E270953">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（8）</w:t>
      </w:r>
      <w:r>
        <w:rPr>
          <w:rFonts w:hint="eastAsia" w:ascii="宋体" w:hAnsi="宋体" w:eastAsia="宋体" w:cs="宋体"/>
          <w:b w:val="0"/>
          <w:bCs w:val="0"/>
          <w:color w:val="auto"/>
          <w:highlight w:val="none"/>
          <w:lang w:val="en-US" w:eastAsia="zh-CN"/>
        </w:rPr>
        <w:t>未按照供货合同规定按时向学校提供相关证件、食材抽检报告、分批次自检报告、检疫证明、销售凭证等资料的。</w:t>
      </w:r>
    </w:p>
    <w:p w14:paraId="18ACF4AC">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（9）</w:t>
      </w:r>
      <w:r>
        <w:rPr>
          <w:rFonts w:hint="eastAsia" w:ascii="宋体" w:hAnsi="宋体" w:eastAsia="宋体" w:cs="宋体"/>
          <w:b w:val="0"/>
          <w:bCs w:val="0"/>
          <w:color w:val="auto"/>
          <w:highlight w:val="none"/>
          <w:lang w:val="en-US" w:eastAsia="zh-CN"/>
        </w:rPr>
        <w:t>在供货期间除不可抗力因素外不能按时交货，且给学校造成损失的。</w:t>
      </w:r>
    </w:p>
    <w:p w14:paraId="573DD75B">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（10）</w:t>
      </w:r>
      <w:r>
        <w:rPr>
          <w:rFonts w:hint="eastAsia" w:ascii="宋体" w:hAnsi="宋体" w:eastAsia="宋体" w:cs="宋体"/>
          <w:b w:val="0"/>
          <w:bCs w:val="0"/>
          <w:color w:val="auto"/>
          <w:highlight w:val="none"/>
          <w:lang w:val="en-US" w:eastAsia="zh-CN"/>
        </w:rPr>
        <w:t>未按供货合同规定按时缴纳履约保证金，未按时提供发票、未履行服务承诺和食品安全保证书的。</w:t>
      </w:r>
    </w:p>
    <w:p w14:paraId="5480BC75">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（11）</w:t>
      </w:r>
      <w:r>
        <w:rPr>
          <w:rFonts w:hint="eastAsia" w:ascii="宋体" w:hAnsi="宋体" w:eastAsia="宋体" w:cs="宋体"/>
          <w:b w:val="0"/>
          <w:bCs w:val="0"/>
          <w:color w:val="auto"/>
          <w:highlight w:val="none"/>
          <w:lang w:val="en-US" w:eastAsia="zh-CN"/>
        </w:rPr>
        <w:t>拒绝接受政府相关即能部门监督检查要求的;向学校虚开销售凭证、发票的。</w:t>
      </w:r>
    </w:p>
    <w:p w14:paraId="43BCD98B">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（12）</w:t>
      </w:r>
      <w:r>
        <w:rPr>
          <w:rFonts w:hint="eastAsia" w:ascii="宋体" w:hAnsi="宋体" w:eastAsia="宋体" w:cs="宋体"/>
          <w:b w:val="0"/>
          <w:bCs w:val="0"/>
          <w:color w:val="auto"/>
          <w:highlight w:val="none"/>
          <w:lang w:val="en-US" w:eastAsia="zh-CN"/>
        </w:rPr>
        <w:t>因供货商自身原因不能继续履行合同的或在每一个合同期内二次评议不合格的。</w:t>
      </w:r>
    </w:p>
    <w:p w14:paraId="68CE490D">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（13）</w:t>
      </w:r>
      <w:r>
        <w:rPr>
          <w:rFonts w:hint="eastAsia" w:ascii="宋体" w:hAnsi="宋体" w:eastAsia="宋体" w:cs="宋体"/>
          <w:b w:val="0"/>
          <w:bCs w:val="0"/>
          <w:color w:val="auto"/>
          <w:highlight w:val="none"/>
          <w:lang w:val="en-US" w:eastAsia="zh-CN"/>
        </w:rPr>
        <w:t>中标企业食品价格不执行中标时约定的折扣。</w:t>
      </w:r>
    </w:p>
    <w:p w14:paraId="4431EEE9">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（14）</w:t>
      </w:r>
      <w:r>
        <w:rPr>
          <w:rFonts w:hint="eastAsia" w:ascii="宋体" w:hAnsi="宋体" w:eastAsia="宋体" w:cs="宋体"/>
          <w:b w:val="0"/>
          <w:bCs w:val="0"/>
          <w:color w:val="auto"/>
          <w:highlight w:val="none"/>
          <w:lang w:val="en-US" w:eastAsia="zh-CN"/>
        </w:rPr>
        <w:t>中标企业配送的食材不经教育局同意就上架向学校销售，或不服从教育局、市监局等相关部门常规管理，影响学校食材采购工作的。</w:t>
      </w:r>
    </w:p>
    <w:p w14:paraId="30536A67">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（15）</w:t>
      </w:r>
      <w:r>
        <w:rPr>
          <w:rFonts w:hint="eastAsia" w:ascii="宋体" w:hAnsi="宋体" w:eastAsia="宋体" w:cs="宋体"/>
          <w:b w:val="0"/>
          <w:bCs w:val="0"/>
          <w:color w:val="auto"/>
          <w:highlight w:val="none"/>
          <w:lang w:val="en-US" w:eastAsia="zh-CN"/>
        </w:rPr>
        <w:t>中标企业配送超过保质期、腐败变质、不经检验检疫的食品。</w:t>
      </w:r>
    </w:p>
    <w:p w14:paraId="325AEE39">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（16）</w:t>
      </w:r>
      <w:r>
        <w:rPr>
          <w:rFonts w:hint="eastAsia" w:ascii="宋体" w:hAnsi="宋体" w:eastAsia="宋体" w:cs="宋体"/>
          <w:b w:val="0"/>
          <w:bCs w:val="0"/>
          <w:color w:val="auto"/>
          <w:highlight w:val="none"/>
          <w:lang w:val="en-US" w:eastAsia="zh-CN"/>
        </w:rPr>
        <w:t>中标企业存在严重食品安全隐患，被相关管理部门责令整改。</w:t>
      </w:r>
    </w:p>
    <w:p w14:paraId="7FABBC4C">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（17）</w:t>
      </w:r>
      <w:r>
        <w:rPr>
          <w:rFonts w:hint="eastAsia" w:ascii="宋体" w:hAnsi="宋体" w:eastAsia="宋体" w:cs="宋体"/>
          <w:b w:val="0"/>
          <w:bCs w:val="0"/>
          <w:color w:val="auto"/>
          <w:highlight w:val="none"/>
          <w:lang w:val="en-US" w:eastAsia="zh-CN"/>
        </w:rPr>
        <w:t>中标企业不按时按质按量配送或拒绝配送，以次充好，短斤缺两，服务态度恶劣。</w:t>
      </w:r>
    </w:p>
    <w:p w14:paraId="10F89439">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（18）</w:t>
      </w:r>
      <w:r>
        <w:rPr>
          <w:rFonts w:hint="eastAsia" w:ascii="宋体" w:hAnsi="宋体" w:eastAsia="宋体" w:cs="宋体"/>
          <w:b w:val="0"/>
          <w:bCs w:val="0"/>
          <w:color w:val="auto"/>
          <w:highlight w:val="none"/>
          <w:lang w:val="en-US" w:eastAsia="zh-CN"/>
        </w:rPr>
        <w:t>中标企业不经学校同意，擅自改变学校采购清单的种类、品牌、质量和数量</w:t>
      </w:r>
    </w:p>
    <w:p w14:paraId="40B34F92">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b w:val="0"/>
          <w:bCs w:val="0"/>
          <w:color w:val="auto"/>
          <w:highlight w:val="none"/>
          <w:lang w:val="en-US" w:eastAsia="zh-CN"/>
        </w:rPr>
        <w:t>2、</w:t>
      </w:r>
      <w:r>
        <w:rPr>
          <w:rFonts w:hint="eastAsia" w:ascii="宋体" w:hAnsi="宋体" w:eastAsia="宋体" w:cs="宋体"/>
          <w:b w:val="0"/>
          <w:bCs w:val="0"/>
          <w:color w:val="auto"/>
          <w:highlight w:val="none"/>
          <w:lang w:val="en-US" w:eastAsia="zh-CN"/>
        </w:rPr>
        <w:t>条件运用(条件运用适用于日常管理，已满足退出条件的，不适用条件运用</w:t>
      </w:r>
    </w:p>
    <w:p w14:paraId="187A9AF1">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w:t>
      </w:r>
      <w:r>
        <w:rPr>
          <w:rFonts w:hint="eastAsia" w:ascii="宋体" w:hAnsi="宋体" w:eastAsia="宋体" w:cs="宋体"/>
          <w:b w:val="0"/>
          <w:bCs w:val="0"/>
          <w:color w:val="auto"/>
          <w:highlight w:val="none"/>
          <w:lang w:val="en-US" w:eastAsia="zh-CN"/>
        </w:rPr>
        <w:t>定期测评。每学期学校对中标企业进行测评，主要是食材质量、服务水平、价格、协议执行情况、承诺兑现等方面，测评分低于95分的，学校对中标企业进行约谈整改，测评分低于90分的，中标企业暂停供货一个月，测评分低于85分的，学校有权单方面解除与中标企业签订的采购协议。</w:t>
      </w:r>
    </w:p>
    <w:p w14:paraId="0C71DE1C">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（2）</w:t>
      </w:r>
      <w:r>
        <w:rPr>
          <w:rFonts w:hint="eastAsia" w:ascii="宋体" w:hAnsi="宋体" w:eastAsia="宋体" w:cs="宋体"/>
          <w:b w:val="0"/>
          <w:bCs w:val="0"/>
          <w:color w:val="auto"/>
          <w:highlight w:val="none"/>
          <w:lang w:val="en-US" w:eastAsia="zh-CN"/>
        </w:rPr>
        <w:t>投诉运用。供应商经营过程中，在国务院互联网+督查平台被投诉举报(核查属实)1次的停止其供货一个月，2次的终止其供货合同;供应商在12345政务服务便民热线平台被投诉举报(核查属实)1次的进行约谈整改，2次的停止其供货一个月，3次的终止其供货合同;供应商被学校师生投诉举报(核查属实)1次的进行提醒教育，2次的进行约谈，3次的停止其供货一个月，4次的终止其供货合同。</w:t>
      </w:r>
    </w:p>
    <w:p w14:paraId="798F06C4">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b w:val="0"/>
          <w:bCs w:val="0"/>
          <w:color w:val="auto"/>
          <w:highlight w:val="none"/>
          <w:lang w:val="en-US" w:eastAsia="zh-CN"/>
        </w:rPr>
        <w:t>3、中标企业利用不正当手段拉拢学校管理人员、采购人员、或验收人员的，发现一次终止合同。</w:t>
      </w:r>
    </w:p>
    <w:p w14:paraId="517D899C">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b w:val="0"/>
          <w:bCs w:val="0"/>
          <w:color w:val="auto"/>
          <w:highlight w:val="none"/>
          <w:lang w:val="en-US" w:eastAsia="zh-CN"/>
        </w:rPr>
        <w:t>4、中标企业如有下列问题，终止协议，情节严重的，5年内不能参与我市学校食品类经营活动，造成责任事故的将追究其法律责任。</w:t>
      </w:r>
    </w:p>
    <w:p w14:paraId="2F3E18D8">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（1）配送食品质量有问题的。</w:t>
      </w:r>
    </w:p>
    <w:p w14:paraId="6C4DB533">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（2）被市场监督部门吊销营业执照或许可证的。</w:t>
      </w:r>
    </w:p>
    <w:p w14:paraId="1D7FDFC4">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（3）</w:t>
      </w:r>
      <w:r>
        <w:rPr>
          <w:rFonts w:hint="eastAsia" w:ascii="宋体" w:hAnsi="宋体" w:eastAsia="宋体" w:cs="宋体"/>
          <w:b w:val="0"/>
          <w:bCs w:val="0"/>
          <w:color w:val="auto"/>
          <w:highlight w:val="none"/>
          <w:lang w:val="en-US" w:eastAsia="zh-CN"/>
        </w:rPr>
        <w:t>有转标分标行为的。</w:t>
      </w:r>
    </w:p>
    <w:p w14:paraId="6994E08F">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cs="宋体"/>
          <w:b w:val="0"/>
          <w:bCs/>
          <w:color w:val="auto"/>
          <w:sz w:val="21"/>
          <w:szCs w:val="21"/>
          <w:highlight w:val="none"/>
        </w:rPr>
      </w:pPr>
      <w:r>
        <w:rPr>
          <w:rFonts w:hint="eastAsia" w:ascii="宋体" w:hAnsi="宋体" w:cs="宋体"/>
          <w:b w:val="0"/>
          <w:bCs w:val="0"/>
          <w:color w:val="auto"/>
          <w:highlight w:val="none"/>
          <w:lang w:val="en-US" w:eastAsia="zh-CN"/>
        </w:rPr>
        <w:t>5、中标企业在履约期间，中标企业及其法人，被相关部门列入失信被执行人、列为重大税收违法案件当事人名单、政府采购严重违法失信行为记录名单或因食材安全质量问题被市场督管部门处罚的。</w:t>
      </w:r>
      <w:r>
        <w:rPr>
          <w:rFonts w:hint="eastAsia" w:ascii="宋体" w:hAnsi="宋体" w:eastAsia="宋体" w:cs="宋体"/>
          <w:b w:val="0"/>
          <w:bCs w:val="0"/>
          <w:color w:val="auto"/>
          <w:highlight w:val="none"/>
          <w:lang w:val="en-US" w:eastAsia="zh-CN"/>
        </w:rPr>
        <w:t xml:space="preserve"> </w:t>
      </w:r>
    </w:p>
    <w:p w14:paraId="6BDB9BC2">
      <w:pPr>
        <w:spacing w:line="360" w:lineRule="auto"/>
        <w:ind w:firstLine="422" w:firstLineChars="200"/>
        <w:rPr>
          <w:rFonts w:ascii="宋体" w:hAnsi="宋体" w:cs="宋体"/>
          <w:b/>
          <w:color w:val="auto"/>
          <w:sz w:val="21"/>
          <w:szCs w:val="21"/>
          <w:highlight w:val="none"/>
        </w:rPr>
      </w:pPr>
      <w:r>
        <w:rPr>
          <w:rFonts w:hint="eastAsia" w:ascii="宋体" w:hAnsi="宋体" w:cs="宋体"/>
          <w:b/>
          <w:color w:val="auto"/>
          <w:sz w:val="21"/>
          <w:szCs w:val="21"/>
          <w:highlight w:val="none"/>
        </w:rPr>
        <w:t>第十</w:t>
      </w:r>
      <w:r>
        <w:rPr>
          <w:rFonts w:hint="eastAsia" w:ascii="宋体" w:hAnsi="宋体" w:cs="宋体"/>
          <w:b/>
          <w:color w:val="auto"/>
          <w:sz w:val="21"/>
          <w:szCs w:val="21"/>
          <w:highlight w:val="none"/>
          <w:lang w:val="en-US" w:eastAsia="zh-CN"/>
        </w:rPr>
        <w:t>一</w:t>
      </w:r>
      <w:r>
        <w:rPr>
          <w:rFonts w:hint="eastAsia" w:ascii="宋体" w:hAnsi="宋体" w:cs="宋体"/>
          <w:b/>
          <w:color w:val="auto"/>
          <w:sz w:val="21"/>
          <w:szCs w:val="21"/>
          <w:highlight w:val="none"/>
        </w:rPr>
        <w:t>条  不可抗力事件处理</w:t>
      </w:r>
    </w:p>
    <w:p w14:paraId="2C447A6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1、在合同有效期内，任何一方因不可抗力事件导致不能履行合同，则合同履行期可延长，其延长期与不可抗力影响期相同。</w:t>
      </w:r>
    </w:p>
    <w:p w14:paraId="3D897C7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2、不可抗力事件发生后，应立即通知对方，并寄送有关权威机构出具的证明。</w:t>
      </w:r>
    </w:p>
    <w:p w14:paraId="737BEEC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3、不可抗力事件延续一百二十天以上，双方应通过友好协商，确定是否继续履行合同。</w:t>
      </w:r>
    </w:p>
    <w:p w14:paraId="39A0DB4D">
      <w:pP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第十</w:t>
      </w:r>
      <w:r>
        <w:rPr>
          <w:rFonts w:hint="eastAsia" w:ascii="宋体" w:hAnsi="宋体" w:cs="宋体"/>
          <w:b/>
          <w:color w:val="auto"/>
          <w:szCs w:val="21"/>
          <w:highlight w:val="none"/>
          <w:lang w:val="en-US" w:eastAsia="zh-CN"/>
        </w:rPr>
        <w:t>二</w:t>
      </w:r>
      <w:r>
        <w:rPr>
          <w:rFonts w:hint="eastAsia" w:ascii="宋体" w:hAnsi="宋体" w:cs="宋体"/>
          <w:b/>
          <w:color w:val="auto"/>
          <w:szCs w:val="21"/>
          <w:highlight w:val="none"/>
        </w:rPr>
        <w:t>条  合同争议解决</w:t>
      </w:r>
    </w:p>
    <w:p w14:paraId="3A4AB2AE">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1、因服务质量问题发生争议的，应邀请国家认可的质量检测机构进行鉴定。服务符合标准的，鉴定费由甲方承担；服务不符合标准的，鉴定费由乙方承担。</w:t>
      </w:r>
    </w:p>
    <w:p w14:paraId="3A707C07">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2、因履行本合同引起的或者与本合同有关的争议，甲乙双方应首先通过友好协商解决，如果协商不能解决，可向甲方所在地有管辖权人民法院提起诉讼。</w:t>
      </w:r>
    </w:p>
    <w:p w14:paraId="6AC8BBF0">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3、诉讼期间，本合同继续履行。</w:t>
      </w:r>
    </w:p>
    <w:p w14:paraId="787149A2">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第十二条  合同生效及其它</w:t>
      </w:r>
    </w:p>
    <w:p w14:paraId="00100A7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1、合同经双方法定代表人或者授权代表签字并加盖单位公章后生效（委托代理人签字的需后附授权委托书，格式自拟）。</w:t>
      </w:r>
    </w:p>
    <w:p w14:paraId="2FB26A8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2、合同执行中涉及采购资金和采购内容修改或者补充的，须经财政部门审批，并签书面补充协议报财政部门备案，方可作为主合同不可分割的一部分。</w:t>
      </w:r>
    </w:p>
    <w:p w14:paraId="7B7A4FB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3、本合同未尽事宜，遵照《中华人民共和国民法典》有关条文执行。</w:t>
      </w:r>
    </w:p>
    <w:p w14:paraId="59009985">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第十三条　合同的变更、终止与转让</w:t>
      </w:r>
    </w:p>
    <w:p w14:paraId="4A56D9D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1、除《中华人民共和国政府采购法》第五十条规定的情形外，本合同一经签订，甲乙双方不得擅自变更、中止或者终止。</w:t>
      </w:r>
    </w:p>
    <w:p w14:paraId="18A9758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2、乙方不得擅自转让其应履行的合同义务。</w:t>
      </w:r>
    </w:p>
    <w:p w14:paraId="33BBD5B1">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第十四条　签订本合同依据</w:t>
      </w:r>
    </w:p>
    <w:p w14:paraId="771F783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olor w:val="auto"/>
          <w:szCs w:val="21"/>
          <w:highlight w:val="none"/>
        </w:rPr>
        <w:t>中标通知书</w:t>
      </w:r>
      <w:r>
        <w:rPr>
          <w:rFonts w:hint="eastAsia" w:ascii="宋体" w:hAnsi="宋体" w:cs="宋体"/>
          <w:color w:val="auto"/>
          <w:szCs w:val="21"/>
          <w:highlight w:val="none"/>
        </w:rPr>
        <w:t>；</w:t>
      </w:r>
    </w:p>
    <w:p w14:paraId="54D7C8E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2、开标一览表；</w:t>
      </w:r>
    </w:p>
    <w:p w14:paraId="2B36DB5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3、商务要求偏离表和技术要求偏离表；</w:t>
      </w:r>
    </w:p>
    <w:p w14:paraId="06F20D8E">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、服务实施方案；</w:t>
      </w:r>
    </w:p>
    <w:p w14:paraId="05CF1D6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5、投标文件中的其他相关文件。</w:t>
      </w:r>
    </w:p>
    <w:p w14:paraId="0C8F6B53">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6</w:t>
      </w:r>
      <w:r>
        <w:rPr>
          <w:rFonts w:hint="eastAsia" w:ascii="宋体" w:hAnsi="宋体" w:cs="宋体"/>
          <w:color w:val="auto"/>
          <w:szCs w:val="21"/>
          <w:highlight w:val="none"/>
        </w:rPr>
        <w:t>、上述合同文件互相补充和解释。如果合同文件之间存在矛盾或者不一致之处，以上述文件的排列顺序在先者为准。</w:t>
      </w:r>
    </w:p>
    <w:p w14:paraId="2FD27828">
      <w:pP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第十五条　</w:t>
      </w:r>
      <w:r>
        <w:rPr>
          <w:rFonts w:hint="eastAsia" w:ascii="宋体" w:hAnsi="宋体" w:cs="宋体"/>
          <w:color w:val="auto"/>
          <w:szCs w:val="21"/>
          <w:highlight w:val="none"/>
        </w:rPr>
        <w:t>本合同一式四份，具有同等法律效力，财政部门（政府采购监管部门）、采购代理机构各一份，甲乙双方各一份（可根据需要另增加）。</w:t>
      </w:r>
    </w:p>
    <w:p w14:paraId="3D78645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本合同甲乙双方签字盖章后生效，自签订之日起七个工作日内，甲方应当将合同副本报同级财政部门备案。</w:t>
      </w:r>
    </w:p>
    <w:p w14:paraId="2916F29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本合同自签订之日起2个工作日内，甲方应当将采购合同在广西壮族自治区财政厅指定的媒体上公告。</w:t>
      </w:r>
    </w:p>
    <w:p w14:paraId="238F8F4A">
      <w:pPr>
        <w:spacing w:line="360" w:lineRule="auto"/>
        <w:ind w:firstLine="420" w:firstLineChars="200"/>
        <w:rPr>
          <w:rFonts w:ascii="宋体" w:hAnsi="宋体" w:cs="宋体"/>
          <w:color w:val="auto"/>
          <w:szCs w:val="21"/>
          <w:highlight w:val="none"/>
        </w:rPr>
      </w:pPr>
    </w:p>
    <w:tbl>
      <w:tblPr>
        <w:tblStyle w:val="27"/>
        <w:tblW w:w="90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517"/>
      </w:tblGrid>
      <w:tr w14:paraId="4BEC5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jc w:val="center"/>
        </w:trPr>
        <w:tc>
          <w:tcPr>
            <w:tcW w:w="4516" w:type="dxa"/>
            <w:noWrap w:val="0"/>
            <w:vAlign w:val="center"/>
          </w:tcPr>
          <w:p w14:paraId="376B55E0">
            <w:pPr>
              <w:snapToGrid w:val="0"/>
              <w:spacing w:line="360" w:lineRule="auto"/>
              <w:rPr>
                <w:rFonts w:ascii="宋体" w:hAnsi="宋体"/>
                <w:color w:val="auto"/>
                <w:szCs w:val="21"/>
                <w:highlight w:val="none"/>
              </w:rPr>
            </w:pPr>
            <w:r>
              <w:rPr>
                <w:rFonts w:hint="eastAsia" w:ascii="宋体" w:hAnsi="宋体"/>
                <w:color w:val="auto"/>
                <w:szCs w:val="21"/>
                <w:highlight w:val="none"/>
              </w:rPr>
              <w:t xml:space="preserve">甲方（章）           </w:t>
            </w:r>
          </w:p>
          <w:p w14:paraId="3614714E">
            <w:pPr>
              <w:snapToGrid w:val="0"/>
              <w:spacing w:line="360" w:lineRule="auto"/>
              <w:rPr>
                <w:rFonts w:ascii="宋体" w:hAnsi="宋体"/>
                <w:color w:val="auto"/>
                <w:szCs w:val="21"/>
                <w:highlight w:val="none"/>
              </w:rPr>
            </w:pPr>
          </w:p>
          <w:p w14:paraId="700558FE">
            <w:pPr>
              <w:snapToGrid w:val="0"/>
              <w:spacing w:line="360" w:lineRule="auto"/>
              <w:ind w:firstLine="945" w:firstLineChars="450"/>
              <w:jc w:val="right"/>
              <w:rPr>
                <w:rFonts w:ascii="宋体" w:hAnsi="宋体"/>
                <w:color w:val="auto"/>
                <w:szCs w:val="21"/>
                <w:highlight w:val="none"/>
              </w:rPr>
            </w:pPr>
            <w:r>
              <w:rPr>
                <w:rFonts w:hint="eastAsia" w:ascii="宋体" w:hAnsi="宋体"/>
                <w:color w:val="auto"/>
                <w:szCs w:val="21"/>
                <w:highlight w:val="none"/>
              </w:rPr>
              <w:t>年   月   日</w:t>
            </w:r>
          </w:p>
        </w:tc>
        <w:tc>
          <w:tcPr>
            <w:tcW w:w="4517" w:type="dxa"/>
            <w:noWrap w:val="0"/>
            <w:vAlign w:val="center"/>
          </w:tcPr>
          <w:p w14:paraId="3B0A48A7">
            <w:pPr>
              <w:snapToGrid w:val="0"/>
              <w:spacing w:line="360" w:lineRule="auto"/>
              <w:rPr>
                <w:rFonts w:ascii="宋体" w:hAnsi="宋体"/>
                <w:color w:val="auto"/>
                <w:szCs w:val="21"/>
                <w:highlight w:val="none"/>
              </w:rPr>
            </w:pPr>
            <w:r>
              <w:rPr>
                <w:rFonts w:hint="eastAsia" w:ascii="宋体" w:hAnsi="宋体"/>
                <w:color w:val="auto"/>
                <w:szCs w:val="21"/>
                <w:highlight w:val="none"/>
              </w:rPr>
              <w:t xml:space="preserve">乙方（章）              </w:t>
            </w:r>
          </w:p>
          <w:p w14:paraId="12747E51">
            <w:pPr>
              <w:snapToGrid w:val="0"/>
              <w:spacing w:line="360" w:lineRule="auto"/>
              <w:rPr>
                <w:rFonts w:ascii="宋体" w:hAnsi="宋体"/>
                <w:color w:val="auto"/>
                <w:szCs w:val="21"/>
                <w:highlight w:val="none"/>
              </w:rPr>
            </w:pPr>
          </w:p>
          <w:p w14:paraId="7A72664F">
            <w:pPr>
              <w:snapToGrid w:val="0"/>
              <w:spacing w:line="360" w:lineRule="auto"/>
              <w:jc w:val="right"/>
              <w:rPr>
                <w:rFonts w:ascii="宋体" w:hAnsi="宋体"/>
                <w:color w:val="auto"/>
                <w:szCs w:val="21"/>
                <w:highlight w:val="none"/>
              </w:rPr>
            </w:pPr>
            <w:r>
              <w:rPr>
                <w:rFonts w:hint="eastAsia" w:ascii="宋体" w:hAnsi="宋体"/>
                <w:color w:val="auto"/>
                <w:szCs w:val="21"/>
                <w:highlight w:val="none"/>
              </w:rPr>
              <w:t xml:space="preserve"> 年   月   日</w:t>
            </w:r>
          </w:p>
        </w:tc>
      </w:tr>
      <w:tr w14:paraId="6BA2C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4516" w:type="dxa"/>
            <w:noWrap w:val="0"/>
            <w:vAlign w:val="center"/>
          </w:tcPr>
          <w:p w14:paraId="3C1662C5">
            <w:pPr>
              <w:snapToGrid w:val="0"/>
              <w:spacing w:line="360" w:lineRule="auto"/>
              <w:rPr>
                <w:rFonts w:ascii="宋体" w:hAnsi="宋体"/>
                <w:color w:val="auto"/>
                <w:szCs w:val="21"/>
                <w:highlight w:val="none"/>
              </w:rPr>
            </w:pPr>
            <w:r>
              <w:rPr>
                <w:rFonts w:hint="eastAsia" w:ascii="宋体" w:hAnsi="宋体"/>
                <w:color w:val="auto"/>
                <w:szCs w:val="21"/>
                <w:highlight w:val="none"/>
              </w:rPr>
              <w:t>单位地址：</w:t>
            </w:r>
          </w:p>
        </w:tc>
        <w:tc>
          <w:tcPr>
            <w:tcW w:w="4517" w:type="dxa"/>
            <w:noWrap w:val="0"/>
            <w:vAlign w:val="center"/>
          </w:tcPr>
          <w:p w14:paraId="003E5257">
            <w:pPr>
              <w:snapToGrid w:val="0"/>
              <w:spacing w:line="360" w:lineRule="auto"/>
              <w:rPr>
                <w:rFonts w:ascii="宋体" w:hAnsi="宋体"/>
                <w:color w:val="auto"/>
                <w:szCs w:val="21"/>
                <w:highlight w:val="none"/>
              </w:rPr>
            </w:pPr>
            <w:r>
              <w:rPr>
                <w:rFonts w:hint="eastAsia" w:ascii="宋体" w:hAnsi="宋体"/>
                <w:color w:val="auto"/>
                <w:szCs w:val="21"/>
                <w:highlight w:val="none"/>
              </w:rPr>
              <w:t>单位地址：</w:t>
            </w:r>
          </w:p>
        </w:tc>
      </w:tr>
      <w:tr w14:paraId="10D5A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jc w:val="center"/>
        </w:trPr>
        <w:tc>
          <w:tcPr>
            <w:tcW w:w="4516" w:type="dxa"/>
            <w:noWrap w:val="0"/>
            <w:vAlign w:val="top"/>
          </w:tcPr>
          <w:p w14:paraId="7490013B">
            <w:pPr>
              <w:snapToGrid w:val="0"/>
              <w:spacing w:line="360" w:lineRule="auto"/>
              <w:rPr>
                <w:rFonts w:ascii="宋体" w:hAnsi="宋体"/>
                <w:color w:val="auto"/>
                <w:szCs w:val="21"/>
                <w:highlight w:val="none"/>
              </w:rPr>
            </w:pPr>
            <w:r>
              <w:rPr>
                <w:rFonts w:hint="eastAsia" w:ascii="宋体" w:hAnsi="宋体"/>
                <w:color w:val="auto"/>
                <w:szCs w:val="21"/>
                <w:highlight w:val="none"/>
              </w:rPr>
              <w:t>法定代表人或者委托代理人：</w:t>
            </w:r>
          </w:p>
        </w:tc>
        <w:tc>
          <w:tcPr>
            <w:tcW w:w="4517" w:type="dxa"/>
            <w:noWrap w:val="0"/>
            <w:vAlign w:val="top"/>
          </w:tcPr>
          <w:p w14:paraId="69F31D7C">
            <w:pPr>
              <w:snapToGrid w:val="0"/>
              <w:spacing w:line="360" w:lineRule="auto"/>
              <w:rPr>
                <w:rFonts w:ascii="宋体" w:hAnsi="宋体"/>
                <w:color w:val="auto"/>
                <w:szCs w:val="21"/>
                <w:highlight w:val="none"/>
              </w:rPr>
            </w:pPr>
            <w:r>
              <w:rPr>
                <w:rFonts w:hint="eastAsia" w:ascii="宋体" w:hAnsi="宋体"/>
                <w:color w:val="auto"/>
                <w:szCs w:val="21"/>
                <w:highlight w:val="none"/>
              </w:rPr>
              <w:t>法定代表人或者委托代理人：</w:t>
            </w:r>
          </w:p>
        </w:tc>
      </w:tr>
      <w:tr w14:paraId="0D72C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4516" w:type="dxa"/>
            <w:noWrap w:val="0"/>
            <w:vAlign w:val="center"/>
          </w:tcPr>
          <w:p w14:paraId="394FD35C">
            <w:pPr>
              <w:snapToGrid w:val="0"/>
              <w:spacing w:line="360" w:lineRule="auto"/>
              <w:rPr>
                <w:rFonts w:ascii="宋体" w:hAnsi="宋体"/>
                <w:color w:val="auto"/>
                <w:szCs w:val="21"/>
                <w:highlight w:val="none"/>
              </w:rPr>
            </w:pPr>
            <w:r>
              <w:rPr>
                <w:rFonts w:hint="eastAsia" w:ascii="宋体" w:hAnsi="宋体"/>
                <w:color w:val="auto"/>
                <w:szCs w:val="21"/>
                <w:highlight w:val="none"/>
              </w:rPr>
              <w:t>电话：</w:t>
            </w:r>
          </w:p>
        </w:tc>
        <w:tc>
          <w:tcPr>
            <w:tcW w:w="4517" w:type="dxa"/>
            <w:noWrap w:val="0"/>
            <w:vAlign w:val="center"/>
          </w:tcPr>
          <w:p w14:paraId="0B83A07B">
            <w:pPr>
              <w:snapToGrid w:val="0"/>
              <w:spacing w:line="360" w:lineRule="auto"/>
              <w:rPr>
                <w:rFonts w:ascii="宋体" w:hAnsi="宋体"/>
                <w:color w:val="auto"/>
                <w:szCs w:val="21"/>
                <w:highlight w:val="none"/>
              </w:rPr>
            </w:pPr>
            <w:r>
              <w:rPr>
                <w:rFonts w:hint="eastAsia" w:ascii="宋体" w:hAnsi="宋体"/>
                <w:color w:val="auto"/>
                <w:szCs w:val="21"/>
                <w:highlight w:val="none"/>
              </w:rPr>
              <w:t>电话：</w:t>
            </w:r>
          </w:p>
        </w:tc>
      </w:tr>
      <w:tr w14:paraId="383FA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4516" w:type="dxa"/>
            <w:noWrap w:val="0"/>
            <w:vAlign w:val="center"/>
          </w:tcPr>
          <w:p w14:paraId="5708B810">
            <w:pPr>
              <w:snapToGrid w:val="0"/>
              <w:spacing w:line="360" w:lineRule="auto"/>
              <w:rPr>
                <w:rFonts w:ascii="宋体" w:hAnsi="宋体"/>
                <w:color w:val="auto"/>
                <w:szCs w:val="21"/>
                <w:highlight w:val="none"/>
              </w:rPr>
            </w:pPr>
            <w:r>
              <w:rPr>
                <w:rFonts w:hint="eastAsia" w:ascii="宋体" w:hAnsi="宋体"/>
                <w:color w:val="auto"/>
                <w:szCs w:val="21"/>
                <w:highlight w:val="none"/>
              </w:rPr>
              <w:t>电子邮箱：</w:t>
            </w:r>
          </w:p>
        </w:tc>
        <w:tc>
          <w:tcPr>
            <w:tcW w:w="4517" w:type="dxa"/>
            <w:noWrap w:val="0"/>
            <w:vAlign w:val="center"/>
          </w:tcPr>
          <w:p w14:paraId="562ECE24">
            <w:pPr>
              <w:snapToGrid w:val="0"/>
              <w:spacing w:line="360" w:lineRule="auto"/>
              <w:rPr>
                <w:rFonts w:ascii="宋体" w:hAnsi="宋体"/>
                <w:color w:val="auto"/>
                <w:szCs w:val="21"/>
                <w:highlight w:val="none"/>
              </w:rPr>
            </w:pPr>
            <w:r>
              <w:rPr>
                <w:rFonts w:hint="eastAsia" w:ascii="宋体" w:hAnsi="宋体"/>
                <w:color w:val="auto"/>
                <w:szCs w:val="21"/>
                <w:highlight w:val="none"/>
              </w:rPr>
              <w:t>电子邮箱：</w:t>
            </w:r>
          </w:p>
        </w:tc>
      </w:tr>
      <w:tr w14:paraId="40148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4516" w:type="dxa"/>
            <w:noWrap w:val="0"/>
            <w:vAlign w:val="center"/>
          </w:tcPr>
          <w:p w14:paraId="33FB31FD">
            <w:pPr>
              <w:snapToGrid w:val="0"/>
              <w:spacing w:line="360" w:lineRule="auto"/>
              <w:rPr>
                <w:rFonts w:ascii="宋体" w:hAnsi="宋体"/>
                <w:color w:val="auto"/>
                <w:szCs w:val="21"/>
                <w:highlight w:val="none"/>
              </w:rPr>
            </w:pPr>
            <w:r>
              <w:rPr>
                <w:rFonts w:hint="eastAsia" w:ascii="宋体" w:hAnsi="宋体"/>
                <w:color w:val="auto"/>
                <w:szCs w:val="21"/>
                <w:highlight w:val="none"/>
              </w:rPr>
              <w:t>开户银行：</w:t>
            </w:r>
          </w:p>
        </w:tc>
        <w:tc>
          <w:tcPr>
            <w:tcW w:w="4517" w:type="dxa"/>
            <w:noWrap w:val="0"/>
            <w:vAlign w:val="center"/>
          </w:tcPr>
          <w:p w14:paraId="3B759F40">
            <w:pPr>
              <w:snapToGrid w:val="0"/>
              <w:spacing w:line="360" w:lineRule="auto"/>
              <w:rPr>
                <w:rFonts w:ascii="宋体" w:hAnsi="宋体"/>
                <w:color w:val="auto"/>
                <w:szCs w:val="21"/>
                <w:highlight w:val="none"/>
              </w:rPr>
            </w:pPr>
            <w:r>
              <w:rPr>
                <w:rFonts w:hint="eastAsia" w:ascii="宋体" w:hAnsi="宋体"/>
                <w:color w:val="auto"/>
                <w:szCs w:val="21"/>
                <w:highlight w:val="none"/>
              </w:rPr>
              <w:t>开户银行：</w:t>
            </w:r>
          </w:p>
        </w:tc>
      </w:tr>
      <w:tr w14:paraId="5FF85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jc w:val="center"/>
        </w:trPr>
        <w:tc>
          <w:tcPr>
            <w:tcW w:w="4516" w:type="dxa"/>
            <w:noWrap w:val="0"/>
            <w:vAlign w:val="center"/>
          </w:tcPr>
          <w:p w14:paraId="349B2FDC">
            <w:pPr>
              <w:snapToGrid w:val="0"/>
              <w:spacing w:line="360" w:lineRule="auto"/>
              <w:rPr>
                <w:rFonts w:ascii="宋体" w:hAnsi="宋体"/>
                <w:color w:val="auto"/>
                <w:szCs w:val="21"/>
                <w:highlight w:val="none"/>
              </w:rPr>
            </w:pPr>
            <w:r>
              <w:rPr>
                <w:rFonts w:hint="eastAsia" w:ascii="宋体" w:hAnsi="宋体"/>
                <w:color w:val="auto"/>
                <w:szCs w:val="21"/>
                <w:highlight w:val="none"/>
              </w:rPr>
              <w:t>账号：</w:t>
            </w:r>
          </w:p>
        </w:tc>
        <w:tc>
          <w:tcPr>
            <w:tcW w:w="4517" w:type="dxa"/>
            <w:noWrap w:val="0"/>
            <w:vAlign w:val="center"/>
          </w:tcPr>
          <w:p w14:paraId="204AFD82">
            <w:pPr>
              <w:snapToGrid w:val="0"/>
              <w:spacing w:line="360" w:lineRule="auto"/>
              <w:rPr>
                <w:rFonts w:ascii="宋体" w:hAnsi="宋体"/>
                <w:color w:val="auto"/>
                <w:szCs w:val="21"/>
                <w:highlight w:val="none"/>
              </w:rPr>
            </w:pPr>
            <w:r>
              <w:rPr>
                <w:rFonts w:hint="eastAsia" w:ascii="宋体" w:hAnsi="宋体"/>
                <w:color w:val="auto"/>
                <w:szCs w:val="21"/>
                <w:highlight w:val="none"/>
              </w:rPr>
              <w:t>账号：</w:t>
            </w:r>
          </w:p>
        </w:tc>
      </w:tr>
      <w:tr w14:paraId="23FF9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4516" w:type="dxa"/>
            <w:noWrap w:val="0"/>
            <w:vAlign w:val="center"/>
          </w:tcPr>
          <w:p w14:paraId="3B824999">
            <w:pPr>
              <w:snapToGrid w:val="0"/>
              <w:spacing w:line="360" w:lineRule="auto"/>
              <w:rPr>
                <w:rFonts w:ascii="宋体" w:hAnsi="宋体"/>
                <w:color w:val="auto"/>
                <w:szCs w:val="21"/>
                <w:highlight w:val="none"/>
              </w:rPr>
            </w:pPr>
            <w:r>
              <w:rPr>
                <w:rFonts w:hint="eastAsia" w:ascii="宋体" w:hAnsi="宋体"/>
                <w:color w:val="auto"/>
                <w:szCs w:val="21"/>
                <w:highlight w:val="none"/>
              </w:rPr>
              <w:t>邮政编码：</w:t>
            </w:r>
          </w:p>
        </w:tc>
        <w:tc>
          <w:tcPr>
            <w:tcW w:w="4517" w:type="dxa"/>
            <w:noWrap w:val="0"/>
            <w:vAlign w:val="center"/>
          </w:tcPr>
          <w:p w14:paraId="580365FD">
            <w:pPr>
              <w:snapToGrid w:val="0"/>
              <w:spacing w:line="360" w:lineRule="auto"/>
              <w:rPr>
                <w:rFonts w:ascii="宋体" w:hAnsi="宋体"/>
                <w:color w:val="auto"/>
                <w:szCs w:val="21"/>
                <w:highlight w:val="none"/>
              </w:rPr>
            </w:pPr>
            <w:r>
              <w:rPr>
                <w:rFonts w:hint="eastAsia" w:ascii="宋体" w:hAnsi="宋体"/>
                <w:color w:val="auto"/>
                <w:szCs w:val="21"/>
                <w:highlight w:val="none"/>
              </w:rPr>
              <w:t>邮政编码：</w:t>
            </w:r>
          </w:p>
        </w:tc>
      </w:tr>
    </w:tbl>
    <w:p w14:paraId="299801E9">
      <w:pPr>
        <w:rPr>
          <w:color w:val="auto"/>
          <w:highlight w:val="none"/>
        </w:rPr>
        <w:sectPr>
          <w:pgSz w:w="11906" w:h="16838"/>
          <w:pgMar w:top="1134" w:right="1134" w:bottom="1134" w:left="1134" w:header="720" w:footer="720" w:gutter="0"/>
          <w:cols w:space="720" w:num="1"/>
          <w:docGrid w:type="lines" w:linePitch="331" w:charSpace="0"/>
        </w:sectPr>
      </w:pPr>
    </w:p>
    <w:p w14:paraId="7781DB64">
      <w:pPr>
        <w:spacing w:line="360" w:lineRule="auto"/>
        <w:rPr>
          <w:rFonts w:ascii="仿宋_GB2312" w:hAnsi="楷体" w:eastAsia="仿宋_GB2312"/>
          <w:color w:val="auto"/>
          <w:sz w:val="24"/>
          <w:highlight w:val="none"/>
        </w:rPr>
      </w:pPr>
    </w:p>
    <w:p w14:paraId="310EAA30">
      <w:pPr>
        <w:snapToGrid w:val="0"/>
        <w:spacing w:line="400" w:lineRule="exact"/>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合 同 附 件</w:t>
      </w:r>
    </w:p>
    <w:p w14:paraId="64B64E46">
      <w:pPr>
        <w:snapToGrid w:val="0"/>
        <w:spacing w:line="400" w:lineRule="exact"/>
        <w:rPr>
          <w:rFonts w:ascii="宋体" w:hAnsi="宋体" w:cs="宋体"/>
          <w:color w:val="auto"/>
          <w:kern w:val="0"/>
          <w:szCs w:val="21"/>
          <w:highlight w:val="none"/>
        </w:rPr>
      </w:pPr>
    </w:p>
    <w:tbl>
      <w:tblPr>
        <w:tblStyle w:val="27"/>
        <w:tblW w:w="9286" w:type="dxa"/>
        <w:jc w:val="center"/>
        <w:tblLayout w:type="fixed"/>
        <w:tblCellMar>
          <w:top w:w="0" w:type="dxa"/>
          <w:left w:w="108" w:type="dxa"/>
          <w:bottom w:w="0" w:type="dxa"/>
          <w:right w:w="108" w:type="dxa"/>
        </w:tblCellMar>
      </w:tblPr>
      <w:tblGrid>
        <w:gridCol w:w="4627"/>
        <w:gridCol w:w="4659"/>
      </w:tblGrid>
      <w:tr w14:paraId="740F11F3">
        <w:tblPrEx>
          <w:tblCellMar>
            <w:top w:w="0" w:type="dxa"/>
            <w:left w:w="108" w:type="dxa"/>
            <w:bottom w:w="0" w:type="dxa"/>
            <w:right w:w="108" w:type="dxa"/>
          </w:tblCellMar>
        </w:tblPrEx>
        <w:trPr>
          <w:trHeight w:val="2072" w:hRule="exact"/>
          <w:jc w:val="center"/>
        </w:trPr>
        <w:tc>
          <w:tcPr>
            <w:tcW w:w="9286" w:type="dxa"/>
            <w:gridSpan w:val="2"/>
            <w:tcBorders>
              <w:top w:val="single" w:color="auto" w:sz="4" w:space="0"/>
              <w:left w:val="single" w:color="auto" w:sz="4" w:space="0"/>
              <w:right w:val="single" w:color="auto" w:sz="4" w:space="0"/>
            </w:tcBorders>
            <w:noWrap w:val="0"/>
            <w:vAlign w:val="top"/>
          </w:tcPr>
          <w:p w14:paraId="7586CC4C">
            <w:pPr>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1.供应商承诺具体事项：</w:t>
            </w:r>
          </w:p>
          <w:p w14:paraId="208621F4">
            <w:pPr>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 xml:space="preserve">    </w:t>
            </w:r>
          </w:p>
        </w:tc>
      </w:tr>
      <w:tr w14:paraId="4C7F406A">
        <w:tblPrEx>
          <w:tblCellMar>
            <w:top w:w="0" w:type="dxa"/>
            <w:left w:w="108" w:type="dxa"/>
            <w:bottom w:w="0" w:type="dxa"/>
            <w:right w:w="108" w:type="dxa"/>
          </w:tblCellMar>
        </w:tblPrEx>
        <w:trPr>
          <w:trHeight w:val="2257" w:hRule="exact"/>
          <w:jc w:val="center"/>
        </w:trPr>
        <w:tc>
          <w:tcPr>
            <w:tcW w:w="9286" w:type="dxa"/>
            <w:gridSpan w:val="2"/>
            <w:tcBorders>
              <w:top w:val="single" w:color="auto" w:sz="4" w:space="0"/>
              <w:left w:val="single" w:color="auto" w:sz="4" w:space="0"/>
              <w:right w:val="single" w:color="auto" w:sz="4" w:space="0"/>
            </w:tcBorders>
            <w:noWrap w:val="0"/>
            <w:vAlign w:val="top"/>
          </w:tcPr>
          <w:p w14:paraId="7259C02D">
            <w:pPr>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2.售后服务具体事项：</w:t>
            </w:r>
          </w:p>
          <w:p w14:paraId="01E77FCE">
            <w:pPr>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 xml:space="preserve">    </w:t>
            </w:r>
          </w:p>
        </w:tc>
      </w:tr>
      <w:tr w14:paraId="2899A0D1">
        <w:tblPrEx>
          <w:tblCellMar>
            <w:top w:w="0" w:type="dxa"/>
            <w:left w:w="108" w:type="dxa"/>
            <w:bottom w:w="0" w:type="dxa"/>
            <w:right w:w="108" w:type="dxa"/>
          </w:tblCellMar>
        </w:tblPrEx>
        <w:trPr>
          <w:trHeight w:val="2133" w:hRule="exact"/>
          <w:jc w:val="center"/>
        </w:trPr>
        <w:tc>
          <w:tcPr>
            <w:tcW w:w="9286" w:type="dxa"/>
            <w:gridSpan w:val="2"/>
            <w:tcBorders>
              <w:top w:val="single" w:color="auto" w:sz="4" w:space="0"/>
              <w:left w:val="single" w:color="auto" w:sz="4" w:space="0"/>
              <w:right w:val="single" w:color="auto" w:sz="4" w:space="0"/>
            </w:tcBorders>
            <w:noWrap w:val="0"/>
            <w:vAlign w:val="top"/>
          </w:tcPr>
          <w:p w14:paraId="273716B6">
            <w:pPr>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3.质量保证期责任：</w:t>
            </w:r>
          </w:p>
          <w:p w14:paraId="39919498">
            <w:pPr>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 xml:space="preserve">    </w:t>
            </w:r>
          </w:p>
        </w:tc>
      </w:tr>
      <w:tr w14:paraId="3FE88D55">
        <w:tblPrEx>
          <w:tblCellMar>
            <w:top w:w="0" w:type="dxa"/>
            <w:left w:w="108" w:type="dxa"/>
            <w:bottom w:w="0" w:type="dxa"/>
            <w:right w:w="108" w:type="dxa"/>
          </w:tblCellMar>
        </w:tblPrEx>
        <w:trPr>
          <w:trHeight w:val="2702" w:hRule="exact"/>
          <w:jc w:val="center"/>
        </w:trPr>
        <w:tc>
          <w:tcPr>
            <w:tcW w:w="9286" w:type="dxa"/>
            <w:gridSpan w:val="2"/>
            <w:tcBorders>
              <w:top w:val="single" w:color="auto" w:sz="4" w:space="0"/>
              <w:left w:val="single" w:color="auto" w:sz="4" w:space="0"/>
              <w:right w:val="single" w:color="auto" w:sz="4" w:space="0"/>
            </w:tcBorders>
            <w:noWrap w:val="0"/>
            <w:vAlign w:val="top"/>
          </w:tcPr>
          <w:p w14:paraId="51ECB1EE">
            <w:pPr>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4.其他具体事项：</w:t>
            </w:r>
          </w:p>
          <w:p w14:paraId="2649528E">
            <w:pPr>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 xml:space="preserve">    </w:t>
            </w:r>
          </w:p>
        </w:tc>
      </w:tr>
      <w:tr w14:paraId="22006943">
        <w:tblPrEx>
          <w:tblCellMar>
            <w:top w:w="0" w:type="dxa"/>
            <w:left w:w="108" w:type="dxa"/>
            <w:bottom w:w="0" w:type="dxa"/>
            <w:right w:w="108" w:type="dxa"/>
          </w:tblCellMar>
        </w:tblPrEx>
        <w:trPr>
          <w:trHeight w:val="2577" w:hRule="atLeast"/>
          <w:jc w:val="center"/>
        </w:trPr>
        <w:tc>
          <w:tcPr>
            <w:tcW w:w="4627" w:type="dxa"/>
            <w:tcBorders>
              <w:top w:val="single" w:color="auto" w:sz="4" w:space="0"/>
              <w:left w:val="single" w:color="auto" w:sz="4" w:space="0"/>
              <w:bottom w:val="single" w:color="auto" w:sz="4" w:space="0"/>
              <w:right w:val="single" w:color="auto" w:sz="4" w:space="0"/>
            </w:tcBorders>
            <w:noWrap w:val="0"/>
            <w:vAlign w:val="center"/>
          </w:tcPr>
          <w:p w14:paraId="1923F9FE">
            <w:pPr>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甲方（章）</w:t>
            </w:r>
          </w:p>
          <w:p w14:paraId="6152C15A">
            <w:pPr>
              <w:snapToGrid w:val="0"/>
              <w:spacing w:line="400" w:lineRule="exact"/>
              <w:ind w:firstLine="420" w:firstLineChars="200"/>
              <w:rPr>
                <w:rFonts w:ascii="宋体" w:hAnsi="宋体" w:cs="宋体"/>
                <w:color w:val="auto"/>
                <w:kern w:val="0"/>
                <w:szCs w:val="21"/>
                <w:highlight w:val="none"/>
              </w:rPr>
            </w:pPr>
          </w:p>
          <w:p w14:paraId="78204234">
            <w:pPr>
              <w:snapToGrid w:val="0"/>
              <w:spacing w:line="400" w:lineRule="exact"/>
              <w:ind w:firstLine="420" w:firstLineChars="200"/>
              <w:rPr>
                <w:rFonts w:ascii="宋体" w:hAnsi="宋体" w:cs="宋体"/>
                <w:color w:val="auto"/>
                <w:kern w:val="0"/>
                <w:szCs w:val="21"/>
                <w:highlight w:val="none"/>
              </w:rPr>
            </w:pPr>
          </w:p>
          <w:p w14:paraId="7D3DAE26">
            <w:pPr>
              <w:snapToGrid w:val="0"/>
              <w:spacing w:line="400" w:lineRule="exact"/>
              <w:ind w:firstLine="420" w:firstLineChars="200"/>
              <w:rPr>
                <w:rFonts w:ascii="宋体" w:hAnsi="宋体" w:cs="宋体"/>
                <w:color w:val="auto"/>
                <w:kern w:val="0"/>
                <w:szCs w:val="21"/>
                <w:highlight w:val="none"/>
              </w:rPr>
            </w:pPr>
          </w:p>
          <w:p w14:paraId="2551565D">
            <w:pPr>
              <w:snapToGrid w:val="0"/>
              <w:spacing w:line="400" w:lineRule="exact"/>
              <w:ind w:firstLine="420" w:firstLineChars="200"/>
              <w:rPr>
                <w:rFonts w:ascii="宋体" w:hAnsi="宋体" w:cs="宋体"/>
                <w:color w:val="auto"/>
                <w:kern w:val="0"/>
                <w:szCs w:val="21"/>
                <w:highlight w:val="none"/>
              </w:rPr>
            </w:pPr>
          </w:p>
          <w:p w14:paraId="4DB394EF">
            <w:pPr>
              <w:snapToGrid w:val="0"/>
              <w:spacing w:line="400" w:lineRule="exact"/>
              <w:ind w:firstLine="420" w:firstLineChars="200"/>
              <w:rPr>
                <w:rFonts w:ascii="宋体" w:hAnsi="宋体" w:cs="宋体"/>
                <w:color w:val="auto"/>
                <w:kern w:val="0"/>
                <w:szCs w:val="21"/>
                <w:highlight w:val="none"/>
              </w:rPr>
            </w:pPr>
          </w:p>
          <w:p w14:paraId="4781E31D">
            <w:pPr>
              <w:snapToGrid w:val="0"/>
              <w:spacing w:line="400" w:lineRule="exact"/>
              <w:ind w:firstLine="420" w:firstLineChars="200"/>
              <w:rPr>
                <w:rFonts w:ascii="宋体" w:hAnsi="宋体" w:cs="宋体"/>
                <w:color w:val="auto"/>
                <w:kern w:val="0"/>
                <w:szCs w:val="21"/>
                <w:highlight w:val="none"/>
              </w:rPr>
            </w:pPr>
          </w:p>
          <w:p w14:paraId="297279EC">
            <w:pPr>
              <w:snapToGrid w:val="0"/>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 xml:space="preserve">                 年   月   日 </w:t>
            </w:r>
          </w:p>
        </w:tc>
        <w:tc>
          <w:tcPr>
            <w:tcW w:w="4659" w:type="dxa"/>
            <w:tcBorders>
              <w:top w:val="single" w:color="auto" w:sz="4" w:space="0"/>
              <w:left w:val="single" w:color="auto" w:sz="4" w:space="0"/>
              <w:bottom w:val="single" w:color="auto" w:sz="4" w:space="0"/>
              <w:right w:val="single" w:color="auto" w:sz="4" w:space="0"/>
            </w:tcBorders>
            <w:noWrap w:val="0"/>
            <w:vAlign w:val="center"/>
          </w:tcPr>
          <w:p w14:paraId="2AC4B209">
            <w:pPr>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乙方（章）</w:t>
            </w:r>
          </w:p>
          <w:p w14:paraId="4CD72F18">
            <w:pPr>
              <w:snapToGrid w:val="0"/>
              <w:spacing w:line="400" w:lineRule="exact"/>
              <w:ind w:firstLine="420" w:firstLineChars="200"/>
              <w:rPr>
                <w:rFonts w:ascii="宋体" w:hAnsi="宋体" w:cs="宋体"/>
                <w:color w:val="auto"/>
                <w:kern w:val="0"/>
                <w:szCs w:val="21"/>
                <w:highlight w:val="none"/>
              </w:rPr>
            </w:pPr>
          </w:p>
          <w:p w14:paraId="3DAA3300">
            <w:pPr>
              <w:snapToGrid w:val="0"/>
              <w:spacing w:line="400" w:lineRule="exact"/>
              <w:ind w:firstLine="420" w:firstLineChars="200"/>
              <w:rPr>
                <w:rFonts w:ascii="宋体" w:hAnsi="宋体" w:cs="宋体"/>
                <w:color w:val="auto"/>
                <w:kern w:val="0"/>
                <w:szCs w:val="21"/>
                <w:highlight w:val="none"/>
              </w:rPr>
            </w:pPr>
          </w:p>
          <w:p w14:paraId="67219772">
            <w:pPr>
              <w:snapToGrid w:val="0"/>
              <w:spacing w:line="400" w:lineRule="exact"/>
              <w:ind w:firstLine="420" w:firstLineChars="200"/>
              <w:rPr>
                <w:rFonts w:ascii="宋体" w:hAnsi="宋体" w:cs="宋体"/>
                <w:color w:val="auto"/>
                <w:kern w:val="0"/>
                <w:szCs w:val="21"/>
                <w:highlight w:val="none"/>
              </w:rPr>
            </w:pPr>
          </w:p>
          <w:p w14:paraId="5175D0DC">
            <w:pPr>
              <w:snapToGrid w:val="0"/>
              <w:spacing w:line="400" w:lineRule="exact"/>
              <w:ind w:firstLine="420" w:firstLineChars="200"/>
              <w:rPr>
                <w:rFonts w:ascii="宋体" w:hAnsi="宋体" w:cs="宋体"/>
                <w:color w:val="auto"/>
                <w:kern w:val="0"/>
                <w:szCs w:val="21"/>
                <w:highlight w:val="none"/>
              </w:rPr>
            </w:pPr>
          </w:p>
          <w:p w14:paraId="6C320C27">
            <w:pPr>
              <w:snapToGrid w:val="0"/>
              <w:spacing w:line="400" w:lineRule="exact"/>
              <w:ind w:firstLine="420" w:firstLineChars="200"/>
              <w:rPr>
                <w:rFonts w:ascii="宋体" w:hAnsi="宋体" w:cs="宋体"/>
                <w:color w:val="auto"/>
                <w:kern w:val="0"/>
                <w:szCs w:val="21"/>
                <w:highlight w:val="none"/>
              </w:rPr>
            </w:pPr>
          </w:p>
          <w:p w14:paraId="3027EA05">
            <w:pPr>
              <w:snapToGrid w:val="0"/>
              <w:spacing w:line="400" w:lineRule="exact"/>
              <w:ind w:firstLine="420" w:firstLineChars="200"/>
              <w:rPr>
                <w:rFonts w:ascii="宋体" w:hAnsi="宋体" w:cs="宋体"/>
                <w:color w:val="auto"/>
                <w:kern w:val="0"/>
                <w:szCs w:val="21"/>
                <w:highlight w:val="none"/>
              </w:rPr>
            </w:pPr>
          </w:p>
          <w:p w14:paraId="2C272BDB">
            <w:pPr>
              <w:snapToGrid w:val="0"/>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 xml:space="preserve">                年   月   日</w:t>
            </w:r>
          </w:p>
        </w:tc>
      </w:tr>
    </w:tbl>
    <w:p w14:paraId="2E52CCCA">
      <w:pPr>
        <w:snapToGrid w:val="0"/>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注：售后服务事项填不下时可另加附页</w:t>
      </w:r>
    </w:p>
    <w:p w14:paraId="3DDF452F">
      <w:pPr>
        <w:spacing w:before="36" w:line="211" w:lineRule="auto"/>
        <w:jc w:val="right"/>
        <w:rPr>
          <w:rFonts w:ascii="宋体" w:hAnsi="宋体" w:eastAsia="宋体" w:cs="宋体"/>
          <w:color w:val="auto"/>
          <w:sz w:val="18"/>
          <w:szCs w:val="18"/>
          <w:highlight w:val="none"/>
        </w:rPr>
      </w:pPr>
    </w:p>
    <w:p w14:paraId="48685693">
      <w:pPr>
        <w:shd w:val="clear" w:color="auto" w:fill="auto"/>
        <w:snapToGrid w:val="0"/>
        <w:spacing w:line="360" w:lineRule="exact"/>
        <w:rPr>
          <w:rFonts w:hint="eastAsia" w:ascii="宋体" w:hAnsi="宋体" w:cs="宋体"/>
          <w:b/>
          <w:color w:val="auto"/>
          <w:sz w:val="32"/>
          <w:szCs w:val="32"/>
          <w:highlight w:val="none"/>
        </w:rPr>
      </w:pPr>
    </w:p>
    <w:p w14:paraId="039E2EC2">
      <w:pPr>
        <w:shd w:val="clear" w:color="auto" w:fill="auto"/>
        <w:spacing w:line="360" w:lineRule="auto"/>
        <w:jc w:val="center"/>
        <w:rPr>
          <w:rFonts w:hint="eastAsia" w:ascii="宋体" w:hAnsi="宋体" w:cs="宋体"/>
          <w:b/>
          <w:color w:val="auto"/>
          <w:kern w:val="0"/>
          <w:sz w:val="32"/>
          <w:szCs w:val="32"/>
          <w:highlight w:val="none"/>
        </w:rPr>
      </w:pPr>
      <w:r>
        <w:rPr>
          <w:rFonts w:hint="eastAsia" w:ascii="宋体" w:hAnsi="宋体" w:cs="宋体"/>
          <w:b/>
          <w:bCs/>
          <w:color w:val="auto"/>
          <w:kern w:val="0"/>
          <w:sz w:val="32"/>
          <w:szCs w:val="32"/>
          <w:highlight w:val="none"/>
        </w:rPr>
        <w:t>广西壮族自治区政府采购项目</w:t>
      </w:r>
      <w:r>
        <w:rPr>
          <w:rFonts w:hint="eastAsia" w:ascii="宋体" w:hAnsi="宋体" w:cs="宋体"/>
          <w:b/>
          <w:color w:val="auto"/>
          <w:kern w:val="0"/>
          <w:sz w:val="32"/>
          <w:szCs w:val="32"/>
          <w:highlight w:val="none"/>
        </w:rPr>
        <w:t>合同验收书（格式）</w:t>
      </w:r>
    </w:p>
    <w:p w14:paraId="31D430FC">
      <w:pPr>
        <w:shd w:val="clear" w:color="auto" w:fill="auto"/>
        <w:spacing w:line="34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根据政府采购项目（采购合同编号：</w:t>
      </w:r>
      <w:r>
        <w:rPr>
          <w:rFonts w:hint="eastAsia" w:ascii="宋体" w:hAnsi="宋体" w:cs="宋体"/>
          <w:color w:val="auto"/>
          <w:kern w:val="0"/>
          <w:szCs w:val="21"/>
          <w:highlight w:val="none"/>
        </w:rPr>
        <w:softHyphen/>
      </w:r>
      <w:r>
        <w:rPr>
          <w:rFonts w:hint="eastAsia" w:ascii="宋体" w:hAnsi="宋体" w:cs="宋体"/>
          <w:color w:val="auto"/>
          <w:kern w:val="0"/>
          <w:szCs w:val="21"/>
          <w:highlight w:val="none"/>
        </w:rPr>
        <w:t>   ）的约定，我单位对（ 项目名称 ）政府采购项目中标（或成交）供应商（ 公司名称 ）提供的货物（或工程、服务）进行了验收，验收情况如下：</w:t>
      </w:r>
    </w:p>
    <w:tbl>
      <w:tblPr>
        <w:tblStyle w:val="2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4"/>
        <w:gridCol w:w="2231"/>
        <w:gridCol w:w="428"/>
        <w:gridCol w:w="2583"/>
        <w:gridCol w:w="102"/>
        <w:gridCol w:w="1574"/>
        <w:gridCol w:w="1237"/>
      </w:tblGrid>
      <w:tr w14:paraId="06764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3555" w:type="dxa"/>
            <w:gridSpan w:val="2"/>
            <w:noWrap w:val="0"/>
            <w:vAlign w:val="top"/>
          </w:tcPr>
          <w:p w14:paraId="09E8E5F5">
            <w:pPr>
              <w:shd w:val="clear" w:color="auto" w:fill="auto"/>
              <w:spacing w:line="340" w:lineRule="exact"/>
              <w:jc w:val="center"/>
              <w:rPr>
                <w:rFonts w:hint="eastAsia" w:ascii="宋体" w:hAnsi="宋体" w:cs="宋体"/>
                <w:b/>
                <w:color w:val="auto"/>
                <w:szCs w:val="21"/>
                <w:highlight w:val="none"/>
              </w:rPr>
            </w:pPr>
            <w:r>
              <w:rPr>
                <w:rFonts w:hint="eastAsia" w:ascii="宋体" w:hAnsi="宋体" w:cs="宋体"/>
                <w:color w:val="auto"/>
                <w:kern w:val="0"/>
                <w:szCs w:val="21"/>
                <w:highlight w:val="none"/>
              </w:rPr>
              <w:t>验收方式：</w:t>
            </w:r>
          </w:p>
        </w:tc>
        <w:tc>
          <w:tcPr>
            <w:tcW w:w="5924" w:type="dxa"/>
            <w:gridSpan w:val="5"/>
            <w:noWrap w:val="0"/>
            <w:vAlign w:val="top"/>
          </w:tcPr>
          <w:p w14:paraId="03E67B2B">
            <w:pPr>
              <w:shd w:val="clear" w:color="auto" w:fill="auto"/>
              <w:spacing w:line="340" w:lineRule="exact"/>
              <w:jc w:val="center"/>
              <w:rPr>
                <w:rFonts w:hint="eastAsia" w:ascii="宋体" w:hAnsi="宋体" w:cs="宋体"/>
                <w:b/>
                <w:color w:val="auto"/>
                <w:szCs w:val="21"/>
                <w:highlight w:val="none"/>
              </w:rPr>
            </w:pPr>
            <w:r>
              <w:rPr>
                <w:rFonts w:hint="eastAsia" w:ascii="宋体" w:hAnsi="宋体" w:cs="宋体"/>
                <w:color w:val="auto"/>
                <w:kern w:val="0"/>
                <w:szCs w:val="21"/>
                <w:highlight w:val="none"/>
              </w:rPr>
              <w:t>□自行验收    □委托验收</w:t>
            </w:r>
          </w:p>
        </w:tc>
      </w:tr>
      <w:tr w14:paraId="5528E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1324" w:type="dxa"/>
            <w:noWrap w:val="0"/>
            <w:vAlign w:val="center"/>
          </w:tcPr>
          <w:p w14:paraId="71A1354D">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序号</w:t>
            </w:r>
          </w:p>
        </w:tc>
        <w:tc>
          <w:tcPr>
            <w:tcW w:w="2231" w:type="dxa"/>
            <w:noWrap w:val="0"/>
            <w:vAlign w:val="center"/>
          </w:tcPr>
          <w:p w14:paraId="2E417F4E">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名 称</w:t>
            </w:r>
          </w:p>
        </w:tc>
        <w:tc>
          <w:tcPr>
            <w:tcW w:w="3113" w:type="dxa"/>
            <w:gridSpan w:val="3"/>
            <w:noWrap w:val="0"/>
            <w:vAlign w:val="center"/>
          </w:tcPr>
          <w:p w14:paraId="468873E7">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货物型号规格、标准及配置等（或服务内容、标准）</w:t>
            </w:r>
          </w:p>
        </w:tc>
        <w:tc>
          <w:tcPr>
            <w:tcW w:w="1574" w:type="dxa"/>
            <w:noWrap w:val="0"/>
            <w:vAlign w:val="center"/>
          </w:tcPr>
          <w:p w14:paraId="12573EDD">
            <w:pPr>
              <w:widowControl/>
              <w:shd w:val="clear" w:color="auto" w:fill="auto"/>
              <w:snapToGrid w:val="0"/>
              <w:spacing w:before="100" w:beforeAutospacing="1" w:after="100" w:afterAutospacing="1" w:line="320" w:lineRule="atLeas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数量</w:t>
            </w:r>
          </w:p>
        </w:tc>
        <w:tc>
          <w:tcPr>
            <w:tcW w:w="1237" w:type="dxa"/>
            <w:noWrap w:val="0"/>
            <w:vAlign w:val="center"/>
          </w:tcPr>
          <w:p w14:paraId="6EE236F7">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金额</w:t>
            </w:r>
          </w:p>
        </w:tc>
      </w:tr>
      <w:tr w14:paraId="2603F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324" w:type="dxa"/>
            <w:noWrap w:val="0"/>
            <w:vAlign w:val="center"/>
          </w:tcPr>
          <w:p w14:paraId="1DE2F5C4">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c>
          <w:tcPr>
            <w:tcW w:w="2231" w:type="dxa"/>
            <w:noWrap w:val="0"/>
            <w:vAlign w:val="center"/>
          </w:tcPr>
          <w:p w14:paraId="261B0EE8">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c>
          <w:tcPr>
            <w:tcW w:w="3113" w:type="dxa"/>
            <w:gridSpan w:val="3"/>
            <w:noWrap w:val="0"/>
            <w:vAlign w:val="center"/>
          </w:tcPr>
          <w:p w14:paraId="48543F41">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c>
          <w:tcPr>
            <w:tcW w:w="1574" w:type="dxa"/>
            <w:noWrap w:val="0"/>
            <w:vAlign w:val="center"/>
          </w:tcPr>
          <w:p w14:paraId="73885CE8">
            <w:pPr>
              <w:widowControl/>
              <w:shd w:val="clear" w:color="auto" w:fill="auto"/>
              <w:snapToGrid w:val="0"/>
              <w:spacing w:before="100" w:beforeAutospacing="1" w:after="100" w:afterAutospacing="1" w:line="320" w:lineRule="atLeast"/>
              <w:jc w:val="center"/>
              <w:rPr>
                <w:rFonts w:hint="eastAsia" w:ascii="宋体" w:hAnsi="宋体" w:cs="宋体"/>
                <w:color w:val="auto"/>
                <w:kern w:val="0"/>
                <w:szCs w:val="21"/>
                <w:highlight w:val="none"/>
              </w:rPr>
            </w:pPr>
          </w:p>
        </w:tc>
        <w:tc>
          <w:tcPr>
            <w:tcW w:w="1237" w:type="dxa"/>
            <w:noWrap w:val="0"/>
            <w:vAlign w:val="center"/>
          </w:tcPr>
          <w:p w14:paraId="2C6C53DD">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r>
      <w:tr w14:paraId="5130F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324" w:type="dxa"/>
            <w:noWrap w:val="0"/>
            <w:vAlign w:val="center"/>
          </w:tcPr>
          <w:p w14:paraId="44B76BA2">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c>
          <w:tcPr>
            <w:tcW w:w="2231" w:type="dxa"/>
            <w:noWrap w:val="0"/>
            <w:vAlign w:val="center"/>
          </w:tcPr>
          <w:p w14:paraId="3F5A6387">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c>
          <w:tcPr>
            <w:tcW w:w="3113" w:type="dxa"/>
            <w:gridSpan w:val="3"/>
            <w:noWrap w:val="0"/>
            <w:vAlign w:val="center"/>
          </w:tcPr>
          <w:p w14:paraId="0B972929">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c>
          <w:tcPr>
            <w:tcW w:w="1574" w:type="dxa"/>
            <w:noWrap w:val="0"/>
            <w:vAlign w:val="center"/>
          </w:tcPr>
          <w:p w14:paraId="215E19D0">
            <w:pPr>
              <w:widowControl/>
              <w:shd w:val="clear" w:color="auto" w:fill="auto"/>
              <w:snapToGrid w:val="0"/>
              <w:spacing w:before="100" w:beforeAutospacing="1" w:after="100" w:afterAutospacing="1" w:line="320" w:lineRule="atLeast"/>
              <w:jc w:val="center"/>
              <w:rPr>
                <w:rFonts w:hint="eastAsia" w:ascii="宋体" w:hAnsi="宋体" w:cs="宋体"/>
                <w:color w:val="auto"/>
                <w:kern w:val="0"/>
                <w:szCs w:val="21"/>
                <w:highlight w:val="none"/>
              </w:rPr>
            </w:pPr>
          </w:p>
        </w:tc>
        <w:tc>
          <w:tcPr>
            <w:tcW w:w="1237" w:type="dxa"/>
            <w:noWrap w:val="0"/>
            <w:vAlign w:val="center"/>
          </w:tcPr>
          <w:p w14:paraId="3057B0D2">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r>
      <w:tr w14:paraId="6AA0B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324" w:type="dxa"/>
            <w:noWrap w:val="0"/>
            <w:vAlign w:val="center"/>
          </w:tcPr>
          <w:p w14:paraId="010D9AE5">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c>
          <w:tcPr>
            <w:tcW w:w="2231" w:type="dxa"/>
            <w:noWrap w:val="0"/>
            <w:vAlign w:val="center"/>
          </w:tcPr>
          <w:p w14:paraId="293778D8">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c>
          <w:tcPr>
            <w:tcW w:w="3113" w:type="dxa"/>
            <w:gridSpan w:val="3"/>
            <w:noWrap w:val="0"/>
            <w:vAlign w:val="center"/>
          </w:tcPr>
          <w:p w14:paraId="266125CA">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c>
          <w:tcPr>
            <w:tcW w:w="1574" w:type="dxa"/>
            <w:noWrap w:val="0"/>
            <w:vAlign w:val="center"/>
          </w:tcPr>
          <w:p w14:paraId="47FE3F13">
            <w:pPr>
              <w:widowControl/>
              <w:shd w:val="clear" w:color="auto" w:fill="auto"/>
              <w:snapToGrid w:val="0"/>
              <w:spacing w:before="100" w:beforeAutospacing="1" w:after="100" w:afterAutospacing="1" w:line="320" w:lineRule="atLeast"/>
              <w:jc w:val="center"/>
              <w:rPr>
                <w:rFonts w:hint="eastAsia" w:ascii="宋体" w:hAnsi="宋体" w:cs="宋体"/>
                <w:color w:val="auto"/>
                <w:kern w:val="0"/>
                <w:szCs w:val="21"/>
                <w:highlight w:val="none"/>
              </w:rPr>
            </w:pPr>
          </w:p>
        </w:tc>
        <w:tc>
          <w:tcPr>
            <w:tcW w:w="1237" w:type="dxa"/>
            <w:noWrap w:val="0"/>
            <w:vAlign w:val="center"/>
          </w:tcPr>
          <w:p w14:paraId="3FC18779">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r>
      <w:tr w14:paraId="4D8F2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jc w:val="center"/>
        </w:trPr>
        <w:tc>
          <w:tcPr>
            <w:tcW w:w="6668" w:type="dxa"/>
            <w:gridSpan w:val="5"/>
            <w:noWrap w:val="0"/>
            <w:vAlign w:val="center"/>
          </w:tcPr>
          <w:p w14:paraId="57F05E2A">
            <w:pPr>
              <w:widowControl/>
              <w:shd w:val="clear" w:color="auto" w:fill="auto"/>
              <w:snapToGrid w:val="0"/>
              <w:spacing w:before="100" w:beforeAutospacing="1" w:after="100" w:afterAutospacing="1" w:line="320" w:lineRule="atLeast"/>
              <w:ind w:firstLine="2"/>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合  计</w:t>
            </w:r>
          </w:p>
        </w:tc>
        <w:tc>
          <w:tcPr>
            <w:tcW w:w="1574" w:type="dxa"/>
            <w:noWrap w:val="0"/>
            <w:vAlign w:val="center"/>
          </w:tcPr>
          <w:p w14:paraId="4DE940E8">
            <w:pPr>
              <w:widowControl/>
              <w:shd w:val="clear" w:color="auto" w:fill="auto"/>
              <w:snapToGrid w:val="0"/>
              <w:spacing w:before="100" w:beforeAutospacing="1" w:after="100" w:afterAutospacing="1" w:line="320" w:lineRule="atLeast"/>
              <w:jc w:val="center"/>
              <w:rPr>
                <w:rFonts w:hint="eastAsia" w:ascii="宋体" w:hAnsi="宋体" w:cs="宋体"/>
                <w:color w:val="auto"/>
                <w:kern w:val="0"/>
                <w:szCs w:val="21"/>
                <w:highlight w:val="none"/>
              </w:rPr>
            </w:pPr>
          </w:p>
        </w:tc>
        <w:tc>
          <w:tcPr>
            <w:tcW w:w="1237" w:type="dxa"/>
            <w:noWrap w:val="0"/>
            <w:vAlign w:val="center"/>
          </w:tcPr>
          <w:p w14:paraId="3FF088F4">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r>
      <w:tr w14:paraId="15A3A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jc w:val="center"/>
        </w:trPr>
        <w:tc>
          <w:tcPr>
            <w:tcW w:w="9479" w:type="dxa"/>
            <w:gridSpan w:val="7"/>
            <w:noWrap w:val="0"/>
            <w:vAlign w:val="center"/>
          </w:tcPr>
          <w:p w14:paraId="7185AB2B">
            <w:pPr>
              <w:widowControl/>
              <w:shd w:val="clear" w:color="auto" w:fill="auto"/>
              <w:snapToGrid w:val="0"/>
              <w:spacing w:before="100" w:beforeAutospacing="1" w:after="100" w:afterAutospacing="1" w:line="320" w:lineRule="atLeast"/>
              <w:ind w:firstLine="2"/>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合计大写金额：  仟   佰   拾   万   仟   佰   拾   元</w:t>
            </w:r>
          </w:p>
        </w:tc>
      </w:tr>
      <w:tr w14:paraId="31D2B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24" w:type="dxa"/>
            <w:noWrap w:val="0"/>
            <w:vAlign w:val="center"/>
          </w:tcPr>
          <w:p w14:paraId="0D362665">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实际供货日期</w:t>
            </w:r>
          </w:p>
        </w:tc>
        <w:tc>
          <w:tcPr>
            <w:tcW w:w="2659" w:type="dxa"/>
            <w:gridSpan w:val="2"/>
            <w:noWrap w:val="0"/>
            <w:vAlign w:val="center"/>
          </w:tcPr>
          <w:p w14:paraId="22B07DFD">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c>
          <w:tcPr>
            <w:tcW w:w="2583" w:type="dxa"/>
            <w:noWrap w:val="0"/>
            <w:vAlign w:val="center"/>
          </w:tcPr>
          <w:p w14:paraId="2D80EC2D">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合同交货验收日期</w:t>
            </w:r>
          </w:p>
        </w:tc>
        <w:tc>
          <w:tcPr>
            <w:tcW w:w="2913" w:type="dxa"/>
            <w:gridSpan w:val="3"/>
            <w:noWrap w:val="0"/>
            <w:vAlign w:val="center"/>
          </w:tcPr>
          <w:p w14:paraId="75099BC7">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r>
      <w:tr w14:paraId="575BF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324" w:type="dxa"/>
            <w:noWrap w:val="0"/>
            <w:vAlign w:val="center"/>
          </w:tcPr>
          <w:p w14:paraId="3F190190">
            <w:pPr>
              <w:widowControl/>
              <w:shd w:val="clear" w:color="auto" w:fill="auto"/>
              <w:snapToGrid w:val="0"/>
              <w:spacing w:before="100" w:beforeAutospacing="1" w:after="100" w:afterAutospacing="1" w:line="320" w:lineRule="atLeast"/>
              <w:ind w:firstLine="2"/>
              <w:jc w:val="left"/>
              <w:rPr>
                <w:rFonts w:hint="eastAsia" w:ascii="宋体" w:hAnsi="宋体" w:cs="宋体"/>
                <w:color w:val="auto"/>
                <w:kern w:val="0"/>
                <w:szCs w:val="21"/>
                <w:highlight w:val="none"/>
              </w:rPr>
            </w:pPr>
          </w:p>
        </w:tc>
        <w:tc>
          <w:tcPr>
            <w:tcW w:w="2659" w:type="dxa"/>
            <w:gridSpan w:val="2"/>
            <w:noWrap w:val="0"/>
            <w:vAlign w:val="center"/>
          </w:tcPr>
          <w:p w14:paraId="12D5933C">
            <w:pPr>
              <w:widowControl/>
              <w:shd w:val="clear" w:color="auto" w:fill="auto"/>
              <w:snapToGrid w:val="0"/>
              <w:spacing w:before="100" w:beforeAutospacing="1" w:after="100" w:afterAutospacing="1" w:line="320" w:lineRule="atLeast"/>
              <w:ind w:firstLine="2"/>
              <w:jc w:val="left"/>
              <w:rPr>
                <w:rFonts w:hint="eastAsia" w:ascii="宋体" w:hAnsi="宋体" w:cs="宋体"/>
                <w:color w:val="auto"/>
                <w:kern w:val="0"/>
                <w:szCs w:val="21"/>
                <w:highlight w:val="none"/>
              </w:rPr>
            </w:pPr>
          </w:p>
        </w:tc>
        <w:tc>
          <w:tcPr>
            <w:tcW w:w="2583" w:type="dxa"/>
            <w:noWrap w:val="0"/>
            <w:vAlign w:val="center"/>
          </w:tcPr>
          <w:p w14:paraId="5069F7B2">
            <w:pPr>
              <w:widowControl/>
              <w:shd w:val="clear" w:color="auto" w:fill="auto"/>
              <w:snapToGrid w:val="0"/>
              <w:spacing w:before="100" w:beforeAutospacing="1" w:after="100" w:afterAutospacing="1" w:line="320" w:lineRule="atLeast"/>
              <w:ind w:firstLine="2"/>
              <w:jc w:val="left"/>
              <w:rPr>
                <w:rFonts w:hint="eastAsia" w:ascii="宋体" w:hAnsi="宋体" w:cs="宋体"/>
                <w:color w:val="auto"/>
                <w:kern w:val="0"/>
                <w:szCs w:val="21"/>
                <w:highlight w:val="none"/>
              </w:rPr>
            </w:pPr>
          </w:p>
        </w:tc>
        <w:tc>
          <w:tcPr>
            <w:tcW w:w="2913" w:type="dxa"/>
            <w:gridSpan w:val="3"/>
            <w:noWrap w:val="0"/>
            <w:vAlign w:val="center"/>
          </w:tcPr>
          <w:p w14:paraId="062867FB">
            <w:pPr>
              <w:widowControl/>
              <w:shd w:val="clear" w:color="auto" w:fill="auto"/>
              <w:snapToGrid w:val="0"/>
              <w:spacing w:before="100" w:beforeAutospacing="1" w:after="100" w:afterAutospacing="1" w:line="320" w:lineRule="atLeast"/>
              <w:ind w:firstLine="2"/>
              <w:jc w:val="left"/>
              <w:rPr>
                <w:rFonts w:hint="eastAsia" w:ascii="宋体" w:hAnsi="宋体" w:cs="宋体"/>
                <w:color w:val="auto"/>
                <w:kern w:val="0"/>
                <w:szCs w:val="21"/>
                <w:highlight w:val="none"/>
              </w:rPr>
            </w:pPr>
          </w:p>
        </w:tc>
      </w:tr>
      <w:tr w14:paraId="102B5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1324" w:type="dxa"/>
            <w:noWrap w:val="0"/>
            <w:vAlign w:val="center"/>
          </w:tcPr>
          <w:p w14:paraId="6A959314">
            <w:pPr>
              <w:widowControl/>
              <w:shd w:val="clear" w:color="auto" w:fill="auto"/>
              <w:snapToGrid w:val="0"/>
              <w:spacing w:before="100" w:beforeAutospacing="1" w:after="100" w:afterAutospacing="1" w:line="320" w:lineRule="atLeast"/>
              <w:ind w:firstLine="2"/>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验收具体内容</w:t>
            </w:r>
          </w:p>
        </w:tc>
        <w:tc>
          <w:tcPr>
            <w:tcW w:w="8155" w:type="dxa"/>
            <w:gridSpan w:val="6"/>
            <w:noWrap w:val="0"/>
            <w:vAlign w:val="center"/>
          </w:tcPr>
          <w:p w14:paraId="1CE9CAC5">
            <w:pPr>
              <w:widowControl/>
              <w:shd w:val="clear" w:color="auto" w:fill="auto"/>
              <w:snapToGrid w:val="0"/>
              <w:spacing w:before="100" w:beforeAutospacing="1" w:after="100" w:afterAutospacing="1" w:line="320" w:lineRule="atLeas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应按采购合同、采购文件、投标响应文件及验收方案等进行验收；并核对中标或者成交供应商在安装调试等方面是否违反合同约定或服务规范要求、提供的质量保证证明材料是否齐全、应有的配件及附件是否达到合同约定等。可附件)</w:t>
            </w:r>
          </w:p>
        </w:tc>
      </w:tr>
      <w:tr w14:paraId="35A5A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1324" w:type="dxa"/>
            <w:vMerge w:val="restart"/>
            <w:noWrap w:val="0"/>
            <w:vAlign w:val="center"/>
          </w:tcPr>
          <w:p w14:paraId="4D751350">
            <w:pPr>
              <w:widowControl/>
              <w:shd w:val="clear" w:color="auto" w:fill="auto"/>
              <w:snapToGrid w:val="0"/>
              <w:spacing w:before="100" w:beforeAutospacing="1" w:after="100" w:afterAutospacing="1" w:line="320" w:lineRule="atLeast"/>
              <w:ind w:firstLine="2"/>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验收小组意见</w:t>
            </w:r>
          </w:p>
        </w:tc>
        <w:tc>
          <w:tcPr>
            <w:tcW w:w="8155" w:type="dxa"/>
            <w:gridSpan w:val="6"/>
            <w:noWrap w:val="0"/>
            <w:vAlign w:val="center"/>
          </w:tcPr>
          <w:p w14:paraId="7CF36599">
            <w:pPr>
              <w:widowControl/>
              <w:shd w:val="clear" w:color="auto" w:fill="auto"/>
              <w:snapToGrid w:val="0"/>
              <w:spacing w:before="100" w:beforeAutospacing="1" w:after="100" w:afterAutospacing="1" w:line="320" w:lineRule="atLeast"/>
              <w:jc w:val="left"/>
              <w:rPr>
                <w:rFonts w:hint="eastAsia" w:ascii="Times New Roman" w:hAnsi="Times New Roman"/>
                <w:color w:val="auto"/>
                <w:highlight w:val="none"/>
              </w:rPr>
            </w:pPr>
            <w:r>
              <w:rPr>
                <w:rFonts w:hint="eastAsia" w:ascii="Times New Roman" w:hAnsi="Times New Roman"/>
                <w:color w:val="auto"/>
                <w:highlight w:val="none"/>
              </w:rPr>
              <w:t>验收结论性意见：</w:t>
            </w:r>
          </w:p>
          <w:p w14:paraId="0A0E5D77">
            <w:pPr>
              <w:pStyle w:val="15"/>
              <w:shd w:val="clear" w:color="auto" w:fill="auto"/>
              <w:rPr>
                <w:rFonts w:hint="eastAsia" w:ascii="Times New Roman" w:hAnsi="Times New Roman"/>
                <w:color w:val="auto"/>
                <w:highlight w:val="none"/>
              </w:rPr>
            </w:pPr>
          </w:p>
        </w:tc>
      </w:tr>
      <w:tr w14:paraId="7B61F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1324" w:type="dxa"/>
            <w:vMerge w:val="continue"/>
            <w:noWrap w:val="0"/>
            <w:vAlign w:val="center"/>
          </w:tcPr>
          <w:p w14:paraId="1C84D28D">
            <w:pPr>
              <w:widowControl/>
              <w:shd w:val="clear" w:color="auto" w:fill="auto"/>
              <w:snapToGrid w:val="0"/>
              <w:spacing w:before="100" w:beforeAutospacing="1" w:after="100" w:afterAutospacing="1" w:line="320" w:lineRule="atLeast"/>
              <w:ind w:firstLine="2"/>
              <w:jc w:val="left"/>
              <w:rPr>
                <w:rFonts w:hint="eastAsia" w:ascii="宋体" w:hAnsi="宋体" w:cs="宋体"/>
                <w:color w:val="auto"/>
                <w:kern w:val="0"/>
                <w:szCs w:val="21"/>
                <w:highlight w:val="none"/>
              </w:rPr>
            </w:pPr>
          </w:p>
        </w:tc>
        <w:tc>
          <w:tcPr>
            <w:tcW w:w="8155" w:type="dxa"/>
            <w:gridSpan w:val="6"/>
            <w:noWrap w:val="0"/>
            <w:vAlign w:val="center"/>
          </w:tcPr>
          <w:p w14:paraId="53213953">
            <w:pPr>
              <w:widowControl/>
              <w:shd w:val="clear" w:color="auto" w:fill="auto"/>
              <w:spacing w:before="100" w:beforeAutospacing="1" w:after="100" w:afterAutospacing="1" w:line="320" w:lineRule="atLeas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有异议的意见和说明理由：</w:t>
            </w:r>
          </w:p>
          <w:p w14:paraId="0BCAAC11">
            <w:pPr>
              <w:widowControl/>
              <w:shd w:val="clear" w:color="auto" w:fill="auto"/>
              <w:snapToGrid w:val="0"/>
              <w:spacing w:before="100" w:beforeAutospacing="1" w:after="100" w:afterAutospacing="1" w:line="320" w:lineRule="atLeas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签字：</w:t>
            </w:r>
          </w:p>
        </w:tc>
      </w:tr>
      <w:tr w14:paraId="3D668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9479" w:type="dxa"/>
            <w:gridSpan w:val="7"/>
            <w:noWrap w:val="0"/>
            <w:vAlign w:val="center"/>
          </w:tcPr>
          <w:p w14:paraId="782CFEDB">
            <w:pPr>
              <w:widowControl/>
              <w:shd w:val="clear" w:color="auto" w:fill="auto"/>
              <w:snapToGrid w:val="0"/>
              <w:spacing w:before="100" w:beforeAutospacing="1" w:after="100" w:afterAutospacing="1" w:line="320" w:lineRule="atLeas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验收小组成员签字：</w:t>
            </w:r>
          </w:p>
        </w:tc>
      </w:tr>
      <w:tr w14:paraId="181B4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jc w:val="center"/>
        </w:trPr>
        <w:tc>
          <w:tcPr>
            <w:tcW w:w="9479" w:type="dxa"/>
            <w:gridSpan w:val="7"/>
            <w:noWrap w:val="0"/>
            <w:vAlign w:val="center"/>
          </w:tcPr>
          <w:p w14:paraId="2A01702B">
            <w:pPr>
              <w:widowControl/>
              <w:shd w:val="clear" w:color="auto" w:fill="auto"/>
              <w:spacing w:before="100" w:beforeAutospacing="1" w:after="100" w:afterAutospacing="1" w:line="320" w:lineRule="atLeas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监督人员或其他相关人员签字：</w:t>
            </w:r>
          </w:p>
          <w:p w14:paraId="1BF8C406">
            <w:pPr>
              <w:widowControl/>
              <w:shd w:val="clear" w:color="auto" w:fill="auto"/>
              <w:spacing w:before="100" w:beforeAutospacing="1" w:after="100" w:afterAutospacing="1" w:line="320" w:lineRule="atLeas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或受邀机构的意见（盖章）：</w:t>
            </w:r>
          </w:p>
        </w:tc>
      </w:tr>
      <w:tr w14:paraId="3D310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9479" w:type="dxa"/>
            <w:gridSpan w:val="7"/>
            <w:noWrap w:val="0"/>
            <w:vAlign w:val="center"/>
          </w:tcPr>
          <w:p w14:paraId="2E14A536">
            <w:pPr>
              <w:widowControl/>
              <w:shd w:val="clear" w:color="auto" w:fill="auto"/>
              <w:spacing w:before="100" w:beforeAutospacing="1" w:after="100" w:afterAutospacing="1" w:line="320" w:lineRule="atLeas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中标或者成交供应商负责人签字或盖章：          采购人或受托机构的意见（盖章）：</w:t>
            </w:r>
          </w:p>
          <w:p w14:paraId="63BDC47C">
            <w:pPr>
              <w:widowControl/>
              <w:shd w:val="clear" w:color="auto" w:fill="auto"/>
              <w:spacing w:before="100" w:beforeAutospacing="1" w:after="100" w:afterAutospacing="1" w:line="320" w:lineRule="atLeas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联系电话：        年   月  日          联系电话：       年  月  日</w:t>
            </w:r>
          </w:p>
        </w:tc>
      </w:tr>
    </w:tbl>
    <w:p w14:paraId="757584D7">
      <w:pPr>
        <w:shd w:val="clear" w:color="auto" w:fill="auto"/>
        <w:wordWrap w:val="0"/>
        <w:autoSpaceDE w:val="0"/>
        <w:autoSpaceDN w:val="0"/>
        <w:jc w:val="left"/>
        <w:rPr>
          <w:rFonts w:ascii="宋体" w:hAnsi="宋体"/>
          <w:color w:val="auto"/>
          <w:sz w:val="22"/>
          <w:highlight w:val="none"/>
          <w:lang w:val="zh-CN" w:bidi="zh-CN"/>
        </w:rPr>
      </w:pPr>
    </w:p>
    <w:p w14:paraId="615F09A3">
      <w:pPr>
        <w:shd w:val="clear" w:color="auto" w:fill="auto"/>
        <w:wordWrap w:val="0"/>
        <w:autoSpaceDE w:val="0"/>
        <w:autoSpaceDN w:val="0"/>
        <w:jc w:val="left"/>
        <w:rPr>
          <w:rFonts w:hint="eastAsia" w:ascii="宋体" w:hAnsi="宋体"/>
          <w:color w:val="auto"/>
          <w:sz w:val="22"/>
          <w:highlight w:val="none"/>
          <w:lang w:bidi="zh-CN"/>
        </w:rPr>
      </w:pPr>
    </w:p>
    <w:p w14:paraId="28CE5D08">
      <w:pPr>
        <w:pStyle w:val="16"/>
        <w:tabs>
          <w:tab w:val="left" w:pos="2472"/>
        </w:tabs>
        <w:spacing w:line="460" w:lineRule="exact"/>
        <w:jc w:val="center"/>
        <w:rPr>
          <w:rFonts w:ascii="Times New Roman" w:hAnsi="Times New Roman" w:eastAsia="宋体" w:cs="Times New Roman"/>
          <w:b/>
          <w:color w:val="auto"/>
          <w:sz w:val="36"/>
          <w:highlight w:val="none"/>
        </w:rPr>
      </w:pPr>
      <w:r>
        <w:rPr>
          <w:color w:val="auto"/>
          <w:highlight w:val="none"/>
        </w:rPr>
        <w:br w:type="page"/>
      </w:r>
    </w:p>
    <w:p w14:paraId="0C0CF27D">
      <w:pPr>
        <w:pStyle w:val="16"/>
        <w:tabs>
          <w:tab w:val="left" w:pos="2472"/>
        </w:tabs>
        <w:spacing w:line="460" w:lineRule="exact"/>
        <w:jc w:val="center"/>
        <w:rPr>
          <w:rFonts w:ascii="Times New Roman" w:hAnsi="Times New Roman" w:eastAsia="宋体" w:cs="Times New Roman"/>
          <w:b/>
          <w:color w:val="auto"/>
          <w:sz w:val="36"/>
          <w:highlight w:val="none"/>
        </w:rPr>
      </w:pPr>
    </w:p>
    <w:p w14:paraId="30670021">
      <w:pPr>
        <w:pStyle w:val="16"/>
        <w:tabs>
          <w:tab w:val="left" w:pos="2472"/>
        </w:tabs>
        <w:spacing w:line="460" w:lineRule="exact"/>
        <w:jc w:val="center"/>
        <w:rPr>
          <w:rFonts w:ascii="Times New Roman" w:hAnsi="Times New Roman" w:eastAsia="宋体" w:cs="Times New Roman"/>
          <w:b/>
          <w:color w:val="auto"/>
          <w:sz w:val="36"/>
          <w:highlight w:val="none"/>
        </w:rPr>
      </w:pPr>
    </w:p>
    <w:p w14:paraId="04900EA8">
      <w:pPr>
        <w:pStyle w:val="16"/>
        <w:tabs>
          <w:tab w:val="left" w:pos="2472"/>
        </w:tabs>
        <w:spacing w:line="460" w:lineRule="exact"/>
        <w:jc w:val="center"/>
        <w:rPr>
          <w:rFonts w:ascii="Times New Roman" w:hAnsi="Times New Roman" w:eastAsia="宋体" w:cs="Times New Roman"/>
          <w:b/>
          <w:color w:val="auto"/>
          <w:sz w:val="36"/>
          <w:highlight w:val="none"/>
        </w:rPr>
      </w:pPr>
    </w:p>
    <w:p w14:paraId="712680DF">
      <w:pPr>
        <w:pStyle w:val="16"/>
        <w:tabs>
          <w:tab w:val="left" w:pos="2472"/>
        </w:tabs>
        <w:spacing w:line="460" w:lineRule="exact"/>
        <w:jc w:val="center"/>
        <w:rPr>
          <w:rFonts w:ascii="Times New Roman" w:hAnsi="Times New Roman" w:eastAsia="宋体" w:cs="Times New Roman"/>
          <w:b/>
          <w:color w:val="auto"/>
          <w:sz w:val="36"/>
          <w:highlight w:val="none"/>
        </w:rPr>
      </w:pPr>
    </w:p>
    <w:p w14:paraId="0EC6E5F4">
      <w:pPr>
        <w:pStyle w:val="16"/>
        <w:tabs>
          <w:tab w:val="left" w:pos="2472"/>
        </w:tabs>
        <w:spacing w:line="460" w:lineRule="exact"/>
        <w:jc w:val="center"/>
        <w:rPr>
          <w:rFonts w:ascii="Times New Roman" w:hAnsi="Times New Roman" w:eastAsia="宋体" w:cs="Times New Roman"/>
          <w:b/>
          <w:color w:val="auto"/>
          <w:sz w:val="36"/>
          <w:highlight w:val="none"/>
        </w:rPr>
      </w:pPr>
    </w:p>
    <w:p w14:paraId="09C036F7">
      <w:pPr>
        <w:pStyle w:val="16"/>
        <w:tabs>
          <w:tab w:val="left" w:pos="2472"/>
        </w:tabs>
        <w:spacing w:line="460" w:lineRule="exact"/>
        <w:jc w:val="center"/>
        <w:rPr>
          <w:rFonts w:ascii="Times New Roman" w:hAnsi="Times New Roman" w:eastAsia="宋体" w:cs="Times New Roman"/>
          <w:b/>
          <w:color w:val="auto"/>
          <w:sz w:val="36"/>
          <w:highlight w:val="none"/>
        </w:rPr>
      </w:pPr>
    </w:p>
    <w:p w14:paraId="4ECA7B46">
      <w:pPr>
        <w:pStyle w:val="16"/>
        <w:tabs>
          <w:tab w:val="left" w:pos="2472"/>
        </w:tabs>
        <w:spacing w:line="460" w:lineRule="exact"/>
        <w:jc w:val="center"/>
        <w:rPr>
          <w:rFonts w:ascii="Times New Roman" w:hAnsi="Times New Roman" w:eastAsia="宋体" w:cs="Times New Roman"/>
          <w:b/>
          <w:color w:val="auto"/>
          <w:sz w:val="36"/>
          <w:highlight w:val="none"/>
        </w:rPr>
      </w:pPr>
    </w:p>
    <w:p w14:paraId="5B93EAD4">
      <w:pPr>
        <w:pStyle w:val="16"/>
        <w:tabs>
          <w:tab w:val="left" w:pos="2472"/>
        </w:tabs>
        <w:spacing w:line="460" w:lineRule="exact"/>
        <w:jc w:val="center"/>
        <w:outlineLvl w:val="0"/>
        <w:rPr>
          <w:rFonts w:ascii="Times New Roman" w:hAnsi="Times New Roman" w:eastAsia="宋体" w:cs="Times New Roman"/>
          <w:b/>
          <w:color w:val="auto"/>
          <w:sz w:val="36"/>
          <w:highlight w:val="none"/>
        </w:rPr>
      </w:pPr>
      <w:bookmarkStart w:id="336" w:name="_Toc26884"/>
      <w:bookmarkStart w:id="337" w:name="_Toc26390"/>
      <w:bookmarkStart w:id="338" w:name="_Toc9123"/>
      <w:bookmarkStart w:id="339" w:name="_Toc20296"/>
      <w:bookmarkStart w:id="340" w:name="_Toc24704"/>
      <w:bookmarkStart w:id="341" w:name="_Toc2377"/>
      <w:bookmarkStart w:id="342" w:name="_Toc19106"/>
      <w:bookmarkStart w:id="343" w:name="_Toc5736"/>
      <w:bookmarkStart w:id="344" w:name="_Toc11043"/>
      <w:bookmarkStart w:id="345" w:name="_Toc19350"/>
      <w:bookmarkStart w:id="346" w:name="_Toc32149"/>
      <w:bookmarkStart w:id="347" w:name="_Toc2517"/>
      <w:bookmarkStart w:id="348" w:name="_Toc20832"/>
      <w:r>
        <w:rPr>
          <w:rFonts w:hint="eastAsia" w:ascii="Times New Roman" w:hAnsi="Times New Roman" w:eastAsia="宋体" w:cs="Times New Roman"/>
          <w:b/>
          <w:color w:val="auto"/>
          <w:sz w:val="36"/>
          <w:highlight w:val="none"/>
        </w:rPr>
        <w:t>第六章</w:t>
      </w:r>
      <w:r>
        <w:rPr>
          <w:rFonts w:ascii="Times New Roman" w:hAnsi="Times New Roman" w:eastAsia="宋体" w:cs="Times New Roman"/>
          <w:b/>
          <w:color w:val="auto"/>
          <w:sz w:val="36"/>
          <w:highlight w:val="none"/>
        </w:rPr>
        <w:t xml:space="preserve"> </w:t>
      </w:r>
      <w:r>
        <w:rPr>
          <w:rFonts w:hint="eastAsia" w:ascii="Times New Roman" w:hAnsi="Times New Roman" w:eastAsia="宋体" w:cs="Times New Roman"/>
          <w:b/>
          <w:color w:val="auto"/>
          <w:sz w:val="36"/>
          <w:highlight w:val="none"/>
        </w:rPr>
        <w:t>投标文件格式</w:t>
      </w:r>
      <w:bookmarkEnd w:id="336"/>
      <w:bookmarkEnd w:id="337"/>
      <w:bookmarkEnd w:id="338"/>
      <w:bookmarkEnd w:id="339"/>
      <w:bookmarkEnd w:id="340"/>
      <w:bookmarkEnd w:id="341"/>
      <w:bookmarkEnd w:id="342"/>
      <w:bookmarkEnd w:id="343"/>
      <w:bookmarkEnd w:id="344"/>
      <w:bookmarkEnd w:id="345"/>
      <w:bookmarkEnd w:id="346"/>
      <w:bookmarkEnd w:id="347"/>
      <w:bookmarkEnd w:id="348"/>
    </w:p>
    <w:p w14:paraId="1F70C184">
      <w:pPr>
        <w:widowControl/>
        <w:spacing w:beforeAutospacing="1" w:line="360" w:lineRule="auto"/>
        <w:jc w:val="left"/>
        <w:rPr>
          <w:rFonts w:ascii="宋体" w:hAnsi="宋体"/>
          <w:color w:val="auto"/>
          <w:szCs w:val="20"/>
          <w:highlight w:val="none"/>
        </w:rPr>
        <w:sectPr>
          <w:footerReference r:id="rId7" w:type="default"/>
          <w:pgSz w:w="11905" w:h="16838"/>
          <w:pgMar w:top="1134" w:right="1134" w:bottom="1134" w:left="1134" w:header="850" w:footer="850" w:gutter="0"/>
          <w:pgNumType w:fmt="decimal"/>
          <w:cols w:space="720" w:num="1"/>
          <w:titlePg/>
          <w:rtlGutter w:val="0"/>
          <w:docGrid w:linePitch="331" w:charSpace="0"/>
        </w:sectPr>
      </w:pPr>
    </w:p>
    <w:p w14:paraId="48E8A401">
      <w:pPr>
        <w:pStyle w:val="16"/>
        <w:jc w:val="center"/>
        <w:outlineLvl w:val="1"/>
        <w:rPr>
          <w:rFonts w:hint="eastAsia" w:hAnsi="宋体" w:eastAsia="宋体" w:cs="Times New Roman"/>
          <w:b/>
          <w:bCs/>
          <w:color w:val="auto"/>
          <w:sz w:val="28"/>
          <w:szCs w:val="28"/>
          <w:highlight w:val="none"/>
        </w:rPr>
      </w:pPr>
      <w:bookmarkStart w:id="349" w:name="_Toc32508"/>
      <w:bookmarkStart w:id="350" w:name="_Toc4270"/>
      <w:bookmarkStart w:id="351" w:name="_Toc24486"/>
      <w:bookmarkStart w:id="352" w:name="_Toc11854"/>
      <w:bookmarkStart w:id="353" w:name="_Toc23486"/>
      <w:bookmarkStart w:id="354" w:name="_Toc7817"/>
      <w:bookmarkStart w:id="355" w:name="_Toc20281"/>
      <w:bookmarkStart w:id="356" w:name="_Toc21700"/>
      <w:bookmarkStart w:id="357" w:name="_Toc32370"/>
      <w:bookmarkStart w:id="358" w:name="_Toc16890"/>
      <w:r>
        <w:rPr>
          <w:rFonts w:hint="eastAsia" w:hAnsi="宋体" w:eastAsia="宋体" w:cs="Times New Roman"/>
          <w:b/>
          <w:bCs/>
          <w:color w:val="auto"/>
          <w:sz w:val="28"/>
          <w:szCs w:val="28"/>
          <w:highlight w:val="none"/>
        </w:rPr>
        <w:t>第</w:t>
      </w:r>
      <w:r>
        <w:rPr>
          <w:rFonts w:hint="eastAsia" w:hAnsi="宋体" w:cs="Times New Roman"/>
          <w:b/>
          <w:bCs/>
          <w:color w:val="auto"/>
          <w:sz w:val="28"/>
          <w:szCs w:val="28"/>
          <w:highlight w:val="none"/>
          <w:lang w:eastAsia="zh-CN"/>
        </w:rPr>
        <w:t>一</w:t>
      </w:r>
      <w:r>
        <w:rPr>
          <w:rFonts w:hint="eastAsia" w:hAnsi="宋体" w:eastAsia="宋体" w:cs="Times New Roman"/>
          <w:b/>
          <w:bCs/>
          <w:color w:val="auto"/>
          <w:sz w:val="28"/>
          <w:szCs w:val="28"/>
          <w:highlight w:val="none"/>
        </w:rPr>
        <w:t>节 资格证明文件格式</w:t>
      </w:r>
      <w:bookmarkEnd w:id="349"/>
      <w:bookmarkEnd w:id="350"/>
      <w:bookmarkEnd w:id="351"/>
      <w:bookmarkEnd w:id="352"/>
      <w:bookmarkEnd w:id="353"/>
      <w:bookmarkEnd w:id="354"/>
      <w:bookmarkEnd w:id="355"/>
      <w:bookmarkEnd w:id="356"/>
      <w:bookmarkEnd w:id="357"/>
      <w:bookmarkEnd w:id="358"/>
    </w:p>
    <w:p w14:paraId="5A2CBAD0">
      <w:pPr>
        <w:pStyle w:val="16"/>
        <w:spacing w:line="360" w:lineRule="auto"/>
        <w:ind w:firstLine="420"/>
        <w:rPr>
          <w:rFonts w:hint="eastAsia" w:hAnsi="宋体" w:eastAsia="宋体" w:cs="Times New Roman"/>
          <w:color w:val="auto"/>
          <w:sz w:val="30"/>
          <w:highlight w:val="none"/>
        </w:rPr>
      </w:pPr>
    </w:p>
    <w:p w14:paraId="6592383B">
      <w:pPr>
        <w:pStyle w:val="8"/>
        <w:ind w:left="0"/>
        <w:jc w:val="left"/>
        <w:rPr>
          <w:rFonts w:hint="eastAsia" w:hAnsi="宋体" w:eastAsia="宋体" w:cs="Times New Roman"/>
          <w:color w:val="auto"/>
          <w:sz w:val="30"/>
          <w:highlight w:val="none"/>
        </w:rPr>
      </w:pPr>
      <w:r>
        <w:rPr>
          <w:rFonts w:hint="eastAsia" w:hAnsi="宋体" w:cs="宋体"/>
          <w:b/>
          <w:bCs/>
          <w:color w:val="auto"/>
          <w:sz w:val="28"/>
          <w:szCs w:val="28"/>
          <w:highlight w:val="none"/>
          <w:lang w:val="en-US" w:eastAsia="zh-CN"/>
        </w:rPr>
        <w:t>1.资格证明文件封面的格式（参照此格式自拟）：</w:t>
      </w:r>
    </w:p>
    <w:p w14:paraId="690BFE55">
      <w:pPr>
        <w:rPr>
          <w:rFonts w:hint="eastAsia"/>
          <w:color w:val="auto"/>
          <w:highlight w:val="none"/>
        </w:rPr>
      </w:pPr>
    </w:p>
    <w:p w14:paraId="6D6CCEA8">
      <w:pPr>
        <w:snapToGrid w:val="0"/>
        <w:spacing w:before="165" w:beforeLines="50" w:after="50"/>
        <w:rPr>
          <w:rFonts w:hint="eastAsia" w:ascii="宋体" w:hAnsi="宋体" w:eastAsia="宋体" w:cs="Times New Roman"/>
          <w:bCs/>
          <w:color w:val="auto"/>
          <w:sz w:val="32"/>
          <w:szCs w:val="20"/>
          <w:highlight w:val="none"/>
        </w:rPr>
      </w:pPr>
      <w:r>
        <w:rPr>
          <w:rFonts w:hint="eastAsia" w:ascii="宋体" w:hAnsi="宋体" w:eastAsia="宋体" w:cs="Times New Roman"/>
          <w:color w:val="auto"/>
          <w:sz w:val="24"/>
          <w:highlight w:val="none"/>
        </w:rPr>
        <w:t xml:space="preserve">                                                         </w:t>
      </w:r>
      <w:r>
        <w:rPr>
          <w:rFonts w:hint="eastAsia" w:ascii="宋体" w:hAnsi="宋体" w:eastAsia="宋体" w:cs="Times New Roman"/>
          <w:bCs/>
          <w:color w:val="auto"/>
          <w:highlight w:val="none"/>
        </w:rPr>
        <w:t>电子投标文件</w:t>
      </w:r>
    </w:p>
    <w:p w14:paraId="7ACDB54A">
      <w:pPr>
        <w:snapToGrid w:val="0"/>
        <w:spacing w:before="165" w:beforeLines="50" w:after="50"/>
        <w:rPr>
          <w:rFonts w:hint="eastAsia" w:ascii="宋体" w:hAnsi="宋体" w:eastAsia="宋体" w:cs="Times New Roman"/>
          <w:color w:val="auto"/>
          <w:sz w:val="24"/>
          <w:szCs w:val="20"/>
          <w:highlight w:val="none"/>
        </w:rPr>
      </w:pPr>
    </w:p>
    <w:p w14:paraId="018AE745">
      <w:pPr>
        <w:snapToGrid w:val="0"/>
        <w:spacing w:before="165" w:beforeLines="50" w:after="50"/>
        <w:jc w:val="center"/>
        <w:rPr>
          <w:rFonts w:hint="eastAsia" w:ascii="宋体" w:hAnsi="宋体" w:eastAsia="宋体" w:cs="Times New Roman"/>
          <w:b/>
          <w:color w:val="auto"/>
          <w:sz w:val="24"/>
          <w:szCs w:val="20"/>
          <w:highlight w:val="none"/>
        </w:rPr>
      </w:pPr>
      <w:r>
        <w:rPr>
          <w:rFonts w:hint="eastAsia" w:ascii="宋体" w:hAnsi="宋体" w:eastAsia="宋体" w:cs="Times New Roman"/>
          <w:b/>
          <w:color w:val="auto"/>
          <w:sz w:val="32"/>
          <w:szCs w:val="32"/>
          <w:highlight w:val="none"/>
        </w:rPr>
        <w:t>资格证明文件</w:t>
      </w:r>
    </w:p>
    <w:p w14:paraId="7C67EAD3">
      <w:pPr>
        <w:snapToGrid w:val="0"/>
        <w:spacing w:before="165" w:beforeLines="50" w:after="50"/>
        <w:rPr>
          <w:rFonts w:hint="eastAsia" w:ascii="宋体" w:hAnsi="宋体" w:eastAsia="宋体" w:cs="Times New Roman"/>
          <w:bCs/>
          <w:color w:val="auto"/>
          <w:sz w:val="24"/>
          <w:szCs w:val="20"/>
          <w:highlight w:val="none"/>
        </w:rPr>
      </w:pPr>
    </w:p>
    <w:p w14:paraId="328D6B97">
      <w:pPr>
        <w:snapToGrid w:val="0"/>
        <w:spacing w:before="165" w:beforeLines="50" w:after="50"/>
        <w:rPr>
          <w:rFonts w:hint="eastAsia" w:ascii="宋体" w:hAnsi="宋体" w:eastAsia="宋体" w:cs="Times New Roman"/>
          <w:bCs/>
          <w:color w:val="auto"/>
          <w:sz w:val="24"/>
          <w:szCs w:val="20"/>
          <w:highlight w:val="none"/>
        </w:rPr>
      </w:pPr>
    </w:p>
    <w:p w14:paraId="135E49DE">
      <w:pPr>
        <w:snapToGrid w:val="0"/>
        <w:spacing w:before="165" w:beforeLines="50" w:after="50"/>
        <w:rPr>
          <w:rFonts w:hint="eastAsia" w:ascii="宋体" w:hAnsi="宋体" w:eastAsia="宋体" w:cs="Times New Roman"/>
          <w:bCs/>
          <w:color w:val="auto"/>
          <w:sz w:val="24"/>
          <w:szCs w:val="20"/>
          <w:highlight w:val="none"/>
        </w:rPr>
      </w:pPr>
    </w:p>
    <w:p w14:paraId="0BD300BB">
      <w:pPr>
        <w:snapToGrid w:val="0"/>
        <w:spacing w:before="165" w:beforeLines="50" w:after="50"/>
        <w:rPr>
          <w:rFonts w:hint="eastAsia" w:ascii="宋体" w:hAnsi="宋体" w:eastAsia="宋体" w:cs="Times New Roman"/>
          <w:bCs/>
          <w:color w:val="auto"/>
          <w:sz w:val="24"/>
          <w:szCs w:val="20"/>
          <w:highlight w:val="none"/>
        </w:rPr>
      </w:pPr>
    </w:p>
    <w:p w14:paraId="1A2BE04B">
      <w:pPr>
        <w:snapToGrid w:val="0"/>
        <w:spacing w:before="165" w:beforeLines="50" w:after="50"/>
        <w:rPr>
          <w:rFonts w:hint="eastAsia" w:ascii="宋体" w:hAnsi="宋体" w:eastAsia="宋体" w:cs="Times New Roman"/>
          <w:bCs/>
          <w:color w:val="auto"/>
          <w:sz w:val="24"/>
          <w:szCs w:val="20"/>
          <w:highlight w:val="none"/>
        </w:rPr>
      </w:pPr>
    </w:p>
    <w:p w14:paraId="740EF48F">
      <w:pPr>
        <w:snapToGrid w:val="0"/>
        <w:spacing w:before="165" w:beforeLines="50" w:after="50"/>
        <w:rPr>
          <w:rFonts w:hint="eastAsia" w:ascii="宋体" w:hAnsi="宋体" w:eastAsia="宋体" w:cs="Times New Roman"/>
          <w:bCs/>
          <w:color w:val="auto"/>
          <w:sz w:val="24"/>
          <w:szCs w:val="20"/>
          <w:highlight w:val="none"/>
        </w:rPr>
      </w:pPr>
    </w:p>
    <w:p w14:paraId="62D8CE07">
      <w:pPr>
        <w:snapToGrid w:val="0"/>
        <w:spacing w:before="165" w:beforeLines="50" w:after="50"/>
        <w:rPr>
          <w:rFonts w:hint="eastAsia" w:ascii="宋体" w:hAnsi="宋体" w:eastAsia="宋体" w:cs="Times New Roman"/>
          <w:bCs/>
          <w:color w:val="auto"/>
          <w:sz w:val="24"/>
          <w:szCs w:val="20"/>
          <w:highlight w:val="none"/>
        </w:rPr>
      </w:pPr>
    </w:p>
    <w:p w14:paraId="68DE62CF">
      <w:pPr>
        <w:snapToGrid w:val="0"/>
        <w:spacing w:before="165" w:beforeLines="50" w:after="50"/>
        <w:ind w:firstLine="540" w:firstLineChars="225"/>
        <w:rPr>
          <w:rFonts w:hint="eastAsia" w:ascii="宋体" w:hAnsi="宋体" w:eastAsia="宋体" w:cs="Times New Roman"/>
          <w:bCs/>
          <w:color w:val="auto"/>
          <w:sz w:val="24"/>
          <w:szCs w:val="20"/>
          <w:highlight w:val="none"/>
        </w:rPr>
      </w:pPr>
      <w:r>
        <w:rPr>
          <w:rFonts w:hint="eastAsia" w:ascii="宋体" w:hAnsi="宋体" w:eastAsia="宋体" w:cs="Times New Roman"/>
          <w:bCs/>
          <w:color w:val="auto"/>
          <w:sz w:val="24"/>
          <w:highlight w:val="none"/>
        </w:rPr>
        <w:t>项目名称：</w:t>
      </w:r>
    </w:p>
    <w:p w14:paraId="422397AB">
      <w:pPr>
        <w:snapToGrid w:val="0"/>
        <w:spacing w:before="165" w:beforeLines="50" w:after="50"/>
        <w:ind w:firstLine="540" w:firstLineChars="225"/>
        <w:rPr>
          <w:rFonts w:hint="eastAsia" w:ascii="宋体" w:hAnsi="宋体" w:eastAsia="宋体" w:cs="Times New Roman"/>
          <w:bCs/>
          <w:color w:val="auto"/>
          <w:sz w:val="24"/>
          <w:highlight w:val="none"/>
          <w:lang w:eastAsia="zh-CN"/>
        </w:rPr>
      </w:pPr>
      <w:r>
        <w:rPr>
          <w:rFonts w:hint="eastAsia" w:ascii="宋体" w:hAnsi="宋体" w:eastAsia="宋体" w:cs="Times New Roman"/>
          <w:bCs/>
          <w:color w:val="auto"/>
          <w:sz w:val="24"/>
          <w:highlight w:val="none"/>
        </w:rPr>
        <w:t>项目编号：</w:t>
      </w:r>
    </w:p>
    <w:p w14:paraId="655A8DA5">
      <w:pPr>
        <w:snapToGrid w:val="0"/>
        <w:spacing w:before="165" w:beforeLines="50" w:after="50"/>
        <w:ind w:firstLine="540" w:firstLineChars="225"/>
        <w:rPr>
          <w:rFonts w:hint="eastAsia" w:ascii="宋体" w:hAnsi="宋体" w:eastAsia="宋体" w:cs="Times New Roman"/>
          <w:bCs/>
          <w:color w:val="auto"/>
          <w:sz w:val="24"/>
          <w:szCs w:val="20"/>
          <w:highlight w:val="none"/>
        </w:rPr>
      </w:pPr>
      <w:r>
        <w:rPr>
          <w:rFonts w:hint="eastAsia" w:ascii="宋体" w:hAnsi="宋体" w:eastAsia="宋体" w:cs="Times New Roman"/>
          <w:bCs/>
          <w:color w:val="auto"/>
          <w:sz w:val="24"/>
          <w:highlight w:val="none"/>
        </w:rPr>
        <w:t xml:space="preserve"> </w:t>
      </w:r>
    </w:p>
    <w:p w14:paraId="0FBBEC93">
      <w:pPr>
        <w:snapToGrid w:val="0"/>
        <w:spacing w:before="165" w:beforeLines="50" w:after="50"/>
        <w:ind w:firstLine="540" w:firstLineChars="225"/>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所投分标</w:t>
      </w:r>
      <w:r>
        <w:rPr>
          <w:rFonts w:hint="eastAsia" w:ascii="宋体" w:hAnsi="宋体" w:cs="宋体"/>
          <w:bCs/>
          <w:color w:val="auto"/>
          <w:sz w:val="24"/>
          <w:highlight w:val="none"/>
        </w:rPr>
        <w:t>（如有则填写，无分标时填写“无”或者留空）</w:t>
      </w:r>
      <w:r>
        <w:rPr>
          <w:rFonts w:hint="eastAsia" w:ascii="宋体" w:hAnsi="宋体" w:eastAsia="宋体" w:cs="Times New Roman"/>
          <w:bCs/>
          <w:color w:val="auto"/>
          <w:sz w:val="24"/>
          <w:highlight w:val="none"/>
        </w:rPr>
        <w:t>：</w:t>
      </w:r>
    </w:p>
    <w:p w14:paraId="47587A88">
      <w:pPr>
        <w:pStyle w:val="7"/>
        <w:snapToGrid w:val="0"/>
        <w:spacing w:before="50" w:after="50"/>
        <w:ind w:firstLine="540" w:firstLineChars="225"/>
        <w:rPr>
          <w:rFonts w:hint="eastAsia" w:ascii="宋体" w:hAnsi="宋体" w:eastAsia="宋体" w:cs="Times New Roman"/>
          <w:bCs/>
          <w:color w:val="auto"/>
          <w:sz w:val="24"/>
          <w:szCs w:val="24"/>
          <w:highlight w:val="none"/>
        </w:rPr>
      </w:pPr>
    </w:p>
    <w:p w14:paraId="3AA49B2D">
      <w:pPr>
        <w:pStyle w:val="7"/>
        <w:snapToGrid w:val="0"/>
        <w:spacing w:before="50" w:after="50"/>
        <w:ind w:firstLine="540" w:firstLineChars="225"/>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投标人名称：</w:t>
      </w:r>
    </w:p>
    <w:p w14:paraId="6F12AC96">
      <w:pPr>
        <w:pStyle w:val="7"/>
        <w:snapToGrid w:val="0"/>
        <w:spacing w:before="50" w:after="50"/>
        <w:ind w:firstLine="540" w:firstLineChars="225"/>
        <w:rPr>
          <w:rFonts w:hint="eastAsia" w:ascii="宋体" w:hAnsi="宋体" w:eastAsia="宋体" w:cs="Times New Roman"/>
          <w:bCs/>
          <w:color w:val="auto"/>
          <w:sz w:val="24"/>
          <w:szCs w:val="24"/>
          <w:highlight w:val="none"/>
        </w:rPr>
      </w:pPr>
    </w:p>
    <w:p w14:paraId="63BCAB71">
      <w:pPr>
        <w:pStyle w:val="7"/>
        <w:snapToGrid w:val="0"/>
        <w:spacing w:before="50" w:after="50"/>
        <w:ind w:firstLine="960" w:firstLineChars="400"/>
        <w:rPr>
          <w:rFonts w:hint="eastAsia" w:ascii="宋体" w:hAnsi="宋体" w:eastAsia="宋体" w:cs="Times New Roman"/>
          <w:bCs/>
          <w:color w:val="auto"/>
          <w:sz w:val="24"/>
          <w:szCs w:val="24"/>
          <w:highlight w:val="none"/>
        </w:rPr>
      </w:pPr>
    </w:p>
    <w:p w14:paraId="345F5F2B">
      <w:pPr>
        <w:snapToGrid w:val="0"/>
        <w:spacing w:before="165" w:beforeLines="50" w:after="50"/>
        <w:ind w:firstLine="645"/>
        <w:jc w:val="center"/>
        <w:rPr>
          <w:rFonts w:hint="eastAsia" w:ascii="宋体" w:hAnsi="宋体" w:eastAsia="宋体" w:cs="Times New Roman"/>
          <w:color w:val="auto"/>
          <w:sz w:val="24"/>
          <w:highlight w:val="none"/>
        </w:rPr>
      </w:pPr>
    </w:p>
    <w:p w14:paraId="618B5737">
      <w:pPr>
        <w:snapToGrid w:val="0"/>
        <w:spacing w:before="165" w:beforeLines="50" w:after="50"/>
        <w:ind w:firstLine="645"/>
        <w:jc w:val="center"/>
        <w:rPr>
          <w:rFonts w:hint="eastAsia" w:ascii="宋体" w:hAnsi="宋体" w:eastAsia="宋体" w:cs="Times New Roman"/>
          <w:color w:val="auto"/>
          <w:sz w:val="24"/>
          <w:highlight w:val="none"/>
        </w:rPr>
      </w:pPr>
    </w:p>
    <w:p w14:paraId="266F942C">
      <w:pPr>
        <w:snapToGrid w:val="0"/>
        <w:spacing w:before="165" w:beforeLines="50" w:after="50"/>
        <w:ind w:firstLine="645"/>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年  月  日</w:t>
      </w:r>
    </w:p>
    <w:p w14:paraId="14D1E950">
      <w:pPr>
        <w:widowControl/>
        <w:spacing w:line="360" w:lineRule="auto"/>
        <w:jc w:val="left"/>
        <w:rPr>
          <w:rFonts w:ascii="宋体" w:hAnsi="宋体"/>
          <w:color w:val="auto"/>
          <w:sz w:val="30"/>
          <w:szCs w:val="20"/>
          <w:highlight w:val="none"/>
        </w:rPr>
        <w:sectPr>
          <w:pgSz w:w="11905" w:h="16838"/>
          <w:pgMar w:top="1134" w:right="1134" w:bottom="1134" w:left="1134" w:header="850" w:footer="850" w:gutter="0"/>
          <w:pgNumType w:fmt="decimal"/>
          <w:cols w:space="720" w:num="1"/>
          <w:titlePg/>
          <w:rtlGutter w:val="0"/>
          <w:docGrid w:linePitch="331" w:charSpace="0"/>
        </w:sectPr>
      </w:pPr>
    </w:p>
    <w:p w14:paraId="212CB5A9">
      <w:pPr>
        <w:jc w:val="both"/>
        <w:rPr>
          <w:rFonts w:hint="eastAsia" w:ascii="宋体" w:hAnsi="宋体" w:eastAsia="宋体" w:cs="宋体"/>
          <w:b/>
          <w:color w:val="auto"/>
          <w:kern w:val="0"/>
          <w:sz w:val="28"/>
          <w:szCs w:val="28"/>
          <w:highlight w:val="none"/>
        </w:rPr>
      </w:pPr>
      <w:r>
        <w:rPr>
          <w:rFonts w:hint="eastAsia" w:ascii="宋体" w:hAnsi="宋体" w:cs="宋体"/>
          <w:b/>
          <w:color w:val="auto"/>
          <w:kern w:val="0"/>
          <w:sz w:val="28"/>
          <w:szCs w:val="28"/>
          <w:highlight w:val="none"/>
          <w:lang w:val="en-US" w:eastAsia="zh-CN"/>
        </w:rPr>
        <w:t>2.</w:t>
      </w:r>
      <w:r>
        <w:rPr>
          <w:rFonts w:hint="eastAsia" w:ascii="宋体" w:hAnsi="宋体" w:eastAsia="宋体" w:cs="宋体"/>
          <w:b/>
          <w:color w:val="auto"/>
          <w:kern w:val="0"/>
          <w:sz w:val="28"/>
          <w:szCs w:val="28"/>
          <w:highlight w:val="none"/>
        </w:rPr>
        <w:t>资格证明文件目录</w:t>
      </w:r>
    </w:p>
    <w:p w14:paraId="62F2A72E">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根据招标文件规定及投标人提供的材料自行编写目录（部分格式后附）。</w:t>
      </w:r>
    </w:p>
    <w:p w14:paraId="712483FE">
      <w:pPr>
        <w:spacing w:line="360" w:lineRule="auto"/>
        <w:rPr>
          <w:rFonts w:hint="eastAsia" w:ascii="仿宋_GB2312" w:hAnsi="仿宋" w:eastAsia="仿宋_GB2312" w:cs="仿宋_GB2312"/>
          <w:b/>
          <w:bCs/>
          <w:color w:val="auto"/>
          <w:sz w:val="24"/>
          <w:highlight w:val="none"/>
        </w:rPr>
      </w:pPr>
    </w:p>
    <w:p w14:paraId="3488B578">
      <w:pPr>
        <w:snapToGrid w:val="0"/>
        <w:spacing w:line="360" w:lineRule="auto"/>
        <w:rPr>
          <w:rFonts w:hint="eastAsia" w:ascii="仿宋_GB2312" w:hAnsi="仿宋" w:eastAsia="仿宋_GB2312" w:cs="仿宋_GB2312"/>
          <w:b/>
          <w:color w:val="auto"/>
          <w:kern w:val="0"/>
          <w:sz w:val="32"/>
          <w:szCs w:val="32"/>
          <w:highlight w:val="none"/>
          <w:lang w:val="zh-CN"/>
        </w:rPr>
      </w:pPr>
    </w:p>
    <w:p w14:paraId="760298D6">
      <w:pPr>
        <w:snapToGrid w:val="0"/>
        <w:spacing w:line="360" w:lineRule="auto"/>
        <w:ind w:firstLine="5160" w:firstLineChars="2150"/>
        <w:rPr>
          <w:rFonts w:hint="eastAsia" w:ascii="仿宋_GB2312" w:hAnsi="仿宋" w:eastAsia="仿宋_GB2312" w:cs="仿宋_GB2312"/>
          <w:color w:val="auto"/>
          <w:kern w:val="0"/>
          <w:sz w:val="24"/>
          <w:highlight w:val="none"/>
          <w:lang w:val="zh-CN"/>
        </w:rPr>
      </w:pPr>
    </w:p>
    <w:p w14:paraId="7D7373FF">
      <w:pPr>
        <w:snapToGrid w:val="0"/>
        <w:spacing w:line="360" w:lineRule="auto"/>
        <w:ind w:right="480"/>
        <w:jc w:val="center"/>
        <w:rPr>
          <w:rFonts w:hint="eastAsia" w:ascii="仿宋_GB2312" w:hAnsi="仿宋" w:eastAsia="仿宋_GB2312" w:cs="仿宋_GB2312"/>
          <w:b/>
          <w:color w:val="auto"/>
          <w:kern w:val="0"/>
          <w:sz w:val="32"/>
          <w:szCs w:val="32"/>
          <w:highlight w:val="none"/>
          <w:lang w:val="zh-CN"/>
        </w:rPr>
      </w:pPr>
    </w:p>
    <w:p w14:paraId="0074B361">
      <w:pPr>
        <w:snapToGrid w:val="0"/>
        <w:spacing w:line="360" w:lineRule="auto"/>
        <w:ind w:right="480"/>
        <w:jc w:val="center"/>
        <w:rPr>
          <w:rFonts w:hint="eastAsia" w:ascii="宋体" w:hAnsi="宋体" w:eastAsia="宋体" w:cs="Times New Roman"/>
          <w:b/>
          <w:color w:val="auto"/>
          <w:sz w:val="28"/>
          <w:szCs w:val="28"/>
          <w:highlight w:val="none"/>
        </w:rPr>
      </w:pPr>
      <w:r>
        <w:rPr>
          <w:rFonts w:hint="eastAsia" w:ascii="仿宋_GB2312" w:hAnsi="仿宋" w:eastAsia="仿宋_GB2312" w:cs="仿宋_GB2312"/>
          <w:b/>
          <w:color w:val="auto"/>
          <w:kern w:val="0"/>
          <w:sz w:val="32"/>
          <w:szCs w:val="32"/>
          <w:highlight w:val="none"/>
        </w:rPr>
        <w:br w:type="page"/>
      </w:r>
    </w:p>
    <w:p w14:paraId="472754CB">
      <w:pPr>
        <w:pStyle w:val="11"/>
        <w:rPr>
          <w:rFonts w:hint="eastAsia" w:ascii="宋体" w:hAnsi="宋体" w:cs="宋体"/>
          <w:b/>
          <w:color w:val="auto"/>
          <w:sz w:val="28"/>
          <w:szCs w:val="28"/>
          <w:highlight w:val="none"/>
          <w:lang w:val="en-US" w:eastAsia="zh-CN"/>
        </w:rPr>
      </w:pPr>
      <w:r>
        <w:rPr>
          <w:rFonts w:hint="eastAsia" w:ascii="宋体" w:hAnsi="宋体" w:cs="宋体"/>
          <w:b/>
          <w:color w:val="auto"/>
          <w:sz w:val="28"/>
          <w:szCs w:val="28"/>
          <w:highlight w:val="none"/>
          <w:lang w:val="en-US" w:eastAsia="zh-CN"/>
        </w:rPr>
        <w:t>3.桂平市政府采购项目投标资格承诺函(格式见附件)（必须提供，加盖投标单位公章）；</w:t>
      </w:r>
    </w:p>
    <w:p w14:paraId="655FAF4A">
      <w:pPr>
        <w:pStyle w:val="36"/>
        <w:shd w:val="clear" w:color="auto" w:fill="auto"/>
        <w:wordWrap w:val="0"/>
        <w:rPr>
          <w:rFonts w:hint="eastAsia"/>
          <w:color w:val="auto"/>
          <w:highlight w:val="none"/>
        </w:rPr>
      </w:pPr>
    </w:p>
    <w:p w14:paraId="52A15779">
      <w:pPr>
        <w:shd w:val="clear" w:color="auto" w:fill="auto"/>
        <w:wordWrap w:val="0"/>
        <w:spacing w:line="500" w:lineRule="exact"/>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lang w:eastAsia="zh-CN"/>
        </w:rPr>
        <w:t>桂平</w:t>
      </w:r>
      <w:r>
        <w:rPr>
          <w:rFonts w:hint="eastAsia" w:ascii="宋体" w:hAnsi="宋体" w:cs="宋体"/>
          <w:b/>
          <w:color w:val="auto"/>
          <w:sz w:val="28"/>
          <w:szCs w:val="28"/>
          <w:highlight w:val="none"/>
        </w:rPr>
        <w:t>市政府采购项目投标资格承诺函</w:t>
      </w:r>
    </w:p>
    <w:p w14:paraId="3E6C15FF">
      <w:pPr>
        <w:shd w:val="clear" w:color="auto" w:fill="auto"/>
        <w:wordWrap w:val="0"/>
        <w:spacing w:line="500" w:lineRule="exact"/>
        <w:jc w:val="center"/>
        <w:rPr>
          <w:rFonts w:hint="eastAsia" w:ascii="宋体" w:hAnsi="宋体" w:cs="宋体"/>
          <w:b/>
          <w:color w:val="auto"/>
          <w:szCs w:val="21"/>
          <w:highlight w:val="none"/>
        </w:rPr>
      </w:pPr>
    </w:p>
    <w:p w14:paraId="407EDCFE">
      <w:pPr>
        <w:shd w:val="clear" w:color="auto" w:fill="auto"/>
        <w:wordWrap w:val="0"/>
        <w:spacing w:line="5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本公司郑重承诺，根据《中华人民共和国政府采购法》第二十二条的规定，本公司为参加政府采购活动的合格供应商。即本公司同时满足以下条件：</w:t>
      </w:r>
    </w:p>
    <w:p w14:paraId="6779210F">
      <w:pPr>
        <w:shd w:val="clear" w:color="auto" w:fill="auto"/>
        <w:wordWrap w:val="0"/>
        <w:spacing w:line="5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1.具有独立承担民事责任的能力。</w:t>
      </w:r>
    </w:p>
    <w:p w14:paraId="71FD8AF7">
      <w:pPr>
        <w:shd w:val="clear" w:color="auto" w:fill="auto"/>
        <w:wordWrap w:val="0"/>
        <w:spacing w:line="5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2.具有良好的商业信誉和健全的财务会计制度。</w:t>
      </w:r>
    </w:p>
    <w:p w14:paraId="39171F17">
      <w:pPr>
        <w:shd w:val="clear" w:color="auto" w:fill="auto"/>
        <w:wordWrap w:val="0"/>
        <w:spacing w:line="5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3.具有履行合同所必需的设备和专业技术能力。</w:t>
      </w:r>
    </w:p>
    <w:p w14:paraId="78B856EE">
      <w:pPr>
        <w:shd w:val="clear" w:color="auto" w:fill="auto"/>
        <w:wordWrap w:val="0"/>
        <w:spacing w:line="5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4.有依法缴纳税收和社会保障资金的良好记录。</w:t>
      </w:r>
    </w:p>
    <w:p w14:paraId="5939EB89">
      <w:pPr>
        <w:shd w:val="clear" w:color="auto" w:fill="auto"/>
        <w:wordWrap w:val="0"/>
        <w:spacing w:line="5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5. 提交投标文件截止日期前三年内，在经营活动中没有重大违法记录。</w:t>
      </w:r>
    </w:p>
    <w:p w14:paraId="2E6C4F35">
      <w:pPr>
        <w:shd w:val="clear" w:color="auto" w:fill="auto"/>
        <w:wordWrap w:val="0"/>
        <w:spacing w:line="5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本公司对上述承诺的真实性负责，并接受政府采购、税务、社会保障等监督管理部门、招标文件规定的资格审查机构、社会公众的监督和检查。如有虚假，将依法承担相应责任。</w:t>
      </w:r>
    </w:p>
    <w:p w14:paraId="2B484776">
      <w:pPr>
        <w:shd w:val="clear" w:color="auto" w:fill="auto"/>
        <w:wordWrap w:val="0"/>
        <w:spacing w:line="500" w:lineRule="exact"/>
        <w:ind w:firstLine="420" w:firstLineChars="200"/>
        <w:jc w:val="left"/>
        <w:rPr>
          <w:rFonts w:hint="eastAsia" w:ascii="宋体" w:hAnsi="宋体" w:cs="宋体"/>
          <w:color w:val="auto"/>
          <w:szCs w:val="21"/>
          <w:highlight w:val="none"/>
        </w:rPr>
      </w:pPr>
    </w:p>
    <w:p w14:paraId="13F06BC4">
      <w:pPr>
        <w:shd w:val="clear" w:color="auto" w:fill="auto"/>
        <w:wordWrap w:val="0"/>
        <w:spacing w:line="500" w:lineRule="exact"/>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rPr>
        <w:t>企业名称</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盖单位</w:t>
      </w:r>
      <w:r>
        <w:rPr>
          <w:rFonts w:hint="eastAsia" w:ascii="宋体" w:hAnsi="宋体" w:cs="宋体"/>
          <w:color w:val="auto"/>
          <w:kern w:val="0"/>
          <w:szCs w:val="21"/>
          <w:highlight w:val="none"/>
          <w:lang w:eastAsia="zh-CN"/>
        </w:rPr>
        <w:t>公章</w:t>
      </w:r>
      <w:r>
        <w:rPr>
          <w:rFonts w:hint="eastAsia" w:ascii="宋体" w:hAnsi="宋体" w:cs="宋体"/>
          <w:color w:val="auto"/>
          <w:kern w:val="0"/>
          <w:szCs w:val="21"/>
          <w:highlight w:val="none"/>
        </w:rPr>
        <w:t>）</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p>
    <w:p w14:paraId="29FA004F">
      <w:pPr>
        <w:shd w:val="clear" w:color="auto" w:fill="auto"/>
        <w:wordWrap w:val="0"/>
        <w:spacing w:line="500" w:lineRule="exact"/>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rPr>
        <w:t>法定代表人</w:t>
      </w:r>
      <w:r>
        <w:rPr>
          <w:rFonts w:hint="eastAsia" w:hAnsi="宋体" w:cs="宋体"/>
          <w:color w:val="auto"/>
          <w:highlight w:val="none"/>
        </w:rPr>
        <w:t>（签字或者盖章或者电子签名）</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p>
    <w:p w14:paraId="3D4901DF">
      <w:pPr>
        <w:shd w:val="clear" w:color="auto" w:fill="auto"/>
        <w:wordWrap w:val="0"/>
        <w:spacing w:line="5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日期： 年 月 日</w:t>
      </w:r>
    </w:p>
    <w:p w14:paraId="16E4AF72">
      <w:pPr>
        <w:widowControl/>
        <w:shd w:val="clear" w:color="auto" w:fill="auto"/>
        <w:wordWrap w:val="0"/>
        <w:jc w:val="left"/>
        <w:rPr>
          <w:rFonts w:hint="eastAsia" w:ascii="宋体" w:hAnsi="宋体"/>
          <w:b/>
          <w:bCs/>
          <w:color w:val="auto"/>
          <w:sz w:val="24"/>
          <w:szCs w:val="30"/>
          <w:highlight w:val="none"/>
        </w:rPr>
      </w:pPr>
    </w:p>
    <w:p w14:paraId="32E6DD4E">
      <w:pPr>
        <w:pStyle w:val="11"/>
        <w:rPr>
          <w:rFonts w:hint="eastAsia" w:ascii="宋体" w:hAnsi="宋体" w:cs="宋体"/>
          <w:b/>
          <w:color w:val="auto"/>
          <w:sz w:val="28"/>
          <w:szCs w:val="28"/>
          <w:highlight w:val="none"/>
          <w:lang w:val="en-US" w:eastAsia="zh-CN"/>
        </w:rPr>
      </w:pPr>
    </w:p>
    <w:p w14:paraId="646A20E3">
      <w:pPr>
        <w:pStyle w:val="11"/>
        <w:rPr>
          <w:rFonts w:hint="eastAsia" w:ascii="宋体" w:hAnsi="宋体" w:cs="宋体"/>
          <w:b/>
          <w:color w:val="auto"/>
          <w:sz w:val="28"/>
          <w:szCs w:val="28"/>
          <w:highlight w:val="none"/>
          <w:lang w:val="en-US" w:eastAsia="zh-CN"/>
        </w:rPr>
      </w:pPr>
    </w:p>
    <w:p w14:paraId="64CD473B">
      <w:pPr>
        <w:pStyle w:val="11"/>
        <w:rPr>
          <w:rFonts w:hint="eastAsia" w:ascii="宋体" w:hAnsi="宋体" w:cs="宋体"/>
          <w:b/>
          <w:color w:val="auto"/>
          <w:sz w:val="28"/>
          <w:szCs w:val="28"/>
          <w:highlight w:val="none"/>
          <w:lang w:val="en-US" w:eastAsia="zh-CN"/>
        </w:rPr>
      </w:pPr>
    </w:p>
    <w:p w14:paraId="72AB685D">
      <w:pPr>
        <w:pStyle w:val="11"/>
        <w:rPr>
          <w:rFonts w:hint="eastAsia" w:ascii="宋体" w:hAnsi="宋体" w:cs="宋体"/>
          <w:b/>
          <w:color w:val="auto"/>
          <w:sz w:val="28"/>
          <w:szCs w:val="28"/>
          <w:highlight w:val="none"/>
          <w:lang w:val="en-US" w:eastAsia="zh-CN"/>
        </w:rPr>
      </w:pPr>
    </w:p>
    <w:p w14:paraId="65C50A2F">
      <w:pPr>
        <w:pStyle w:val="11"/>
        <w:rPr>
          <w:rFonts w:hint="eastAsia" w:ascii="宋体" w:hAnsi="宋体" w:cs="宋体"/>
          <w:b/>
          <w:color w:val="auto"/>
          <w:sz w:val="28"/>
          <w:szCs w:val="28"/>
          <w:highlight w:val="none"/>
          <w:lang w:val="en-US" w:eastAsia="zh-CN"/>
        </w:rPr>
      </w:pPr>
    </w:p>
    <w:p w14:paraId="76C625FE">
      <w:pPr>
        <w:pStyle w:val="11"/>
        <w:rPr>
          <w:rFonts w:hint="eastAsia" w:ascii="宋体" w:hAnsi="宋体" w:cs="宋体"/>
          <w:b/>
          <w:color w:val="auto"/>
          <w:sz w:val="28"/>
          <w:szCs w:val="28"/>
          <w:highlight w:val="none"/>
          <w:lang w:val="en-US" w:eastAsia="zh-CN"/>
        </w:rPr>
      </w:pPr>
    </w:p>
    <w:p w14:paraId="3A77A2D9">
      <w:pPr>
        <w:pStyle w:val="11"/>
        <w:rPr>
          <w:rFonts w:hint="eastAsia" w:ascii="宋体" w:hAnsi="宋体" w:cs="宋体"/>
          <w:b/>
          <w:color w:val="auto"/>
          <w:sz w:val="28"/>
          <w:szCs w:val="28"/>
          <w:highlight w:val="none"/>
          <w:lang w:val="en-US" w:eastAsia="zh-CN"/>
        </w:rPr>
      </w:pPr>
    </w:p>
    <w:p w14:paraId="58178886">
      <w:pPr>
        <w:pStyle w:val="11"/>
        <w:rPr>
          <w:rFonts w:hint="eastAsia" w:ascii="宋体" w:hAnsi="宋体" w:cs="宋体"/>
          <w:b/>
          <w:color w:val="auto"/>
          <w:sz w:val="28"/>
          <w:szCs w:val="28"/>
          <w:highlight w:val="none"/>
          <w:lang w:val="en-US" w:eastAsia="zh-CN"/>
        </w:rPr>
      </w:pPr>
    </w:p>
    <w:p w14:paraId="4D746F41">
      <w:pPr>
        <w:pStyle w:val="11"/>
        <w:rPr>
          <w:rFonts w:hint="eastAsia" w:ascii="宋体" w:hAnsi="宋体" w:cs="宋体"/>
          <w:b/>
          <w:color w:val="auto"/>
          <w:sz w:val="28"/>
          <w:szCs w:val="28"/>
          <w:highlight w:val="none"/>
          <w:lang w:val="en-US" w:eastAsia="zh-CN"/>
        </w:rPr>
      </w:pPr>
    </w:p>
    <w:p w14:paraId="54043A81">
      <w:pPr>
        <w:pStyle w:val="11"/>
        <w:rPr>
          <w:rFonts w:hint="eastAsia" w:ascii="宋体" w:hAnsi="宋体" w:cs="宋体"/>
          <w:b/>
          <w:color w:val="auto"/>
          <w:sz w:val="28"/>
          <w:szCs w:val="28"/>
          <w:highlight w:val="none"/>
          <w:lang w:val="en-US" w:eastAsia="zh-CN"/>
        </w:rPr>
      </w:pPr>
    </w:p>
    <w:p w14:paraId="2A26A93B">
      <w:pPr>
        <w:pStyle w:val="11"/>
        <w:rPr>
          <w:rFonts w:hint="eastAsia" w:ascii="宋体" w:hAnsi="宋体" w:cs="宋体"/>
          <w:b/>
          <w:color w:val="auto"/>
          <w:sz w:val="28"/>
          <w:szCs w:val="28"/>
          <w:highlight w:val="none"/>
          <w:lang w:val="en-US" w:eastAsia="zh-CN"/>
        </w:rPr>
      </w:pPr>
    </w:p>
    <w:p w14:paraId="1A77FB35">
      <w:pPr>
        <w:pStyle w:val="11"/>
        <w:rPr>
          <w:rFonts w:hint="eastAsia"/>
          <w:color w:val="auto"/>
          <w:highlight w:val="none"/>
        </w:rPr>
      </w:pPr>
      <w:r>
        <w:rPr>
          <w:rFonts w:hint="eastAsia" w:ascii="宋体" w:hAnsi="宋体" w:cs="宋体"/>
          <w:b/>
          <w:color w:val="auto"/>
          <w:sz w:val="28"/>
          <w:szCs w:val="28"/>
          <w:highlight w:val="none"/>
          <w:lang w:val="en-US" w:eastAsia="zh-CN"/>
        </w:rPr>
        <w:t>4.</w:t>
      </w:r>
      <w:r>
        <w:rPr>
          <w:rFonts w:hint="eastAsia" w:ascii="宋体" w:hAnsi="宋体" w:cs="宋体"/>
          <w:b/>
          <w:color w:val="auto"/>
          <w:sz w:val="28"/>
          <w:szCs w:val="28"/>
          <w:highlight w:val="none"/>
        </w:rPr>
        <w:t>声明函</w:t>
      </w:r>
      <w:r>
        <w:rPr>
          <w:rFonts w:hint="eastAsia" w:ascii="宋体" w:hAnsi="宋体" w:cs="宋体"/>
          <w:b/>
          <w:color w:val="auto"/>
          <w:sz w:val="28"/>
          <w:szCs w:val="28"/>
          <w:highlight w:val="none"/>
          <w:lang w:eastAsia="zh-CN"/>
        </w:rPr>
        <w:t>的格式</w:t>
      </w:r>
      <w:r>
        <w:rPr>
          <w:rFonts w:hint="eastAsia"/>
          <w:color w:val="auto"/>
          <w:sz w:val="28"/>
          <w:szCs w:val="28"/>
          <w:highlight w:val="none"/>
          <w:lang w:eastAsia="zh-CN"/>
        </w:rPr>
        <w:t>：</w:t>
      </w:r>
    </w:p>
    <w:p w14:paraId="655FD3DF">
      <w:pPr>
        <w:snapToGrid w:val="0"/>
        <w:spacing w:before="50" w:after="165" w:afterLines="50"/>
        <w:jc w:val="center"/>
        <w:rPr>
          <w:rFonts w:hint="eastAsia"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声明函</w:t>
      </w:r>
    </w:p>
    <w:p w14:paraId="2480846D">
      <w:pPr>
        <w:tabs>
          <w:tab w:val="left" w:pos="7200"/>
        </w:tabs>
        <w:spacing w:line="360" w:lineRule="auto"/>
        <w:rPr>
          <w:rFonts w:hint="eastAsia" w:ascii="宋体" w:hAnsi="宋体" w:eastAsia="宋体" w:cs="Times New Roman"/>
          <w:color w:val="auto"/>
          <w:szCs w:val="21"/>
          <w:highlight w:val="none"/>
          <w:u w:val="single"/>
        </w:rPr>
      </w:pPr>
      <w:r>
        <w:rPr>
          <w:rFonts w:hint="eastAsia" w:ascii="宋体" w:hAnsi="宋体" w:eastAsia="宋体" w:cs="Times New Roman"/>
          <w:color w:val="auto"/>
          <w:szCs w:val="21"/>
          <w:highlight w:val="none"/>
        </w:rPr>
        <w:t>致：</w:t>
      </w:r>
      <w:r>
        <w:rPr>
          <w:rFonts w:hint="eastAsia" w:ascii="宋体" w:hAnsi="宋体" w:cs="Times New Roman"/>
          <w:color w:val="auto"/>
          <w:szCs w:val="21"/>
          <w:highlight w:val="none"/>
          <w:u w:val="single"/>
          <w:lang w:eastAsia="zh-CN"/>
        </w:rPr>
        <w:t>广西建设工程机电设备招标中心有限公司</w:t>
      </w:r>
      <w:r>
        <w:rPr>
          <w:rFonts w:hint="eastAsia" w:ascii="宋体" w:hAnsi="宋体" w:eastAsia="宋体" w:cs="Times New Roman"/>
          <w:color w:val="auto"/>
          <w:szCs w:val="21"/>
          <w:highlight w:val="none"/>
          <w:u w:val="single"/>
        </w:rPr>
        <w:t xml:space="preserve"> </w:t>
      </w:r>
    </w:p>
    <w:p w14:paraId="03EE619D">
      <w:pPr>
        <w:pStyle w:val="18"/>
        <w:ind w:firstLine="420" w:firstLineChars="200"/>
        <w:rPr>
          <w:rFonts w:hint="eastAsia"/>
          <w:color w:val="auto"/>
          <w:sz w:val="21"/>
          <w:szCs w:val="21"/>
          <w:highlight w:val="none"/>
        </w:rPr>
      </w:pPr>
      <w:r>
        <w:rPr>
          <w:rFonts w:hint="eastAsia" w:ascii="宋体" w:hAnsi="宋体" w:eastAsia="宋体" w:cs="宋体"/>
          <w:i/>
          <w:iCs/>
          <w:color w:val="auto"/>
          <w:sz w:val="21"/>
          <w:szCs w:val="21"/>
          <w:highlight w:val="none"/>
          <w:u w:val="single"/>
        </w:rPr>
        <w:t>（</w:t>
      </w:r>
      <w:r>
        <w:rPr>
          <w:rFonts w:hint="eastAsia" w:ascii="宋体" w:hAnsi="宋体" w:cs="宋体"/>
          <w:i/>
          <w:iCs/>
          <w:color w:val="auto"/>
          <w:sz w:val="21"/>
          <w:szCs w:val="21"/>
          <w:highlight w:val="none"/>
          <w:u w:val="single"/>
          <w:lang w:val="en-US" w:eastAsia="zh-CN"/>
        </w:rPr>
        <w:t>投标人</w:t>
      </w:r>
      <w:r>
        <w:rPr>
          <w:rFonts w:hint="eastAsia" w:ascii="宋体" w:hAnsi="宋体" w:eastAsia="宋体" w:cs="宋体"/>
          <w:i/>
          <w:iCs/>
          <w:color w:val="auto"/>
          <w:sz w:val="21"/>
          <w:szCs w:val="21"/>
          <w:highlight w:val="none"/>
          <w:u w:val="single"/>
        </w:rPr>
        <w:t>名称）</w:t>
      </w:r>
      <w:r>
        <w:rPr>
          <w:rFonts w:hint="eastAsia" w:ascii="宋体" w:hAnsi="宋体" w:eastAsia="宋体" w:cs="宋体"/>
          <w:color w:val="auto"/>
          <w:sz w:val="21"/>
          <w:szCs w:val="21"/>
          <w:highlight w:val="none"/>
        </w:rPr>
        <w:t>系中华人民共和国合法供应商，经营地址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76CEBB93">
      <w:pPr>
        <w:snapToGrid w:val="0"/>
        <w:spacing w:line="360" w:lineRule="auto"/>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我方愿意参加贵方组织的</w:t>
      </w:r>
      <w:r>
        <w:rPr>
          <w:rFonts w:hint="eastAsia" w:ascii="宋体" w:hAnsi="宋体" w:cs="Times New Roman"/>
          <w:i/>
          <w:iCs/>
          <w:color w:val="auto"/>
          <w:szCs w:val="21"/>
          <w:highlight w:val="none"/>
          <w:u w:val="single"/>
          <w:lang w:eastAsia="zh-CN"/>
        </w:rPr>
        <w:t>（项目名称）</w:t>
      </w:r>
      <w:r>
        <w:rPr>
          <w:rFonts w:hint="eastAsia" w:ascii="宋体" w:hAnsi="宋体" w:cs="Times New Roman"/>
          <w:i/>
          <w:iCs/>
          <w:color w:val="auto"/>
          <w:szCs w:val="21"/>
          <w:highlight w:val="none"/>
          <w:u w:val="single"/>
          <w:lang w:val="en-US" w:eastAsia="zh-CN"/>
        </w:rPr>
        <w:t xml:space="preserve"> </w:t>
      </w:r>
      <w:r>
        <w:rPr>
          <w:rFonts w:hint="eastAsia" w:ascii="宋体" w:hAnsi="宋体" w:eastAsia="宋体" w:cs="Times New Roman"/>
          <w:color w:val="auto"/>
          <w:szCs w:val="21"/>
          <w:highlight w:val="none"/>
        </w:rPr>
        <w:t>（项目编号：</w:t>
      </w:r>
      <w:r>
        <w:rPr>
          <w:rFonts w:hint="eastAsia" w:ascii="宋体" w:hAnsi="宋体" w:cs="Times New Roman"/>
          <w:color w:val="auto"/>
          <w:szCs w:val="21"/>
          <w:highlight w:val="none"/>
          <w:lang w:val="en-US" w:eastAsia="zh-CN"/>
        </w:rPr>
        <w:t xml:space="preserve">           </w:t>
      </w:r>
      <w:r>
        <w:rPr>
          <w:rFonts w:hint="eastAsia" w:ascii="宋体" w:hAnsi="宋体" w:eastAsia="宋体" w:cs="Times New Roman"/>
          <w:color w:val="auto"/>
          <w:szCs w:val="21"/>
          <w:highlight w:val="none"/>
        </w:rPr>
        <w:t xml:space="preserve"> ）项目的投标，为便于贵方公正、择优地确定中标人，我方就本次投标有关事项郑重声明如下：</w:t>
      </w:r>
    </w:p>
    <w:p w14:paraId="4BFA6F2F">
      <w:pPr>
        <w:pStyle w:val="18"/>
        <w:ind w:firstLine="420" w:firstLineChars="200"/>
        <w:rPr>
          <w:rFonts w:hint="eastAsia" w:eastAsia="宋体"/>
          <w:color w:val="auto"/>
          <w:sz w:val="21"/>
          <w:szCs w:val="21"/>
          <w:highlight w:val="none"/>
          <w:lang w:eastAsia="zh-CN"/>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我方向贵方提交的所有</w:t>
      </w:r>
      <w:r>
        <w:rPr>
          <w:rFonts w:hint="eastAsia" w:ascii="宋体" w:hAnsi="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文件、资料都是准确的和真实的</w:t>
      </w:r>
      <w:r>
        <w:rPr>
          <w:rFonts w:hint="eastAsia" w:ascii="宋体" w:hAnsi="宋体" w:cs="宋体"/>
          <w:color w:val="auto"/>
          <w:sz w:val="21"/>
          <w:szCs w:val="21"/>
          <w:highlight w:val="none"/>
          <w:lang w:eastAsia="zh-CN"/>
        </w:rPr>
        <w:t>。</w:t>
      </w:r>
    </w:p>
    <w:p w14:paraId="19168D20">
      <w:pPr>
        <w:snapToGrid w:val="0"/>
        <w:spacing w:line="360" w:lineRule="auto"/>
        <w:ind w:firstLine="420" w:firstLineChars="200"/>
        <w:jc w:val="left"/>
        <w:rPr>
          <w:rFonts w:hint="eastAsia" w:ascii="宋体" w:hAnsi="宋体" w:eastAsia="宋体" w:cs="Times New Roman"/>
          <w:color w:val="auto"/>
          <w:szCs w:val="21"/>
          <w:highlight w:val="none"/>
        </w:rPr>
      </w:pPr>
      <w:r>
        <w:rPr>
          <w:rFonts w:hint="eastAsia" w:ascii="宋体" w:hAnsi="宋体" w:cs="Times New Roman"/>
          <w:color w:val="auto"/>
          <w:szCs w:val="21"/>
          <w:highlight w:val="none"/>
          <w:lang w:val="en-US" w:eastAsia="zh-CN"/>
        </w:rPr>
        <w:t>2、</w:t>
      </w:r>
      <w:r>
        <w:rPr>
          <w:rFonts w:hint="eastAsia" w:ascii="宋体" w:hAnsi="宋体" w:eastAsia="宋体" w:cs="Times New Roman"/>
          <w:color w:val="auto"/>
          <w:szCs w:val="21"/>
          <w:highlight w:val="none"/>
        </w:rPr>
        <w:t>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70F4A0EF">
      <w:pPr>
        <w:spacing w:line="360" w:lineRule="exact"/>
        <w:ind w:firstLine="420" w:firstLineChars="200"/>
        <w:contextualSpacing/>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在此，我方宣布同意如下：</w:t>
      </w:r>
    </w:p>
    <w:p w14:paraId="1A10BE46">
      <w:pPr>
        <w:spacing w:line="360" w:lineRule="exact"/>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（1）将按</w:t>
      </w:r>
      <w:r>
        <w:rPr>
          <w:rFonts w:hint="eastAsia" w:ascii="宋体" w:hAnsi="宋体" w:cs="宋体"/>
          <w:color w:val="auto"/>
          <w:sz w:val="21"/>
          <w:szCs w:val="21"/>
          <w:highlight w:val="none"/>
          <w:lang w:val="en-US" w:eastAsia="zh-CN"/>
        </w:rPr>
        <w:t>招标</w:t>
      </w:r>
      <w:r>
        <w:rPr>
          <w:rFonts w:hint="eastAsia" w:ascii="宋体" w:hAnsi="宋体" w:eastAsia="宋体" w:cs="宋体"/>
          <w:color w:val="auto"/>
          <w:sz w:val="21"/>
          <w:szCs w:val="21"/>
          <w:highlight w:val="none"/>
        </w:rPr>
        <w:t>文件的约定履行合同责任和义务；</w:t>
      </w:r>
    </w:p>
    <w:p w14:paraId="0A1889DE">
      <w:pPr>
        <w:spacing w:line="360" w:lineRule="exact"/>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（2）已详细审查</w:t>
      </w:r>
      <w:r>
        <w:rPr>
          <w:rFonts w:hint="eastAsia" w:ascii="宋体" w:hAnsi="宋体" w:cs="宋体"/>
          <w:color w:val="auto"/>
          <w:sz w:val="21"/>
          <w:szCs w:val="21"/>
          <w:highlight w:val="none"/>
          <w:lang w:val="en-US" w:eastAsia="zh-CN"/>
        </w:rPr>
        <w:t>招标</w:t>
      </w:r>
      <w:r>
        <w:rPr>
          <w:rFonts w:hint="eastAsia" w:ascii="宋体" w:hAnsi="宋体" w:eastAsia="宋体" w:cs="宋体"/>
          <w:color w:val="auto"/>
          <w:sz w:val="21"/>
          <w:szCs w:val="21"/>
          <w:highlight w:val="none"/>
        </w:rPr>
        <w:t>文件</w:t>
      </w:r>
      <w:r>
        <w:rPr>
          <w:rFonts w:hint="eastAsia" w:ascii="宋体" w:hAnsi="宋体" w:cs="宋体"/>
          <w:color w:val="auto"/>
          <w:sz w:val="21"/>
          <w:szCs w:val="21"/>
          <w:highlight w:val="none"/>
          <w:lang w:val="en-US" w:eastAsia="zh-CN"/>
        </w:rPr>
        <w:t>的</w:t>
      </w:r>
      <w:r>
        <w:rPr>
          <w:rFonts w:hint="eastAsia" w:ascii="宋体" w:hAnsi="宋体" w:eastAsia="宋体" w:cs="宋体"/>
          <w:color w:val="auto"/>
          <w:sz w:val="21"/>
          <w:szCs w:val="21"/>
          <w:highlight w:val="none"/>
        </w:rPr>
        <w:t>全部</w:t>
      </w:r>
      <w:r>
        <w:rPr>
          <w:rFonts w:hint="eastAsia" w:ascii="宋体" w:hAnsi="宋体" w:cs="宋体"/>
          <w:color w:val="auto"/>
          <w:kern w:val="0"/>
          <w:sz w:val="21"/>
          <w:szCs w:val="21"/>
          <w:highlight w:val="none"/>
          <w:lang w:val="en-US" w:eastAsia="zh-CN"/>
        </w:rPr>
        <w:t>内容</w:t>
      </w:r>
      <w:r>
        <w:rPr>
          <w:rFonts w:hint="eastAsia" w:ascii="宋体" w:hAnsi="宋体" w:eastAsia="宋体" w:cs="宋体"/>
          <w:color w:val="auto"/>
          <w:sz w:val="21"/>
          <w:szCs w:val="21"/>
          <w:highlight w:val="none"/>
        </w:rPr>
        <w:t>，包括澄清或者更正公告（如有）；</w:t>
      </w:r>
    </w:p>
    <w:p w14:paraId="14E16229">
      <w:pPr>
        <w:spacing w:line="360" w:lineRule="exact"/>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（3）同意提供按照贵方可能要求的与</w:t>
      </w:r>
      <w:r>
        <w:rPr>
          <w:rFonts w:hint="eastAsia" w:ascii="宋体" w:hAnsi="宋体" w:cs="宋体"/>
          <w:color w:val="auto"/>
          <w:sz w:val="21"/>
          <w:szCs w:val="21"/>
          <w:highlight w:val="none"/>
          <w:lang w:val="en-US" w:eastAsia="zh-CN"/>
        </w:rPr>
        <w:t>投标</w:t>
      </w:r>
      <w:r>
        <w:rPr>
          <w:rFonts w:hint="eastAsia" w:ascii="宋体" w:hAnsi="宋体" w:eastAsia="宋体" w:cs="宋体"/>
          <w:color w:val="auto"/>
          <w:sz w:val="21"/>
          <w:szCs w:val="21"/>
          <w:highlight w:val="none"/>
        </w:rPr>
        <w:t>有关的一切数据或者资料。</w:t>
      </w:r>
    </w:p>
    <w:p w14:paraId="152838C2">
      <w:pPr>
        <w:pStyle w:val="18"/>
        <w:rPr>
          <w:rFonts w:hint="eastAsia"/>
          <w:color w:val="auto"/>
          <w:highlight w:val="none"/>
        </w:rPr>
      </w:pPr>
    </w:p>
    <w:p w14:paraId="291B6B66">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cs="Times New Roman"/>
          <w:color w:val="auto"/>
          <w:szCs w:val="21"/>
          <w:highlight w:val="none"/>
          <w:lang w:val="en-US" w:eastAsia="zh-CN"/>
        </w:rPr>
        <w:t>4、</w:t>
      </w:r>
      <w:r>
        <w:rPr>
          <w:rFonts w:hint="eastAsia" w:ascii="宋体" w:hAnsi="宋体" w:eastAsia="宋体" w:cs="Times New Roman"/>
          <w:b w:val="0"/>
          <w:bCs w:val="0"/>
          <w:color w:val="auto"/>
          <w:kern w:val="2"/>
          <w:sz w:val="21"/>
          <w:szCs w:val="21"/>
          <w:highlight w:val="none"/>
          <w:lang w:val="en-US" w:eastAsia="zh-CN" w:bidi="ar-SA"/>
        </w:rPr>
        <w:t>我方在此声明，我方在参加本项目的政府采购活动前三年内，在经营活动中没有重大违法记录（重大违法记录是指供应商因违法经营受到刑事处罚或者责令停产停业、吊销许可证或者执照、较大数额罚款等行政处罚）</w:t>
      </w:r>
      <w:r>
        <w:rPr>
          <w:rFonts w:hint="eastAsia" w:ascii="宋体" w:hAnsi="宋体" w:cs="Times New Roman"/>
          <w:color w:val="auto"/>
          <w:szCs w:val="21"/>
          <w:highlight w:val="none"/>
          <w:lang w:eastAsia="zh-CN"/>
        </w:rPr>
        <w:t>，</w:t>
      </w:r>
      <w:r>
        <w:rPr>
          <w:rFonts w:hint="eastAsia" w:ascii="宋体" w:hAnsi="宋体" w:eastAsia="宋体" w:cs="Times New Roman"/>
          <w:color w:val="auto"/>
          <w:szCs w:val="21"/>
          <w:highlight w:val="none"/>
        </w:rPr>
        <w:t>未被列入失信被执行人、</w:t>
      </w:r>
      <w:r>
        <w:rPr>
          <w:rFonts w:hint="eastAsia" w:ascii="宋体" w:hAnsi="宋体" w:cs="Times New Roman"/>
          <w:color w:val="auto"/>
          <w:szCs w:val="21"/>
          <w:highlight w:val="none"/>
          <w:lang w:eastAsia="zh-CN"/>
        </w:rPr>
        <w:t>重大税收违法失信主体</w:t>
      </w:r>
      <w:r>
        <w:rPr>
          <w:rFonts w:hint="eastAsia" w:ascii="宋体" w:hAnsi="宋体" w:eastAsia="宋体" w:cs="Times New Roman"/>
          <w:color w:val="auto"/>
          <w:szCs w:val="21"/>
          <w:highlight w:val="none"/>
        </w:rPr>
        <w:t>、政府采购严重违法失信行为记录名单。</w:t>
      </w:r>
    </w:p>
    <w:p w14:paraId="141C65C6">
      <w:pPr>
        <w:spacing w:line="360" w:lineRule="exact"/>
        <w:ind w:firstLine="420" w:firstLineChars="200"/>
        <w:contextualSpacing/>
        <w:rPr>
          <w:rFonts w:hint="eastAsia" w:ascii="宋体" w:hAnsi="宋体" w:eastAsia="宋体" w:cs="宋体"/>
          <w:i/>
          <w:iCs/>
          <w:color w:val="auto"/>
          <w:sz w:val="21"/>
          <w:szCs w:val="21"/>
          <w:highlight w:val="none"/>
        </w:rPr>
      </w:pPr>
      <w:r>
        <w:rPr>
          <w:rFonts w:hint="eastAsia" w:ascii="宋体" w:hAnsi="宋体" w:cs="Times New Roman"/>
          <w:color w:val="auto"/>
          <w:szCs w:val="21"/>
          <w:highlight w:val="none"/>
          <w:lang w:val="en-US" w:eastAsia="zh-CN"/>
        </w:rPr>
        <w:t>5、</w:t>
      </w:r>
      <w:r>
        <w:rPr>
          <w:rFonts w:hint="eastAsia" w:ascii="宋体" w:hAnsi="宋体" w:eastAsia="宋体" w:cs="宋体"/>
          <w:color w:val="auto"/>
          <w:sz w:val="21"/>
          <w:szCs w:val="21"/>
          <w:highlight w:val="none"/>
        </w:rPr>
        <w:t>根据《中华人民共和国政府采购法实施条例》第五十条要求对政府采购合同进行公告，但政府采购合同中涉及国家秘密、商业秘密的内容除外。我方就对本次</w:t>
      </w:r>
      <w:r>
        <w:rPr>
          <w:rFonts w:hint="eastAsia" w:ascii="宋体" w:hAnsi="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文件进行注明如下：</w:t>
      </w:r>
      <w:r>
        <w:rPr>
          <w:rFonts w:hint="eastAsia" w:ascii="宋体" w:hAnsi="宋体" w:eastAsia="宋体" w:cs="宋体"/>
          <w:i/>
          <w:iCs/>
          <w:color w:val="auto"/>
          <w:sz w:val="21"/>
          <w:szCs w:val="21"/>
          <w:highlight w:val="none"/>
        </w:rPr>
        <w:t>（两项内容中必须选择一项）</w:t>
      </w:r>
    </w:p>
    <w:p w14:paraId="578A8175">
      <w:pPr>
        <w:spacing w:line="360" w:lineRule="exact"/>
        <w:ind w:firstLine="420" w:firstLineChars="200"/>
        <w:contextualSpacing/>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□我方本次</w:t>
      </w:r>
      <w:r>
        <w:rPr>
          <w:rFonts w:hint="eastAsia" w:ascii="宋体" w:hAnsi="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w:t>
      </w:r>
      <w:r>
        <w:rPr>
          <w:rFonts w:hint="eastAsia" w:ascii="宋体" w:hAnsi="宋体" w:eastAsia="宋体" w:cs="宋体"/>
          <w:color w:val="auto"/>
          <w:kern w:val="0"/>
          <w:sz w:val="21"/>
          <w:szCs w:val="21"/>
          <w:highlight w:val="none"/>
        </w:rPr>
        <w:t>内容中</w:t>
      </w:r>
      <w:r>
        <w:rPr>
          <w:rFonts w:hint="eastAsia" w:ascii="宋体" w:hAnsi="宋体" w:eastAsia="宋体" w:cs="宋体"/>
          <w:color w:val="auto"/>
          <w:sz w:val="21"/>
          <w:szCs w:val="21"/>
          <w:highlight w:val="none"/>
        </w:rPr>
        <w:t>未</w:t>
      </w:r>
      <w:r>
        <w:rPr>
          <w:rFonts w:hint="eastAsia" w:ascii="宋体" w:hAnsi="宋体" w:eastAsia="宋体" w:cs="宋体"/>
          <w:color w:val="auto"/>
          <w:kern w:val="0"/>
          <w:sz w:val="21"/>
          <w:szCs w:val="21"/>
          <w:highlight w:val="none"/>
        </w:rPr>
        <w:t>涉及商业秘密</w:t>
      </w:r>
      <w:r>
        <w:rPr>
          <w:rFonts w:hint="eastAsia" w:ascii="宋体" w:hAnsi="宋体" w:cs="宋体"/>
          <w:color w:val="auto"/>
          <w:kern w:val="0"/>
          <w:sz w:val="21"/>
          <w:szCs w:val="21"/>
          <w:highlight w:val="none"/>
          <w:lang w:eastAsia="zh-CN"/>
        </w:rPr>
        <w:t>。</w:t>
      </w:r>
    </w:p>
    <w:p w14:paraId="6AF3793B">
      <w:pPr>
        <w:spacing w:line="360" w:lineRule="exact"/>
        <w:ind w:firstLine="420" w:firstLineChars="200"/>
        <w:contextualSpacing/>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□我方本次</w:t>
      </w:r>
      <w:r>
        <w:rPr>
          <w:rFonts w:hint="eastAsia" w:ascii="宋体" w:hAnsi="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w:t>
      </w:r>
      <w:r>
        <w:rPr>
          <w:rFonts w:hint="eastAsia" w:ascii="宋体" w:hAnsi="宋体" w:eastAsia="宋体" w:cs="宋体"/>
          <w:color w:val="auto"/>
          <w:kern w:val="0"/>
          <w:sz w:val="21"/>
          <w:szCs w:val="21"/>
          <w:highlight w:val="none"/>
        </w:rPr>
        <w:t>涉及商业秘密的内容有：</w:t>
      </w:r>
      <w:r>
        <w:rPr>
          <w:rFonts w:hint="eastAsia" w:ascii="宋体" w:hAnsi="宋体" w:eastAsia="宋体" w:cs="宋体"/>
          <w:color w:val="auto"/>
          <w:kern w:val="0"/>
          <w:sz w:val="21"/>
          <w:szCs w:val="21"/>
          <w:highlight w:val="none"/>
          <w:u w:val="single"/>
        </w:rPr>
        <w:t xml:space="preserve">                         </w:t>
      </w:r>
      <w:r>
        <w:rPr>
          <w:rFonts w:hint="eastAsia" w:ascii="宋体" w:hAnsi="宋体" w:cs="宋体"/>
          <w:color w:val="auto"/>
          <w:kern w:val="0"/>
          <w:sz w:val="21"/>
          <w:szCs w:val="21"/>
          <w:highlight w:val="none"/>
          <w:lang w:eastAsia="zh-CN"/>
        </w:rPr>
        <w:t>。</w:t>
      </w:r>
    </w:p>
    <w:p w14:paraId="5FDF970F">
      <w:pPr>
        <w:pStyle w:val="18"/>
        <w:rPr>
          <w:rFonts w:hint="default" w:eastAsia="宋体"/>
          <w:color w:val="auto"/>
          <w:highlight w:val="none"/>
          <w:lang w:val="en-US" w:eastAsia="zh-CN"/>
        </w:rPr>
      </w:pPr>
    </w:p>
    <w:p w14:paraId="1432E358">
      <w:pPr>
        <w:snapToGrid w:val="0"/>
        <w:spacing w:line="360" w:lineRule="auto"/>
        <w:ind w:firstLine="420" w:firstLineChars="200"/>
        <w:jc w:val="left"/>
        <w:rPr>
          <w:rFonts w:hint="eastAsia" w:ascii="宋体" w:hAnsi="宋体" w:eastAsia="宋体" w:cs="Times New Roman"/>
          <w:color w:val="auto"/>
          <w:szCs w:val="21"/>
          <w:highlight w:val="none"/>
        </w:rPr>
      </w:pPr>
      <w:r>
        <w:rPr>
          <w:rFonts w:hint="eastAsia" w:ascii="宋体" w:hAnsi="宋体" w:cs="Times New Roman"/>
          <w:color w:val="auto"/>
          <w:szCs w:val="21"/>
          <w:highlight w:val="none"/>
          <w:lang w:val="en-US" w:eastAsia="zh-CN"/>
        </w:rPr>
        <w:t>6、</w:t>
      </w:r>
      <w:r>
        <w:rPr>
          <w:rFonts w:hint="eastAsia" w:ascii="宋体" w:hAnsi="宋体" w:eastAsia="宋体" w:cs="Times New Roman"/>
          <w:color w:val="auto"/>
          <w:szCs w:val="21"/>
          <w:highlight w:val="none"/>
        </w:rPr>
        <w:t>以上事项如有虚假或</w:t>
      </w:r>
      <w:r>
        <w:rPr>
          <w:rFonts w:hint="eastAsia" w:ascii="宋体" w:hAnsi="宋体" w:cs="Times New Roman"/>
          <w:color w:val="auto"/>
          <w:szCs w:val="21"/>
          <w:highlight w:val="none"/>
          <w:lang w:val="en-US" w:eastAsia="zh-CN"/>
        </w:rPr>
        <w:t>者</w:t>
      </w:r>
      <w:r>
        <w:rPr>
          <w:rFonts w:hint="eastAsia" w:ascii="宋体" w:hAnsi="宋体" w:eastAsia="宋体" w:cs="Times New Roman"/>
          <w:color w:val="auto"/>
          <w:szCs w:val="21"/>
          <w:highlight w:val="none"/>
        </w:rPr>
        <w:t>隐瞒，我方愿意承担一切后果，并不再寻求任何旨在减轻或</w:t>
      </w:r>
      <w:r>
        <w:rPr>
          <w:rFonts w:hint="eastAsia" w:ascii="宋体" w:hAnsi="宋体" w:cs="Times New Roman"/>
          <w:color w:val="auto"/>
          <w:szCs w:val="21"/>
          <w:highlight w:val="none"/>
          <w:lang w:val="en-US" w:eastAsia="zh-CN"/>
        </w:rPr>
        <w:t>者</w:t>
      </w:r>
      <w:r>
        <w:rPr>
          <w:rFonts w:hint="eastAsia" w:ascii="宋体" w:hAnsi="宋体" w:eastAsia="宋体" w:cs="Times New Roman"/>
          <w:color w:val="auto"/>
          <w:szCs w:val="21"/>
          <w:highlight w:val="none"/>
        </w:rPr>
        <w:t xml:space="preserve">免除法律责任的辩解。 </w:t>
      </w:r>
    </w:p>
    <w:p w14:paraId="31A9F48A">
      <w:pPr>
        <w:tabs>
          <w:tab w:val="left" w:pos="939"/>
        </w:tabs>
        <w:spacing w:line="360" w:lineRule="exact"/>
        <w:ind w:left="141" w:leftChars="67" w:firstLine="315" w:firstLineChars="15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特此承诺。</w:t>
      </w:r>
    </w:p>
    <w:p w14:paraId="5A3F4A84">
      <w:pPr>
        <w:snapToGrid w:val="0"/>
        <w:spacing w:before="50" w:after="165" w:afterLines="50"/>
        <w:jc w:val="left"/>
        <w:rPr>
          <w:rFonts w:hint="eastAsia" w:ascii="宋体" w:hAnsi="宋体" w:eastAsia="宋体" w:cs="Times New Roman"/>
          <w:color w:val="auto"/>
          <w:sz w:val="18"/>
          <w:szCs w:val="18"/>
          <w:highlight w:val="none"/>
        </w:rPr>
      </w:pPr>
      <w:r>
        <w:rPr>
          <w:rFonts w:hint="eastAsia" w:ascii="宋体" w:hAnsi="宋体" w:eastAsia="宋体" w:cs="Times New Roman"/>
          <w:b/>
          <w:color w:val="auto"/>
          <w:sz w:val="18"/>
          <w:szCs w:val="18"/>
          <w:highlight w:val="none"/>
        </w:rPr>
        <w:t>.</w:t>
      </w:r>
      <w:r>
        <w:rPr>
          <w:rFonts w:hint="eastAsia" w:ascii="宋体" w:hAnsi="宋体" w:cs="Times New Roman"/>
          <w:b/>
          <w:color w:val="auto"/>
          <w:sz w:val="18"/>
          <w:szCs w:val="18"/>
          <w:highlight w:val="none"/>
          <w:lang w:val="en-US" w:eastAsia="zh-CN"/>
        </w:rPr>
        <w:t xml:space="preserve">   注： </w:t>
      </w:r>
      <w:r>
        <w:rPr>
          <w:rFonts w:hint="eastAsia" w:ascii="宋体" w:hAnsi="宋体" w:eastAsia="宋体" w:cs="Times New Roman"/>
          <w:b/>
          <w:color w:val="auto"/>
          <w:sz w:val="18"/>
          <w:szCs w:val="18"/>
          <w:highlight w:val="none"/>
        </w:rPr>
        <w:t>如为联合体投标，盖章处须加盖联合体各方公章，否则</w:t>
      </w:r>
      <w:r>
        <w:rPr>
          <w:rFonts w:hint="eastAsia" w:ascii="宋体" w:hAnsi="宋体" w:eastAsia="宋体" w:cs="宋体"/>
          <w:b/>
          <w:bCs/>
          <w:color w:val="auto"/>
          <w:sz w:val="18"/>
          <w:szCs w:val="18"/>
          <w:highlight w:val="none"/>
        </w:rPr>
        <w:t>其</w:t>
      </w:r>
      <w:r>
        <w:rPr>
          <w:rFonts w:hint="eastAsia" w:ascii="宋体" w:hAnsi="宋体" w:cs="宋体"/>
          <w:b/>
          <w:bCs/>
          <w:color w:val="auto"/>
          <w:sz w:val="18"/>
          <w:szCs w:val="18"/>
          <w:highlight w:val="none"/>
          <w:lang w:val="en-US" w:eastAsia="zh-CN"/>
        </w:rPr>
        <w:t>投标</w:t>
      </w:r>
      <w:r>
        <w:rPr>
          <w:rFonts w:hint="eastAsia" w:ascii="宋体" w:hAnsi="宋体" w:eastAsia="宋体" w:cs="宋体"/>
          <w:b/>
          <w:bCs/>
          <w:color w:val="auto"/>
          <w:sz w:val="18"/>
          <w:szCs w:val="18"/>
          <w:highlight w:val="none"/>
        </w:rPr>
        <w:t>文件</w:t>
      </w:r>
      <w:r>
        <w:rPr>
          <w:rFonts w:hint="eastAsia" w:ascii="宋体" w:hAnsi="宋体" w:eastAsia="宋体" w:cs="宋体"/>
          <w:b/>
          <w:bCs/>
          <w:color w:val="auto"/>
          <w:sz w:val="18"/>
          <w:szCs w:val="18"/>
          <w:highlight w:val="none"/>
          <w:lang w:eastAsia="zh-CN"/>
        </w:rPr>
        <w:t>作无效</w:t>
      </w:r>
      <w:r>
        <w:rPr>
          <w:rFonts w:hint="eastAsia" w:ascii="宋体" w:hAnsi="宋体" w:eastAsia="宋体" w:cs="宋体"/>
          <w:b/>
          <w:bCs/>
          <w:color w:val="auto"/>
          <w:sz w:val="18"/>
          <w:szCs w:val="18"/>
          <w:highlight w:val="none"/>
        </w:rPr>
        <w:t>响应处理</w:t>
      </w:r>
      <w:r>
        <w:rPr>
          <w:rFonts w:hint="eastAsia" w:ascii="宋体" w:hAnsi="宋体" w:eastAsia="宋体" w:cs="Times New Roman"/>
          <w:b/>
          <w:color w:val="auto"/>
          <w:sz w:val="18"/>
          <w:szCs w:val="18"/>
          <w:highlight w:val="none"/>
        </w:rPr>
        <w:t>。</w:t>
      </w:r>
    </w:p>
    <w:p w14:paraId="0762255B">
      <w:pPr>
        <w:snapToGrid w:val="0"/>
        <w:spacing w:before="50" w:after="331" w:afterLines="100" w:line="360" w:lineRule="auto"/>
        <w:jc w:val="left"/>
        <w:rPr>
          <w:rFonts w:hint="eastAsia" w:ascii="宋体" w:hAnsi="宋体" w:eastAsia="宋体" w:cs="宋体"/>
          <w:color w:val="auto"/>
          <w:sz w:val="24"/>
          <w:highlight w:val="none"/>
        </w:rPr>
      </w:pPr>
      <w:r>
        <w:rPr>
          <w:rFonts w:hint="eastAsia" w:ascii="宋体" w:hAnsi="宋体" w:eastAsia="宋体" w:cs="Times New Roman"/>
          <w:color w:val="auto"/>
          <w:sz w:val="24"/>
          <w:highlight w:val="none"/>
        </w:rPr>
        <w:t xml:space="preserve">                                     </w:t>
      </w:r>
    </w:p>
    <w:p w14:paraId="1DCC6F71">
      <w:pPr>
        <w:snapToGrid w:val="0"/>
        <w:spacing w:before="50" w:after="331" w:afterLines="100" w:line="360" w:lineRule="auto"/>
        <w:ind w:left="7428" w:leftChars="2223" w:hanging="2760" w:hangingChars="1150"/>
        <w:jc w:val="left"/>
        <w:rPr>
          <w:rFonts w:hint="eastAsia" w:ascii="仿宋_GB2312" w:hAnsi="仿宋" w:eastAsia="仿宋_GB2312" w:cs="仿宋_GB2312"/>
          <w:color w:val="auto"/>
          <w:kern w:val="0"/>
          <w:sz w:val="24"/>
          <w:highlight w:val="none"/>
          <w:lang w:val="zh-CN"/>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投标人名称(盖</w:t>
      </w:r>
      <w:r>
        <w:rPr>
          <w:rFonts w:hint="eastAsia" w:ascii="宋体" w:hAnsi="宋体" w:cs="宋体"/>
          <w:color w:val="auto"/>
          <w:kern w:val="0"/>
          <w:sz w:val="24"/>
          <w:highlight w:val="none"/>
          <w:lang w:val="en-US" w:eastAsia="zh-CN"/>
        </w:rPr>
        <w:t>单位</w:t>
      </w:r>
      <w:r>
        <w:rPr>
          <w:rFonts w:hint="eastAsia" w:ascii="宋体" w:hAnsi="宋体" w:eastAsia="宋体" w:cs="宋体"/>
          <w:color w:val="auto"/>
          <w:kern w:val="0"/>
          <w:sz w:val="24"/>
          <w:highlight w:val="none"/>
          <w:lang w:val="zh-CN"/>
        </w:rPr>
        <w:t>公章)：</w:t>
      </w:r>
      <w:r>
        <w:rPr>
          <w:rFonts w:hint="eastAsia" w:ascii="宋体" w:hAnsi="宋体" w:eastAsia="宋体" w:cs="Times New Roman"/>
          <w:color w:val="auto"/>
          <w:szCs w:val="21"/>
          <w:highlight w:val="none"/>
        </w:rPr>
        <w:t xml:space="preserve">                                     年    月    日</w:t>
      </w:r>
    </w:p>
    <w:p w14:paraId="38F576B5">
      <w:pPr>
        <w:rPr>
          <w:rFonts w:hint="eastAsia" w:ascii="Times New Roman" w:hAnsi="Times New Roman" w:eastAsia="宋体" w:cs="Times New Roman"/>
          <w:b/>
          <w:bCs/>
          <w:color w:val="auto"/>
          <w:sz w:val="30"/>
          <w:szCs w:val="30"/>
          <w:highlight w:val="none"/>
        </w:rPr>
      </w:pPr>
      <w:r>
        <w:rPr>
          <w:rFonts w:hint="eastAsia" w:ascii="Times New Roman" w:hAnsi="Times New Roman" w:eastAsia="宋体" w:cs="Times New Roman"/>
          <w:b/>
          <w:bCs/>
          <w:color w:val="auto"/>
          <w:sz w:val="30"/>
          <w:szCs w:val="30"/>
          <w:highlight w:val="none"/>
        </w:rPr>
        <w:br w:type="page"/>
      </w:r>
    </w:p>
    <w:p w14:paraId="2EC6E2F7">
      <w:pPr>
        <w:pStyle w:val="16"/>
        <w:jc w:val="left"/>
        <w:outlineLvl w:val="3"/>
        <w:rPr>
          <w:rFonts w:hint="eastAsia" w:ascii="Times New Roman" w:hAnsi="Times New Roman" w:eastAsia="宋体" w:cs="Times New Roman"/>
          <w:b/>
          <w:color w:val="auto"/>
          <w:sz w:val="30"/>
          <w:szCs w:val="30"/>
          <w:highlight w:val="none"/>
        </w:rPr>
      </w:pPr>
      <w:r>
        <w:rPr>
          <w:rFonts w:hint="eastAsia" w:hAnsi="宋体" w:cs="宋体"/>
          <w:b/>
          <w:color w:val="auto"/>
          <w:sz w:val="28"/>
          <w:szCs w:val="28"/>
          <w:highlight w:val="none"/>
          <w:lang w:val="en-US" w:eastAsia="zh-CN"/>
        </w:rPr>
        <w:t>5</w:t>
      </w:r>
      <w:r>
        <w:rPr>
          <w:rFonts w:hint="eastAsia" w:ascii="宋体" w:hAnsi="宋体" w:cs="宋体"/>
          <w:b/>
          <w:color w:val="auto"/>
          <w:sz w:val="28"/>
          <w:szCs w:val="28"/>
          <w:highlight w:val="none"/>
          <w:lang w:val="en-US" w:eastAsia="zh-CN"/>
        </w:rPr>
        <w:t>.</w:t>
      </w:r>
      <w:r>
        <w:rPr>
          <w:rFonts w:hint="eastAsia" w:ascii="宋体" w:hAnsi="宋体" w:cs="宋体"/>
          <w:b/>
          <w:color w:val="auto"/>
          <w:sz w:val="28"/>
          <w:szCs w:val="28"/>
          <w:highlight w:val="none"/>
        </w:rPr>
        <w:t>中小企业声明函</w:t>
      </w:r>
      <w:r>
        <w:rPr>
          <w:rFonts w:hint="eastAsia" w:ascii="宋体" w:hAnsi="宋体" w:cs="宋体"/>
          <w:b/>
          <w:color w:val="auto"/>
          <w:sz w:val="28"/>
          <w:szCs w:val="28"/>
          <w:highlight w:val="none"/>
          <w:lang w:eastAsia="zh-CN"/>
        </w:rPr>
        <w:t>的格式：</w:t>
      </w:r>
    </w:p>
    <w:p w14:paraId="52B20D17">
      <w:pPr>
        <w:pStyle w:val="16"/>
        <w:jc w:val="center"/>
        <w:rPr>
          <w:rFonts w:hint="eastAsia" w:ascii="Times New Roman" w:hAnsi="Times New Roman" w:eastAsia="宋体" w:cs="Times New Roman"/>
          <w:b/>
          <w:color w:val="auto"/>
          <w:sz w:val="30"/>
          <w:szCs w:val="30"/>
          <w:highlight w:val="none"/>
        </w:rPr>
      </w:pPr>
    </w:p>
    <w:p w14:paraId="52DB8C94">
      <w:pPr>
        <w:pStyle w:val="16"/>
        <w:jc w:val="center"/>
        <w:rPr>
          <w:rFonts w:hint="eastAsia" w:ascii="Times New Roman" w:hAnsi="Times New Roman" w:eastAsia="宋体" w:cs="Times New Roman"/>
          <w:b/>
          <w:color w:val="auto"/>
          <w:sz w:val="30"/>
          <w:szCs w:val="30"/>
          <w:highlight w:val="none"/>
        </w:rPr>
      </w:pPr>
      <w:r>
        <w:rPr>
          <w:rFonts w:hint="eastAsia" w:ascii="Times New Roman" w:hAnsi="Times New Roman" w:eastAsia="宋体" w:cs="Times New Roman"/>
          <w:b/>
          <w:color w:val="auto"/>
          <w:sz w:val="30"/>
          <w:szCs w:val="30"/>
          <w:highlight w:val="none"/>
        </w:rPr>
        <w:t>中小企业声明函</w:t>
      </w:r>
    </w:p>
    <w:p w14:paraId="28F40726">
      <w:pPr>
        <w:pStyle w:val="12"/>
        <w:spacing w:line="240" w:lineRule="auto"/>
        <w:ind w:firstLine="404" w:firstLineChars="200"/>
        <w:rPr>
          <w:rFonts w:ascii="Times New Roman" w:hAnsi="宋体" w:eastAsia="宋体" w:cs="Times New Roman"/>
          <w:color w:val="auto"/>
          <w:sz w:val="21"/>
          <w:szCs w:val="21"/>
          <w:highlight w:val="none"/>
        </w:rPr>
      </w:pPr>
    </w:p>
    <w:p w14:paraId="07AAE703">
      <w:pPr>
        <w:autoSpaceDE w:val="0"/>
        <w:autoSpaceDN w:val="0"/>
        <w:adjustRightInd w:val="0"/>
        <w:spacing w:line="360" w:lineRule="auto"/>
        <w:ind w:firstLine="444" w:firstLineChars="202"/>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本公司郑重声明，根据《政府采购促进中小企业发展管理办法》（财库﹝2020﹞46 号）的规定，本公司参加</w:t>
      </w:r>
      <w:r>
        <w:rPr>
          <w:rFonts w:hint="eastAsia" w:ascii="宋体" w:hAnsi="宋体" w:eastAsia="宋体" w:cs="宋体"/>
          <w:i/>
          <w:color w:val="auto"/>
          <w:kern w:val="0"/>
          <w:sz w:val="22"/>
          <w:szCs w:val="22"/>
          <w:highlight w:val="none"/>
          <w:u w:val="single"/>
        </w:rPr>
        <w:t>（单位名称）</w:t>
      </w:r>
      <w:r>
        <w:rPr>
          <w:rFonts w:hint="eastAsia" w:ascii="宋体" w:hAnsi="宋体" w:eastAsia="宋体" w:cs="宋体"/>
          <w:color w:val="auto"/>
          <w:kern w:val="0"/>
          <w:sz w:val="22"/>
          <w:szCs w:val="22"/>
          <w:highlight w:val="none"/>
        </w:rPr>
        <w:t>的</w:t>
      </w:r>
      <w:r>
        <w:rPr>
          <w:rFonts w:hint="eastAsia" w:ascii="宋体" w:hAnsi="宋体" w:eastAsia="宋体" w:cs="宋体"/>
          <w:i/>
          <w:color w:val="auto"/>
          <w:kern w:val="0"/>
          <w:sz w:val="22"/>
          <w:szCs w:val="22"/>
          <w:highlight w:val="none"/>
          <w:u w:val="single"/>
        </w:rPr>
        <w:t>（项目名称）</w:t>
      </w:r>
      <w:r>
        <w:rPr>
          <w:rFonts w:hint="eastAsia" w:ascii="宋体" w:hAnsi="宋体" w:eastAsia="宋体" w:cs="宋体"/>
          <w:color w:val="auto"/>
          <w:kern w:val="0"/>
          <w:sz w:val="22"/>
          <w:szCs w:val="22"/>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1A449BC">
      <w:pPr>
        <w:autoSpaceDE w:val="0"/>
        <w:autoSpaceDN w:val="0"/>
        <w:adjustRightInd w:val="0"/>
        <w:spacing w:line="360" w:lineRule="auto"/>
        <w:ind w:firstLine="444" w:firstLineChars="202"/>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1. </w:t>
      </w:r>
      <w:r>
        <w:rPr>
          <w:rFonts w:hint="eastAsia" w:ascii="宋体" w:hAnsi="宋体" w:eastAsia="宋体" w:cs="宋体"/>
          <w:i/>
          <w:color w:val="auto"/>
          <w:kern w:val="0"/>
          <w:sz w:val="22"/>
          <w:szCs w:val="22"/>
          <w:highlight w:val="none"/>
          <w:u w:val="single"/>
        </w:rPr>
        <w:t>（标的名称）</w:t>
      </w:r>
      <w:r>
        <w:rPr>
          <w:rFonts w:hint="eastAsia" w:ascii="宋体" w:hAnsi="宋体" w:eastAsia="宋体" w:cs="宋体"/>
          <w:color w:val="auto"/>
          <w:kern w:val="0"/>
          <w:sz w:val="22"/>
          <w:szCs w:val="22"/>
          <w:highlight w:val="none"/>
        </w:rPr>
        <w:t xml:space="preserve"> ，属于</w:t>
      </w:r>
      <w:r>
        <w:rPr>
          <w:rFonts w:hint="eastAsia" w:ascii="宋体" w:hAnsi="宋体" w:eastAsia="宋体" w:cs="宋体"/>
          <w:i/>
          <w:color w:val="auto"/>
          <w:kern w:val="0"/>
          <w:sz w:val="22"/>
          <w:szCs w:val="22"/>
          <w:highlight w:val="none"/>
          <w:u w:val="single"/>
        </w:rPr>
        <w:t>（</w:t>
      </w:r>
      <w:r>
        <w:rPr>
          <w:rFonts w:hint="eastAsia" w:ascii="宋体" w:hAnsi="宋体" w:eastAsia="宋体" w:cs="宋体"/>
          <w:i/>
          <w:color w:val="auto"/>
          <w:kern w:val="0"/>
          <w:sz w:val="22"/>
          <w:szCs w:val="22"/>
          <w:highlight w:val="none"/>
          <w:u w:val="single"/>
          <w:lang w:eastAsia="zh-CN"/>
        </w:rPr>
        <w:t>采购</w:t>
      </w:r>
      <w:r>
        <w:rPr>
          <w:rFonts w:hint="eastAsia" w:ascii="宋体" w:hAnsi="宋体" w:eastAsia="宋体" w:cs="宋体"/>
          <w:i/>
          <w:color w:val="auto"/>
          <w:kern w:val="0"/>
          <w:sz w:val="22"/>
          <w:szCs w:val="22"/>
          <w:highlight w:val="none"/>
          <w:u w:val="single"/>
        </w:rPr>
        <w:t>文件中明确的所属行业）</w:t>
      </w:r>
      <w:r>
        <w:rPr>
          <w:rFonts w:hint="eastAsia" w:ascii="宋体" w:hAnsi="宋体" w:eastAsia="宋体" w:cs="宋体"/>
          <w:color w:val="auto"/>
          <w:kern w:val="0"/>
          <w:sz w:val="22"/>
          <w:szCs w:val="22"/>
          <w:highlight w:val="none"/>
        </w:rPr>
        <w:t>；承建（承接）企业为</w:t>
      </w:r>
      <w:r>
        <w:rPr>
          <w:rFonts w:hint="eastAsia" w:ascii="宋体" w:hAnsi="宋体" w:eastAsia="宋体" w:cs="宋体"/>
          <w:i/>
          <w:color w:val="auto"/>
          <w:kern w:val="0"/>
          <w:sz w:val="22"/>
          <w:szCs w:val="22"/>
          <w:highlight w:val="none"/>
          <w:u w:val="single"/>
        </w:rPr>
        <w:t>（企业名称）</w:t>
      </w:r>
      <w:r>
        <w:rPr>
          <w:rFonts w:hint="eastAsia" w:ascii="宋体" w:hAnsi="宋体" w:eastAsia="宋体" w:cs="宋体"/>
          <w:color w:val="auto"/>
          <w:kern w:val="0"/>
          <w:sz w:val="22"/>
          <w:szCs w:val="22"/>
          <w:highlight w:val="none"/>
        </w:rPr>
        <w:t>，从业人员</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人，营业收入为</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万元，资产总额为</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万元，属于</w:t>
      </w:r>
      <w:r>
        <w:rPr>
          <w:rFonts w:hint="eastAsia" w:ascii="宋体" w:hAnsi="宋体" w:eastAsia="宋体" w:cs="宋体"/>
          <w:i/>
          <w:color w:val="auto"/>
          <w:kern w:val="0"/>
          <w:sz w:val="22"/>
          <w:szCs w:val="22"/>
          <w:highlight w:val="none"/>
          <w:u w:val="single"/>
        </w:rPr>
        <w:t>（中型企业、小型企业、微型企业）</w:t>
      </w:r>
      <w:r>
        <w:rPr>
          <w:rFonts w:hint="eastAsia" w:ascii="宋体" w:hAnsi="宋体" w:eastAsia="宋体" w:cs="宋体"/>
          <w:color w:val="auto"/>
          <w:kern w:val="0"/>
          <w:sz w:val="22"/>
          <w:szCs w:val="22"/>
          <w:highlight w:val="none"/>
        </w:rPr>
        <w:t>；</w:t>
      </w:r>
    </w:p>
    <w:p w14:paraId="28808A22">
      <w:pPr>
        <w:autoSpaceDE w:val="0"/>
        <w:autoSpaceDN w:val="0"/>
        <w:adjustRightInd w:val="0"/>
        <w:spacing w:line="360" w:lineRule="auto"/>
        <w:ind w:firstLine="444" w:firstLineChars="202"/>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2. </w:t>
      </w:r>
      <w:r>
        <w:rPr>
          <w:rFonts w:hint="eastAsia" w:ascii="宋体" w:hAnsi="宋体" w:eastAsia="宋体" w:cs="宋体"/>
          <w:i/>
          <w:color w:val="auto"/>
          <w:kern w:val="0"/>
          <w:sz w:val="22"/>
          <w:szCs w:val="22"/>
          <w:highlight w:val="none"/>
          <w:u w:val="single"/>
        </w:rPr>
        <w:t>（标的名称）</w:t>
      </w:r>
      <w:r>
        <w:rPr>
          <w:rFonts w:hint="eastAsia" w:ascii="宋体" w:hAnsi="宋体" w:eastAsia="宋体" w:cs="宋体"/>
          <w:color w:val="auto"/>
          <w:kern w:val="0"/>
          <w:sz w:val="22"/>
          <w:szCs w:val="22"/>
          <w:highlight w:val="none"/>
        </w:rPr>
        <w:t xml:space="preserve"> ，属于</w:t>
      </w:r>
      <w:r>
        <w:rPr>
          <w:rFonts w:hint="eastAsia" w:ascii="宋体" w:hAnsi="宋体" w:eastAsia="宋体" w:cs="宋体"/>
          <w:i/>
          <w:color w:val="auto"/>
          <w:kern w:val="0"/>
          <w:sz w:val="22"/>
          <w:szCs w:val="22"/>
          <w:highlight w:val="none"/>
          <w:u w:val="single"/>
        </w:rPr>
        <w:t>（</w:t>
      </w:r>
      <w:r>
        <w:rPr>
          <w:rFonts w:hint="eastAsia" w:ascii="宋体" w:hAnsi="宋体" w:eastAsia="宋体" w:cs="宋体"/>
          <w:i/>
          <w:color w:val="auto"/>
          <w:kern w:val="0"/>
          <w:sz w:val="22"/>
          <w:szCs w:val="22"/>
          <w:highlight w:val="none"/>
          <w:u w:val="single"/>
          <w:lang w:eastAsia="zh-CN"/>
        </w:rPr>
        <w:t>采购</w:t>
      </w:r>
      <w:r>
        <w:rPr>
          <w:rFonts w:hint="eastAsia" w:ascii="宋体" w:hAnsi="宋体" w:eastAsia="宋体" w:cs="宋体"/>
          <w:i/>
          <w:color w:val="auto"/>
          <w:kern w:val="0"/>
          <w:sz w:val="22"/>
          <w:szCs w:val="22"/>
          <w:highlight w:val="none"/>
          <w:u w:val="single"/>
        </w:rPr>
        <w:t>文件中明确的所属行业）</w:t>
      </w:r>
      <w:r>
        <w:rPr>
          <w:rFonts w:hint="eastAsia" w:ascii="宋体" w:hAnsi="宋体" w:eastAsia="宋体" w:cs="宋体"/>
          <w:color w:val="auto"/>
          <w:kern w:val="0"/>
          <w:sz w:val="22"/>
          <w:szCs w:val="22"/>
          <w:highlight w:val="none"/>
        </w:rPr>
        <w:t>；承建（承接）企业为</w:t>
      </w:r>
      <w:r>
        <w:rPr>
          <w:rFonts w:hint="eastAsia" w:ascii="宋体" w:hAnsi="宋体" w:eastAsia="宋体" w:cs="宋体"/>
          <w:i/>
          <w:color w:val="auto"/>
          <w:kern w:val="0"/>
          <w:sz w:val="22"/>
          <w:szCs w:val="22"/>
          <w:highlight w:val="none"/>
          <w:u w:val="single"/>
        </w:rPr>
        <w:t>（企业名称）</w:t>
      </w:r>
      <w:r>
        <w:rPr>
          <w:rFonts w:hint="eastAsia" w:ascii="宋体" w:hAnsi="宋体" w:eastAsia="宋体" w:cs="宋体"/>
          <w:color w:val="auto"/>
          <w:kern w:val="0"/>
          <w:sz w:val="22"/>
          <w:szCs w:val="22"/>
          <w:highlight w:val="none"/>
        </w:rPr>
        <w:t>，从业人员</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人，营业收入为</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万元，资产总额为</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万元，属于</w:t>
      </w:r>
      <w:r>
        <w:rPr>
          <w:rFonts w:hint="eastAsia" w:ascii="宋体" w:hAnsi="宋体" w:eastAsia="宋体" w:cs="宋体"/>
          <w:i/>
          <w:color w:val="auto"/>
          <w:kern w:val="0"/>
          <w:sz w:val="22"/>
          <w:szCs w:val="22"/>
          <w:highlight w:val="none"/>
          <w:u w:val="single"/>
        </w:rPr>
        <w:t>（中型企业、小型企业、微型企业）</w:t>
      </w:r>
      <w:r>
        <w:rPr>
          <w:rFonts w:hint="eastAsia" w:ascii="宋体" w:hAnsi="宋体" w:eastAsia="宋体" w:cs="宋体"/>
          <w:color w:val="auto"/>
          <w:kern w:val="0"/>
          <w:sz w:val="22"/>
          <w:szCs w:val="22"/>
          <w:highlight w:val="none"/>
        </w:rPr>
        <w:t>；</w:t>
      </w:r>
    </w:p>
    <w:p w14:paraId="7471437B">
      <w:pPr>
        <w:autoSpaceDE w:val="0"/>
        <w:autoSpaceDN w:val="0"/>
        <w:adjustRightInd w:val="0"/>
        <w:spacing w:line="360" w:lineRule="auto"/>
        <w:ind w:firstLine="444" w:firstLineChars="202"/>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w:t>
      </w:r>
    </w:p>
    <w:p w14:paraId="252C6CA2">
      <w:pPr>
        <w:autoSpaceDE w:val="0"/>
        <w:autoSpaceDN w:val="0"/>
        <w:adjustRightInd w:val="0"/>
        <w:spacing w:line="360" w:lineRule="auto"/>
        <w:ind w:firstLine="444" w:firstLineChars="202"/>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以上企业，不属于大企业的分支机构，不存在控股股东为大企业的情形，也不存在与大企业的负责人为同一人的情形。</w:t>
      </w:r>
    </w:p>
    <w:p w14:paraId="4B34CDC0">
      <w:pPr>
        <w:autoSpaceDE w:val="0"/>
        <w:autoSpaceDN w:val="0"/>
        <w:adjustRightInd w:val="0"/>
        <w:spacing w:line="360" w:lineRule="auto"/>
        <w:ind w:firstLine="444" w:firstLineChars="202"/>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本企业对上述声明内容的真实性负责。如有虚假，将依法承担相应责任。</w:t>
      </w:r>
    </w:p>
    <w:p w14:paraId="5FE07513">
      <w:pPr>
        <w:pStyle w:val="16"/>
        <w:spacing w:line="360" w:lineRule="auto"/>
        <w:ind w:firstLine="440" w:firstLineChars="200"/>
        <w:rPr>
          <w:rFonts w:hint="eastAsia" w:hAnsi="宋体" w:eastAsia="宋体" w:cs="Times New Roman"/>
          <w:color w:val="auto"/>
          <w:sz w:val="22"/>
          <w:szCs w:val="22"/>
          <w:highlight w:val="none"/>
        </w:rPr>
      </w:pPr>
    </w:p>
    <w:p w14:paraId="17C5D4B8">
      <w:pPr>
        <w:pStyle w:val="16"/>
        <w:spacing w:line="360" w:lineRule="auto"/>
        <w:ind w:firstLine="440" w:firstLineChars="200"/>
        <w:rPr>
          <w:rFonts w:hint="eastAsia" w:ascii="宋体" w:hAnsi="宋体" w:eastAsia="宋体" w:cs="宋体"/>
          <w:color w:val="auto"/>
          <w:kern w:val="0"/>
          <w:sz w:val="22"/>
          <w:szCs w:val="22"/>
          <w:highlight w:val="none"/>
          <w:lang w:val="en-US" w:eastAsia="zh-CN" w:bidi="ar-SA"/>
        </w:rPr>
      </w:pPr>
    </w:p>
    <w:p w14:paraId="10AD7782">
      <w:pPr>
        <w:snapToGrid w:val="0"/>
        <w:spacing w:line="360" w:lineRule="auto"/>
        <w:ind w:firstLine="4620" w:firstLineChars="2100"/>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zh-CN" w:eastAsia="zh-CN" w:bidi="ar-SA"/>
        </w:rPr>
        <w:t>投标人名称(盖</w:t>
      </w:r>
      <w:r>
        <w:rPr>
          <w:rFonts w:hint="eastAsia" w:ascii="宋体" w:hAnsi="宋体" w:cs="宋体"/>
          <w:color w:val="auto"/>
          <w:kern w:val="0"/>
          <w:sz w:val="22"/>
          <w:szCs w:val="22"/>
          <w:highlight w:val="none"/>
          <w:lang w:val="en-US" w:eastAsia="zh-CN" w:bidi="ar-SA"/>
        </w:rPr>
        <w:t>单位</w:t>
      </w:r>
      <w:r>
        <w:rPr>
          <w:rFonts w:hint="eastAsia" w:ascii="宋体" w:hAnsi="宋体" w:eastAsia="宋体" w:cs="宋体"/>
          <w:color w:val="auto"/>
          <w:kern w:val="0"/>
          <w:sz w:val="22"/>
          <w:szCs w:val="22"/>
          <w:highlight w:val="none"/>
          <w:lang w:val="zh-CN" w:eastAsia="zh-CN" w:bidi="ar-SA"/>
        </w:rPr>
        <w:t>公章)：</w:t>
      </w:r>
    </w:p>
    <w:p w14:paraId="2D1E5021">
      <w:pPr>
        <w:snapToGrid w:val="0"/>
        <w:spacing w:line="360" w:lineRule="auto"/>
        <w:ind w:firstLine="4730" w:firstLineChars="2150"/>
        <w:rPr>
          <w:rFonts w:hint="eastAsia" w:ascii="宋体" w:hAnsi="宋体" w:eastAsia="宋体" w:cs="宋体"/>
          <w:color w:val="auto"/>
          <w:kern w:val="0"/>
          <w:sz w:val="22"/>
          <w:szCs w:val="22"/>
          <w:highlight w:val="none"/>
          <w:lang w:val="zh-CN" w:eastAsia="zh-CN" w:bidi="ar-SA"/>
        </w:rPr>
      </w:pPr>
      <w:r>
        <w:rPr>
          <w:rFonts w:hint="eastAsia" w:ascii="宋体" w:hAnsi="宋体" w:eastAsia="宋体" w:cs="宋体"/>
          <w:color w:val="auto"/>
          <w:kern w:val="0"/>
          <w:sz w:val="22"/>
          <w:szCs w:val="22"/>
          <w:highlight w:val="none"/>
          <w:lang w:val="zh-CN" w:eastAsia="zh-CN" w:bidi="ar-SA"/>
        </w:rPr>
        <w:t>日期</w:t>
      </w:r>
      <w:r>
        <w:rPr>
          <w:rFonts w:hint="eastAsia" w:ascii="宋体" w:hAnsi="宋体" w:eastAsia="宋体" w:cs="宋体"/>
          <w:color w:val="auto"/>
          <w:kern w:val="0"/>
          <w:sz w:val="22"/>
          <w:szCs w:val="22"/>
          <w:highlight w:val="none"/>
          <w:lang w:val="en-US" w:eastAsia="zh-CN" w:bidi="ar-SA"/>
        </w:rPr>
        <w:t xml:space="preserve">：  年  </w:t>
      </w:r>
      <w:r>
        <w:rPr>
          <w:rFonts w:hint="eastAsia" w:ascii="宋体" w:hAnsi="宋体" w:eastAsia="宋体" w:cs="宋体"/>
          <w:color w:val="auto"/>
          <w:kern w:val="0"/>
          <w:sz w:val="22"/>
          <w:szCs w:val="22"/>
          <w:highlight w:val="none"/>
          <w:lang w:val="zh-CN" w:eastAsia="zh-CN" w:bidi="ar-SA"/>
        </w:rPr>
        <w:t>月</w:t>
      </w:r>
      <w:r>
        <w:rPr>
          <w:rFonts w:hint="eastAsia" w:ascii="宋体" w:hAnsi="宋体" w:eastAsia="宋体" w:cs="宋体"/>
          <w:color w:val="auto"/>
          <w:kern w:val="0"/>
          <w:sz w:val="22"/>
          <w:szCs w:val="22"/>
          <w:highlight w:val="none"/>
          <w:lang w:val="en-US" w:eastAsia="zh-CN" w:bidi="ar-SA"/>
        </w:rPr>
        <w:t xml:space="preserve">   </w:t>
      </w:r>
      <w:r>
        <w:rPr>
          <w:rFonts w:hint="eastAsia" w:ascii="宋体" w:hAnsi="宋体" w:eastAsia="宋体" w:cs="宋体"/>
          <w:color w:val="auto"/>
          <w:kern w:val="0"/>
          <w:sz w:val="22"/>
          <w:szCs w:val="22"/>
          <w:highlight w:val="none"/>
          <w:lang w:val="zh-CN" w:eastAsia="zh-CN" w:bidi="ar-SA"/>
        </w:rPr>
        <w:t>日</w:t>
      </w:r>
    </w:p>
    <w:p w14:paraId="4F749F1A">
      <w:pPr>
        <w:pStyle w:val="16"/>
        <w:spacing w:line="360" w:lineRule="auto"/>
        <w:ind w:firstLine="420" w:firstLineChars="200"/>
        <w:rPr>
          <w:rFonts w:hint="eastAsia" w:hAnsi="宋体" w:eastAsia="宋体" w:cs="Times New Roman"/>
          <w:color w:val="auto"/>
          <w:szCs w:val="21"/>
          <w:highlight w:val="none"/>
        </w:rPr>
      </w:pPr>
    </w:p>
    <w:p w14:paraId="262AE10D">
      <w:pPr>
        <w:snapToGrid w:val="0"/>
        <w:spacing w:before="50" w:after="165" w:afterLines="50" w:line="360" w:lineRule="auto"/>
        <w:ind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p>
    <w:p w14:paraId="5431B90D">
      <w:pPr>
        <w:numPr>
          <w:ilvl w:val="0"/>
          <w:numId w:val="5"/>
        </w:numPr>
        <w:snapToGrid w:val="0"/>
        <w:spacing w:before="50" w:after="165" w:afterLines="50" w:line="360" w:lineRule="auto"/>
        <w:ind w:left="660" w:hanging="36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从业人员、营业收入、资产总额填报上一年度数据，无上一年度数据的新成立企业可不填报。</w:t>
      </w:r>
    </w:p>
    <w:p w14:paraId="4D5AE45A">
      <w:pPr>
        <w:snapToGrid w:val="0"/>
        <w:spacing w:before="50" w:after="165" w:afterLines="50" w:line="360" w:lineRule="auto"/>
        <w:ind w:firstLine="315" w:firstLineChars="15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2、请根据自己的真实情况出具《中小企业声明函》。依法享受中小企业</w:t>
      </w:r>
      <w:r>
        <w:rPr>
          <w:rFonts w:hint="eastAsia" w:ascii="宋体" w:hAnsi="宋体" w:eastAsia="宋体" w:cs="宋体"/>
          <w:color w:val="auto"/>
          <w:sz w:val="21"/>
          <w:szCs w:val="21"/>
          <w:highlight w:val="none"/>
          <w:lang w:eastAsia="zh-CN"/>
        </w:rPr>
        <w:t>扶持</w:t>
      </w:r>
      <w:r>
        <w:rPr>
          <w:rFonts w:hint="eastAsia" w:ascii="宋体" w:hAnsi="宋体" w:eastAsia="宋体" w:cs="宋体"/>
          <w:color w:val="auto"/>
          <w:sz w:val="21"/>
          <w:szCs w:val="21"/>
          <w:highlight w:val="none"/>
        </w:rPr>
        <w:t>政策的，采购人或者采购代理机构在公告中标结果时，同时公告其《中小企业声明函》，接受社会监督。</w:t>
      </w:r>
    </w:p>
    <w:p w14:paraId="40A9FB0E">
      <w:pPr>
        <w:pStyle w:val="12"/>
        <w:spacing w:line="360" w:lineRule="auto"/>
        <w:ind w:firstLine="406"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、本声明函主要供参加政府采购活动的中小企业填写，非中小企业无需填写。</w:t>
      </w:r>
    </w:p>
    <w:p w14:paraId="79C6925A">
      <w:pPr>
        <w:pStyle w:val="12"/>
        <w:spacing w:line="360" w:lineRule="auto"/>
        <w:ind w:firstLine="406"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、小型、微型企业提供中型企业提供的服务的，视同为中型企业。</w:t>
      </w:r>
    </w:p>
    <w:p w14:paraId="73E0E379">
      <w:pPr>
        <w:pStyle w:val="18"/>
        <w:rPr>
          <w:rFonts w:hint="eastAsia" w:ascii="宋体" w:hAnsi="宋体" w:eastAsia="宋体" w:cs="宋体"/>
          <w:b/>
          <w:bCs/>
          <w:color w:val="auto"/>
          <w:highlight w:val="none"/>
        </w:rPr>
        <w:sectPr>
          <w:pgSz w:w="11905" w:h="16838"/>
          <w:pgMar w:top="1134" w:right="1134" w:bottom="1134" w:left="1134" w:header="850" w:footer="850" w:gutter="0"/>
          <w:pgNumType w:fmt="decimal"/>
          <w:cols w:space="720" w:num="1"/>
          <w:titlePg/>
          <w:rtlGutter w:val="0"/>
          <w:docGrid w:linePitch="331" w:charSpace="0"/>
        </w:sectPr>
      </w:pPr>
    </w:p>
    <w:p w14:paraId="29036D8D">
      <w:pPr>
        <w:jc w:val="left"/>
        <w:outlineLvl w:val="3"/>
        <w:rPr>
          <w:rFonts w:hint="eastAsia" w:ascii="宋体" w:hAnsi="宋体" w:cs="宋体"/>
          <w:b/>
          <w:color w:val="auto"/>
          <w:sz w:val="28"/>
          <w:szCs w:val="28"/>
          <w:highlight w:val="none"/>
          <w:lang w:val="en-US" w:eastAsia="zh-CN"/>
        </w:rPr>
      </w:pPr>
      <w:r>
        <w:rPr>
          <w:rFonts w:hint="eastAsia" w:ascii="宋体" w:hAnsi="宋体" w:cs="宋体"/>
          <w:b/>
          <w:color w:val="auto"/>
          <w:sz w:val="28"/>
          <w:szCs w:val="28"/>
          <w:highlight w:val="none"/>
          <w:lang w:val="en-US" w:eastAsia="zh-CN"/>
        </w:rPr>
        <w:t>6.残疾人福利性单位声明函的格式：</w:t>
      </w:r>
    </w:p>
    <w:p w14:paraId="420331EF">
      <w:pPr>
        <w:jc w:val="left"/>
        <w:rPr>
          <w:rFonts w:hint="eastAsia" w:hAnsi="宋体" w:cs="宋体"/>
          <w:b/>
          <w:color w:val="auto"/>
          <w:sz w:val="28"/>
          <w:szCs w:val="28"/>
          <w:highlight w:val="none"/>
          <w:lang w:val="en-US" w:eastAsia="zh-CN"/>
        </w:rPr>
      </w:pPr>
    </w:p>
    <w:p w14:paraId="433940AA">
      <w:pPr>
        <w:jc w:val="left"/>
        <w:rPr>
          <w:rFonts w:hint="eastAsia" w:hAnsi="宋体" w:cs="宋体"/>
          <w:b/>
          <w:color w:val="auto"/>
          <w:sz w:val="28"/>
          <w:szCs w:val="28"/>
          <w:highlight w:val="none"/>
          <w:lang w:val="en" w:eastAsia="zh-CN"/>
        </w:rPr>
      </w:pPr>
    </w:p>
    <w:p w14:paraId="704B4847">
      <w:pPr>
        <w:pStyle w:val="16"/>
        <w:spacing w:line="360" w:lineRule="auto"/>
        <w:jc w:val="center"/>
        <w:rPr>
          <w:rFonts w:hint="eastAsia" w:eastAsia="宋体" w:cs="Times New Roman"/>
          <w:b/>
          <w:color w:val="auto"/>
          <w:sz w:val="30"/>
          <w:szCs w:val="30"/>
          <w:highlight w:val="none"/>
        </w:rPr>
      </w:pPr>
      <w:r>
        <w:rPr>
          <w:rFonts w:hint="eastAsia" w:eastAsia="宋体" w:cs="Times New Roman"/>
          <w:b/>
          <w:color w:val="auto"/>
          <w:sz w:val="30"/>
          <w:szCs w:val="30"/>
          <w:highlight w:val="none"/>
        </w:rPr>
        <w:t>残疾人福利性单位声明函</w:t>
      </w:r>
    </w:p>
    <w:p w14:paraId="559F0A49">
      <w:pPr>
        <w:pStyle w:val="16"/>
        <w:spacing w:line="360" w:lineRule="auto"/>
        <w:jc w:val="center"/>
        <w:rPr>
          <w:rFonts w:hint="eastAsia" w:eastAsia="宋体" w:cs="Times New Roman"/>
          <w:b/>
          <w:color w:val="auto"/>
          <w:sz w:val="30"/>
          <w:szCs w:val="30"/>
          <w:highlight w:val="none"/>
        </w:rPr>
      </w:pPr>
    </w:p>
    <w:p w14:paraId="57430171">
      <w:pPr>
        <w:pStyle w:val="16"/>
        <w:spacing w:line="360" w:lineRule="auto"/>
        <w:jc w:val="left"/>
        <w:rPr>
          <w:rFonts w:hint="eastAsia" w:ascii="宋体" w:hAnsi="宋体" w:eastAsia="宋体" w:cs="宋体"/>
          <w:color w:val="auto"/>
          <w:sz w:val="24"/>
          <w:szCs w:val="24"/>
          <w:highlight w:val="none"/>
        </w:rPr>
      </w:pPr>
      <w:r>
        <w:rPr>
          <w:rFonts w:hint="eastAsia" w:eastAsia="宋体" w:cs="Times New Roman"/>
          <w:color w:val="auto"/>
          <w:sz w:val="30"/>
          <w:szCs w:val="30"/>
          <w:highlight w:val="none"/>
        </w:rPr>
        <w:t xml:space="preserve"> </w:t>
      </w:r>
      <w:r>
        <w:rPr>
          <w:rFonts w:hint="eastAsia" w:ascii="宋体" w:hAnsi="宋体" w:eastAsia="宋体" w:cs="宋体"/>
          <w:color w:val="auto"/>
          <w:sz w:val="30"/>
          <w:szCs w:val="30"/>
          <w:highlight w:val="none"/>
        </w:rPr>
        <w:t xml:space="preserve">  </w:t>
      </w:r>
      <w:r>
        <w:rPr>
          <w:rFonts w:hint="eastAsia" w:ascii="宋体" w:hAnsi="宋体" w:eastAsia="宋体" w:cs="宋体"/>
          <w:color w:val="auto"/>
          <w:sz w:val="24"/>
          <w:szCs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单位的</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项目采购活动提供本单位制造的货物（由本单位承担工程/提供服务），或者提供其他残疾人福利性单位制造的货物（不包括使用非残疾人福利性单位注册商标的货物）。</w:t>
      </w:r>
    </w:p>
    <w:p w14:paraId="1CB83CDA">
      <w:pPr>
        <w:pStyle w:val="16"/>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w:t>
      </w:r>
      <w:r>
        <w:rPr>
          <w:rFonts w:hint="eastAsia" w:ascii="宋体" w:hAnsi="宋体" w:eastAsia="宋体" w:cs="宋体"/>
          <w:color w:val="auto"/>
          <w:sz w:val="24"/>
          <w:szCs w:val="24"/>
          <w:highlight w:val="none"/>
          <w:lang w:eastAsia="zh-CN"/>
        </w:rPr>
        <w:t>单位</w:t>
      </w:r>
      <w:r>
        <w:rPr>
          <w:rFonts w:hint="eastAsia" w:ascii="宋体" w:hAnsi="宋体" w:eastAsia="宋体" w:cs="宋体"/>
          <w:color w:val="auto"/>
          <w:sz w:val="24"/>
          <w:szCs w:val="24"/>
          <w:highlight w:val="none"/>
        </w:rPr>
        <w:t>对上述声明的真实性负责。如有虚假，将依法承担相应责任。</w:t>
      </w:r>
    </w:p>
    <w:p w14:paraId="38A5242D">
      <w:pPr>
        <w:pStyle w:val="16"/>
        <w:spacing w:line="360" w:lineRule="auto"/>
        <w:jc w:val="left"/>
        <w:rPr>
          <w:rFonts w:hint="eastAsia" w:ascii="宋体" w:hAnsi="宋体" w:eastAsia="宋体" w:cs="宋体"/>
          <w:b/>
          <w:color w:val="auto"/>
          <w:szCs w:val="21"/>
          <w:highlight w:val="none"/>
        </w:rPr>
      </w:pPr>
    </w:p>
    <w:p w14:paraId="4C68F149">
      <w:pPr>
        <w:pStyle w:val="16"/>
        <w:spacing w:line="360" w:lineRule="auto"/>
        <w:jc w:val="left"/>
        <w:rPr>
          <w:rFonts w:hint="eastAsia" w:ascii="宋体" w:hAnsi="宋体" w:eastAsia="宋体" w:cs="宋体"/>
          <w:b/>
          <w:color w:val="auto"/>
          <w:szCs w:val="21"/>
          <w:highlight w:val="none"/>
        </w:rPr>
      </w:pPr>
    </w:p>
    <w:p w14:paraId="533821CE">
      <w:pPr>
        <w:snapToGrid w:val="0"/>
        <w:spacing w:line="360" w:lineRule="auto"/>
        <w:ind w:left="5137" w:leftChars="1736" w:hanging="1491" w:hangingChars="825"/>
        <w:rPr>
          <w:rFonts w:hint="eastAsia" w:ascii="宋体" w:hAnsi="宋体" w:eastAsia="宋体" w:cs="宋体"/>
          <w:color w:val="auto"/>
          <w:kern w:val="0"/>
          <w:sz w:val="24"/>
          <w:highlight w:val="none"/>
        </w:rPr>
      </w:pPr>
      <w:r>
        <w:rPr>
          <w:rFonts w:hint="eastAsia" w:ascii="宋体" w:hAnsi="宋体" w:eastAsia="宋体" w:cs="宋体"/>
          <w:b/>
          <w:color w:val="auto"/>
          <w:sz w:val="18"/>
          <w:szCs w:val="18"/>
          <w:highlight w:val="none"/>
        </w:rPr>
        <w:t xml:space="preserve">                                                                    </w:t>
      </w:r>
      <w:r>
        <w:rPr>
          <w:rFonts w:hint="eastAsia" w:ascii="宋体" w:hAnsi="宋体" w:eastAsia="宋体" w:cs="宋体"/>
          <w:color w:val="auto"/>
          <w:kern w:val="0"/>
          <w:sz w:val="24"/>
          <w:highlight w:val="none"/>
          <w:lang w:val="zh-CN"/>
        </w:rPr>
        <w:t>投标人名称(盖</w:t>
      </w:r>
      <w:r>
        <w:rPr>
          <w:rFonts w:hint="eastAsia" w:ascii="宋体" w:hAnsi="宋体" w:cs="宋体"/>
          <w:color w:val="auto"/>
          <w:kern w:val="0"/>
          <w:sz w:val="24"/>
          <w:highlight w:val="none"/>
          <w:lang w:val="en-US" w:eastAsia="zh-CN"/>
        </w:rPr>
        <w:t>单位</w:t>
      </w:r>
      <w:r>
        <w:rPr>
          <w:rFonts w:hint="eastAsia" w:ascii="宋体" w:hAnsi="宋体" w:eastAsia="宋体" w:cs="宋体"/>
          <w:color w:val="auto"/>
          <w:kern w:val="0"/>
          <w:sz w:val="24"/>
          <w:highlight w:val="none"/>
          <w:lang w:val="zh-CN"/>
        </w:rPr>
        <w:t>公章)：</w:t>
      </w:r>
    </w:p>
    <w:p w14:paraId="1590D4A3">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1FC92290">
      <w:pPr>
        <w:pStyle w:val="16"/>
        <w:spacing w:line="360" w:lineRule="auto"/>
        <w:ind w:left="5132" w:leftChars="1979" w:hanging="976" w:hangingChars="488"/>
        <w:rPr>
          <w:rFonts w:hint="eastAsia" w:ascii="宋体" w:hAnsi="宋体" w:eastAsia="宋体" w:cs="宋体"/>
          <w:color w:val="auto"/>
          <w:sz w:val="20"/>
          <w:highlight w:val="none"/>
        </w:rPr>
      </w:pPr>
    </w:p>
    <w:p w14:paraId="5683C4AF">
      <w:pPr>
        <w:spacing w:line="360" w:lineRule="auto"/>
        <w:ind w:right="420" w:firstLine="480" w:firstLineChars="200"/>
        <w:rPr>
          <w:rFonts w:hint="eastAsia" w:ascii="宋体" w:hAnsi="宋体" w:eastAsia="宋体" w:cs="宋体"/>
          <w:color w:val="auto"/>
          <w:sz w:val="24"/>
          <w:highlight w:val="none"/>
        </w:rPr>
      </w:pPr>
    </w:p>
    <w:p w14:paraId="6F02BDD6">
      <w:pPr>
        <w:spacing w:line="360" w:lineRule="auto"/>
        <w:ind w:right="420" w:firstLine="480" w:firstLineChars="200"/>
        <w:rPr>
          <w:rFonts w:hint="eastAsia" w:ascii="宋体" w:hAnsi="宋体" w:eastAsia="宋体" w:cs="宋体"/>
          <w:color w:val="auto"/>
          <w:sz w:val="24"/>
          <w:highlight w:val="none"/>
        </w:rPr>
      </w:pPr>
    </w:p>
    <w:p w14:paraId="46408BFE">
      <w:pPr>
        <w:spacing w:line="360" w:lineRule="auto"/>
        <w:ind w:right="42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注：请根据自己的真实情况出具《残疾人福利性单位声明函》。依法享受中小企业</w:t>
      </w:r>
      <w:r>
        <w:rPr>
          <w:rFonts w:hint="eastAsia" w:ascii="宋体" w:hAnsi="宋体" w:eastAsia="宋体" w:cs="宋体"/>
          <w:color w:val="auto"/>
          <w:sz w:val="21"/>
          <w:szCs w:val="21"/>
          <w:highlight w:val="none"/>
          <w:lang w:eastAsia="zh-CN"/>
        </w:rPr>
        <w:t>扶持</w:t>
      </w:r>
      <w:r>
        <w:rPr>
          <w:rFonts w:hint="eastAsia" w:ascii="宋体" w:hAnsi="宋体" w:eastAsia="宋体" w:cs="宋体"/>
          <w:color w:val="auto"/>
          <w:sz w:val="21"/>
          <w:szCs w:val="21"/>
          <w:highlight w:val="none"/>
        </w:rPr>
        <w:t>政策的，采购人或者采购代理机构在公告中标结果时，同时公告其《残疾人福利性单位声明函》，接受社会监督；根据《关于政府采购支持监狱企业发展有关问题的通知》（财库[2014]68号）的规定，投标人提供由省级以上监狱管理局、戒毒管理局（含新疆生产建设兵团）出具的属于监狱企业证明文件的，视同为小型和微型企业。</w:t>
      </w:r>
    </w:p>
    <w:p w14:paraId="28FF3D37">
      <w:pPr>
        <w:rPr>
          <w:rFonts w:hint="eastAsia" w:ascii="宋体" w:hAnsi="宋体" w:eastAsia="宋体" w:cs="Times New Roman"/>
          <w:color w:val="auto"/>
          <w:szCs w:val="21"/>
          <w:highlight w:val="none"/>
        </w:rPr>
      </w:pPr>
    </w:p>
    <w:p w14:paraId="19CBEB4D">
      <w:pPr>
        <w:pStyle w:val="18"/>
        <w:rPr>
          <w:rFonts w:hint="eastAsia"/>
          <w:color w:val="auto"/>
          <w:highlight w:val="none"/>
          <w:lang w:val="zh-CN"/>
        </w:rPr>
      </w:pPr>
    </w:p>
    <w:p w14:paraId="3F3B86E0">
      <w:pPr>
        <w:pStyle w:val="7"/>
        <w:overflowPunct w:val="0"/>
        <w:spacing w:line="360" w:lineRule="auto"/>
        <w:ind w:firstLine="6247" w:firstLineChars="2975"/>
        <w:rPr>
          <w:rFonts w:hint="eastAsia" w:ascii="宋体" w:hAnsi="宋体" w:eastAsia="宋体" w:cs="宋体"/>
          <w:color w:val="auto"/>
          <w:sz w:val="24"/>
          <w:highlight w:val="none"/>
        </w:rPr>
      </w:pPr>
      <w:r>
        <w:rPr>
          <w:rFonts w:hint="eastAsia"/>
          <w:color w:val="auto"/>
          <w:highlight w:val="none"/>
        </w:rPr>
        <w:br w:type="page"/>
      </w:r>
    </w:p>
    <w:p w14:paraId="7E01E3E7">
      <w:pPr>
        <w:numPr>
          <w:ilvl w:val="2"/>
          <w:numId w:val="0"/>
        </w:numPr>
        <w:snapToGrid w:val="0"/>
        <w:spacing w:before="120" w:beforeLines="50" w:after="50"/>
        <w:ind w:left="0" w:leftChars="0" w:firstLine="0" w:firstLineChars="0"/>
        <w:jc w:val="left"/>
        <w:rPr>
          <w:rFonts w:hint="eastAsia" w:ascii="宋体" w:hAnsi="宋体" w:cs="宋体"/>
          <w:b/>
          <w:color w:val="auto"/>
          <w:sz w:val="24"/>
          <w:highlight w:val="none"/>
        </w:rPr>
      </w:pPr>
      <w:r>
        <w:rPr>
          <w:rFonts w:hint="eastAsia" w:ascii="宋体" w:hAnsi="宋体" w:cs="宋体"/>
          <w:b/>
          <w:color w:val="auto"/>
          <w:kern w:val="2"/>
          <w:sz w:val="24"/>
          <w:szCs w:val="24"/>
          <w:highlight w:val="none"/>
          <w:lang w:val="en-US" w:eastAsia="zh-CN" w:bidi="ar-SA"/>
        </w:rPr>
        <w:t>7</w:t>
      </w:r>
      <w:r>
        <w:rPr>
          <w:rFonts w:hint="default" w:ascii="宋体" w:hAnsi="宋体" w:eastAsia="宋体" w:cs="宋体"/>
          <w:b/>
          <w:color w:val="auto"/>
          <w:kern w:val="2"/>
          <w:sz w:val="24"/>
          <w:szCs w:val="24"/>
          <w:highlight w:val="none"/>
          <w:lang w:val="en-US" w:eastAsia="zh-CN" w:bidi="ar-SA"/>
        </w:rPr>
        <w:t>.</w:t>
      </w:r>
      <w:r>
        <w:rPr>
          <w:rFonts w:hint="eastAsia" w:ascii="宋体" w:hAnsi="宋体" w:cs="宋体"/>
          <w:b/>
          <w:color w:val="auto"/>
          <w:sz w:val="28"/>
          <w:szCs w:val="28"/>
          <w:highlight w:val="none"/>
        </w:rPr>
        <w:t>投标人直接控股、管理关系信息表</w:t>
      </w:r>
    </w:p>
    <w:p w14:paraId="779FABC9">
      <w:pPr>
        <w:snapToGrid w:val="0"/>
        <w:spacing w:before="50" w:after="120" w:afterLines="50"/>
        <w:jc w:val="center"/>
        <w:rPr>
          <w:rFonts w:hint="eastAsia" w:ascii="宋体" w:hAnsi="宋体" w:cs="宋体"/>
          <w:b/>
          <w:color w:val="auto"/>
          <w:sz w:val="28"/>
          <w:szCs w:val="28"/>
          <w:highlight w:val="none"/>
        </w:rPr>
      </w:pPr>
    </w:p>
    <w:p w14:paraId="02E19043">
      <w:pPr>
        <w:snapToGrid w:val="0"/>
        <w:spacing w:before="50" w:after="120" w:afterLines="50"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投标人直接控股股东信息表</w:t>
      </w:r>
    </w:p>
    <w:tbl>
      <w:tblPr>
        <w:tblStyle w:val="27"/>
        <w:tblW w:w="9476" w:type="dxa"/>
        <w:tblInd w:w="0" w:type="dxa"/>
        <w:shd w:val="clear" w:color="auto" w:fill="FBFBFB"/>
        <w:tblLayout w:type="fixed"/>
        <w:tblCellMar>
          <w:top w:w="0" w:type="dxa"/>
          <w:left w:w="0" w:type="dxa"/>
          <w:bottom w:w="0" w:type="dxa"/>
          <w:right w:w="0" w:type="dxa"/>
        </w:tblCellMar>
      </w:tblPr>
      <w:tblGrid>
        <w:gridCol w:w="751"/>
        <w:gridCol w:w="2346"/>
        <w:gridCol w:w="1568"/>
        <w:gridCol w:w="3954"/>
        <w:gridCol w:w="857"/>
      </w:tblGrid>
      <w:tr w14:paraId="1C13B2EA">
        <w:tblPrEx>
          <w:shd w:val="clear" w:color="auto" w:fill="FBFBFB"/>
          <w:tblCellMar>
            <w:top w:w="0" w:type="dxa"/>
            <w:left w:w="0" w:type="dxa"/>
            <w:bottom w:w="0" w:type="dxa"/>
            <w:right w:w="0" w:type="dxa"/>
          </w:tblCellMar>
        </w:tblPrEx>
        <w:trPr>
          <w:tblHeader/>
        </w:trPr>
        <w:tc>
          <w:tcPr>
            <w:tcW w:w="751"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6DE92703">
            <w:pPr>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346"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6E956281">
            <w:pPr>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直接控股股东名称</w:t>
            </w:r>
          </w:p>
        </w:tc>
        <w:tc>
          <w:tcPr>
            <w:tcW w:w="1568"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6507898C">
            <w:pPr>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出资比例（%）</w:t>
            </w:r>
          </w:p>
        </w:tc>
        <w:tc>
          <w:tcPr>
            <w:tcW w:w="3954"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5B6BE279">
            <w:pPr>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身份证号码或者统一社会信用代码</w:t>
            </w:r>
          </w:p>
        </w:tc>
        <w:tc>
          <w:tcPr>
            <w:tcW w:w="857"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0DA62526">
            <w:pPr>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468F1058">
        <w:tblPrEx>
          <w:shd w:val="clear" w:color="auto" w:fill="FBFBFB"/>
          <w:tblCellMar>
            <w:top w:w="0" w:type="dxa"/>
            <w:left w:w="0" w:type="dxa"/>
            <w:bottom w:w="0" w:type="dxa"/>
            <w:right w:w="0" w:type="dxa"/>
          </w:tblCellMar>
        </w:tblPrEx>
        <w:tc>
          <w:tcPr>
            <w:tcW w:w="751"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C77851E">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2346"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29DD006">
            <w:pPr>
              <w:spacing w:line="360" w:lineRule="auto"/>
              <w:jc w:val="center"/>
              <w:rPr>
                <w:rFonts w:hint="eastAsia" w:ascii="宋体" w:hAnsi="宋体" w:cs="宋体"/>
                <w:color w:val="auto"/>
                <w:kern w:val="0"/>
                <w:sz w:val="24"/>
                <w:highlight w:val="none"/>
              </w:rPr>
            </w:pPr>
          </w:p>
        </w:tc>
        <w:tc>
          <w:tcPr>
            <w:tcW w:w="156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0733C54">
            <w:pPr>
              <w:spacing w:line="360" w:lineRule="auto"/>
              <w:jc w:val="center"/>
              <w:rPr>
                <w:rFonts w:hint="eastAsia" w:ascii="宋体" w:hAnsi="宋体" w:cs="宋体"/>
                <w:color w:val="auto"/>
                <w:kern w:val="0"/>
                <w:sz w:val="24"/>
                <w:highlight w:val="none"/>
              </w:rPr>
            </w:pPr>
          </w:p>
        </w:tc>
        <w:tc>
          <w:tcPr>
            <w:tcW w:w="395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4010E54">
            <w:pPr>
              <w:spacing w:line="360" w:lineRule="auto"/>
              <w:jc w:val="center"/>
              <w:rPr>
                <w:rFonts w:hint="eastAsia" w:ascii="宋体" w:hAnsi="宋体" w:cs="宋体"/>
                <w:color w:val="auto"/>
                <w:kern w:val="0"/>
                <w:sz w:val="24"/>
                <w:highlight w:val="none"/>
              </w:rPr>
            </w:pPr>
          </w:p>
        </w:tc>
        <w:tc>
          <w:tcPr>
            <w:tcW w:w="857"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2D3E217">
            <w:pPr>
              <w:spacing w:line="360" w:lineRule="auto"/>
              <w:jc w:val="center"/>
              <w:rPr>
                <w:rFonts w:hint="eastAsia" w:ascii="宋体" w:hAnsi="宋体" w:cs="宋体"/>
                <w:color w:val="auto"/>
                <w:kern w:val="0"/>
                <w:sz w:val="24"/>
                <w:highlight w:val="none"/>
              </w:rPr>
            </w:pPr>
          </w:p>
        </w:tc>
      </w:tr>
      <w:tr w14:paraId="598628F8">
        <w:tblPrEx>
          <w:shd w:val="clear" w:color="auto" w:fill="FBFBFB"/>
          <w:tblCellMar>
            <w:top w:w="0" w:type="dxa"/>
            <w:left w:w="0" w:type="dxa"/>
            <w:bottom w:w="0" w:type="dxa"/>
            <w:right w:w="0" w:type="dxa"/>
          </w:tblCellMar>
        </w:tblPrEx>
        <w:tc>
          <w:tcPr>
            <w:tcW w:w="751"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F0A0EEA">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2346"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11703ED">
            <w:pPr>
              <w:spacing w:line="360" w:lineRule="auto"/>
              <w:jc w:val="center"/>
              <w:rPr>
                <w:rFonts w:hint="eastAsia" w:ascii="宋体" w:hAnsi="宋体" w:cs="宋体"/>
                <w:color w:val="auto"/>
                <w:kern w:val="0"/>
                <w:sz w:val="24"/>
                <w:highlight w:val="none"/>
              </w:rPr>
            </w:pPr>
          </w:p>
        </w:tc>
        <w:tc>
          <w:tcPr>
            <w:tcW w:w="156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FD0F1CC">
            <w:pPr>
              <w:spacing w:line="360" w:lineRule="auto"/>
              <w:jc w:val="center"/>
              <w:rPr>
                <w:rFonts w:hint="eastAsia" w:ascii="宋体" w:hAnsi="宋体" w:cs="宋体"/>
                <w:color w:val="auto"/>
                <w:kern w:val="0"/>
                <w:sz w:val="24"/>
                <w:highlight w:val="none"/>
              </w:rPr>
            </w:pPr>
          </w:p>
        </w:tc>
        <w:tc>
          <w:tcPr>
            <w:tcW w:w="395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9CCDD04">
            <w:pPr>
              <w:spacing w:line="360" w:lineRule="auto"/>
              <w:jc w:val="center"/>
              <w:rPr>
                <w:rFonts w:hint="eastAsia" w:ascii="宋体" w:hAnsi="宋体" w:cs="宋体"/>
                <w:color w:val="auto"/>
                <w:kern w:val="0"/>
                <w:sz w:val="24"/>
                <w:highlight w:val="none"/>
              </w:rPr>
            </w:pPr>
          </w:p>
        </w:tc>
        <w:tc>
          <w:tcPr>
            <w:tcW w:w="857"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C98AD21">
            <w:pPr>
              <w:spacing w:line="360" w:lineRule="auto"/>
              <w:jc w:val="center"/>
              <w:rPr>
                <w:rFonts w:hint="eastAsia" w:ascii="宋体" w:hAnsi="宋体" w:cs="宋体"/>
                <w:color w:val="auto"/>
                <w:kern w:val="0"/>
                <w:sz w:val="24"/>
                <w:highlight w:val="none"/>
              </w:rPr>
            </w:pPr>
          </w:p>
        </w:tc>
      </w:tr>
      <w:tr w14:paraId="49C50C9E">
        <w:tblPrEx>
          <w:shd w:val="clear" w:color="auto" w:fill="FBFBFB"/>
          <w:tblCellMar>
            <w:top w:w="0" w:type="dxa"/>
            <w:left w:w="0" w:type="dxa"/>
            <w:bottom w:w="0" w:type="dxa"/>
            <w:right w:w="0" w:type="dxa"/>
          </w:tblCellMar>
        </w:tblPrEx>
        <w:tc>
          <w:tcPr>
            <w:tcW w:w="751"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73F3EC8">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3</w:t>
            </w:r>
          </w:p>
        </w:tc>
        <w:tc>
          <w:tcPr>
            <w:tcW w:w="2346"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B40DB03">
            <w:pPr>
              <w:spacing w:line="360" w:lineRule="auto"/>
              <w:jc w:val="center"/>
              <w:rPr>
                <w:rFonts w:hint="eastAsia" w:ascii="宋体" w:hAnsi="宋体" w:cs="宋体"/>
                <w:color w:val="auto"/>
                <w:kern w:val="0"/>
                <w:sz w:val="24"/>
                <w:highlight w:val="none"/>
              </w:rPr>
            </w:pPr>
          </w:p>
        </w:tc>
        <w:tc>
          <w:tcPr>
            <w:tcW w:w="156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0C61E6F">
            <w:pPr>
              <w:spacing w:line="360" w:lineRule="auto"/>
              <w:jc w:val="center"/>
              <w:rPr>
                <w:rFonts w:hint="eastAsia" w:ascii="宋体" w:hAnsi="宋体" w:cs="宋体"/>
                <w:color w:val="auto"/>
                <w:kern w:val="0"/>
                <w:sz w:val="24"/>
                <w:highlight w:val="none"/>
              </w:rPr>
            </w:pPr>
          </w:p>
        </w:tc>
        <w:tc>
          <w:tcPr>
            <w:tcW w:w="395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500CA2A">
            <w:pPr>
              <w:spacing w:line="360" w:lineRule="auto"/>
              <w:jc w:val="center"/>
              <w:rPr>
                <w:rFonts w:hint="eastAsia" w:ascii="宋体" w:hAnsi="宋体" w:cs="宋体"/>
                <w:color w:val="auto"/>
                <w:kern w:val="0"/>
                <w:sz w:val="24"/>
                <w:highlight w:val="none"/>
              </w:rPr>
            </w:pPr>
          </w:p>
        </w:tc>
        <w:tc>
          <w:tcPr>
            <w:tcW w:w="857"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178C0D6">
            <w:pPr>
              <w:spacing w:line="360" w:lineRule="auto"/>
              <w:jc w:val="center"/>
              <w:rPr>
                <w:rFonts w:hint="eastAsia" w:ascii="宋体" w:hAnsi="宋体" w:cs="宋体"/>
                <w:color w:val="auto"/>
                <w:kern w:val="0"/>
                <w:sz w:val="24"/>
                <w:highlight w:val="none"/>
              </w:rPr>
            </w:pPr>
          </w:p>
        </w:tc>
      </w:tr>
      <w:tr w14:paraId="33BA402A">
        <w:tblPrEx>
          <w:shd w:val="clear" w:color="auto" w:fill="FBFBFB"/>
          <w:tblCellMar>
            <w:top w:w="0" w:type="dxa"/>
            <w:left w:w="0" w:type="dxa"/>
            <w:bottom w:w="0" w:type="dxa"/>
            <w:right w:w="0" w:type="dxa"/>
          </w:tblCellMar>
        </w:tblPrEx>
        <w:tc>
          <w:tcPr>
            <w:tcW w:w="751"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6204402">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w:t>
            </w:r>
          </w:p>
        </w:tc>
        <w:tc>
          <w:tcPr>
            <w:tcW w:w="2346"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0666DA5">
            <w:pPr>
              <w:spacing w:line="360" w:lineRule="auto"/>
              <w:jc w:val="center"/>
              <w:rPr>
                <w:rFonts w:hint="eastAsia" w:ascii="宋体" w:hAnsi="宋体" w:cs="宋体"/>
                <w:color w:val="auto"/>
                <w:kern w:val="0"/>
                <w:sz w:val="24"/>
                <w:highlight w:val="none"/>
              </w:rPr>
            </w:pPr>
          </w:p>
        </w:tc>
        <w:tc>
          <w:tcPr>
            <w:tcW w:w="156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61DF4D8">
            <w:pPr>
              <w:spacing w:line="360" w:lineRule="auto"/>
              <w:jc w:val="center"/>
              <w:rPr>
                <w:rFonts w:hint="eastAsia" w:ascii="宋体" w:hAnsi="宋体" w:cs="宋体"/>
                <w:color w:val="auto"/>
                <w:kern w:val="0"/>
                <w:sz w:val="24"/>
                <w:highlight w:val="none"/>
              </w:rPr>
            </w:pPr>
          </w:p>
        </w:tc>
        <w:tc>
          <w:tcPr>
            <w:tcW w:w="395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F81944A">
            <w:pPr>
              <w:spacing w:line="360" w:lineRule="auto"/>
              <w:jc w:val="center"/>
              <w:rPr>
                <w:rFonts w:hint="eastAsia" w:ascii="宋体" w:hAnsi="宋体" w:cs="宋体"/>
                <w:color w:val="auto"/>
                <w:kern w:val="0"/>
                <w:sz w:val="24"/>
                <w:highlight w:val="none"/>
              </w:rPr>
            </w:pPr>
          </w:p>
        </w:tc>
        <w:tc>
          <w:tcPr>
            <w:tcW w:w="857"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FA456D4">
            <w:pPr>
              <w:spacing w:line="360" w:lineRule="auto"/>
              <w:jc w:val="center"/>
              <w:rPr>
                <w:rFonts w:hint="eastAsia" w:ascii="宋体" w:hAnsi="宋体" w:cs="宋体"/>
                <w:color w:val="auto"/>
                <w:kern w:val="0"/>
                <w:sz w:val="24"/>
                <w:highlight w:val="none"/>
              </w:rPr>
            </w:pPr>
          </w:p>
        </w:tc>
      </w:tr>
    </w:tbl>
    <w:p w14:paraId="5B9441A8">
      <w:pPr>
        <w:snapToGrid w:val="0"/>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注：</w:t>
      </w:r>
    </w:p>
    <w:p w14:paraId="7E3A5DFB">
      <w:pPr>
        <w:snapToGrid w:val="0"/>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4ADA8C1B">
      <w:pPr>
        <w:snapToGrid w:val="0"/>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2.本表所指的控股关系仅限于直接控股关系，不包括间接的控股关系。公司实际控制人与公司之间的关系不属于本表所指的直接控股关系。</w:t>
      </w:r>
    </w:p>
    <w:p w14:paraId="06185683">
      <w:pPr>
        <w:snapToGrid w:val="0"/>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3.供应商不存在直接控股股东的，则在“</w:t>
      </w:r>
      <w:r>
        <w:rPr>
          <w:rFonts w:hint="eastAsia" w:ascii="宋体" w:hAnsi="宋体" w:cs="宋体"/>
          <w:b/>
          <w:bCs/>
          <w:color w:val="auto"/>
          <w:kern w:val="0"/>
          <w:sz w:val="24"/>
          <w:highlight w:val="none"/>
        </w:rPr>
        <w:t>直接控股股东名称</w:t>
      </w:r>
      <w:r>
        <w:rPr>
          <w:rFonts w:hint="eastAsia" w:ascii="宋体" w:hAnsi="宋体" w:cs="宋体"/>
          <w:color w:val="auto"/>
          <w:sz w:val="24"/>
          <w:highlight w:val="none"/>
        </w:rPr>
        <w:t>”中填“无”。</w:t>
      </w:r>
    </w:p>
    <w:p w14:paraId="707CD6BC">
      <w:pPr>
        <w:snapToGrid w:val="0"/>
        <w:spacing w:line="360" w:lineRule="auto"/>
        <w:jc w:val="left"/>
        <w:rPr>
          <w:rFonts w:hint="eastAsia" w:ascii="宋体" w:hAnsi="宋体" w:cs="宋体"/>
          <w:color w:val="auto"/>
          <w:sz w:val="24"/>
          <w:highlight w:val="none"/>
        </w:rPr>
      </w:pPr>
    </w:p>
    <w:p w14:paraId="6854D954">
      <w:pPr>
        <w:snapToGrid w:val="0"/>
        <w:spacing w:line="360" w:lineRule="auto"/>
        <w:jc w:val="left"/>
        <w:rPr>
          <w:rFonts w:hint="eastAsia" w:ascii="宋体" w:hAnsi="宋体" w:cs="宋体"/>
          <w:color w:val="auto"/>
          <w:sz w:val="24"/>
          <w:highlight w:val="none"/>
        </w:rPr>
      </w:pPr>
    </w:p>
    <w:p w14:paraId="69648F28">
      <w:pPr>
        <w:snapToGrid w:val="0"/>
        <w:spacing w:line="360" w:lineRule="auto"/>
        <w:jc w:val="left"/>
        <w:rPr>
          <w:rFonts w:hint="eastAsia" w:ascii="宋体" w:hAnsi="宋体" w:cs="宋体"/>
          <w:color w:val="auto"/>
          <w:sz w:val="24"/>
          <w:highlight w:val="none"/>
        </w:rPr>
      </w:pPr>
    </w:p>
    <w:p w14:paraId="547D3349">
      <w:pPr>
        <w:snapToGrid w:val="0"/>
        <w:spacing w:line="360" w:lineRule="auto"/>
        <w:jc w:val="left"/>
        <w:rPr>
          <w:rFonts w:hint="eastAsia" w:ascii="宋体" w:hAnsi="宋体" w:cs="宋体"/>
          <w:color w:val="auto"/>
          <w:sz w:val="24"/>
          <w:highlight w:val="none"/>
        </w:rPr>
      </w:pPr>
    </w:p>
    <w:p w14:paraId="5EC825E7">
      <w:pPr>
        <w:snapToGrid w:val="0"/>
        <w:spacing w:line="360" w:lineRule="auto"/>
        <w:jc w:val="left"/>
        <w:rPr>
          <w:rFonts w:hint="eastAsia" w:ascii="宋体" w:hAnsi="宋体" w:cs="宋体"/>
          <w:color w:val="auto"/>
          <w:sz w:val="24"/>
          <w:highlight w:val="none"/>
        </w:rPr>
      </w:pPr>
    </w:p>
    <w:p w14:paraId="32905D04">
      <w:pPr>
        <w:snapToGrid w:val="0"/>
        <w:spacing w:line="360" w:lineRule="auto"/>
        <w:ind w:left="-2" w:leftChars="-1" w:right="-817" w:rightChars="-389" w:firstLine="1920" w:firstLineChars="800"/>
        <w:rPr>
          <w:rFonts w:hint="eastAsia" w:ascii="宋体" w:hAnsi="宋体" w:cs="宋体"/>
          <w:color w:val="auto"/>
          <w:sz w:val="24"/>
          <w:highlight w:val="none"/>
        </w:rPr>
      </w:pPr>
      <w:r>
        <w:rPr>
          <w:rFonts w:hint="eastAsia" w:ascii="宋体" w:hAnsi="宋体" w:cs="宋体"/>
          <w:color w:val="auto"/>
          <w:sz w:val="24"/>
          <w:highlight w:val="none"/>
        </w:rPr>
        <w:t xml:space="preserve">法定代表人（或负责人）或者委托代理人（签字或者电子签名）： </w:t>
      </w:r>
    </w:p>
    <w:p w14:paraId="5D661896">
      <w:pPr>
        <w:snapToGrid w:val="0"/>
        <w:spacing w:line="360" w:lineRule="auto"/>
        <w:ind w:left="-3" w:leftChars="-15" w:right="-817" w:rightChars="-389" w:hanging="28" w:hangingChars="12"/>
        <w:rPr>
          <w:rFonts w:hint="eastAsia" w:ascii="宋体" w:hAnsi="宋体" w:cs="宋体"/>
          <w:color w:val="auto"/>
          <w:sz w:val="24"/>
          <w:highlight w:val="none"/>
        </w:rPr>
      </w:pPr>
      <w:r>
        <w:rPr>
          <w:rFonts w:hint="eastAsia" w:ascii="宋体" w:hAnsi="宋体" w:cs="宋体"/>
          <w:color w:val="auto"/>
          <w:sz w:val="24"/>
          <w:highlight w:val="none"/>
        </w:rPr>
        <w:t xml:space="preserve">                                    投标人名称（电子签章）：</w:t>
      </w:r>
    </w:p>
    <w:p w14:paraId="7A0B5276">
      <w:pPr>
        <w:snapToGrid w:val="0"/>
        <w:spacing w:line="360" w:lineRule="auto"/>
        <w:jc w:val="left"/>
        <w:rPr>
          <w:rFonts w:hint="eastAsia" w:ascii="宋体" w:hAnsi="宋体" w:cs="宋体"/>
          <w:color w:val="auto"/>
          <w:szCs w:val="21"/>
          <w:highlight w:val="none"/>
        </w:rPr>
      </w:pPr>
      <w:r>
        <w:rPr>
          <w:rFonts w:hint="eastAsia" w:ascii="宋体" w:hAnsi="宋体" w:cs="宋体"/>
          <w:color w:val="auto"/>
          <w:sz w:val="24"/>
          <w:highlight w:val="none"/>
        </w:rPr>
        <w:t xml:space="preserve">                                    日期：    年   月   日</w:t>
      </w:r>
    </w:p>
    <w:p w14:paraId="0B3F0467">
      <w:pPr>
        <w:snapToGrid w:val="0"/>
        <w:spacing w:before="120" w:beforeLines="50" w:after="50" w:line="360" w:lineRule="auto"/>
        <w:ind w:right="480" w:firstLine="6465" w:firstLineChars="2300"/>
        <w:rPr>
          <w:rFonts w:hint="eastAsia" w:ascii="宋体" w:hAnsi="宋体" w:cs="宋体"/>
          <w:b/>
          <w:color w:val="auto"/>
          <w:sz w:val="28"/>
          <w:szCs w:val="28"/>
          <w:highlight w:val="none"/>
        </w:rPr>
      </w:pPr>
      <w:r>
        <w:rPr>
          <w:rFonts w:hint="eastAsia" w:ascii="宋体" w:hAnsi="宋体" w:cs="宋体"/>
          <w:b/>
          <w:color w:val="auto"/>
          <w:sz w:val="28"/>
          <w:szCs w:val="28"/>
          <w:highlight w:val="none"/>
        </w:rPr>
        <w:br w:type="page"/>
      </w:r>
    </w:p>
    <w:p w14:paraId="118806F2">
      <w:pPr>
        <w:snapToGrid w:val="0"/>
        <w:spacing w:line="360" w:lineRule="auto"/>
        <w:jc w:val="center"/>
        <w:rPr>
          <w:rFonts w:hint="eastAsia" w:ascii="宋体" w:hAnsi="宋体" w:cs="宋体"/>
          <w:color w:val="auto"/>
          <w:sz w:val="32"/>
          <w:szCs w:val="32"/>
          <w:highlight w:val="none"/>
        </w:rPr>
      </w:pPr>
      <w:r>
        <w:rPr>
          <w:rFonts w:hint="eastAsia" w:ascii="宋体" w:hAnsi="宋体" w:cs="宋体"/>
          <w:b/>
          <w:color w:val="auto"/>
          <w:sz w:val="32"/>
          <w:szCs w:val="32"/>
          <w:highlight w:val="none"/>
        </w:rPr>
        <w:t>投标人直接管理关系信息表</w:t>
      </w:r>
    </w:p>
    <w:tbl>
      <w:tblPr>
        <w:tblStyle w:val="27"/>
        <w:tblW w:w="0" w:type="auto"/>
        <w:tblInd w:w="0" w:type="dxa"/>
        <w:shd w:val="clear" w:color="auto" w:fill="FBFBFB"/>
        <w:tblLayout w:type="fixed"/>
        <w:tblCellMar>
          <w:top w:w="0" w:type="dxa"/>
          <w:left w:w="0" w:type="dxa"/>
          <w:bottom w:w="0" w:type="dxa"/>
          <w:right w:w="0" w:type="dxa"/>
        </w:tblCellMar>
      </w:tblPr>
      <w:tblGrid>
        <w:gridCol w:w="1005"/>
        <w:gridCol w:w="2659"/>
        <w:gridCol w:w="3924"/>
        <w:gridCol w:w="2064"/>
      </w:tblGrid>
      <w:tr w14:paraId="7C2F85CE">
        <w:tblPrEx>
          <w:shd w:val="clear" w:color="auto" w:fill="FBFBFB"/>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4B0A8D7E">
            <w:pPr>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01FFEC15">
            <w:pPr>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74BA954D">
            <w:pPr>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7A5DB40D">
            <w:pPr>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相互关系</w:t>
            </w:r>
          </w:p>
        </w:tc>
      </w:tr>
      <w:tr w14:paraId="64727363">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7E45396">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B7876C6">
            <w:pPr>
              <w:spacing w:line="360" w:lineRule="auto"/>
              <w:jc w:val="center"/>
              <w:rPr>
                <w:rFonts w:hint="eastAsia"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26C83D0">
            <w:pPr>
              <w:spacing w:line="360" w:lineRule="auto"/>
              <w:jc w:val="center"/>
              <w:rPr>
                <w:rFonts w:hint="eastAsia"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DD4E7A7">
            <w:pPr>
              <w:spacing w:line="360" w:lineRule="auto"/>
              <w:jc w:val="center"/>
              <w:rPr>
                <w:rFonts w:hint="eastAsia" w:ascii="宋体" w:hAnsi="宋体" w:cs="宋体"/>
                <w:color w:val="auto"/>
                <w:kern w:val="0"/>
                <w:sz w:val="24"/>
                <w:highlight w:val="none"/>
              </w:rPr>
            </w:pPr>
          </w:p>
        </w:tc>
      </w:tr>
      <w:tr w14:paraId="036A8230">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C64AAE3">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0F5812C">
            <w:pPr>
              <w:spacing w:line="360" w:lineRule="auto"/>
              <w:jc w:val="center"/>
              <w:rPr>
                <w:rFonts w:hint="eastAsia"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47B9C04">
            <w:pPr>
              <w:spacing w:line="360" w:lineRule="auto"/>
              <w:jc w:val="center"/>
              <w:rPr>
                <w:rFonts w:hint="eastAsia"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F512DBB">
            <w:pPr>
              <w:spacing w:line="360" w:lineRule="auto"/>
              <w:jc w:val="center"/>
              <w:rPr>
                <w:rFonts w:hint="eastAsia" w:ascii="宋体" w:hAnsi="宋体" w:cs="宋体"/>
                <w:color w:val="auto"/>
                <w:kern w:val="0"/>
                <w:sz w:val="24"/>
                <w:highlight w:val="none"/>
              </w:rPr>
            </w:pPr>
          </w:p>
        </w:tc>
      </w:tr>
      <w:tr w14:paraId="024329A8">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D2D4090">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4E4B856">
            <w:pPr>
              <w:spacing w:line="360" w:lineRule="auto"/>
              <w:jc w:val="center"/>
              <w:rPr>
                <w:rFonts w:hint="eastAsia"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B4B6114">
            <w:pPr>
              <w:spacing w:line="360" w:lineRule="auto"/>
              <w:jc w:val="center"/>
              <w:rPr>
                <w:rFonts w:hint="eastAsia"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3CDD9D8">
            <w:pPr>
              <w:spacing w:line="360" w:lineRule="auto"/>
              <w:jc w:val="center"/>
              <w:rPr>
                <w:rFonts w:hint="eastAsia" w:ascii="宋体" w:hAnsi="宋体" w:cs="宋体"/>
                <w:color w:val="auto"/>
                <w:kern w:val="0"/>
                <w:sz w:val="24"/>
                <w:highlight w:val="none"/>
              </w:rPr>
            </w:pPr>
          </w:p>
        </w:tc>
      </w:tr>
      <w:tr w14:paraId="6618AEA1">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F0D91BF">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2F9F29B">
            <w:pPr>
              <w:spacing w:line="360" w:lineRule="auto"/>
              <w:jc w:val="center"/>
              <w:rPr>
                <w:rFonts w:hint="eastAsia"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1292D76">
            <w:pPr>
              <w:spacing w:line="360" w:lineRule="auto"/>
              <w:jc w:val="center"/>
              <w:rPr>
                <w:rFonts w:hint="eastAsia"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63C2E42">
            <w:pPr>
              <w:spacing w:line="360" w:lineRule="auto"/>
              <w:jc w:val="center"/>
              <w:rPr>
                <w:rFonts w:hint="eastAsia" w:ascii="宋体" w:hAnsi="宋体" w:cs="宋体"/>
                <w:color w:val="auto"/>
                <w:kern w:val="0"/>
                <w:sz w:val="24"/>
                <w:highlight w:val="none"/>
              </w:rPr>
            </w:pPr>
          </w:p>
        </w:tc>
      </w:tr>
    </w:tbl>
    <w:p w14:paraId="430F5499">
      <w:pPr>
        <w:snapToGrid w:val="0"/>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注：</w:t>
      </w:r>
    </w:p>
    <w:p w14:paraId="309BBFC4">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1.管理关系：是指不具有出资持股关系的其他单位之间存在的管理与被管理关系，如一些上下级关系的事业单位和团体组织。</w:t>
      </w:r>
    </w:p>
    <w:p w14:paraId="112AAE5B">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pacing w:val="-6"/>
          <w:sz w:val="24"/>
          <w:highlight w:val="none"/>
        </w:rPr>
        <w:t>本表所指的管理关系仅限于直接管理关系，不包括间接的管理关系。</w:t>
      </w:r>
    </w:p>
    <w:p w14:paraId="38DA1BFE">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3.供应商不存在直接管理关系的，则在“</w:t>
      </w:r>
      <w:r>
        <w:rPr>
          <w:rFonts w:hint="eastAsia" w:ascii="宋体" w:hAnsi="宋体" w:cs="宋体"/>
          <w:b/>
          <w:bCs/>
          <w:color w:val="auto"/>
          <w:kern w:val="0"/>
          <w:sz w:val="24"/>
          <w:highlight w:val="none"/>
        </w:rPr>
        <w:t>直接管理关系单位名称</w:t>
      </w:r>
      <w:r>
        <w:rPr>
          <w:rFonts w:hint="eastAsia" w:ascii="宋体" w:hAnsi="宋体" w:cs="宋体"/>
          <w:color w:val="auto"/>
          <w:sz w:val="24"/>
          <w:highlight w:val="none"/>
        </w:rPr>
        <w:t>”中填“无”。</w:t>
      </w:r>
    </w:p>
    <w:p w14:paraId="57DE934D">
      <w:pPr>
        <w:snapToGrid w:val="0"/>
        <w:spacing w:line="360" w:lineRule="auto"/>
        <w:ind w:firstLine="480" w:firstLineChars="200"/>
        <w:jc w:val="left"/>
        <w:rPr>
          <w:rFonts w:hint="eastAsia" w:ascii="宋体" w:hAnsi="宋体" w:cs="宋体"/>
          <w:color w:val="auto"/>
          <w:sz w:val="24"/>
          <w:highlight w:val="none"/>
        </w:rPr>
      </w:pPr>
    </w:p>
    <w:p w14:paraId="75767532">
      <w:pPr>
        <w:snapToGrid w:val="0"/>
        <w:spacing w:line="360" w:lineRule="auto"/>
        <w:jc w:val="left"/>
        <w:rPr>
          <w:rFonts w:hint="eastAsia" w:ascii="宋体" w:hAnsi="宋体" w:cs="宋体"/>
          <w:color w:val="auto"/>
          <w:sz w:val="24"/>
          <w:highlight w:val="none"/>
        </w:rPr>
      </w:pPr>
    </w:p>
    <w:p w14:paraId="2047A754">
      <w:pPr>
        <w:snapToGrid w:val="0"/>
        <w:spacing w:line="360" w:lineRule="auto"/>
        <w:jc w:val="left"/>
        <w:rPr>
          <w:rFonts w:hint="eastAsia" w:ascii="宋体" w:hAnsi="宋体" w:cs="宋体"/>
          <w:color w:val="auto"/>
          <w:sz w:val="24"/>
          <w:highlight w:val="none"/>
        </w:rPr>
      </w:pPr>
    </w:p>
    <w:p w14:paraId="0DF0EBCB">
      <w:pPr>
        <w:snapToGrid w:val="0"/>
        <w:spacing w:line="360" w:lineRule="auto"/>
        <w:jc w:val="left"/>
        <w:rPr>
          <w:rFonts w:hint="eastAsia" w:ascii="宋体" w:hAnsi="宋体" w:cs="宋体"/>
          <w:color w:val="auto"/>
          <w:sz w:val="24"/>
          <w:highlight w:val="none"/>
        </w:rPr>
      </w:pPr>
    </w:p>
    <w:p w14:paraId="0B6A37E1">
      <w:pPr>
        <w:snapToGrid w:val="0"/>
        <w:spacing w:line="360" w:lineRule="auto"/>
        <w:jc w:val="left"/>
        <w:rPr>
          <w:rFonts w:hint="eastAsia" w:ascii="宋体" w:hAnsi="宋体" w:cs="宋体"/>
          <w:color w:val="auto"/>
          <w:sz w:val="24"/>
          <w:highlight w:val="none"/>
        </w:rPr>
      </w:pPr>
    </w:p>
    <w:p w14:paraId="1DAC6E79">
      <w:pPr>
        <w:snapToGrid w:val="0"/>
        <w:spacing w:line="360" w:lineRule="auto"/>
        <w:jc w:val="left"/>
        <w:rPr>
          <w:rFonts w:hint="eastAsia" w:ascii="宋体" w:hAnsi="宋体" w:cs="宋体"/>
          <w:color w:val="auto"/>
          <w:sz w:val="24"/>
          <w:highlight w:val="none"/>
        </w:rPr>
      </w:pPr>
    </w:p>
    <w:p w14:paraId="0F0C4AAD">
      <w:pPr>
        <w:snapToGrid w:val="0"/>
        <w:spacing w:line="360" w:lineRule="auto"/>
        <w:jc w:val="left"/>
        <w:rPr>
          <w:rFonts w:hint="eastAsia" w:ascii="宋体" w:hAnsi="宋体" w:cs="宋体"/>
          <w:color w:val="auto"/>
          <w:sz w:val="24"/>
          <w:highlight w:val="none"/>
        </w:rPr>
      </w:pPr>
    </w:p>
    <w:p w14:paraId="4D3BBDE1">
      <w:pPr>
        <w:snapToGrid w:val="0"/>
        <w:spacing w:line="360" w:lineRule="auto"/>
        <w:jc w:val="left"/>
        <w:rPr>
          <w:rFonts w:hint="eastAsia" w:ascii="宋体" w:hAnsi="宋体" w:cs="宋体"/>
          <w:color w:val="auto"/>
          <w:sz w:val="24"/>
          <w:highlight w:val="none"/>
        </w:rPr>
      </w:pPr>
    </w:p>
    <w:p w14:paraId="2B52C6E9">
      <w:pPr>
        <w:snapToGrid w:val="0"/>
        <w:spacing w:line="360" w:lineRule="auto"/>
        <w:ind w:left="-2" w:leftChars="-1" w:right="-817" w:rightChars="-389" w:firstLine="1920" w:firstLineChars="800"/>
        <w:rPr>
          <w:rFonts w:hint="eastAsia" w:ascii="宋体" w:hAnsi="宋体" w:cs="宋体"/>
          <w:color w:val="auto"/>
          <w:sz w:val="24"/>
          <w:highlight w:val="none"/>
        </w:rPr>
      </w:pPr>
      <w:r>
        <w:rPr>
          <w:rFonts w:hint="eastAsia" w:ascii="宋体" w:hAnsi="宋体" w:cs="宋体"/>
          <w:color w:val="auto"/>
          <w:sz w:val="24"/>
          <w:highlight w:val="none"/>
        </w:rPr>
        <w:t xml:space="preserve">法定代表人（或负责人）或者委托代理人（签字或者电子签名）： </w:t>
      </w:r>
    </w:p>
    <w:p w14:paraId="04FB5AD8">
      <w:pPr>
        <w:snapToGrid w:val="0"/>
        <w:spacing w:line="360" w:lineRule="auto"/>
        <w:ind w:left="-3" w:leftChars="-15" w:right="-817" w:rightChars="-389" w:hanging="28" w:hangingChars="12"/>
        <w:rPr>
          <w:rFonts w:hint="eastAsia" w:ascii="宋体" w:hAnsi="宋体" w:cs="宋体"/>
          <w:color w:val="auto"/>
          <w:sz w:val="24"/>
          <w:highlight w:val="none"/>
        </w:rPr>
      </w:pPr>
      <w:r>
        <w:rPr>
          <w:rFonts w:hint="eastAsia" w:ascii="宋体" w:hAnsi="宋体" w:cs="宋体"/>
          <w:color w:val="auto"/>
          <w:sz w:val="24"/>
          <w:highlight w:val="none"/>
        </w:rPr>
        <w:t xml:space="preserve">                                  投标人名称（电子签章）：</w:t>
      </w:r>
    </w:p>
    <w:p w14:paraId="1B2054AA">
      <w:pPr>
        <w:snapToGrid w:val="0"/>
        <w:spacing w:line="360" w:lineRule="auto"/>
        <w:ind w:right="480" w:firstLine="240" w:firstLineChars="100"/>
        <w:jc w:val="left"/>
        <w:rPr>
          <w:rFonts w:hint="eastAsia" w:ascii="宋体" w:hAnsi="宋体" w:cs="宋体"/>
          <w:color w:val="auto"/>
          <w:szCs w:val="21"/>
          <w:highlight w:val="none"/>
        </w:rPr>
      </w:pPr>
      <w:r>
        <w:rPr>
          <w:rFonts w:hint="eastAsia" w:ascii="宋体" w:hAnsi="宋体" w:cs="宋体"/>
          <w:color w:val="auto"/>
          <w:sz w:val="24"/>
          <w:highlight w:val="none"/>
        </w:rPr>
        <w:t xml:space="preserve">                                日期：    年   月   日</w:t>
      </w:r>
    </w:p>
    <w:p w14:paraId="21666F7F">
      <w:pPr>
        <w:pStyle w:val="16"/>
        <w:jc w:val="both"/>
        <w:outlineLvl w:val="9"/>
        <w:rPr>
          <w:rFonts w:hAnsi="宋体" w:eastAsia="宋体" w:cs="Times New Roman"/>
          <w:color w:val="auto"/>
          <w:szCs w:val="21"/>
          <w:highlight w:val="none"/>
        </w:rPr>
      </w:pPr>
    </w:p>
    <w:p w14:paraId="0F616FED">
      <w:pPr>
        <w:pStyle w:val="16"/>
        <w:jc w:val="both"/>
        <w:outlineLvl w:val="9"/>
        <w:rPr>
          <w:rFonts w:hAnsi="宋体" w:eastAsia="宋体" w:cs="Times New Roman"/>
          <w:color w:val="auto"/>
          <w:szCs w:val="21"/>
          <w:highlight w:val="none"/>
        </w:rPr>
      </w:pPr>
    </w:p>
    <w:p w14:paraId="78B4D1B0">
      <w:pPr>
        <w:pStyle w:val="16"/>
        <w:jc w:val="both"/>
        <w:outlineLvl w:val="9"/>
        <w:rPr>
          <w:rFonts w:hAnsi="宋体" w:eastAsia="宋体" w:cs="Times New Roman"/>
          <w:color w:val="auto"/>
          <w:szCs w:val="21"/>
          <w:highlight w:val="none"/>
        </w:rPr>
      </w:pPr>
    </w:p>
    <w:p w14:paraId="2D184B1A">
      <w:pPr>
        <w:pStyle w:val="16"/>
        <w:jc w:val="both"/>
        <w:outlineLvl w:val="9"/>
        <w:rPr>
          <w:rFonts w:hAnsi="宋体" w:eastAsia="宋体" w:cs="Times New Roman"/>
          <w:color w:val="auto"/>
          <w:szCs w:val="21"/>
          <w:highlight w:val="none"/>
        </w:rPr>
      </w:pPr>
    </w:p>
    <w:p w14:paraId="6524DFFB">
      <w:pPr>
        <w:pStyle w:val="16"/>
        <w:jc w:val="both"/>
        <w:outlineLvl w:val="9"/>
        <w:rPr>
          <w:rFonts w:hAnsi="宋体" w:eastAsia="宋体" w:cs="Times New Roman"/>
          <w:color w:val="auto"/>
          <w:szCs w:val="21"/>
          <w:highlight w:val="none"/>
        </w:rPr>
      </w:pPr>
    </w:p>
    <w:p w14:paraId="75F11C8B">
      <w:pPr>
        <w:pStyle w:val="16"/>
        <w:jc w:val="both"/>
        <w:outlineLvl w:val="9"/>
        <w:rPr>
          <w:rFonts w:hAnsi="宋体" w:eastAsia="宋体" w:cs="Times New Roman"/>
          <w:color w:val="auto"/>
          <w:szCs w:val="21"/>
          <w:highlight w:val="none"/>
        </w:rPr>
      </w:pPr>
    </w:p>
    <w:p w14:paraId="69F850CF">
      <w:pPr>
        <w:pStyle w:val="16"/>
        <w:jc w:val="both"/>
        <w:outlineLvl w:val="9"/>
        <w:rPr>
          <w:rFonts w:hAnsi="宋体" w:eastAsia="宋体" w:cs="Times New Roman"/>
          <w:color w:val="auto"/>
          <w:szCs w:val="21"/>
          <w:highlight w:val="none"/>
        </w:rPr>
      </w:pPr>
    </w:p>
    <w:p w14:paraId="72F67061">
      <w:pPr>
        <w:pStyle w:val="16"/>
        <w:jc w:val="both"/>
        <w:outlineLvl w:val="9"/>
        <w:rPr>
          <w:rFonts w:hAnsi="宋体" w:eastAsia="宋体" w:cs="Times New Roman"/>
          <w:color w:val="auto"/>
          <w:szCs w:val="21"/>
          <w:highlight w:val="none"/>
        </w:rPr>
      </w:pPr>
    </w:p>
    <w:p w14:paraId="0EFC44ED">
      <w:pPr>
        <w:pStyle w:val="16"/>
        <w:jc w:val="both"/>
        <w:outlineLvl w:val="9"/>
        <w:rPr>
          <w:rFonts w:hAnsi="宋体" w:eastAsia="宋体" w:cs="Times New Roman"/>
          <w:color w:val="auto"/>
          <w:szCs w:val="21"/>
          <w:highlight w:val="none"/>
        </w:rPr>
      </w:pPr>
    </w:p>
    <w:p w14:paraId="6FF5C6A9">
      <w:pPr>
        <w:rPr>
          <w:rFonts w:hint="default" w:hAnsi="Courier New" w:eastAsia="宋体" w:cs="Times New Roman"/>
          <w:b w:val="0"/>
          <w:bCs w:val="0"/>
          <w:color w:val="auto"/>
          <w:sz w:val="21"/>
          <w:szCs w:val="20"/>
          <w:highlight w:val="none"/>
        </w:rPr>
      </w:pPr>
      <w:bookmarkStart w:id="359" w:name="_Toc3944"/>
      <w:bookmarkStart w:id="360" w:name="_Toc6839"/>
      <w:bookmarkStart w:id="361" w:name="_Toc16062"/>
      <w:bookmarkStart w:id="362" w:name="_Toc13159"/>
      <w:bookmarkStart w:id="363" w:name="_Toc8189"/>
      <w:bookmarkStart w:id="364" w:name="_Toc2566"/>
      <w:bookmarkStart w:id="365" w:name="_Toc24133"/>
      <w:bookmarkStart w:id="366" w:name="_Toc12624"/>
      <w:bookmarkStart w:id="367" w:name="_Toc20777"/>
      <w:bookmarkStart w:id="368" w:name="_Toc19686838"/>
      <w:bookmarkStart w:id="369" w:name="_Toc31528"/>
    </w:p>
    <w:p w14:paraId="20C6C8B2">
      <w:pPr>
        <w:pStyle w:val="16"/>
        <w:jc w:val="center"/>
        <w:outlineLvl w:val="1"/>
        <w:rPr>
          <w:rFonts w:hint="eastAsia" w:hAnsi="宋体" w:eastAsia="宋体" w:cs="Times New Roman"/>
          <w:b/>
          <w:bCs/>
          <w:color w:val="auto"/>
          <w:sz w:val="28"/>
          <w:szCs w:val="28"/>
          <w:highlight w:val="none"/>
        </w:rPr>
      </w:pPr>
      <w:r>
        <w:rPr>
          <w:rFonts w:hint="eastAsia" w:hAnsi="宋体" w:eastAsia="宋体" w:cs="Times New Roman"/>
          <w:b/>
          <w:bCs/>
          <w:color w:val="auto"/>
          <w:sz w:val="28"/>
          <w:szCs w:val="28"/>
          <w:highlight w:val="none"/>
        </w:rPr>
        <w:t>第</w:t>
      </w:r>
      <w:r>
        <w:rPr>
          <w:rFonts w:hint="eastAsia" w:hAnsi="宋体" w:cs="Times New Roman"/>
          <w:b/>
          <w:bCs/>
          <w:color w:val="auto"/>
          <w:sz w:val="28"/>
          <w:szCs w:val="28"/>
          <w:highlight w:val="none"/>
          <w:lang w:eastAsia="zh-CN"/>
        </w:rPr>
        <w:t>二</w:t>
      </w:r>
      <w:r>
        <w:rPr>
          <w:rFonts w:hint="eastAsia" w:hAnsi="宋体" w:eastAsia="宋体" w:cs="Times New Roman"/>
          <w:b/>
          <w:bCs/>
          <w:color w:val="auto"/>
          <w:sz w:val="28"/>
          <w:szCs w:val="28"/>
          <w:highlight w:val="none"/>
        </w:rPr>
        <w:t>节 商务文件格式</w:t>
      </w:r>
      <w:bookmarkEnd w:id="359"/>
      <w:bookmarkEnd w:id="360"/>
      <w:bookmarkEnd w:id="361"/>
      <w:bookmarkEnd w:id="362"/>
      <w:bookmarkEnd w:id="363"/>
      <w:bookmarkEnd w:id="364"/>
      <w:bookmarkEnd w:id="365"/>
      <w:bookmarkEnd w:id="366"/>
      <w:bookmarkEnd w:id="367"/>
      <w:bookmarkEnd w:id="368"/>
      <w:bookmarkEnd w:id="369"/>
    </w:p>
    <w:p w14:paraId="59AF43F8">
      <w:pPr>
        <w:snapToGrid w:val="0"/>
        <w:spacing w:before="165" w:beforeLines="50" w:after="50"/>
        <w:rPr>
          <w:rFonts w:hint="eastAsia" w:ascii="宋体" w:hAnsi="宋体" w:eastAsia="宋体" w:cs="Times New Roman"/>
          <w:color w:val="auto"/>
          <w:sz w:val="30"/>
          <w:szCs w:val="20"/>
          <w:highlight w:val="none"/>
        </w:rPr>
      </w:pPr>
    </w:p>
    <w:p w14:paraId="49A5D45A">
      <w:pPr>
        <w:pStyle w:val="18"/>
        <w:rPr>
          <w:rFonts w:hint="eastAsia"/>
          <w:color w:val="auto"/>
          <w:highlight w:val="none"/>
        </w:rPr>
      </w:pPr>
      <w:r>
        <w:rPr>
          <w:rFonts w:hint="eastAsia" w:ascii="宋体" w:hAnsi="宋体" w:cs="宋体"/>
          <w:b/>
          <w:color w:val="auto"/>
          <w:sz w:val="28"/>
          <w:szCs w:val="28"/>
          <w:highlight w:val="none"/>
          <w:lang w:val="en-US" w:eastAsia="zh-CN"/>
        </w:rPr>
        <w:t>1.</w:t>
      </w:r>
      <w:r>
        <w:rPr>
          <w:rFonts w:hint="eastAsia" w:ascii="宋体" w:hAnsi="宋体" w:eastAsia="宋体" w:cs="宋体"/>
          <w:b/>
          <w:color w:val="auto"/>
          <w:sz w:val="28"/>
          <w:szCs w:val="28"/>
          <w:highlight w:val="none"/>
        </w:rPr>
        <w:t>商务文件封面</w:t>
      </w:r>
      <w:r>
        <w:rPr>
          <w:rFonts w:hint="eastAsia" w:ascii="宋体" w:hAnsi="宋体" w:cs="宋体"/>
          <w:b/>
          <w:color w:val="auto"/>
          <w:sz w:val="28"/>
          <w:szCs w:val="28"/>
          <w:highlight w:val="none"/>
          <w:lang w:eastAsia="zh-CN"/>
        </w:rPr>
        <w:t>的</w:t>
      </w:r>
      <w:r>
        <w:rPr>
          <w:rFonts w:hint="eastAsia" w:ascii="宋体" w:hAnsi="宋体" w:eastAsia="宋体" w:cs="宋体"/>
          <w:b/>
          <w:color w:val="auto"/>
          <w:sz w:val="28"/>
          <w:szCs w:val="28"/>
          <w:highlight w:val="none"/>
        </w:rPr>
        <w:t>格式</w:t>
      </w:r>
      <w:r>
        <w:rPr>
          <w:rFonts w:hint="eastAsia" w:hAnsi="宋体" w:cs="宋体"/>
          <w:b/>
          <w:bCs/>
          <w:color w:val="auto"/>
          <w:sz w:val="28"/>
          <w:szCs w:val="28"/>
          <w:highlight w:val="none"/>
          <w:lang w:val="en-US" w:eastAsia="zh-CN"/>
        </w:rPr>
        <w:t>（参照此格式自拟）</w:t>
      </w:r>
      <w:r>
        <w:rPr>
          <w:rFonts w:hint="eastAsia" w:ascii="宋体" w:hAnsi="宋体" w:eastAsia="宋体" w:cs="宋体"/>
          <w:b/>
          <w:color w:val="auto"/>
          <w:sz w:val="28"/>
          <w:szCs w:val="28"/>
          <w:highlight w:val="none"/>
        </w:rPr>
        <w:t>：</w:t>
      </w:r>
    </w:p>
    <w:p w14:paraId="02FD7B83">
      <w:pPr>
        <w:snapToGrid w:val="0"/>
        <w:spacing w:before="165" w:beforeLines="50" w:after="50"/>
        <w:rPr>
          <w:rFonts w:hint="eastAsia" w:ascii="宋体" w:hAnsi="宋体" w:eastAsia="宋体" w:cs="Times New Roman"/>
          <w:bCs/>
          <w:color w:val="auto"/>
          <w:sz w:val="32"/>
          <w:szCs w:val="20"/>
          <w:highlight w:val="none"/>
        </w:rPr>
      </w:pPr>
      <w:r>
        <w:rPr>
          <w:rFonts w:hint="eastAsia" w:ascii="宋体" w:hAnsi="宋体" w:eastAsia="宋体" w:cs="Times New Roman"/>
          <w:color w:val="auto"/>
          <w:sz w:val="24"/>
          <w:highlight w:val="none"/>
        </w:rPr>
        <w:t xml:space="preserve">                                                  </w:t>
      </w:r>
      <w:r>
        <w:rPr>
          <w:rFonts w:hint="eastAsia" w:ascii="宋体" w:hAnsi="宋体" w:eastAsia="宋体" w:cs="Times New Roman"/>
          <w:bCs/>
          <w:color w:val="auto"/>
          <w:highlight w:val="none"/>
        </w:rPr>
        <w:t xml:space="preserve">             电子投标文件</w:t>
      </w:r>
    </w:p>
    <w:p w14:paraId="7674D601">
      <w:pPr>
        <w:snapToGrid w:val="0"/>
        <w:spacing w:before="165" w:beforeLines="50" w:after="50"/>
        <w:rPr>
          <w:rFonts w:hint="eastAsia" w:ascii="宋体" w:hAnsi="宋体" w:eastAsia="宋体" w:cs="Times New Roman"/>
          <w:color w:val="auto"/>
          <w:sz w:val="24"/>
          <w:szCs w:val="20"/>
          <w:highlight w:val="none"/>
        </w:rPr>
      </w:pPr>
    </w:p>
    <w:p w14:paraId="43EB723D">
      <w:pPr>
        <w:snapToGrid w:val="0"/>
        <w:spacing w:before="165" w:beforeLines="50" w:after="50"/>
        <w:jc w:val="center"/>
        <w:rPr>
          <w:rFonts w:hint="eastAsia" w:ascii="宋体" w:hAnsi="宋体" w:eastAsia="宋体" w:cs="Times New Roman"/>
          <w:b/>
          <w:color w:val="auto"/>
          <w:sz w:val="24"/>
          <w:szCs w:val="20"/>
          <w:highlight w:val="none"/>
        </w:rPr>
      </w:pPr>
      <w:r>
        <w:rPr>
          <w:rFonts w:hint="eastAsia" w:ascii="宋体" w:hAnsi="宋体" w:eastAsia="宋体" w:cs="Times New Roman"/>
          <w:b/>
          <w:color w:val="auto"/>
          <w:sz w:val="32"/>
          <w:szCs w:val="32"/>
          <w:highlight w:val="none"/>
        </w:rPr>
        <w:t>商务文件</w:t>
      </w:r>
    </w:p>
    <w:p w14:paraId="0EF0487E">
      <w:pPr>
        <w:snapToGrid w:val="0"/>
        <w:spacing w:before="165" w:beforeLines="50" w:after="50"/>
        <w:rPr>
          <w:rFonts w:hint="eastAsia" w:ascii="宋体" w:hAnsi="宋体" w:eastAsia="宋体" w:cs="Times New Roman"/>
          <w:bCs/>
          <w:color w:val="auto"/>
          <w:sz w:val="24"/>
          <w:szCs w:val="20"/>
          <w:highlight w:val="none"/>
        </w:rPr>
      </w:pPr>
    </w:p>
    <w:p w14:paraId="578FE5B2">
      <w:pPr>
        <w:snapToGrid w:val="0"/>
        <w:spacing w:before="165" w:beforeLines="50" w:after="50"/>
        <w:ind w:firstLine="540" w:firstLineChars="225"/>
        <w:rPr>
          <w:rFonts w:hint="eastAsia" w:ascii="宋体" w:hAnsi="宋体" w:eastAsia="宋体" w:cs="Times New Roman"/>
          <w:bCs/>
          <w:color w:val="auto"/>
          <w:sz w:val="24"/>
          <w:highlight w:val="none"/>
        </w:rPr>
      </w:pPr>
    </w:p>
    <w:p w14:paraId="22BC3082">
      <w:pPr>
        <w:snapToGrid w:val="0"/>
        <w:spacing w:before="165" w:beforeLines="50" w:after="50"/>
        <w:ind w:firstLine="540" w:firstLineChars="225"/>
        <w:rPr>
          <w:rFonts w:hint="eastAsia" w:ascii="宋体" w:hAnsi="宋体" w:eastAsia="宋体" w:cs="Times New Roman"/>
          <w:bCs/>
          <w:color w:val="auto"/>
          <w:sz w:val="24"/>
          <w:szCs w:val="20"/>
          <w:highlight w:val="none"/>
        </w:rPr>
      </w:pPr>
      <w:r>
        <w:rPr>
          <w:rFonts w:hint="eastAsia" w:ascii="宋体" w:hAnsi="宋体" w:eastAsia="宋体" w:cs="Times New Roman"/>
          <w:bCs/>
          <w:color w:val="auto"/>
          <w:sz w:val="24"/>
          <w:highlight w:val="none"/>
        </w:rPr>
        <w:t>项目名称：</w:t>
      </w:r>
    </w:p>
    <w:p w14:paraId="72A9A487">
      <w:pPr>
        <w:snapToGrid w:val="0"/>
        <w:spacing w:before="165" w:beforeLines="50" w:after="50"/>
        <w:ind w:firstLine="540" w:firstLineChars="225"/>
        <w:rPr>
          <w:rFonts w:hint="eastAsia" w:ascii="宋体" w:hAnsi="宋体" w:eastAsia="宋体" w:cs="Times New Roman"/>
          <w:bCs/>
          <w:color w:val="auto"/>
          <w:sz w:val="24"/>
          <w:szCs w:val="20"/>
          <w:highlight w:val="none"/>
        </w:rPr>
      </w:pPr>
      <w:r>
        <w:rPr>
          <w:rFonts w:hint="eastAsia" w:ascii="宋体" w:hAnsi="宋体" w:eastAsia="宋体" w:cs="Times New Roman"/>
          <w:bCs/>
          <w:color w:val="auto"/>
          <w:sz w:val="24"/>
          <w:highlight w:val="none"/>
        </w:rPr>
        <w:t xml:space="preserve">项目编号： </w:t>
      </w:r>
    </w:p>
    <w:p w14:paraId="1B718085">
      <w:pPr>
        <w:snapToGrid w:val="0"/>
        <w:spacing w:before="165" w:beforeLines="50" w:after="50"/>
        <w:ind w:firstLine="540" w:firstLineChars="225"/>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所投分标（如有则填写，无分标时填写“无”或者留空）：</w:t>
      </w:r>
    </w:p>
    <w:p w14:paraId="64BB90C9">
      <w:pPr>
        <w:snapToGrid w:val="0"/>
        <w:spacing w:before="165" w:beforeLines="50" w:after="50"/>
        <w:ind w:firstLine="540" w:firstLineChars="225"/>
        <w:rPr>
          <w:rFonts w:hint="eastAsia" w:ascii="宋体" w:hAnsi="宋体" w:eastAsia="宋体" w:cs="Times New Roman"/>
          <w:bCs/>
          <w:color w:val="auto"/>
          <w:sz w:val="24"/>
          <w:szCs w:val="20"/>
          <w:highlight w:val="none"/>
        </w:rPr>
      </w:pPr>
    </w:p>
    <w:p w14:paraId="5844BB2A">
      <w:pPr>
        <w:pStyle w:val="7"/>
        <w:snapToGrid w:val="0"/>
        <w:spacing w:before="50" w:after="50"/>
        <w:ind w:firstLine="540" w:firstLineChars="225"/>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投标人名称：</w:t>
      </w:r>
    </w:p>
    <w:p w14:paraId="2014888F">
      <w:pPr>
        <w:pStyle w:val="7"/>
        <w:snapToGrid w:val="0"/>
        <w:spacing w:before="50" w:after="50"/>
        <w:ind w:firstLine="540" w:firstLineChars="225"/>
        <w:rPr>
          <w:rFonts w:hint="eastAsia" w:ascii="宋体" w:hAnsi="宋体" w:eastAsia="宋体" w:cs="Times New Roman"/>
          <w:bCs/>
          <w:color w:val="auto"/>
          <w:sz w:val="24"/>
          <w:szCs w:val="24"/>
          <w:highlight w:val="none"/>
        </w:rPr>
      </w:pPr>
    </w:p>
    <w:p w14:paraId="4207A283">
      <w:pPr>
        <w:pStyle w:val="7"/>
        <w:snapToGrid w:val="0"/>
        <w:spacing w:before="50" w:after="50"/>
        <w:ind w:firstLine="960" w:firstLineChars="400"/>
        <w:rPr>
          <w:rFonts w:hint="eastAsia" w:ascii="宋体" w:hAnsi="宋体" w:eastAsia="宋体" w:cs="Times New Roman"/>
          <w:bCs/>
          <w:color w:val="auto"/>
          <w:sz w:val="24"/>
          <w:szCs w:val="24"/>
          <w:highlight w:val="none"/>
        </w:rPr>
      </w:pPr>
    </w:p>
    <w:p w14:paraId="24DEE826">
      <w:pPr>
        <w:snapToGrid w:val="0"/>
        <w:spacing w:before="165" w:beforeLines="50" w:after="50"/>
        <w:ind w:firstLine="645"/>
        <w:rPr>
          <w:rFonts w:hint="eastAsia" w:ascii="宋体" w:hAnsi="宋体" w:cs="Times New Roman"/>
          <w:color w:val="auto"/>
          <w:sz w:val="24"/>
          <w:highlight w:val="none"/>
          <w:lang w:val="en-US" w:eastAsia="zh-CN"/>
        </w:rPr>
      </w:pPr>
      <w:r>
        <w:rPr>
          <w:rFonts w:hint="eastAsia" w:ascii="宋体" w:hAnsi="宋体" w:eastAsia="宋体" w:cs="Times New Roman"/>
          <w:color w:val="auto"/>
          <w:sz w:val="24"/>
          <w:highlight w:val="none"/>
        </w:rPr>
        <w:t xml:space="preserve">                       </w:t>
      </w:r>
      <w:r>
        <w:rPr>
          <w:rFonts w:hint="eastAsia" w:ascii="宋体" w:hAnsi="宋体" w:cs="Times New Roman"/>
          <w:color w:val="auto"/>
          <w:sz w:val="24"/>
          <w:highlight w:val="none"/>
          <w:lang w:val="en-US" w:eastAsia="zh-CN"/>
        </w:rPr>
        <w:t xml:space="preserve">      </w:t>
      </w:r>
    </w:p>
    <w:p w14:paraId="366BCD5C">
      <w:pPr>
        <w:snapToGrid w:val="0"/>
        <w:spacing w:before="165" w:beforeLines="50" w:after="50"/>
        <w:ind w:firstLine="645"/>
        <w:rPr>
          <w:rFonts w:hint="eastAsia" w:ascii="宋体" w:hAnsi="宋体" w:cs="Times New Roman"/>
          <w:color w:val="auto"/>
          <w:sz w:val="24"/>
          <w:highlight w:val="none"/>
          <w:lang w:val="en-US" w:eastAsia="zh-CN"/>
        </w:rPr>
      </w:pPr>
    </w:p>
    <w:p w14:paraId="3D1E66DB">
      <w:pPr>
        <w:snapToGrid w:val="0"/>
        <w:spacing w:before="165" w:beforeLines="50" w:after="50"/>
        <w:ind w:firstLine="645"/>
        <w:rPr>
          <w:rFonts w:hint="eastAsia" w:ascii="宋体" w:hAnsi="宋体" w:cs="Times New Roman"/>
          <w:color w:val="auto"/>
          <w:sz w:val="24"/>
          <w:highlight w:val="none"/>
          <w:lang w:val="en-US" w:eastAsia="zh-CN"/>
        </w:rPr>
      </w:pPr>
    </w:p>
    <w:p w14:paraId="2C012E11">
      <w:pPr>
        <w:snapToGrid w:val="0"/>
        <w:spacing w:before="165" w:beforeLines="50" w:after="50"/>
        <w:ind w:firstLine="645"/>
        <w:rPr>
          <w:rFonts w:hint="eastAsia" w:ascii="宋体" w:hAnsi="宋体" w:cs="Times New Roman"/>
          <w:color w:val="auto"/>
          <w:sz w:val="24"/>
          <w:highlight w:val="none"/>
          <w:lang w:val="en-US" w:eastAsia="zh-CN"/>
        </w:rPr>
      </w:pPr>
    </w:p>
    <w:p w14:paraId="291D96C2">
      <w:pPr>
        <w:snapToGrid w:val="0"/>
        <w:spacing w:before="165" w:beforeLines="50" w:after="50"/>
        <w:ind w:firstLine="645"/>
        <w:rPr>
          <w:rFonts w:hint="eastAsia" w:ascii="宋体" w:hAnsi="宋体" w:cs="Times New Roman"/>
          <w:color w:val="auto"/>
          <w:sz w:val="24"/>
          <w:highlight w:val="none"/>
          <w:lang w:val="en-US" w:eastAsia="zh-CN"/>
        </w:rPr>
      </w:pPr>
    </w:p>
    <w:p w14:paraId="76169BC8">
      <w:pPr>
        <w:snapToGrid w:val="0"/>
        <w:spacing w:before="165" w:beforeLines="50" w:after="50"/>
        <w:ind w:firstLine="4329" w:firstLineChars="1804"/>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年  月  日</w:t>
      </w:r>
    </w:p>
    <w:p w14:paraId="1CFA632C">
      <w:pPr>
        <w:spacing w:line="360" w:lineRule="auto"/>
        <w:ind w:right="420"/>
        <w:rPr>
          <w:rFonts w:hint="eastAsia" w:ascii="仿宋_GB2312" w:hAnsi="仿宋" w:eastAsia="仿宋_GB2312" w:cs="仿宋_GB2312"/>
          <w:b/>
          <w:color w:val="auto"/>
          <w:kern w:val="0"/>
          <w:sz w:val="36"/>
          <w:szCs w:val="36"/>
          <w:highlight w:val="none"/>
        </w:rPr>
      </w:pPr>
      <w:r>
        <w:rPr>
          <w:rFonts w:hint="eastAsia" w:ascii="宋体" w:hAnsi="宋体" w:eastAsia="宋体" w:cs="Times New Roman"/>
          <w:color w:val="auto"/>
          <w:sz w:val="24"/>
          <w:szCs w:val="20"/>
          <w:highlight w:val="none"/>
        </w:rPr>
        <w:t xml:space="preserve"> </w:t>
      </w:r>
    </w:p>
    <w:p w14:paraId="3680E8E2">
      <w:pPr>
        <w:rPr>
          <w:rFonts w:hint="eastAsia" w:ascii="仿宋_GB2312" w:hAnsi="仿宋" w:eastAsia="仿宋_GB2312" w:cs="仿宋_GB2312"/>
          <w:b/>
          <w:color w:val="auto"/>
          <w:kern w:val="0"/>
          <w:sz w:val="24"/>
          <w:highlight w:val="none"/>
        </w:rPr>
      </w:pPr>
      <w:r>
        <w:rPr>
          <w:rFonts w:hint="eastAsia" w:ascii="仿宋_GB2312" w:hAnsi="仿宋" w:eastAsia="仿宋_GB2312" w:cs="仿宋_GB2312"/>
          <w:b/>
          <w:color w:val="auto"/>
          <w:kern w:val="0"/>
          <w:sz w:val="24"/>
          <w:highlight w:val="none"/>
        </w:rPr>
        <w:br w:type="page"/>
      </w:r>
    </w:p>
    <w:p w14:paraId="36945B56">
      <w:pPr>
        <w:spacing w:line="360" w:lineRule="auto"/>
        <w:ind w:right="420"/>
        <w:rPr>
          <w:rFonts w:hint="eastAsia" w:ascii="宋体" w:hAnsi="宋体" w:cs="宋体"/>
          <w:color w:val="auto"/>
          <w:sz w:val="24"/>
          <w:szCs w:val="20"/>
          <w:highlight w:val="none"/>
        </w:rPr>
      </w:pPr>
      <w:r>
        <w:rPr>
          <w:rFonts w:hint="eastAsia" w:ascii="宋体" w:hAnsi="宋体" w:eastAsia="宋体" w:cs="宋体"/>
          <w:b/>
          <w:bCs/>
          <w:color w:val="auto"/>
          <w:sz w:val="28"/>
          <w:szCs w:val="28"/>
          <w:highlight w:val="none"/>
          <w:lang w:val="en-US"/>
        </w:rPr>
        <w:t>2</w:t>
      </w:r>
      <w:r>
        <w:rPr>
          <w:rFonts w:hint="eastAsia" w:ascii="宋体" w:hAnsi="宋体" w:eastAsia="宋体" w:cs="宋体"/>
          <w:b/>
          <w:bCs/>
          <w:color w:val="auto"/>
          <w:sz w:val="28"/>
          <w:szCs w:val="28"/>
          <w:highlight w:val="none"/>
        </w:rPr>
        <w:t>.商务文件目录</w:t>
      </w:r>
    </w:p>
    <w:p w14:paraId="5E1D6E95">
      <w:pPr>
        <w:snapToGrid/>
        <w:spacing w:before="0" w:beforeLines="0" w:after="0"/>
        <w:ind w:left="0"/>
        <w:jc w:val="left"/>
        <w:rPr>
          <w:rFonts w:hint="eastAsia" w:ascii="Times New Roman" w:hAnsi="Times New Roman" w:eastAsia="宋体" w:cs="Times New Roman"/>
          <w:b/>
          <w:bCs/>
          <w:color w:val="auto"/>
          <w:sz w:val="30"/>
          <w:szCs w:val="30"/>
          <w:highlight w:val="none"/>
        </w:rPr>
      </w:pPr>
      <w:r>
        <w:rPr>
          <w:rFonts w:hint="eastAsia" w:ascii="宋体" w:hAnsi="宋体" w:eastAsia="宋体" w:cs="宋体"/>
          <w:color w:val="auto"/>
          <w:kern w:val="0"/>
          <w:sz w:val="24"/>
          <w:highlight w:val="none"/>
        </w:rPr>
        <w:t>根据招标文件规定及投标人提供的材料自行编写目录（部分格式后附）。</w:t>
      </w:r>
      <w:r>
        <w:rPr>
          <w:rFonts w:hint="eastAsia" w:ascii="Times New Roman" w:hAnsi="Times New Roman" w:eastAsia="宋体" w:cs="Times New Roman"/>
          <w:b/>
          <w:bCs/>
          <w:color w:val="auto"/>
          <w:sz w:val="30"/>
          <w:szCs w:val="30"/>
          <w:highlight w:val="none"/>
        </w:rPr>
        <w:br w:type="page"/>
      </w:r>
    </w:p>
    <w:p w14:paraId="75A33270">
      <w:pPr>
        <w:snapToGrid w:val="0"/>
        <w:spacing w:before="120" w:beforeLines="50" w:after="50"/>
        <w:ind w:left="0"/>
        <w:jc w:val="both"/>
        <w:rPr>
          <w:rFonts w:hint="eastAsia" w:ascii="Times New Roman" w:hAnsi="Times New Roman" w:eastAsia="宋体" w:cs="Times New Roman"/>
          <w:b/>
          <w:bCs/>
          <w:color w:val="auto"/>
          <w:sz w:val="30"/>
          <w:szCs w:val="30"/>
          <w:highlight w:val="none"/>
        </w:rPr>
      </w:pPr>
      <w:r>
        <w:rPr>
          <w:rFonts w:hint="eastAsia" w:ascii="宋体" w:hAnsi="宋体" w:cs="宋体"/>
          <w:b/>
          <w:bCs/>
          <w:color w:val="auto"/>
          <w:sz w:val="28"/>
          <w:szCs w:val="28"/>
          <w:highlight w:val="none"/>
          <w:lang w:val="en-US" w:eastAsia="zh-CN"/>
        </w:rPr>
        <w:t>3.</w:t>
      </w:r>
      <w:r>
        <w:rPr>
          <w:rFonts w:hint="eastAsia" w:ascii="宋体" w:hAnsi="宋体" w:cs="宋体"/>
          <w:b/>
          <w:bCs/>
          <w:color w:val="auto"/>
          <w:sz w:val="28"/>
          <w:szCs w:val="28"/>
          <w:highlight w:val="none"/>
          <w:lang w:eastAsia="zh-CN"/>
        </w:rPr>
        <w:t>无串通投标行为的承诺函的格式：</w:t>
      </w:r>
    </w:p>
    <w:p w14:paraId="7DB43340">
      <w:pPr>
        <w:snapToGrid w:val="0"/>
        <w:spacing w:before="120" w:beforeLines="50" w:after="50"/>
        <w:ind w:left="420"/>
        <w:jc w:val="center"/>
        <w:rPr>
          <w:rFonts w:hint="eastAsia" w:ascii="宋体" w:hAnsi="宋体" w:eastAsia="宋体" w:cs="Times New Roman"/>
          <w:b/>
          <w:color w:val="auto"/>
          <w:sz w:val="32"/>
          <w:szCs w:val="32"/>
          <w:highlight w:val="none"/>
        </w:rPr>
      </w:pPr>
    </w:p>
    <w:p w14:paraId="695167E7">
      <w:pPr>
        <w:snapToGrid w:val="0"/>
        <w:spacing w:before="120" w:beforeLines="50" w:after="50"/>
        <w:ind w:left="420"/>
        <w:jc w:val="center"/>
        <w:rPr>
          <w:rFonts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参加本项目无</w:t>
      </w:r>
      <w:r>
        <w:rPr>
          <w:rFonts w:hint="eastAsia" w:ascii="Times New Roman" w:hAnsi="Times New Roman" w:eastAsia="宋体" w:cs="Times New Roman"/>
          <w:b/>
          <w:bCs/>
          <w:color w:val="auto"/>
          <w:sz w:val="32"/>
          <w:szCs w:val="32"/>
          <w:highlight w:val="none"/>
          <w:lang w:eastAsia="zh-CN"/>
        </w:rPr>
        <w:t>串通投</w:t>
      </w:r>
      <w:r>
        <w:rPr>
          <w:rFonts w:hint="eastAsia" w:ascii="宋体" w:hAnsi="宋体" w:eastAsia="宋体" w:cs="Times New Roman"/>
          <w:b/>
          <w:color w:val="auto"/>
          <w:sz w:val="32"/>
          <w:szCs w:val="32"/>
          <w:highlight w:val="none"/>
        </w:rPr>
        <w:t>标行为的承诺函</w:t>
      </w:r>
    </w:p>
    <w:p w14:paraId="0E4C6221">
      <w:pPr>
        <w:snapToGrid w:val="0"/>
        <w:spacing w:before="120" w:beforeLines="50" w:after="50"/>
        <w:rPr>
          <w:rFonts w:hint="eastAsia" w:ascii="宋体" w:hAnsi="宋体" w:eastAsia="宋体" w:cs="Times New Roman"/>
          <w:b/>
          <w:color w:val="auto"/>
          <w:szCs w:val="21"/>
          <w:highlight w:val="none"/>
        </w:rPr>
      </w:pPr>
    </w:p>
    <w:p w14:paraId="296E76E2">
      <w:pPr>
        <w:snapToGrid w:val="0"/>
        <w:spacing w:before="120" w:beforeLines="50" w:after="50" w:line="360" w:lineRule="auto"/>
        <w:jc w:val="left"/>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一、我方承诺无下列相互串通投标的情形：</w:t>
      </w:r>
    </w:p>
    <w:p w14:paraId="3E5329D0">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1.不同投标人的投标文件由同一单位或者个人编制；</w:t>
      </w:r>
      <w:r>
        <w:rPr>
          <w:rFonts w:hint="eastAsia" w:ascii="宋体" w:hAnsi="宋体" w:cs="Times New Roman"/>
          <w:b w:val="0"/>
          <w:color w:val="auto"/>
          <w:szCs w:val="21"/>
          <w:highlight w:val="none"/>
        </w:rPr>
        <w:t>或者不同投标人报名的IP地址一致的；</w:t>
      </w:r>
    </w:p>
    <w:p w14:paraId="78F0BA1F">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2.不同投标人委托同一单位或者个人办理投标事宜；</w:t>
      </w:r>
    </w:p>
    <w:p w14:paraId="23147D4B">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3.不同的投标人的投标文件载明的项目管理员为同一个人；</w:t>
      </w:r>
    </w:p>
    <w:p w14:paraId="2022DEE1">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4.不同投标人的投标文件异常一致或者投标报价呈规律性差异；</w:t>
      </w:r>
    </w:p>
    <w:p w14:paraId="4503E63F">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5.不同投标人的投标文件相互混装；</w:t>
      </w:r>
    </w:p>
    <w:p w14:paraId="7FEE8B4A">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default" w:ascii="宋体" w:hAnsi="宋体" w:eastAsia="宋体" w:cs="Times New Roman"/>
          <w:color w:val="auto"/>
          <w:szCs w:val="21"/>
          <w:highlight w:val="none"/>
          <w:lang w:val="en-US"/>
        </w:rPr>
        <w:t>6</w:t>
      </w:r>
      <w:r>
        <w:rPr>
          <w:rFonts w:hint="eastAsia" w:ascii="宋体" w:hAnsi="宋体" w:eastAsia="宋体" w:cs="Times New Roman"/>
          <w:color w:val="auto"/>
          <w:szCs w:val="21"/>
          <w:highlight w:val="none"/>
        </w:rPr>
        <w:t>.不同投标人的投标保证金从同一单位或者个人账户转出。</w:t>
      </w:r>
    </w:p>
    <w:p w14:paraId="07FA786B">
      <w:pPr>
        <w:snapToGrid w:val="0"/>
        <w:spacing w:before="120" w:beforeLines="50" w:after="50" w:line="360" w:lineRule="auto"/>
        <w:jc w:val="left"/>
        <w:rPr>
          <w:rFonts w:hint="eastAsia" w:ascii="宋体" w:hAnsi="宋体" w:eastAsia="宋体" w:cs="Times New Roman"/>
          <w:color w:val="auto"/>
          <w:szCs w:val="21"/>
          <w:highlight w:val="none"/>
        </w:rPr>
      </w:pPr>
      <w:r>
        <w:rPr>
          <w:rFonts w:hint="eastAsia" w:ascii="宋体" w:hAnsi="宋体" w:eastAsia="宋体" w:cs="Times New Roman"/>
          <w:b/>
          <w:color w:val="auto"/>
          <w:szCs w:val="21"/>
          <w:highlight w:val="none"/>
        </w:rPr>
        <w:t>二、我方承诺无下列恶意串通的情形：</w:t>
      </w:r>
    </w:p>
    <w:p w14:paraId="4B2B1F53">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1.投标人直接或者间接从采购人或者采购代理机构处获得其他投标人的相关信息并修改其投标文件；</w:t>
      </w:r>
    </w:p>
    <w:p w14:paraId="1E7048B4">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2.投标人按照采购人或者采购代理机构的授意撤换、修改投标文件；</w:t>
      </w:r>
    </w:p>
    <w:p w14:paraId="70AC424D">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3.投标人之间协商报价、技术方案等投标文件的实质性内容；</w:t>
      </w:r>
    </w:p>
    <w:p w14:paraId="041C71B3">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4.属于同一集团、协会、商会等组织成员的投标人按照该组织要求协同参加政府采购活动；</w:t>
      </w:r>
    </w:p>
    <w:p w14:paraId="19A138EC">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5.投标人之间事先约定一致抬高或者压低投标报价，或者在招标项目中事先约定轮流以高价位或者低价位中标，或者事先约定由某一特定投标人中标，然后再参加投标；</w:t>
      </w:r>
    </w:p>
    <w:p w14:paraId="13D7859C">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6.投标人之间商定部分投标人放弃参加政府采购活动或者放弃中标；</w:t>
      </w:r>
    </w:p>
    <w:p w14:paraId="3AF16479">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7.投标人与采购人或者采购代理机构之间、投标人相互之间，为谋求特定投标人中标或者排斥其他投标人的其他串通行为。</w:t>
      </w:r>
    </w:p>
    <w:p w14:paraId="66D00D19">
      <w:pPr>
        <w:snapToGrid w:val="0"/>
        <w:spacing w:before="120" w:beforeLines="50" w:after="50" w:line="360" w:lineRule="auto"/>
        <w:ind w:firstLine="413" w:firstLineChars="196"/>
        <w:jc w:val="left"/>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以上情形一经核查属实，接受政府采购监管部门对我方认定存在围标串标行为，我方愿意承担一切后果，并不再寻求任何旨在减轻或者免除法律责任的辩解。</w:t>
      </w:r>
    </w:p>
    <w:p w14:paraId="1DA5AF0F">
      <w:pPr>
        <w:pStyle w:val="11"/>
        <w:rPr>
          <w:rFonts w:hint="eastAsia"/>
          <w:color w:val="auto"/>
          <w:highlight w:val="none"/>
          <w:lang w:eastAsia="zh-CN"/>
        </w:rPr>
      </w:pPr>
    </w:p>
    <w:p w14:paraId="6497CAB1">
      <w:pPr>
        <w:snapToGrid w:val="0"/>
        <w:spacing w:line="360" w:lineRule="auto"/>
        <w:ind w:firstLine="4935" w:firstLineChars="2350"/>
        <w:rPr>
          <w:rFonts w:hint="eastAsia" w:ascii="宋体" w:hAnsi="宋体" w:eastAsia="宋体" w:cs="宋体"/>
          <w:color w:val="auto"/>
          <w:kern w:val="0"/>
          <w:sz w:val="24"/>
          <w:highlight w:val="none"/>
          <w:lang w:val="zh-CN"/>
        </w:rPr>
      </w:pPr>
      <w:r>
        <w:rPr>
          <w:rFonts w:ascii="Times New Roman" w:hAnsi="宋体" w:eastAsia="宋体" w:cs="Times New Roman"/>
          <w:color w:val="auto"/>
          <w:szCs w:val="21"/>
          <w:highlight w:val="none"/>
        </w:rPr>
        <w:t xml:space="preserve">  </w:t>
      </w:r>
      <w:r>
        <w:rPr>
          <w:rFonts w:hint="eastAsia" w:ascii="宋体" w:hAnsi="宋体" w:eastAsia="宋体" w:cs="宋体"/>
          <w:color w:val="auto"/>
          <w:kern w:val="0"/>
          <w:sz w:val="24"/>
          <w:highlight w:val="none"/>
          <w:lang w:val="zh-CN"/>
        </w:rPr>
        <w:t>投标人名称(盖</w:t>
      </w:r>
      <w:r>
        <w:rPr>
          <w:rFonts w:hint="eastAsia" w:ascii="宋体" w:hAnsi="宋体" w:cs="宋体"/>
          <w:color w:val="auto"/>
          <w:kern w:val="0"/>
          <w:sz w:val="24"/>
          <w:highlight w:val="none"/>
          <w:lang w:val="en-US" w:eastAsia="zh-CN"/>
        </w:rPr>
        <w:t>单位</w:t>
      </w:r>
      <w:r>
        <w:rPr>
          <w:rFonts w:hint="eastAsia" w:ascii="宋体" w:hAnsi="宋体" w:eastAsia="宋体" w:cs="宋体"/>
          <w:color w:val="auto"/>
          <w:kern w:val="0"/>
          <w:sz w:val="24"/>
          <w:highlight w:val="none"/>
          <w:lang w:val="zh-CN"/>
        </w:rPr>
        <w:t>公章)：</w:t>
      </w:r>
    </w:p>
    <w:p w14:paraId="2E505F7A">
      <w:pPr>
        <w:pStyle w:val="18"/>
        <w:rPr>
          <w:rFonts w:hint="eastAsia"/>
          <w:color w:val="auto"/>
          <w:highlight w:val="none"/>
        </w:rPr>
      </w:pPr>
    </w:p>
    <w:p w14:paraId="73553DEC">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4B4B2846">
      <w:pPr>
        <w:pStyle w:val="2"/>
        <w:rPr>
          <w:rFonts w:hint="eastAsia"/>
          <w:color w:val="auto"/>
          <w:highlight w:val="none"/>
          <w:lang w:val="en-US" w:eastAsia="zh-CN"/>
        </w:rPr>
      </w:pPr>
      <w:r>
        <w:rPr>
          <w:rFonts w:hint="eastAsia" w:hAnsi="宋体" w:eastAsia="宋体" w:cs="Times New Roman"/>
          <w:b/>
          <w:color w:val="auto"/>
          <w:sz w:val="24"/>
          <w:highlight w:val="none"/>
        </w:rPr>
        <w:br w:type="page"/>
      </w:r>
    </w:p>
    <w:p w14:paraId="4B32C15A">
      <w:pPr>
        <w:pStyle w:val="16"/>
        <w:snapToGrid w:val="0"/>
        <w:spacing w:before="295" w:after="295" w:line="360" w:lineRule="auto"/>
        <w:jc w:val="both"/>
        <w:rPr>
          <w:rFonts w:hint="eastAsia" w:hAnsi="宋体" w:eastAsia="宋体" w:cs="Times New Roman"/>
          <w:b/>
          <w:color w:val="auto"/>
          <w:sz w:val="24"/>
          <w:highlight w:val="none"/>
        </w:rPr>
      </w:pPr>
      <w:r>
        <w:rPr>
          <w:rFonts w:hint="eastAsia" w:hAnsi="宋体" w:cs="宋体"/>
          <w:b/>
          <w:bCs/>
          <w:color w:val="auto"/>
          <w:sz w:val="28"/>
          <w:szCs w:val="28"/>
          <w:highlight w:val="none"/>
          <w:lang w:val="en-US" w:eastAsia="zh-CN"/>
        </w:rPr>
        <w:t>4.</w:t>
      </w:r>
      <w:r>
        <w:rPr>
          <w:rFonts w:hint="eastAsia" w:ascii="宋体" w:hAnsi="宋体" w:cs="宋体"/>
          <w:b/>
          <w:bCs/>
          <w:color w:val="auto"/>
          <w:sz w:val="28"/>
          <w:szCs w:val="28"/>
          <w:highlight w:val="none"/>
        </w:rPr>
        <w:t>法定代表人身份证明</w:t>
      </w:r>
      <w:r>
        <w:rPr>
          <w:rFonts w:hint="eastAsia" w:hAnsi="宋体" w:cs="宋体"/>
          <w:b/>
          <w:bCs/>
          <w:color w:val="auto"/>
          <w:sz w:val="28"/>
          <w:szCs w:val="28"/>
          <w:highlight w:val="none"/>
          <w:lang w:eastAsia="zh-CN"/>
        </w:rPr>
        <w:t>的格式：</w:t>
      </w:r>
    </w:p>
    <w:p w14:paraId="58189669">
      <w:pPr>
        <w:spacing w:before="240" w:beforeLines="100" w:after="120" w:afterLines="50"/>
        <w:ind w:left="540"/>
        <w:jc w:val="center"/>
        <w:rPr>
          <w:rFonts w:hint="eastAsia" w:ascii="宋体" w:hAnsi="Courier New" w:eastAsia="宋体" w:cs="Times New Roman"/>
          <w:b/>
          <w:color w:val="auto"/>
          <w:sz w:val="32"/>
          <w:szCs w:val="32"/>
          <w:highlight w:val="none"/>
        </w:rPr>
      </w:pPr>
    </w:p>
    <w:p w14:paraId="58CE93B3">
      <w:pPr>
        <w:spacing w:before="240" w:beforeLines="100" w:after="120" w:afterLines="50"/>
        <w:ind w:left="540"/>
        <w:jc w:val="center"/>
        <w:rPr>
          <w:rFonts w:hint="eastAsia" w:ascii="黑体" w:hAnsi="宋体" w:eastAsia="黑体" w:cs="Times New Roman"/>
          <w:color w:val="auto"/>
          <w:sz w:val="32"/>
          <w:szCs w:val="32"/>
          <w:highlight w:val="none"/>
        </w:rPr>
      </w:pPr>
      <w:r>
        <w:rPr>
          <w:rFonts w:hint="eastAsia" w:ascii="宋体" w:hAnsi="Courier New" w:eastAsia="宋体" w:cs="Times New Roman"/>
          <w:b/>
          <w:color w:val="auto"/>
          <w:sz w:val="32"/>
          <w:szCs w:val="32"/>
          <w:highlight w:val="none"/>
        </w:rPr>
        <w:t>法定代表人身份证明</w:t>
      </w:r>
    </w:p>
    <w:p w14:paraId="71B08744">
      <w:pPr>
        <w:spacing w:line="500" w:lineRule="exact"/>
        <w:ind w:left="54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投 标 人：</w:t>
      </w:r>
      <w:r>
        <w:rPr>
          <w:rFonts w:hint="eastAsia" w:ascii="宋体" w:hAnsi="宋体" w:eastAsia="宋体" w:cs="Times New Roman"/>
          <w:color w:val="auto"/>
          <w:sz w:val="24"/>
          <w:highlight w:val="none"/>
          <w:u w:val="single"/>
        </w:rPr>
        <w:t xml:space="preserve">                                                        </w:t>
      </w:r>
    </w:p>
    <w:p w14:paraId="6071910C">
      <w:pPr>
        <w:spacing w:line="500" w:lineRule="exact"/>
        <w:ind w:left="54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地    址：</w:t>
      </w:r>
      <w:r>
        <w:rPr>
          <w:rFonts w:hint="eastAsia" w:ascii="宋体" w:hAnsi="宋体" w:eastAsia="宋体" w:cs="Times New Roman"/>
          <w:color w:val="auto"/>
          <w:sz w:val="24"/>
          <w:highlight w:val="none"/>
          <w:u w:val="single"/>
        </w:rPr>
        <w:t xml:space="preserve">                                                        </w:t>
      </w:r>
    </w:p>
    <w:p w14:paraId="76AA9F02">
      <w:pPr>
        <w:spacing w:line="500" w:lineRule="exact"/>
        <w:ind w:left="54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姓    名：</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性      别：</w:t>
      </w:r>
      <w:r>
        <w:rPr>
          <w:rFonts w:hint="eastAsia" w:ascii="宋体" w:hAnsi="宋体" w:eastAsia="宋体" w:cs="Times New Roman"/>
          <w:color w:val="auto"/>
          <w:sz w:val="24"/>
          <w:highlight w:val="none"/>
          <w:u w:val="single"/>
        </w:rPr>
        <w:t xml:space="preserve">                </w:t>
      </w:r>
    </w:p>
    <w:p w14:paraId="797EA7DF">
      <w:pPr>
        <w:spacing w:line="500" w:lineRule="exact"/>
        <w:ind w:left="540"/>
        <w:rPr>
          <w:rFonts w:hint="eastAsia" w:ascii="宋体" w:hAnsi="宋体" w:eastAsia="宋体" w:cs="Times New Roman"/>
          <w:color w:val="auto"/>
          <w:sz w:val="24"/>
          <w:highlight w:val="none"/>
          <w:u w:val="single"/>
        </w:rPr>
      </w:pPr>
      <w:r>
        <w:rPr>
          <w:rFonts w:hint="eastAsia" w:ascii="宋体" w:hAnsi="宋体" w:eastAsia="宋体" w:cs="Times New Roman"/>
          <w:color w:val="auto"/>
          <w:sz w:val="24"/>
          <w:highlight w:val="none"/>
        </w:rPr>
        <w:t>年    龄：</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职      务：</w:t>
      </w:r>
      <w:r>
        <w:rPr>
          <w:rFonts w:hint="eastAsia" w:ascii="宋体" w:hAnsi="宋体" w:eastAsia="宋体" w:cs="Times New Roman"/>
          <w:color w:val="auto"/>
          <w:sz w:val="24"/>
          <w:highlight w:val="none"/>
          <w:u w:val="single"/>
        </w:rPr>
        <w:t xml:space="preserve">                </w:t>
      </w:r>
    </w:p>
    <w:p w14:paraId="639229B9">
      <w:pPr>
        <w:spacing w:line="500" w:lineRule="exact"/>
        <w:ind w:left="54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身份证</w:t>
      </w:r>
      <w:r>
        <w:rPr>
          <w:rFonts w:hint="eastAsia" w:ascii="Times New Roman" w:hAnsi="Times New Roman" w:eastAsia="宋体" w:cs="Times New Roman"/>
          <w:color w:val="auto"/>
          <w:sz w:val="24"/>
          <w:highlight w:val="none"/>
        </w:rPr>
        <w:t>号码：</w:t>
      </w:r>
      <w:r>
        <w:rPr>
          <w:rFonts w:ascii="Times New Roman" w:hAnsi="Times New Roman" w:eastAsia="宋体" w:cs="Times New Roman"/>
          <w:color w:val="auto"/>
          <w:sz w:val="24"/>
          <w:highlight w:val="none"/>
          <w:u w:val="single"/>
        </w:rPr>
        <w:t xml:space="preserve">                                 </w:t>
      </w:r>
    </w:p>
    <w:p w14:paraId="294D5542">
      <w:pPr>
        <w:spacing w:line="500" w:lineRule="exact"/>
        <w:ind w:left="54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系</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i/>
          <w:iCs/>
          <w:color w:val="auto"/>
          <w:sz w:val="24"/>
          <w:highlight w:val="none"/>
          <w:u w:val="single"/>
        </w:rPr>
        <w:t>（投标人名称</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的法定代表人。</w:t>
      </w:r>
    </w:p>
    <w:p w14:paraId="124A9CDE">
      <w:pPr>
        <w:spacing w:line="500" w:lineRule="exact"/>
        <w:ind w:left="54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特此证明。</w:t>
      </w:r>
    </w:p>
    <w:p w14:paraId="529953D9">
      <w:pPr>
        <w:spacing w:line="500" w:lineRule="exact"/>
        <w:ind w:left="540"/>
        <w:rPr>
          <w:rFonts w:hint="eastAsia" w:ascii="宋体" w:hAnsi="宋体" w:eastAsia="宋体" w:cs="Times New Roman"/>
          <w:color w:val="auto"/>
          <w:sz w:val="24"/>
          <w:highlight w:val="none"/>
        </w:rPr>
      </w:pPr>
    </w:p>
    <w:p w14:paraId="505D299E">
      <w:pPr>
        <w:spacing w:line="500" w:lineRule="exact"/>
        <w:ind w:left="540"/>
        <w:rPr>
          <w:rFonts w:hint="eastAsia" w:ascii="宋体" w:hAnsi="宋体" w:eastAsia="宋体" w:cs="Times New Roman"/>
          <w:color w:val="auto"/>
          <w:sz w:val="24"/>
          <w:highlight w:val="none"/>
        </w:rPr>
      </w:pPr>
    </w:p>
    <w:p w14:paraId="61C855E5">
      <w:pPr>
        <w:spacing w:line="500" w:lineRule="exact"/>
        <w:ind w:left="54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附件：法定代表人有效身份证正反面</w:t>
      </w:r>
      <w:r>
        <w:rPr>
          <w:rFonts w:hint="eastAsia" w:ascii="宋体" w:hAnsi="宋体" w:eastAsia="宋体" w:cs="Times New Roman"/>
          <w:color w:val="auto"/>
          <w:sz w:val="24"/>
          <w:highlight w:val="none"/>
          <w:lang w:val="en-US" w:eastAsia="zh-CN"/>
        </w:rPr>
        <w:t>扫描件</w:t>
      </w:r>
    </w:p>
    <w:p w14:paraId="7333A8CC">
      <w:pPr>
        <w:spacing w:line="500" w:lineRule="exact"/>
        <w:ind w:left="540"/>
        <w:rPr>
          <w:rFonts w:hint="eastAsia" w:ascii="宋体" w:hAnsi="宋体" w:eastAsia="宋体" w:cs="Times New Roman"/>
          <w:color w:val="auto"/>
          <w:sz w:val="24"/>
          <w:highlight w:val="none"/>
        </w:rPr>
      </w:pPr>
    </w:p>
    <w:p w14:paraId="2AE806EB">
      <w:pPr>
        <w:snapToGrid w:val="0"/>
        <w:spacing w:line="360" w:lineRule="auto"/>
        <w:ind w:firstLine="4935" w:firstLineChars="2350"/>
        <w:rPr>
          <w:rFonts w:hint="eastAsia" w:ascii="宋体" w:hAnsi="宋体" w:eastAsia="宋体" w:cs="宋体"/>
          <w:color w:val="auto"/>
          <w:kern w:val="0"/>
          <w:sz w:val="24"/>
          <w:highlight w:val="none"/>
          <w:lang w:val="zh-CN"/>
        </w:rPr>
      </w:pPr>
      <w:r>
        <w:rPr>
          <w:rFonts w:ascii="Times New Roman" w:hAnsi="宋体" w:eastAsia="宋体" w:cs="Times New Roman"/>
          <w:color w:val="auto"/>
          <w:szCs w:val="21"/>
          <w:highlight w:val="none"/>
        </w:rPr>
        <w:t xml:space="preserve">  </w:t>
      </w:r>
      <w:r>
        <w:rPr>
          <w:rFonts w:hint="eastAsia" w:ascii="宋体" w:hAnsi="宋体" w:eastAsia="宋体" w:cs="宋体"/>
          <w:color w:val="auto"/>
          <w:kern w:val="0"/>
          <w:sz w:val="24"/>
          <w:highlight w:val="none"/>
          <w:lang w:val="zh-CN"/>
        </w:rPr>
        <w:t>投标人名称(盖</w:t>
      </w:r>
      <w:r>
        <w:rPr>
          <w:rFonts w:hint="eastAsia" w:ascii="宋体" w:hAnsi="宋体" w:cs="宋体"/>
          <w:color w:val="auto"/>
          <w:kern w:val="0"/>
          <w:sz w:val="24"/>
          <w:highlight w:val="none"/>
          <w:lang w:val="en-US" w:eastAsia="zh-CN"/>
        </w:rPr>
        <w:t>单位</w:t>
      </w:r>
      <w:r>
        <w:rPr>
          <w:rFonts w:hint="eastAsia" w:ascii="宋体" w:hAnsi="宋体" w:eastAsia="宋体" w:cs="宋体"/>
          <w:color w:val="auto"/>
          <w:kern w:val="0"/>
          <w:sz w:val="24"/>
          <w:highlight w:val="none"/>
          <w:lang w:val="zh-CN"/>
        </w:rPr>
        <w:t>公章)：</w:t>
      </w:r>
    </w:p>
    <w:p w14:paraId="3883837C">
      <w:pPr>
        <w:pStyle w:val="18"/>
        <w:rPr>
          <w:rFonts w:hint="eastAsia"/>
          <w:color w:val="auto"/>
          <w:highlight w:val="none"/>
        </w:rPr>
      </w:pPr>
      <w:r>
        <w:rPr>
          <w:rFonts w:hint="eastAsia" w:ascii="宋体" w:hAnsi="宋体"/>
          <w:color w:val="auto"/>
          <w:sz w:val="24"/>
          <w:highlight w:val="none"/>
        </w:rPr>
        <w:t>法定代表人（或负责人）或者委托代理人（签字或者盖章或者电子签名）：</w:t>
      </w:r>
      <w:r>
        <w:rPr>
          <w:rFonts w:hint="eastAsia" w:ascii="宋体" w:hAnsi="宋体"/>
          <w:color w:val="auto"/>
          <w:sz w:val="24"/>
          <w:highlight w:val="none"/>
          <w:u w:val="single"/>
        </w:rPr>
        <w:t xml:space="preserve"> </w:t>
      </w:r>
    </w:p>
    <w:p w14:paraId="71488169">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2BF21333">
      <w:pPr>
        <w:snapToGrid w:val="0"/>
        <w:spacing w:before="120" w:beforeLines="50" w:after="50"/>
        <w:jc w:val="center"/>
        <w:rPr>
          <w:rFonts w:hint="eastAsia" w:ascii="宋体" w:hAnsi="宋体" w:eastAsia="宋体" w:cs="Times New Roman"/>
          <w:b/>
          <w:color w:val="auto"/>
          <w:sz w:val="24"/>
          <w:highlight w:val="none"/>
        </w:rPr>
      </w:pPr>
    </w:p>
    <w:p w14:paraId="660D1929">
      <w:pPr>
        <w:snapToGrid w:val="0"/>
        <w:spacing w:before="120" w:beforeLines="50" w:after="50"/>
        <w:ind w:firstLine="600" w:firstLineChars="25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注：自然人投标的无需提供</w:t>
      </w:r>
    </w:p>
    <w:p w14:paraId="5883CFE3">
      <w:pPr>
        <w:snapToGrid w:val="0"/>
        <w:spacing w:before="120" w:beforeLines="50" w:after="50"/>
        <w:ind w:firstLine="600" w:firstLineChars="250"/>
        <w:jc w:val="left"/>
        <w:rPr>
          <w:rFonts w:hint="eastAsia" w:ascii="宋体" w:hAnsi="宋体" w:eastAsia="宋体" w:cs="Times New Roman"/>
          <w:color w:val="auto"/>
          <w:sz w:val="24"/>
          <w:highlight w:val="none"/>
        </w:rPr>
      </w:pPr>
    </w:p>
    <w:p w14:paraId="37710507">
      <w:pPr>
        <w:snapToGrid w:val="0"/>
        <w:spacing w:before="120" w:beforeLines="50" w:after="50"/>
        <w:ind w:firstLine="602" w:firstLineChars="250"/>
        <w:jc w:val="left"/>
        <w:rPr>
          <w:rFonts w:hint="eastAsia" w:ascii="宋体" w:hAnsi="宋体" w:eastAsia="宋体" w:cs="Times New Roman"/>
          <w:b/>
          <w:color w:val="auto"/>
          <w:sz w:val="24"/>
          <w:szCs w:val="20"/>
          <w:highlight w:val="none"/>
        </w:rPr>
      </w:pPr>
    </w:p>
    <w:tbl>
      <w:tblPr>
        <w:tblStyle w:val="27"/>
        <w:tblpPr w:leftFromText="180" w:rightFromText="180" w:vertAnchor="text" w:horzAnchor="margin" w:tblpXSpec="center" w:tblpY="1169"/>
        <w:tblW w:w="8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0"/>
      </w:tblGrid>
      <w:tr w14:paraId="4D288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jc w:val="center"/>
        </w:trPr>
        <w:tc>
          <w:tcPr>
            <w:tcW w:w="8460" w:type="dxa"/>
            <w:tcBorders>
              <w:top w:val="single" w:color="auto" w:sz="4" w:space="0"/>
              <w:left w:val="single" w:color="auto" w:sz="4" w:space="0"/>
              <w:bottom w:val="single" w:color="auto" w:sz="4" w:space="0"/>
              <w:right w:val="single" w:color="auto" w:sz="4" w:space="0"/>
            </w:tcBorders>
            <w:noWrap w:val="0"/>
            <w:vAlign w:val="top"/>
          </w:tcPr>
          <w:p w14:paraId="1FA4DC21">
            <w:pPr>
              <w:spacing w:line="360" w:lineRule="auto"/>
              <w:rPr>
                <w:rFonts w:hint="eastAsia" w:ascii="宋体" w:hAnsi="Times New Roman" w:eastAsia="宋体" w:cs="Times New Roman"/>
                <w:b/>
                <w:color w:val="auto"/>
                <w:sz w:val="24"/>
                <w:highlight w:val="none"/>
              </w:rPr>
            </w:pPr>
          </w:p>
          <w:p w14:paraId="08C9593C">
            <w:pPr>
              <w:spacing w:line="360" w:lineRule="auto"/>
              <w:rPr>
                <w:rFonts w:hint="eastAsia" w:ascii="宋体" w:hAnsi="Times New Roman" w:eastAsia="宋体" w:cs="Times New Roman"/>
                <w:b/>
                <w:color w:val="auto"/>
                <w:sz w:val="24"/>
                <w:highlight w:val="none"/>
              </w:rPr>
            </w:pPr>
            <w:r>
              <w:rPr>
                <w:rFonts w:hint="eastAsia" w:ascii="宋体" w:hAnsi="Times New Roman" w:eastAsia="宋体" w:cs="Times New Roman"/>
                <w:b/>
                <w:color w:val="auto"/>
                <w:sz w:val="24"/>
                <w:highlight w:val="none"/>
              </w:rPr>
              <w:t>法定代表人有效身份证</w:t>
            </w:r>
            <w:r>
              <w:rPr>
                <w:rFonts w:hint="eastAsia" w:ascii="宋体" w:hAnsi="Times New Roman" w:eastAsia="宋体" w:cs="Times New Roman"/>
                <w:b/>
                <w:color w:val="auto"/>
                <w:sz w:val="24"/>
                <w:highlight w:val="none"/>
                <w:lang w:val="en-US" w:eastAsia="zh-CN"/>
              </w:rPr>
              <w:t>扫描件</w:t>
            </w:r>
            <w:r>
              <w:rPr>
                <w:rFonts w:hint="eastAsia" w:ascii="宋体" w:hAnsi="Times New Roman" w:eastAsia="宋体" w:cs="Times New Roman"/>
                <w:b/>
                <w:color w:val="auto"/>
                <w:sz w:val="24"/>
                <w:highlight w:val="none"/>
              </w:rPr>
              <w:t>（正、反面）</w:t>
            </w:r>
          </w:p>
        </w:tc>
      </w:tr>
    </w:tbl>
    <w:p w14:paraId="52BAE0CC">
      <w:pPr>
        <w:pStyle w:val="16"/>
        <w:snapToGrid w:val="0"/>
        <w:spacing w:before="295" w:after="295" w:line="360" w:lineRule="auto"/>
        <w:jc w:val="left"/>
        <w:rPr>
          <w:rFonts w:hint="eastAsia" w:hAnsi="宋体" w:eastAsia="宋体" w:cs="Times New Roman"/>
          <w:b/>
          <w:color w:val="auto"/>
          <w:sz w:val="24"/>
          <w:highlight w:val="none"/>
        </w:rPr>
      </w:pPr>
      <w:r>
        <w:rPr>
          <w:rFonts w:hint="eastAsia" w:hAnsi="宋体" w:eastAsia="宋体" w:cs="Times New Roman"/>
          <w:b/>
          <w:color w:val="auto"/>
          <w:sz w:val="24"/>
          <w:highlight w:val="none"/>
        </w:rPr>
        <w:t>附件：</w:t>
      </w:r>
      <w:r>
        <w:rPr>
          <w:rFonts w:hint="eastAsia" w:hAnsi="宋体" w:eastAsia="宋体" w:cs="Times New Roman"/>
          <w:b/>
          <w:color w:val="auto"/>
          <w:sz w:val="24"/>
          <w:highlight w:val="none"/>
        </w:rPr>
        <w:br w:type="page"/>
      </w:r>
      <w:r>
        <w:rPr>
          <w:rFonts w:hint="eastAsia" w:hAnsi="宋体" w:cs="宋体"/>
          <w:b/>
          <w:bCs/>
          <w:color w:val="auto"/>
          <w:sz w:val="30"/>
          <w:szCs w:val="30"/>
          <w:highlight w:val="none"/>
          <w:lang w:val="en-US" w:eastAsia="zh-CN"/>
        </w:rPr>
        <w:t>5.</w:t>
      </w:r>
      <w:r>
        <w:rPr>
          <w:rFonts w:hint="eastAsia" w:ascii="宋体" w:hAnsi="宋体" w:cs="宋体"/>
          <w:b/>
          <w:bCs/>
          <w:color w:val="auto"/>
          <w:sz w:val="30"/>
          <w:szCs w:val="30"/>
          <w:highlight w:val="none"/>
        </w:rPr>
        <w:t>法定代表人授权委托书</w:t>
      </w:r>
      <w:r>
        <w:rPr>
          <w:rFonts w:hint="eastAsia" w:hAnsi="宋体" w:cs="宋体"/>
          <w:b/>
          <w:bCs/>
          <w:color w:val="auto"/>
          <w:sz w:val="30"/>
          <w:szCs w:val="30"/>
          <w:highlight w:val="none"/>
          <w:lang w:eastAsia="zh-CN"/>
        </w:rPr>
        <w:t>的格式：</w:t>
      </w:r>
    </w:p>
    <w:p w14:paraId="47ECC01F">
      <w:pPr>
        <w:spacing w:line="500" w:lineRule="exact"/>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授权委托书（联合体</w:t>
      </w:r>
      <w:r>
        <w:rPr>
          <w:rFonts w:hint="eastAsia" w:ascii="宋体" w:hAnsi="宋体" w:cs="宋体"/>
          <w:b/>
          <w:bCs/>
          <w:color w:val="auto"/>
          <w:sz w:val="32"/>
          <w:szCs w:val="32"/>
          <w:highlight w:val="none"/>
          <w:lang w:val="en-US" w:eastAsia="zh-CN"/>
        </w:rPr>
        <w:t>投标</w:t>
      </w:r>
      <w:r>
        <w:rPr>
          <w:rFonts w:hint="eastAsia" w:ascii="宋体" w:hAnsi="宋体" w:eastAsia="宋体" w:cs="宋体"/>
          <w:b/>
          <w:bCs/>
          <w:color w:val="auto"/>
          <w:sz w:val="32"/>
          <w:szCs w:val="32"/>
          <w:highlight w:val="none"/>
        </w:rPr>
        <w:t>格式）</w:t>
      </w:r>
    </w:p>
    <w:p w14:paraId="5C7FA9D5">
      <w:pPr>
        <w:spacing w:line="500" w:lineRule="exact"/>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（如有委托时）</w:t>
      </w:r>
    </w:p>
    <w:p w14:paraId="71CE4B72">
      <w:pPr>
        <w:spacing w:line="500" w:lineRule="exact"/>
        <w:jc w:val="center"/>
        <w:rPr>
          <w:rFonts w:hint="eastAsia" w:ascii="宋体" w:hAnsi="宋体" w:eastAsia="宋体" w:cs="宋体"/>
          <w:color w:val="auto"/>
          <w:sz w:val="44"/>
          <w:szCs w:val="44"/>
          <w:highlight w:val="none"/>
        </w:rPr>
      </w:pPr>
    </w:p>
    <w:p w14:paraId="739535D0">
      <w:pPr>
        <w:spacing w:line="500" w:lineRule="exact"/>
        <w:jc w:val="center"/>
        <w:rPr>
          <w:rFonts w:hint="eastAsia" w:ascii="宋体" w:hAnsi="宋体" w:eastAsia="宋体" w:cs="宋体"/>
          <w:color w:val="auto"/>
          <w:sz w:val="32"/>
          <w:szCs w:val="32"/>
          <w:highlight w:val="none"/>
        </w:rPr>
      </w:pPr>
    </w:p>
    <w:p w14:paraId="31146AB4">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本授权委托书声明：根据</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（牵头人名称）与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（联合体其他成员名称）签订的《联合体</w:t>
      </w:r>
      <w:r>
        <w:rPr>
          <w:rFonts w:hint="eastAsia" w:ascii="宋体" w:hAnsi="宋体" w:cs="宋体"/>
          <w:color w:val="auto"/>
          <w:sz w:val="24"/>
          <w:highlight w:val="none"/>
          <w:lang w:val="en-US" w:eastAsia="zh-CN"/>
        </w:rPr>
        <w:t>投标</w:t>
      </w:r>
      <w:r>
        <w:rPr>
          <w:rFonts w:hint="eastAsia" w:ascii="宋体" w:hAnsi="宋体" w:eastAsia="宋体" w:cs="宋体"/>
          <w:color w:val="auto"/>
          <w:sz w:val="24"/>
          <w:highlight w:val="none"/>
        </w:rPr>
        <w:t>协议书》的内容，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（牵头人名称）的法定代表人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（姓名）现授权</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（姓名）为联合委托代理人，并代表我方全权办理针对上述项目的所有采购程序和环节的具体事务和签署相关文件。</w:t>
      </w:r>
    </w:p>
    <w:p w14:paraId="702CA68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我方对委托代理人的签字或者盖章或者电子签名事项负全部责任。</w:t>
      </w:r>
    </w:p>
    <w:p w14:paraId="324225F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本授权书自签署之日起生效，在撤销授权的书面通知以前，本授权书一直有效。委托代理人在授权书有效期内签署的所有文件不因授权的撤销而失效。</w:t>
      </w:r>
    </w:p>
    <w:p w14:paraId="5B84715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委托代理人无转委托权，特此委托。</w:t>
      </w:r>
    </w:p>
    <w:p w14:paraId="230BB6A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3F1BFADF">
      <w:pPr>
        <w:spacing w:line="360" w:lineRule="auto"/>
        <w:ind w:firstLine="1560" w:firstLineChars="650"/>
        <w:rPr>
          <w:rFonts w:hint="eastAsia" w:ascii="宋体" w:hAnsi="宋体" w:eastAsia="宋体" w:cs="宋体"/>
          <w:color w:val="auto"/>
          <w:sz w:val="24"/>
          <w:highlight w:val="none"/>
        </w:rPr>
      </w:pPr>
      <w:r>
        <w:rPr>
          <w:rFonts w:hint="eastAsia" w:ascii="宋体" w:hAnsi="宋体" w:eastAsia="宋体" w:cs="宋体"/>
          <w:color w:val="auto"/>
          <w:sz w:val="24"/>
          <w:highlight w:val="none"/>
        </w:rPr>
        <w:t>牵头人法定代表人</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签字或者盖章或者电子签名</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w:t>
      </w:r>
    </w:p>
    <w:p w14:paraId="598B9CA6">
      <w:pPr>
        <w:spacing w:line="360" w:lineRule="auto"/>
        <w:ind w:firstLine="3120" w:firstLineChars="1300"/>
        <w:rPr>
          <w:rFonts w:hint="eastAsia" w:ascii="宋体" w:hAnsi="宋体" w:eastAsia="宋体" w:cs="宋体"/>
          <w:color w:val="auto"/>
          <w:sz w:val="24"/>
          <w:highlight w:val="none"/>
        </w:rPr>
      </w:pPr>
      <w:r>
        <w:rPr>
          <w:rFonts w:hint="eastAsia" w:ascii="宋体" w:hAnsi="宋体" w:eastAsia="宋体" w:cs="宋体"/>
          <w:color w:val="auto"/>
          <w:sz w:val="24"/>
          <w:highlight w:val="none"/>
        </w:rPr>
        <w:t>牵头人（盖</w:t>
      </w:r>
      <w:r>
        <w:rPr>
          <w:rFonts w:hint="eastAsia" w:ascii="宋体" w:hAnsi="宋体" w:eastAsia="宋体" w:cs="宋体"/>
          <w:color w:val="auto"/>
          <w:sz w:val="24"/>
          <w:highlight w:val="none"/>
          <w:lang w:val="en-US" w:eastAsia="zh-CN"/>
        </w:rPr>
        <w:t>单位</w:t>
      </w:r>
      <w:r>
        <w:rPr>
          <w:rFonts w:hint="eastAsia" w:ascii="宋体" w:hAnsi="宋体" w:eastAsia="宋体" w:cs="宋体"/>
          <w:color w:val="auto"/>
          <w:sz w:val="24"/>
          <w:highlight w:val="none"/>
        </w:rPr>
        <w:t>公章）：</w:t>
      </w:r>
    </w:p>
    <w:p w14:paraId="0D744460">
      <w:pPr>
        <w:spacing w:line="360" w:lineRule="auto"/>
        <w:ind w:firstLine="3840" w:firstLineChars="160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    年   月   日</w:t>
      </w:r>
    </w:p>
    <w:p w14:paraId="17F31C20">
      <w:pPr>
        <w:spacing w:line="360" w:lineRule="auto"/>
        <w:rPr>
          <w:rFonts w:hint="eastAsia" w:ascii="宋体" w:hAnsi="宋体" w:eastAsia="宋体" w:cs="宋体"/>
          <w:color w:val="auto"/>
          <w:sz w:val="24"/>
          <w:highlight w:val="none"/>
        </w:rPr>
      </w:pPr>
    </w:p>
    <w:p w14:paraId="766EC259">
      <w:pPr>
        <w:spacing w:line="360" w:lineRule="auto"/>
        <w:ind w:firstLine="3120" w:firstLineChars="1300"/>
        <w:rPr>
          <w:rFonts w:hint="eastAsia" w:ascii="宋体" w:hAnsi="宋体" w:eastAsia="宋体" w:cs="宋体"/>
          <w:color w:val="auto"/>
          <w:sz w:val="24"/>
          <w:highlight w:val="none"/>
        </w:rPr>
      </w:pPr>
      <w:r>
        <w:rPr>
          <w:rFonts w:hint="eastAsia" w:ascii="宋体" w:hAnsi="宋体" w:eastAsia="宋体" w:cs="宋体"/>
          <w:color w:val="auto"/>
          <w:sz w:val="24"/>
          <w:highlight w:val="none"/>
        </w:rPr>
        <w:t>被授权人</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签字或者盖章或者电子签名</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w:t>
      </w:r>
    </w:p>
    <w:p w14:paraId="2264320B">
      <w:pPr>
        <w:spacing w:line="360" w:lineRule="auto"/>
        <w:ind w:firstLine="3840" w:firstLineChars="160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    年   月   日</w:t>
      </w:r>
    </w:p>
    <w:p w14:paraId="40D8EA40">
      <w:pPr>
        <w:spacing w:line="360" w:lineRule="auto"/>
        <w:rPr>
          <w:rFonts w:hint="eastAsia" w:ascii="宋体" w:hAnsi="宋体" w:eastAsia="宋体" w:cs="宋体"/>
          <w:color w:val="auto"/>
          <w:sz w:val="24"/>
          <w:highlight w:val="none"/>
        </w:rPr>
      </w:pPr>
    </w:p>
    <w:p w14:paraId="6D9BC5C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注：1. 法定代表人必须在授权委托书上签字或者盖章或者电子签名，委托代理人必须在授权委托书上签字或者盖章或者电子签名，</w:t>
      </w:r>
      <w:r>
        <w:rPr>
          <w:rFonts w:hint="eastAsia" w:ascii="宋体" w:hAnsi="宋体" w:eastAsia="宋体" w:cs="宋体"/>
          <w:b/>
          <w:color w:val="auto"/>
          <w:sz w:val="24"/>
          <w:highlight w:val="none"/>
        </w:rPr>
        <w:t>否则其响应文件按无效响应处理。</w:t>
      </w:r>
    </w:p>
    <w:p w14:paraId="51022BF4">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2.本授权委托书应由联合体牵头人的法定代表人按上述规定签署。</w:t>
      </w:r>
    </w:p>
    <w:p w14:paraId="2F0C0140">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3.供应商为其他组织或者自然人时，本</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文件规定的法定代表人指负责人或者自然人。本</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文件所称负责人是指参加</w:t>
      </w:r>
      <w:r>
        <w:rPr>
          <w:rFonts w:hint="eastAsia" w:ascii="宋体" w:hAnsi="宋体" w:cs="宋体"/>
          <w:color w:val="auto"/>
          <w:sz w:val="24"/>
          <w:highlight w:val="none"/>
          <w:lang w:val="en-US" w:eastAsia="zh-CN"/>
        </w:rPr>
        <w:t>投标</w:t>
      </w:r>
      <w:r>
        <w:rPr>
          <w:rFonts w:hint="eastAsia" w:ascii="宋体" w:hAnsi="宋体" w:eastAsia="宋体" w:cs="宋体"/>
          <w:color w:val="auto"/>
          <w:sz w:val="24"/>
          <w:highlight w:val="none"/>
        </w:rPr>
        <w:t>的其他组织营业执照上的负责人，本</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文件所称自然人指参与</w:t>
      </w:r>
      <w:r>
        <w:rPr>
          <w:rFonts w:hint="eastAsia" w:ascii="宋体" w:hAnsi="宋体" w:cs="宋体"/>
          <w:color w:val="auto"/>
          <w:sz w:val="24"/>
          <w:highlight w:val="none"/>
          <w:lang w:val="en-US" w:eastAsia="zh-CN"/>
        </w:rPr>
        <w:t>投标</w:t>
      </w:r>
      <w:r>
        <w:rPr>
          <w:rFonts w:hint="eastAsia" w:ascii="宋体" w:hAnsi="宋体" w:eastAsia="宋体" w:cs="宋体"/>
          <w:color w:val="auto"/>
          <w:sz w:val="24"/>
          <w:highlight w:val="none"/>
        </w:rPr>
        <w:t>的自然人本人。</w:t>
      </w:r>
    </w:p>
    <w:p w14:paraId="17346E52">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4.法人、其他组织</w:t>
      </w:r>
      <w:r>
        <w:rPr>
          <w:rFonts w:hint="eastAsia" w:ascii="宋体" w:hAnsi="宋体" w:cs="宋体"/>
          <w:color w:val="auto"/>
          <w:sz w:val="24"/>
          <w:highlight w:val="none"/>
          <w:lang w:val="en-US" w:eastAsia="zh-CN"/>
        </w:rPr>
        <w:t>投标</w:t>
      </w:r>
      <w:r>
        <w:rPr>
          <w:rFonts w:hint="eastAsia" w:ascii="宋体" w:hAnsi="宋体" w:eastAsia="宋体" w:cs="宋体"/>
          <w:color w:val="auto"/>
          <w:sz w:val="24"/>
          <w:highlight w:val="none"/>
        </w:rPr>
        <w:t>时“我方”是指“我单位”，自然人</w:t>
      </w:r>
      <w:r>
        <w:rPr>
          <w:rFonts w:hint="eastAsia" w:ascii="宋体" w:hAnsi="宋体" w:cs="宋体"/>
          <w:color w:val="auto"/>
          <w:sz w:val="24"/>
          <w:highlight w:val="none"/>
          <w:lang w:val="en-US" w:eastAsia="zh-CN"/>
        </w:rPr>
        <w:t>投标</w:t>
      </w:r>
      <w:r>
        <w:rPr>
          <w:rFonts w:hint="eastAsia" w:ascii="宋体" w:hAnsi="宋体" w:eastAsia="宋体" w:cs="宋体"/>
          <w:color w:val="auto"/>
          <w:sz w:val="24"/>
          <w:highlight w:val="none"/>
        </w:rPr>
        <w:t>时“我方”是指“本人”。</w:t>
      </w:r>
    </w:p>
    <w:p w14:paraId="7DD28C1C">
      <w:pPr>
        <w:rPr>
          <w:color w:val="auto"/>
          <w:highlight w:val="none"/>
        </w:rPr>
      </w:pPr>
    </w:p>
    <w:p w14:paraId="7695E8E8">
      <w:pPr>
        <w:pStyle w:val="25"/>
        <w:ind w:firstLine="211"/>
        <w:rPr>
          <w:rFonts w:ascii="宋体" w:hAnsi="宋体" w:cs="宋体"/>
          <w:color w:val="auto"/>
          <w:szCs w:val="21"/>
          <w:highlight w:val="none"/>
        </w:rPr>
      </w:pPr>
    </w:p>
    <w:p w14:paraId="0EA214F7">
      <w:pPr>
        <w:snapToGrid w:val="0"/>
        <w:spacing w:before="120" w:beforeLines="50" w:after="50"/>
        <w:jc w:val="center"/>
        <w:rPr>
          <w:rFonts w:hint="eastAsia" w:ascii="宋体" w:hAnsi="宋体" w:eastAsia="宋体" w:cs="Times New Roman"/>
          <w:b/>
          <w:color w:val="auto"/>
          <w:sz w:val="32"/>
          <w:szCs w:val="32"/>
          <w:highlight w:val="none"/>
        </w:rPr>
      </w:pPr>
    </w:p>
    <w:p w14:paraId="7B7D1E04">
      <w:pPr>
        <w:snapToGrid w:val="0"/>
        <w:spacing w:before="120" w:beforeLines="50" w:after="50"/>
        <w:jc w:val="center"/>
        <w:rPr>
          <w:rFonts w:hint="eastAsia" w:ascii="宋体" w:hAnsi="宋体" w:eastAsia="宋体" w:cs="宋体"/>
          <w:b/>
          <w:bCs/>
          <w:color w:val="auto"/>
          <w:sz w:val="32"/>
          <w:szCs w:val="32"/>
          <w:highlight w:val="none"/>
        </w:rPr>
      </w:pPr>
      <w:r>
        <w:rPr>
          <w:rFonts w:hint="eastAsia" w:ascii="宋体" w:hAnsi="宋体" w:eastAsia="宋体" w:cs="Times New Roman"/>
          <w:b/>
          <w:color w:val="auto"/>
          <w:sz w:val="32"/>
          <w:szCs w:val="32"/>
          <w:highlight w:val="none"/>
        </w:rPr>
        <w:t>法定代表人授权委托书</w:t>
      </w:r>
      <w:r>
        <w:rPr>
          <w:rFonts w:hint="eastAsia" w:ascii="宋体" w:hAnsi="宋体" w:eastAsia="宋体" w:cs="宋体"/>
          <w:b/>
          <w:bCs/>
          <w:color w:val="auto"/>
          <w:sz w:val="32"/>
          <w:szCs w:val="32"/>
          <w:highlight w:val="none"/>
        </w:rPr>
        <w:t>（</w:t>
      </w:r>
      <w:r>
        <w:rPr>
          <w:rFonts w:hint="eastAsia" w:ascii="宋体" w:hAnsi="宋体" w:eastAsia="宋体" w:cs="宋体"/>
          <w:b/>
          <w:bCs/>
          <w:color w:val="auto"/>
          <w:sz w:val="32"/>
          <w:szCs w:val="32"/>
          <w:highlight w:val="none"/>
          <w:lang w:val="en-US" w:eastAsia="zh-CN"/>
        </w:rPr>
        <w:t>非</w:t>
      </w:r>
      <w:r>
        <w:rPr>
          <w:rFonts w:hint="eastAsia" w:ascii="宋体" w:hAnsi="宋体" w:eastAsia="宋体" w:cs="宋体"/>
          <w:b/>
          <w:bCs/>
          <w:color w:val="auto"/>
          <w:sz w:val="32"/>
          <w:szCs w:val="32"/>
          <w:highlight w:val="none"/>
        </w:rPr>
        <w:t>联合体</w:t>
      </w:r>
      <w:r>
        <w:rPr>
          <w:rFonts w:hint="eastAsia" w:ascii="宋体" w:hAnsi="宋体" w:cs="宋体"/>
          <w:b/>
          <w:bCs/>
          <w:color w:val="auto"/>
          <w:sz w:val="32"/>
          <w:szCs w:val="32"/>
          <w:highlight w:val="none"/>
          <w:lang w:val="en-US" w:eastAsia="zh-CN"/>
        </w:rPr>
        <w:t>投标</w:t>
      </w:r>
      <w:r>
        <w:rPr>
          <w:rFonts w:hint="eastAsia" w:ascii="宋体" w:hAnsi="宋体" w:eastAsia="宋体" w:cs="宋体"/>
          <w:b/>
          <w:bCs/>
          <w:color w:val="auto"/>
          <w:sz w:val="32"/>
          <w:szCs w:val="32"/>
          <w:highlight w:val="none"/>
        </w:rPr>
        <w:t>格式）</w:t>
      </w:r>
    </w:p>
    <w:p w14:paraId="60E9E0B1">
      <w:pPr>
        <w:snapToGrid w:val="0"/>
        <w:spacing w:before="120" w:beforeLines="50" w:after="50"/>
        <w:jc w:val="center"/>
        <w:rPr>
          <w:rFonts w:hint="eastAsia"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（如有委托时）</w:t>
      </w:r>
    </w:p>
    <w:p w14:paraId="7AFDD192">
      <w:pPr>
        <w:snapToGrid w:val="0"/>
        <w:spacing w:before="120" w:beforeLines="50" w:after="50"/>
        <w:jc w:val="center"/>
        <w:rPr>
          <w:rFonts w:hint="eastAsia" w:ascii="宋体" w:hAnsi="宋体" w:eastAsia="宋体" w:cs="Times New Roman"/>
          <w:b/>
          <w:color w:val="auto"/>
          <w:sz w:val="24"/>
          <w:highlight w:val="none"/>
        </w:rPr>
      </w:pPr>
    </w:p>
    <w:p w14:paraId="3B714EB0">
      <w:pPr>
        <w:pStyle w:val="16"/>
        <w:spacing w:line="360" w:lineRule="exact"/>
        <w:ind w:firstLine="480" w:firstLineChars="20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致：</w:t>
      </w:r>
      <w:r>
        <w:rPr>
          <w:rFonts w:ascii="Times New Roman" w:hAnsi="Times New Roman" w:eastAsia="宋体" w:cs="Times New Roman"/>
          <w:color w:val="auto"/>
          <w:sz w:val="24"/>
          <w:szCs w:val="24"/>
          <w:highlight w:val="none"/>
          <w:u w:val="single"/>
        </w:rPr>
        <w:t xml:space="preserve"> </w:t>
      </w:r>
      <w:r>
        <w:rPr>
          <w:rFonts w:hint="eastAsia" w:ascii="Times New Roman" w:hAnsi="Times New Roman" w:cs="Times New Roman"/>
          <w:color w:val="auto"/>
          <w:sz w:val="24"/>
          <w:szCs w:val="24"/>
          <w:highlight w:val="none"/>
          <w:u w:val="single"/>
          <w:lang w:eastAsia="zh-CN"/>
        </w:rPr>
        <w:t>广西建设工程机电设备招标中心有限公司</w:t>
      </w:r>
      <w:r>
        <w:rPr>
          <w:rFonts w:ascii="Times New Roman" w:hAnsi="Times New Roman" w:eastAsia="宋体" w:cs="Times New Roman"/>
          <w:color w:val="auto"/>
          <w:sz w:val="24"/>
          <w:szCs w:val="24"/>
          <w:highlight w:val="none"/>
          <w:u w:val="single"/>
        </w:rPr>
        <w:t xml:space="preserve"> </w:t>
      </w:r>
    </w:p>
    <w:p w14:paraId="1AB840A1">
      <w:pPr>
        <w:pStyle w:val="16"/>
        <w:spacing w:line="360" w:lineRule="exact"/>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本人</w:t>
      </w:r>
      <w:r>
        <w:rPr>
          <w:rFonts w:ascii="Times New Roman" w:hAnsi="Times New Roman" w:eastAsia="宋体" w:cs="Times New Roman"/>
          <w:color w:val="auto"/>
          <w:sz w:val="24"/>
          <w:szCs w:val="24"/>
          <w:highlight w:val="none"/>
          <w:u w:val="single"/>
        </w:rPr>
        <w:t xml:space="preserve">        </w:t>
      </w:r>
      <w:r>
        <w:rPr>
          <w:rFonts w:hint="eastAsia" w:ascii="Times New Roman" w:hAnsi="Times New Roman" w:eastAsia="宋体" w:cs="Times New Roman"/>
          <w:color w:val="auto"/>
          <w:sz w:val="24"/>
          <w:szCs w:val="24"/>
          <w:highlight w:val="none"/>
        </w:rPr>
        <w:t>（姓名）系</w:t>
      </w:r>
      <w:r>
        <w:rPr>
          <w:rFonts w:ascii="Times New Roman" w:hAnsi="Times New Roman" w:eastAsia="宋体" w:cs="Times New Roman"/>
          <w:color w:val="auto"/>
          <w:sz w:val="24"/>
          <w:szCs w:val="24"/>
          <w:highlight w:val="none"/>
          <w:u w:val="single"/>
        </w:rPr>
        <w:t xml:space="preserve">                 </w:t>
      </w:r>
      <w:r>
        <w:rPr>
          <w:rFonts w:hint="eastAsia" w:ascii="Times New Roman" w:hAnsi="Times New Roman" w:eastAsia="宋体" w:cs="Times New Roman"/>
          <w:color w:val="auto"/>
          <w:sz w:val="24"/>
          <w:szCs w:val="24"/>
          <w:highlight w:val="none"/>
        </w:rPr>
        <w:t>（投标人名称）的法定代表人，现授权我单位在职正式员工</w:t>
      </w:r>
      <w:r>
        <w:rPr>
          <w:rFonts w:ascii="Times New Roman" w:hAnsi="Times New Roman" w:eastAsia="宋体" w:cs="Times New Roman"/>
          <w:color w:val="auto"/>
          <w:sz w:val="24"/>
          <w:szCs w:val="24"/>
          <w:highlight w:val="none"/>
          <w:u w:val="single"/>
        </w:rPr>
        <w:t xml:space="preserve">        </w:t>
      </w:r>
      <w:r>
        <w:rPr>
          <w:rFonts w:hint="eastAsia" w:ascii="Times New Roman" w:hAnsi="Times New Roman" w:eastAsia="宋体" w:cs="Times New Roman"/>
          <w:color w:val="auto"/>
          <w:sz w:val="24"/>
          <w:szCs w:val="24"/>
          <w:highlight w:val="none"/>
        </w:rPr>
        <w:t>（姓名和职务）为我方代理人。代理人根据授权，以我方名义签署、澄清、说明、补正、递交、撤回、修改贵方组织的</w:t>
      </w:r>
      <w:r>
        <w:rPr>
          <w:rFonts w:hint="eastAsia" w:eastAsia="宋体" w:cs="Times New Roman"/>
          <w:color w:val="auto"/>
          <w:sz w:val="24"/>
          <w:szCs w:val="24"/>
          <w:highlight w:val="none"/>
          <w:u w:val="single"/>
        </w:rPr>
        <w:t xml:space="preserve"> </w:t>
      </w:r>
      <w:r>
        <w:rPr>
          <w:rFonts w:hint="eastAsia" w:cs="Times New Roman"/>
          <w:i/>
          <w:iCs/>
          <w:color w:val="auto"/>
          <w:sz w:val="24"/>
          <w:szCs w:val="24"/>
          <w:highlight w:val="none"/>
          <w:u w:val="single"/>
          <w:lang w:eastAsia="zh-CN"/>
        </w:rPr>
        <w:t>（项目名称）</w:t>
      </w:r>
      <w:r>
        <w:rPr>
          <w:rFonts w:hint="eastAsia" w:eastAsia="宋体" w:cs="Times New Roman"/>
          <w:color w:val="auto"/>
          <w:sz w:val="24"/>
          <w:szCs w:val="24"/>
          <w:highlight w:val="none"/>
          <w:u w:val="single"/>
        </w:rPr>
        <w:t xml:space="preserve"> </w:t>
      </w:r>
      <w:r>
        <w:rPr>
          <w:rFonts w:hint="eastAsia" w:eastAsia="宋体" w:cs="Times New Roman"/>
          <w:color w:val="auto"/>
          <w:sz w:val="24"/>
          <w:szCs w:val="24"/>
          <w:highlight w:val="none"/>
        </w:rPr>
        <w:t>项目（项目编号：</w:t>
      </w:r>
      <w:r>
        <w:rPr>
          <w:rFonts w:hint="eastAsia" w:hAnsi="宋体" w:cs="Times New Roman"/>
          <w:color w:val="auto"/>
          <w:sz w:val="24"/>
          <w:szCs w:val="24"/>
          <w:highlight w:val="none"/>
          <w:u w:val="single"/>
          <w:lang w:val="en-US" w:eastAsia="zh-CN"/>
        </w:rPr>
        <w:t xml:space="preserve">            </w:t>
      </w:r>
      <w:r>
        <w:rPr>
          <w:rFonts w:hint="eastAsia" w:eastAsia="宋体" w:cs="Times New Roman"/>
          <w:color w:val="auto"/>
          <w:sz w:val="24"/>
          <w:szCs w:val="24"/>
          <w:highlight w:val="none"/>
        </w:rPr>
        <w:t>）</w:t>
      </w:r>
      <w:r>
        <w:rPr>
          <w:rFonts w:hint="eastAsia" w:ascii="Times New Roman" w:hAnsi="Times New Roman" w:eastAsia="宋体" w:cs="Times New Roman"/>
          <w:color w:val="auto"/>
          <w:sz w:val="24"/>
          <w:szCs w:val="24"/>
          <w:highlight w:val="none"/>
        </w:rPr>
        <w:t>的投标文件、签订合同和处理一切有关事宜，其法律后果由我方承担。</w:t>
      </w:r>
    </w:p>
    <w:p w14:paraId="415AFC84">
      <w:pPr>
        <w:pStyle w:val="16"/>
        <w:spacing w:line="360" w:lineRule="exact"/>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本授权书于</w:t>
      </w:r>
      <w:r>
        <w:rPr>
          <w:rFonts w:hint="eastAsia" w:eastAsia="宋体" w:cs="Times New Roman"/>
          <w:color w:val="auto"/>
          <w:spacing w:val="10"/>
          <w:sz w:val="24"/>
          <w:szCs w:val="24"/>
          <w:highlight w:val="none"/>
          <w:u w:val="single"/>
        </w:rPr>
        <w:t xml:space="preserve">    </w:t>
      </w:r>
      <w:r>
        <w:rPr>
          <w:rFonts w:hint="eastAsia" w:ascii="Times New Roman" w:hAnsi="Times New Roman" w:eastAsia="宋体" w:cs="Times New Roman"/>
          <w:color w:val="auto"/>
          <w:sz w:val="24"/>
          <w:szCs w:val="24"/>
          <w:highlight w:val="none"/>
        </w:rPr>
        <w:t>年</w:t>
      </w:r>
      <w:r>
        <w:rPr>
          <w:rFonts w:hint="eastAsia" w:eastAsia="宋体" w:cs="Times New Roman"/>
          <w:color w:val="auto"/>
          <w:spacing w:val="10"/>
          <w:sz w:val="24"/>
          <w:szCs w:val="24"/>
          <w:highlight w:val="none"/>
          <w:u w:val="single"/>
        </w:rPr>
        <w:t xml:space="preserve">    </w:t>
      </w:r>
      <w:r>
        <w:rPr>
          <w:rFonts w:hint="eastAsia" w:ascii="Times New Roman" w:hAnsi="Times New Roman" w:eastAsia="宋体" w:cs="Times New Roman"/>
          <w:color w:val="auto"/>
          <w:sz w:val="24"/>
          <w:szCs w:val="24"/>
          <w:highlight w:val="none"/>
        </w:rPr>
        <w:t>月</w:t>
      </w:r>
      <w:r>
        <w:rPr>
          <w:rFonts w:hint="eastAsia" w:eastAsia="宋体" w:cs="Times New Roman"/>
          <w:color w:val="auto"/>
          <w:spacing w:val="10"/>
          <w:sz w:val="24"/>
          <w:szCs w:val="24"/>
          <w:highlight w:val="none"/>
          <w:u w:val="single"/>
        </w:rPr>
        <w:t xml:space="preserve">    </w:t>
      </w:r>
      <w:r>
        <w:rPr>
          <w:rFonts w:hint="eastAsia" w:ascii="Times New Roman" w:hAnsi="Times New Roman" w:eastAsia="宋体" w:cs="Times New Roman"/>
          <w:color w:val="auto"/>
          <w:sz w:val="24"/>
          <w:szCs w:val="24"/>
          <w:highlight w:val="none"/>
        </w:rPr>
        <w:t>日签字</w:t>
      </w:r>
      <w:r>
        <w:rPr>
          <w:rFonts w:hint="eastAsia" w:ascii="宋体" w:hAnsi="宋体" w:eastAsia="宋体" w:cs="宋体"/>
          <w:color w:val="auto"/>
          <w:sz w:val="24"/>
          <w:highlight w:val="none"/>
        </w:rPr>
        <w:t>或者盖章或者电子签名</w:t>
      </w:r>
      <w:r>
        <w:rPr>
          <w:rFonts w:hint="eastAsia" w:ascii="Times New Roman" w:hAnsi="Times New Roman" w:eastAsia="宋体" w:cs="Times New Roman"/>
          <w:color w:val="auto"/>
          <w:sz w:val="24"/>
          <w:szCs w:val="24"/>
          <w:highlight w:val="none"/>
        </w:rPr>
        <w:t>生效，委托期限：</w:t>
      </w:r>
      <w:r>
        <w:rPr>
          <w:rFonts w:hint="eastAsia" w:eastAsia="宋体" w:cs="Times New Roman"/>
          <w:color w:val="auto"/>
          <w:spacing w:val="10"/>
          <w:sz w:val="24"/>
          <w:szCs w:val="24"/>
          <w:highlight w:val="none"/>
          <w:u w:val="single"/>
        </w:rPr>
        <w:t xml:space="preserve">    </w:t>
      </w:r>
      <w:r>
        <w:rPr>
          <w:rFonts w:hint="eastAsia" w:ascii="Times New Roman" w:hAnsi="Times New Roman" w:eastAsia="宋体" w:cs="Times New Roman"/>
          <w:color w:val="auto"/>
          <w:sz w:val="24"/>
          <w:szCs w:val="24"/>
          <w:highlight w:val="none"/>
        </w:rPr>
        <w:t>。</w:t>
      </w:r>
    </w:p>
    <w:p w14:paraId="18661AC6">
      <w:pPr>
        <w:pStyle w:val="16"/>
        <w:spacing w:line="360" w:lineRule="exact"/>
        <w:ind w:firstLine="42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代理人无转委托权。</w:t>
      </w:r>
    </w:p>
    <w:p w14:paraId="12E4FF4E">
      <w:pPr>
        <w:pStyle w:val="16"/>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Times New Roman" w:hAnsi="Times New Roman" w:eastAsia="宋体" w:cs="Times New Roman"/>
          <w:color w:val="auto"/>
          <w:sz w:val="24"/>
          <w:szCs w:val="24"/>
          <w:highlight w:val="none"/>
        </w:rPr>
      </w:pPr>
    </w:p>
    <w:p w14:paraId="0B58D594">
      <w:pPr>
        <w:pStyle w:val="16"/>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Times New Roman" w:hAnsi="Times New Roman" w:eastAsia="宋体" w:cs="Times New Roman"/>
          <w:color w:val="auto"/>
          <w:sz w:val="24"/>
          <w:szCs w:val="24"/>
          <w:highlight w:val="none"/>
          <w:u w:val="single"/>
        </w:rPr>
      </w:pPr>
      <w:r>
        <w:rPr>
          <w:rFonts w:hint="eastAsia" w:ascii="Times New Roman" w:hAnsi="Times New Roman" w:eastAsia="宋体" w:cs="Times New Roman"/>
          <w:color w:val="auto"/>
          <w:sz w:val="24"/>
          <w:szCs w:val="24"/>
          <w:highlight w:val="none"/>
        </w:rPr>
        <w:t>投标人</w:t>
      </w:r>
      <w:r>
        <w:rPr>
          <w:rFonts w:hint="eastAsia" w:ascii="Times New Roman" w:hAnsi="Times New Roman" w:cs="Times New Roman"/>
          <w:color w:val="auto"/>
          <w:sz w:val="24"/>
          <w:szCs w:val="24"/>
          <w:highlight w:val="none"/>
          <w:lang w:eastAsia="zh-CN"/>
        </w:rPr>
        <w:t>名称</w:t>
      </w:r>
      <w:r>
        <w:rPr>
          <w:rFonts w:hint="eastAsia" w:ascii="Times New Roman" w:hAnsi="Times New Roman" w:eastAsia="宋体" w:cs="Times New Roman"/>
          <w:color w:val="auto"/>
          <w:sz w:val="24"/>
          <w:szCs w:val="24"/>
          <w:highlight w:val="none"/>
        </w:rPr>
        <w:t>（盖</w:t>
      </w:r>
      <w:r>
        <w:rPr>
          <w:rFonts w:hint="eastAsia" w:ascii="Times New Roman" w:hAnsi="Times New Roman" w:cs="Times New Roman"/>
          <w:color w:val="auto"/>
          <w:sz w:val="24"/>
          <w:szCs w:val="24"/>
          <w:highlight w:val="none"/>
          <w:lang w:val="en-US" w:eastAsia="zh-CN"/>
        </w:rPr>
        <w:t>单位</w:t>
      </w:r>
      <w:r>
        <w:rPr>
          <w:rFonts w:hint="eastAsia" w:ascii="Times New Roman" w:hAnsi="Times New Roman" w:eastAsia="宋体" w:cs="Times New Roman"/>
          <w:color w:val="auto"/>
          <w:sz w:val="24"/>
          <w:szCs w:val="24"/>
          <w:highlight w:val="none"/>
        </w:rPr>
        <w:t>公章）：</w:t>
      </w:r>
      <w:r>
        <w:rPr>
          <w:rFonts w:ascii="Times New Roman" w:hAnsi="Times New Roman" w:eastAsia="宋体" w:cs="Times New Roman"/>
          <w:color w:val="auto"/>
          <w:sz w:val="24"/>
          <w:szCs w:val="24"/>
          <w:highlight w:val="none"/>
          <w:u w:val="single"/>
        </w:rPr>
        <w:t xml:space="preserve">                              </w:t>
      </w:r>
    </w:p>
    <w:p w14:paraId="44033619">
      <w:pPr>
        <w:pStyle w:val="16"/>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Times New Roman" w:hAnsi="Times New Roman" w:eastAsia="宋体" w:cs="Times New Roman"/>
          <w:color w:val="auto"/>
          <w:sz w:val="24"/>
          <w:szCs w:val="24"/>
          <w:highlight w:val="none"/>
          <w:u w:val="single"/>
        </w:rPr>
      </w:pPr>
      <w:r>
        <w:rPr>
          <w:rFonts w:hint="eastAsia" w:ascii="Times New Roman" w:hAnsi="Times New Roman" w:eastAsia="宋体" w:cs="Times New Roman"/>
          <w:color w:val="auto"/>
          <w:sz w:val="24"/>
          <w:szCs w:val="24"/>
          <w:highlight w:val="none"/>
        </w:rPr>
        <w:t>法定代表人（签字或者盖章或者电子签名）：</w:t>
      </w:r>
      <w:r>
        <w:rPr>
          <w:rFonts w:ascii="Times New Roman" w:hAnsi="Times New Roman" w:eastAsia="宋体" w:cs="Times New Roman"/>
          <w:color w:val="auto"/>
          <w:sz w:val="24"/>
          <w:szCs w:val="24"/>
          <w:highlight w:val="none"/>
          <w:u w:val="single"/>
        </w:rPr>
        <w:t xml:space="preserve">                 </w:t>
      </w:r>
    </w:p>
    <w:p w14:paraId="322CEEF9">
      <w:pPr>
        <w:pStyle w:val="16"/>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Times New Roman" w:hAnsi="Times New Roman" w:eastAsia="宋体" w:cs="Times New Roman"/>
          <w:color w:val="auto"/>
          <w:sz w:val="24"/>
          <w:szCs w:val="24"/>
          <w:highlight w:val="none"/>
          <w:u w:val="single"/>
        </w:rPr>
      </w:pPr>
      <w:r>
        <w:rPr>
          <w:rFonts w:hint="eastAsia" w:ascii="Times New Roman" w:hAnsi="Times New Roman" w:eastAsia="宋体" w:cs="Times New Roman"/>
          <w:color w:val="auto"/>
          <w:sz w:val="24"/>
          <w:szCs w:val="24"/>
          <w:highlight w:val="none"/>
        </w:rPr>
        <w:t>法定代表人身份证号码：</w:t>
      </w:r>
      <w:r>
        <w:rPr>
          <w:rFonts w:ascii="Times New Roman" w:hAnsi="Times New Roman" w:eastAsia="宋体" w:cs="Times New Roman"/>
          <w:color w:val="auto"/>
          <w:sz w:val="24"/>
          <w:szCs w:val="24"/>
          <w:highlight w:val="none"/>
          <w:u w:val="single"/>
        </w:rPr>
        <w:t xml:space="preserve">                                   </w:t>
      </w:r>
    </w:p>
    <w:p w14:paraId="465EA100">
      <w:pPr>
        <w:pStyle w:val="16"/>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委托代理人（签字或者盖章或者电子签名）：</w:t>
      </w:r>
      <w:r>
        <w:rPr>
          <w:rFonts w:ascii="Times New Roman" w:hAnsi="Times New Roman" w:eastAsia="宋体" w:cs="Times New Roman"/>
          <w:color w:val="auto"/>
          <w:sz w:val="24"/>
          <w:szCs w:val="24"/>
          <w:highlight w:val="none"/>
          <w:u w:val="single"/>
        </w:rPr>
        <w:t xml:space="preserve">                  </w:t>
      </w:r>
    </w:p>
    <w:p w14:paraId="015EFA05">
      <w:pPr>
        <w:pStyle w:val="16"/>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Times New Roman" w:hAnsi="Times New Roman" w:eastAsia="宋体" w:cs="Times New Roman"/>
          <w:color w:val="auto"/>
          <w:sz w:val="24"/>
          <w:szCs w:val="24"/>
          <w:highlight w:val="none"/>
          <w:u w:val="single"/>
        </w:rPr>
      </w:pPr>
      <w:r>
        <w:rPr>
          <w:rFonts w:hint="eastAsia" w:ascii="Times New Roman" w:hAnsi="Times New Roman" w:eastAsia="宋体" w:cs="Times New Roman"/>
          <w:color w:val="auto"/>
          <w:sz w:val="24"/>
          <w:szCs w:val="24"/>
          <w:highlight w:val="none"/>
        </w:rPr>
        <w:t>委托代理人身份证号码：</w:t>
      </w:r>
      <w:r>
        <w:rPr>
          <w:rFonts w:ascii="Times New Roman" w:hAnsi="Times New Roman" w:eastAsia="宋体" w:cs="Times New Roman"/>
          <w:color w:val="auto"/>
          <w:sz w:val="24"/>
          <w:szCs w:val="24"/>
          <w:highlight w:val="none"/>
          <w:u w:val="single"/>
        </w:rPr>
        <w:t xml:space="preserve">                                   </w:t>
      </w:r>
    </w:p>
    <w:p w14:paraId="1A1F8751">
      <w:pPr>
        <w:pStyle w:val="16"/>
        <w:spacing w:line="360" w:lineRule="exact"/>
        <w:ind w:firstLine="420"/>
        <w:rPr>
          <w:rFonts w:ascii="Times New Roman" w:hAnsi="Times New Roman" w:eastAsia="宋体" w:cs="Times New Roman"/>
          <w:color w:val="auto"/>
          <w:highlight w:val="none"/>
          <w:u w:val="single"/>
        </w:rPr>
      </w:pPr>
    </w:p>
    <w:p w14:paraId="7B03E8A5">
      <w:pPr>
        <w:spacing w:line="360" w:lineRule="auto"/>
        <w:rPr>
          <w:rFonts w:hint="eastAsia" w:ascii="宋体" w:hAnsi="Times New Roman" w:eastAsia="宋体" w:cs="Times New Roman"/>
          <w:b w:val="0"/>
          <w:bCs/>
          <w:color w:val="auto"/>
          <w:sz w:val="24"/>
          <w:szCs w:val="24"/>
          <w:highlight w:val="none"/>
        </w:rPr>
      </w:pPr>
      <w:r>
        <w:rPr>
          <w:rFonts w:hint="eastAsia" w:ascii="宋体" w:hAnsi="Times New Roman" w:eastAsia="宋体" w:cs="Times New Roman"/>
          <w:b w:val="0"/>
          <w:bCs/>
          <w:color w:val="auto"/>
          <w:sz w:val="24"/>
          <w:szCs w:val="24"/>
          <w:highlight w:val="none"/>
        </w:rPr>
        <w:t>注：1. 法定代表人必须在授权委托书上签字或者盖章或者电子签名，委托代理人必须在授权委托书上签字或者盖章或者电子签名，否则其响应文件按无效响应处理。</w:t>
      </w:r>
    </w:p>
    <w:p w14:paraId="4CE20465">
      <w:pPr>
        <w:spacing w:line="360" w:lineRule="auto"/>
        <w:rPr>
          <w:rFonts w:hint="eastAsia" w:ascii="宋体" w:hAnsi="Times New Roman" w:eastAsia="宋体" w:cs="Times New Roman"/>
          <w:b w:val="0"/>
          <w:bCs/>
          <w:color w:val="auto"/>
          <w:sz w:val="24"/>
          <w:szCs w:val="24"/>
          <w:highlight w:val="none"/>
        </w:rPr>
      </w:pPr>
      <w:r>
        <w:rPr>
          <w:rFonts w:hint="eastAsia" w:ascii="宋体" w:hAnsi="Times New Roman" w:eastAsia="宋体" w:cs="Times New Roman"/>
          <w:b w:val="0"/>
          <w:bCs/>
          <w:color w:val="auto"/>
          <w:sz w:val="24"/>
          <w:szCs w:val="24"/>
          <w:highlight w:val="none"/>
        </w:rPr>
        <w:t>2.本授权委托书应由联合体牵头人的法定代表人按上述规定签署。</w:t>
      </w:r>
    </w:p>
    <w:p w14:paraId="0348A46A">
      <w:pPr>
        <w:spacing w:line="360" w:lineRule="auto"/>
        <w:rPr>
          <w:rFonts w:hint="eastAsia" w:ascii="宋体" w:hAnsi="Times New Roman" w:eastAsia="宋体" w:cs="Times New Roman"/>
          <w:b w:val="0"/>
          <w:bCs/>
          <w:color w:val="auto"/>
          <w:sz w:val="24"/>
          <w:szCs w:val="24"/>
          <w:highlight w:val="none"/>
        </w:rPr>
      </w:pPr>
      <w:r>
        <w:rPr>
          <w:rFonts w:hint="eastAsia" w:ascii="宋体" w:hAnsi="Times New Roman" w:eastAsia="宋体" w:cs="Times New Roman"/>
          <w:b w:val="0"/>
          <w:bCs/>
          <w:color w:val="auto"/>
          <w:sz w:val="24"/>
          <w:szCs w:val="24"/>
          <w:highlight w:val="none"/>
        </w:rPr>
        <w:t>3.供应商为其他组织或者自然人时，本</w:t>
      </w:r>
      <w:r>
        <w:rPr>
          <w:rFonts w:hint="eastAsia" w:ascii="宋体" w:hAnsi="Times New Roman" w:eastAsia="宋体" w:cs="Times New Roman"/>
          <w:b w:val="0"/>
          <w:bCs/>
          <w:color w:val="auto"/>
          <w:sz w:val="24"/>
          <w:szCs w:val="24"/>
          <w:highlight w:val="none"/>
          <w:lang w:val="en-US" w:eastAsia="zh-CN"/>
        </w:rPr>
        <w:t>招标</w:t>
      </w:r>
      <w:r>
        <w:rPr>
          <w:rFonts w:hint="eastAsia" w:ascii="宋体" w:hAnsi="Times New Roman" w:eastAsia="宋体" w:cs="Times New Roman"/>
          <w:b w:val="0"/>
          <w:bCs/>
          <w:color w:val="auto"/>
          <w:sz w:val="24"/>
          <w:szCs w:val="24"/>
          <w:highlight w:val="none"/>
        </w:rPr>
        <w:t>文件规定的法定代表人指负责人或者自然人。本</w:t>
      </w:r>
      <w:r>
        <w:rPr>
          <w:rFonts w:hint="eastAsia" w:ascii="宋体" w:hAnsi="Times New Roman" w:eastAsia="宋体" w:cs="Times New Roman"/>
          <w:b w:val="0"/>
          <w:bCs/>
          <w:color w:val="auto"/>
          <w:sz w:val="24"/>
          <w:szCs w:val="24"/>
          <w:highlight w:val="none"/>
          <w:lang w:val="en-US" w:eastAsia="zh-CN"/>
        </w:rPr>
        <w:t>招标</w:t>
      </w:r>
      <w:r>
        <w:rPr>
          <w:rFonts w:hint="eastAsia" w:ascii="宋体" w:hAnsi="Times New Roman" w:eastAsia="宋体" w:cs="Times New Roman"/>
          <w:b w:val="0"/>
          <w:bCs/>
          <w:color w:val="auto"/>
          <w:sz w:val="24"/>
          <w:szCs w:val="24"/>
          <w:highlight w:val="none"/>
        </w:rPr>
        <w:t>文件所称负责人是指参加</w:t>
      </w:r>
      <w:r>
        <w:rPr>
          <w:rFonts w:hint="eastAsia" w:ascii="宋体" w:hAnsi="Times New Roman" w:eastAsia="宋体" w:cs="Times New Roman"/>
          <w:b w:val="0"/>
          <w:bCs/>
          <w:color w:val="auto"/>
          <w:sz w:val="24"/>
          <w:szCs w:val="24"/>
          <w:highlight w:val="none"/>
          <w:lang w:val="en-US" w:eastAsia="zh-CN"/>
        </w:rPr>
        <w:t>投标</w:t>
      </w:r>
      <w:r>
        <w:rPr>
          <w:rFonts w:hint="eastAsia" w:ascii="宋体" w:hAnsi="Times New Roman" w:eastAsia="宋体" w:cs="Times New Roman"/>
          <w:b w:val="0"/>
          <w:bCs/>
          <w:color w:val="auto"/>
          <w:sz w:val="24"/>
          <w:szCs w:val="24"/>
          <w:highlight w:val="none"/>
        </w:rPr>
        <w:t>的其他组织营业执照上的负责人，本</w:t>
      </w:r>
      <w:r>
        <w:rPr>
          <w:rFonts w:hint="eastAsia" w:ascii="宋体" w:hAnsi="Times New Roman" w:eastAsia="宋体" w:cs="Times New Roman"/>
          <w:b w:val="0"/>
          <w:bCs/>
          <w:color w:val="auto"/>
          <w:sz w:val="24"/>
          <w:szCs w:val="24"/>
          <w:highlight w:val="none"/>
          <w:lang w:val="en-US" w:eastAsia="zh-CN"/>
        </w:rPr>
        <w:t>招标</w:t>
      </w:r>
      <w:r>
        <w:rPr>
          <w:rFonts w:hint="eastAsia" w:ascii="宋体" w:hAnsi="Times New Roman" w:eastAsia="宋体" w:cs="Times New Roman"/>
          <w:b w:val="0"/>
          <w:bCs/>
          <w:color w:val="auto"/>
          <w:sz w:val="24"/>
          <w:szCs w:val="24"/>
          <w:highlight w:val="none"/>
        </w:rPr>
        <w:t>文件所称自然人指参与</w:t>
      </w:r>
      <w:r>
        <w:rPr>
          <w:rFonts w:hint="eastAsia" w:ascii="宋体" w:hAnsi="Times New Roman" w:eastAsia="宋体" w:cs="Times New Roman"/>
          <w:b w:val="0"/>
          <w:bCs/>
          <w:color w:val="auto"/>
          <w:sz w:val="24"/>
          <w:szCs w:val="24"/>
          <w:highlight w:val="none"/>
          <w:lang w:val="en-US" w:eastAsia="zh-CN"/>
        </w:rPr>
        <w:t>投标</w:t>
      </w:r>
      <w:r>
        <w:rPr>
          <w:rFonts w:hint="eastAsia" w:ascii="宋体" w:hAnsi="Times New Roman" w:eastAsia="宋体" w:cs="Times New Roman"/>
          <w:b w:val="0"/>
          <w:bCs/>
          <w:color w:val="auto"/>
          <w:sz w:val="24"/>
          <w:szCs w:val="24"/>
          <w:highlight w:val="none"/>
        </w:rPr>
        <w:t>的自然人本人。</w:t>
      </w:r>
    </w:p>
    <w:p w14:paraId="56D950B9">
      <w:pPr>
        <w:spacing w:line="360" w:lineRule="auto"/>
        <w:rPr>
          <w:rFonts w:hint="eastAsia" w:ascii="宋体" w:hAnsi="Times New Roman" w:eastAsia="宋体" w:cs="Times New Roman"/>
          <w:b w:val="0"/>
          <w:bCs/>
          <w:color w:val="auto"/>
          <w:sz w:val="24"/>
          <w:szCs w:val="24"/>
          <w:highlight w:val="none"/>
        </w:rPr>
      </w:pPr>
      <w:r>
        <w:rPr>
          <w:rFonts w:hint="eastAsia" w:ascii="宋体" w:hAnsi="Times New Roman" w:eastAsia="宋体" w:cs="Times New Roman"/>
          <w:b w:val="0"/>
          <w:bCs/>
          <w:color w:val="auto"/>
          <w:sz w:val="24"/>
          <w:szCs w:val="24"/>
          <w:highlight w:val="none"/>
        </w:rPr>
        <w:t>4.法人、其他组织</w:t>
      </w:r>
      <w:r>
        <w:rPr>
          <w:rFonts w:hint="eastAsia" w:ascii="宋体" w:hAnsi="Times New Roman" w:eastAsia="宋体" w:cs="Times New Roman"/>
          <w:b w:val="0"/>
          <w:bCs/>
          <w:color w:val="auto"/>
          <w:sz w:val="24"/>
          <w:szCs w:val="24"/>
          <w:highlight w:val="none"/>
          <w:lang w:val="en-US" w:eastAsia="zh-CN"/>
        </w:rPr>
        <w:t>投标</w:t>
      </w:r>
      <w:r>
        <w:rPr>
          <w:rFonts w:hint="eastAsia" w:ascii="宋体" w:hAnsi="Times New Roman" w:eastAsia="宋体" w:cs="Times New Roman"/>
          <w:b w:val="0"/>
          <w:bCs/>
          <w:color w:val="auto"/>
          <w:sz w:val="24"/>
          <w:szCs w:val="24"/>
          <w:highlight w:val="none"/>
        </w:rPr>
        <w:t>时“我方”是指“我单位”，自然人</w:t>
      </w:r>
      <w:r>
        <w:rPr>
          <w:rFonts w:hint="eastAsia" w:ascii="宋体" w:hAnsi="Times New Roman" w:eastAsia="宋体" w:cs="Times New Roman"/>
          <w:b w:val="0"/>
          <w:bCs/>
          <w:color w:val="auto"/>
          <w:sz w:val="24"/>
          <w:szCs w:val="24"/>
          <w:highlight w:val="none"/>
          <w:lang w:val="en-US" w:eastAsia="zh-CN"/>
        </w:rPr>
        <w:t>投标</w:t>
      </w:r>
      <w:r>
        <w:rPr>
          <w:rFonts w:hint="eastAsia" w:ascii="宋体" w:hAnsi="Times New Roman" w:eastAsia="宋体" w:cs="Times New Roman"/>
          <w:b w:val="0"/>
          <w:bCs/>
          <w:color w:val="auto"/>
          <w:sz w:val="24"/>
          <w:szCs w:val="24"/>
          <w:highlight w:val="none"/>
        </w:rPr>
        <w:t>时“我方”是指“本人”。</w:t>
      </w:r>
    </w:p>
    <w:p w14:paraId="606869CB">
      <w:pPr>
        <w:rPr>
          <w:rFonts w:hint="eastAsia" w:ascii="宋体" w:hAnsi="Times New Roman" w:eastAsia="宋体" w:cs="Times New Roman"/>
          <w:b/>
          <w:color w:val="auto"/>
          <w:sz w:val="24"/>
          <w:highlight w:val="none"/>
        </w:rPr>
      </w:pPr>
      <w:r>
        <w:rPr>
          <w:rFonts w:hint="eastAsia" w:ascii="宋体" w:hAnsi="Times New Roman" w:eastAsia="宋体" w:cs="Times New Roman"/>
          <w:b/>
          <w:color w:val="auto"/>
          <w:sz w:val="24"/>
          <w:highlight w:val="none"/>
        </w:rPr>
        <w:br w:type="page"/>
      </w:r>
    </w:p>
    <w:p w14:paraId="5C8FBB40">
      <w:pPr>
        <w:spacing w:line="360" w:lineRule="auto"/>
        <w:rPr>
          <w:rFonts w:hint="eastAsia" w:ascii="Times New Roman" w:hAnsi="Times New Roman" w:eastAsia="宋体" w:cs="Times New Roman"/>
          <w:b/>
          <w:color w:val="auto"/>
          <w:sz w:val="24"/>
          <w:highlight w:val="none"/>
        </w:rPr>
      </w:pPr>
      <w:r>
        <w:rPr>
          <w:rFonts w:hint="eastAsia" w:ascii="宋体" w:hAnsi="Times New Roman" w:eastAsia="宋体" w:cs="Times New Roman"/>
          <w:b/>
          <w:color w:val="auto"/>
          <w:sz w:val="24"/>
          <w:highlight w:val="none"/>
        </w:rPr>
        <w:t>附件：</w:t>
      </w:r>
    </w:p>
    <w:tbl>
      <w:tblPr>
        <w:tblStyle w:val="27"/>
        <w:tblpPr w:leftFromText="180" w:rightFromText="180" w:vertAnchor="text" w:horzAnchor="margin" w:tblpXSpec="center" w:tblpY="263"/>
        <w:tblW w:w="79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0"/>
      </w:tblGrid>
      <w:tr w14:paraId="526E3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0" w:hRule="atLeast"/>
          <w:jc w:val="center"/>
        </w:trPr>
        <w:tc>
          <w:tcPr>
            <w:tcW w:w="7990" w:type="dxa"/>
            <w:tcBorders>
              <w:top w:val="single" w:color="auto" w:sz="4" w:space="0"/>
              <w:left w:val="single" w:color="auto" w:sz="4" w:space="0"/>
              <w:bottom w:val="single" w:color="auto" w:sz="4" w:space="0"/>
              <w:right w:val="single" w:color="auto" w:sz="4" w:space="0"/>
            </w:tcBorders>
            <w:noWrap w:val="0"/>
            <w:vAlign w:val="top"/>
          </w:tcPr>
          <w:p w14:paraId="1FB50E8C">
            <w:pPr>
              <w:spacing w:line="360" w:lineRule="auto"/>
              <w:rPr>
                <w:rFonts w:ascii="宋体" w:hAnsi="Times New Roman" w:eastAsia="宋体" w:cs="Times New Roman"/>
                <w:b/>
                <w:color w:val="auto"/>
                <w:sz w:val="24"/>
                <w:highlight w:val="none"/>
              </w:rPr>
            </w:pPr>
          </w:p>
          <w:p w14:paraId="69914C6B">
            <w:pPr>
              <w:spacing w:line="360" w:lineRule="auto"/>
              <w:rPr>
                <w:rFonts w:hint="eastAsia" w:ascii="宋体" w:hAnsi="Times New Roman" w:eastAsia="宋体" w:cs="Times New Roman"/>
                <w:b/>
                <w:color w:val="auto"/>
                <w:sz w:val="24"/>
                <w:highlight w:val="none"/>
              </w:rPr>
            </w:pPr>
            <w:r>
              <w:rPr>
                <w:rFonts w:hint="eastAsia" w:ascii="Times New Roman" w:hAnsi="Times New Roman" w:eastAsia="宋体" w:cs="Times New Roman"/>
                <w:b/>
                <w:bCs/>
                <w:color w:val="auto"/>
                <w:sz w:val="24"/>
                <w:szCs w:val="24"/>
                <w:highlight w:val="none"/>
              </w:rPr>
              <w:t>委托代理人</w:t>
            </w:r>
            <w:r>
              <w:rPr>
                <w:rFonts w:hint="eastAsia" w:ascii="Times New Roman" w:hAnsi="Times New Roman" w:cs="Times New Roman"/>
                <w:b/>
                <w:bCs/>
                <w:color w:val="auto"/>
                <w:sz w:val="24"/>
                <w:szCs w:val="24"/>
                <w:highlight w:val="none"/>
                <w:lang w:eastAsia="zh-CN"/>
              </w:rPr>
              <w:t>有效</w:t>
            </w:r>
            <w:r>
              <w:rPr>
                <w:rFonts w:hint="eastAsia" w:ascii="宋体" w:hAnsi="Times New Roman" w:eastAsia="宋体" w:cs="Times New Roman"/>
                <w:b/>
                <w:color w:val="auto"/>
                <w:sz w:val="24"/>
                <w:highlight w:val="none"/>
              </w:rPr>
              <w:t>身份证</w:t>
            </w:r>
            <w:r>
              <w:rPr>
                <w:rFonts w:hint="eastAsia" w:ascii="宋体" w:hAnsi="Times New Roman" w:eastAsia="宋体" w:cs="Times New Roman"/>
                <w:b/>
                <w:color w:val="auto"/>
                <w:sz w:val="24"/>
                <w:highlight w:val="none"/>
                <w:lang w:val="en-US" w:eastAsia="zh-CN"/>
              </w:rPr>
              <w:t>扫描件</w:t>
            </w:r>
            <w:r>
              <w:rPr>
                <w:rFonts w:hint="eastAsia" w:ascii="宋体" w:hAnsi="Times New Roman" w:eastAsia="宋体" w:cs="Times New Roman"/>
                <w:b/>
                <w:color w:val="auto"/>
                <w:sz w:val="24"/>
                <w:highlight w:val="none"/>
              </w:rPr>
              <w:t>（正、反面）</w:t>
            </w:r>
          </w:p>
        </w:tc>
      </w:tr>
    </w:tbl>
    <w:p w14:paraId="411364C7">
      <w:pPr>
        <w:snapToGrid w:val="0"/>
        <w:spacing w:before="50" w:after="120" w:afterLines="50" w:line="360" w:lineRule="auto"/>
        <w:jc w:val="left"/>
        <w:rPr>
          <w:rFonts w:hint="eastAsia" w:ascii="仿宋_GB2312" w:hAnsi="仿宋_GB2312" w:eastAsia="仿宋_GB2312" w:cs="仿宋_GB2312"/>
          <w:color w:val="auto"/>
          <w:szCs w:val="21"/>
          <w:highlight w:val="none"/>
        </w:rPr>
      </w:pPr>
    </w:p>
    <w:p w14:paraId="31222892">
      <w:pPr>
        <w:snapToGrid w:val="0"/>
        <w:spacing w:before="120" w:beforeLines="50" w:after="50"/>
        <w:ind w:firstLine="566" w:firstLineChars="236"/>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w:t>
      </w:r>
    </w:p>
    <w:p w14:paraId="5E0A5CC3">
      <w:pPr>
        <w:snapToGrid w:val="0"/>
        <w:spacing w:before="120" w:beforeLines="50" w:after="50"/>
        <w:ind w:firstLine="660" w:firstLineChars="236"/>
        <w:jc w:val="both"/>
        <w:rPr>
          <w:rFonts w:hint="eastAsia" w:ascii="宋体" w:hAnsi="宋体" w:cs="Times New Roman"/>
          <w:color w:val="auto"/>
          <w:sz w:val="28"/>
          <w:szCs w:val="28"/>
          <w:highlight w:val="none"/>
          <w:lang w:eastAsia="zh-CN"/>
        </w:rPr>
      </w:pPr>
    </w:p>
    <w:p w14:paraId="1E18E3F2">
      <w:pPr>
        <w:snapToGrid w:val="0"/>
        <w:spacing w:before="120" w:beforeLines="50" w:after="50"/>
        <w:ind w:firstLine="660" w:firstLineChars="236"/>
        <w:jc w:val="both"/>
        <w:rPr>
          <w:rFonts w:hint="eastAsia" w:ascii="宋体" w:hAnsi="宋体" w:cs="Times New Roman"/>
          <w:color w:val="auto"/>
          <w:sz w:val="28"/>
          <w:szCs w:val="28"/>
          <w:highlight w:val="none"/>
          <w:lang w:eastAsia="zh-CN"/>
        </w:rPr>
      </w:pPr>
    </w:p>
    <w:p w14:paraId="3326BB8D">
      <w:pPr>
        <w:snapToGrid w:val="0"/>
        <w:spacing w:before="120" w:beforeLines="50" w:after="50"/>
        <w:ind w:firstLine="660" w:firstLineChars="236"/>
        <w:jc w:val="both"/>
        <w:rPr>
          <w:rFonts w:hint="eastAsia" w:ascii="宋体" w:hAnsi="宋体" w:cs="Times New Roman"/>
          <w:color w:val="auto"/>
          <w:sz w:val="28"/>
          <w:szCs w:val="28"/>
          <w:highlight w:val="none"/>
          <w:lang w:eastAsia="zh-CN"/>
        </w:rPr>
      </w:pPr>
    </w:p>
    <w:p w14:paraId="69BF421E">
      <w:pPr>
        <w:snapToGrid w:val="0"/>
        <w:spacing w:before="120" w:beforeLines="50" w:after="50"/>
        <w:ind w:firstLine="660" w:firstLineChars="236"/>
        <w:jc w:val="both"/>
        <w:rPr>
          <w:rFonts w:hint="eastAsia" w:ascii="宋体" w:hAnsi="宋体" w:cs="Times New Roman"/>
          <w:color w:val="auto"/>
          <w:sz w:val="28"/>
          <w:szCs w:val="28"/>
          <w:highlight w:val="none"/>
          <w:lang w:eastAsia="zh-CN"/>
        </w:rPr>
      </w:pPr>
    </w:p>
    <w:p w14:paraId="6AAE5D2C">
      <w:pPr>
        <w:snapToGrid w:val="0"/>
        <w:spacing w:before="120" w:beforeLines="50" w:after="50"/>
        <w:ind w:firstLine="660" w:firstLineChars="236"/>
        <w:jc w:val="both"/>
        <w:rPr>
          <w:rFonts w:hint="eastAsia" w:ascii="宋体" w:hAnsi="宋体" w:cs="Times New Roman"/>
          <w:color w:val="auto"/>
          <w:sz w:val="28"/>
          <w:szCs w:val="28"/>
          <w:highlight w:val="none"/>
          <w:lang w:eastAsia="zh-CN"/>
        </w:rPr>
      </w:pPr>
    </w:p>
    <w:p w14:paraId="2D606D22">
      <w:pPr>
        <w:snapToGrid w:val="0"/>
        <w:spacing w:before="120" w:beforeLines="50" w:after="50"/>
        <w:ind w:firstLine="660" w:firstLineChars="236"/>
        <w:jc w:val="both"/>
        <w:rPr>
          <w:rFonts w:hint="eastAsia" w:ascii="宋体" w:hAnsi="宋体" w:cs="Times New Roman"/>
          <w:color w:val="auto"/>
          <w:sz w:val="28"/>
          <w:szCs w:val="28"/>
          <w:highlight w:val="none"/>
          <w:lang w:eastAsia="zh-CN"/>
        </w:rPr>
      </w:pPr>
    </w:p>
    <w:p w14:paraId="2354AF30">
      <w:pPr>
        <w:snapToGrid w:val="0"/>
        <w:spacing w:before="120" w:beforeLines="50" w:after="50"/>
        <w:ind w:firstLine="566" w:firstLineChars="236"/>
        <w:jc w:val="both"/>
        <w:rPr>
          <w:rFonts w:hint="eastAsia" w:ascii="宋体" w:hAnsi="宋体" w:eastAsia="宋体" w:cs="Times New Roman"/>
          <w:color w:val="auto"/>
          <w:highlight w:val="none"/>
        </w:rPr>
      </w:pPr>
      <w:r>
        <w:rPr>
          <w:rFonts w:hint="eastAsia" w:ascii="宋体" w:hAnsi="宋体" w:eastAsia="宋体" w:cs="Times New Roman"/>
          <w:color w:val="auto"/>
          <w:sz w:val="24"/>
          <w:highlight w:val="none"/>
        </w:rPr>
        <w:br w:type="page"/>
      </w:r>
    </w:p>
    <w:p w14:paraId="59261965">
      <w:pPr>
        <w:jc w:val="left"/>
        <w:rPr>
          <w:rFonts w:hint="eastAsia" w:ascii="Times New Roman" w:hAnsi="Times New Roman" w:eastAsia="宋体" w:cs="Times New Roman"/>
          <w:b/>
          <w:bCs/>
          <w:color w:val="auto"/>
          <w:sz w:val="30"/>
          <w:szCs w:val="30"/>
          <w:highlight w:val="none"/>
        </w:rPr>
      </w:pPr>
      <w:r>
        <w:rPr>
          <w:rFonts w:hint="eastAsia" w:ascii="宋体" w:hAnsi="宋体" w:eastAsia="宋体" w:cs="宋体"/>
          <w:b/>
          <w:color w:val="auto"/>
          <w:sz w:val="28"/>
          <w:szCs w:val="28"/>
          <w:highlight w:val="none"/>
          <w:lang w:val="en-US" w:eastAsia="zh-CN"/>
        </w:rPr>
        <w:t>6</w:t>
      </w:r>
      <w:r>
        <w:rPr>
          <w:rFonts w:hint="eastAsia" w:ascii="宋体" w:hAnsi="宋体" w:eastAsia="宋体" w:cs="宋体"/>
          <w:b/>
          <w:color w:val="auto"/>
          <w:sz w:val="28"/>
          <w:szCs w:val="28"/>
          <w:highlight w:val="none"/>
        </w:rPr>
        <w:t>.商务条款偏离表</w:t>
      </w:r>
      <w:r>
        <w:rPr>
          <w:rFonts w:hint="eastAsia" w:ascii="宋体" w:hAnsi="宋体" w:cs="宋体"/>
          <w:b/>
          <w:color w:val="auto"/>
          <w:sz w:val="28"/>
          <w:szCs w:val="28"/>
          <w:highlight w:val="none"/>
          <w:lang w:eastAsia="zh-CN"/>
        </w:rPr>
        <w:t>的</w:t>
      </w:r>
      <w:r>
        <w:rPr>
          <w:rFonts w:hint="eastAsia" w:ascii="宋体" w:hAnsi="宋体" w:eastAsia="宋体" w:cs="宋体"/>
          <w:b/>
          <w:color w:val="auto"/>
          <w:sz w:val="28"/>
          <w:szCs w:val="28"/>
          <w:highlight w:val="none"/>
        </w:rPr>
        <w:t>格式</w:t>
      </w:r>
      <w:r>
        <w:rPr>
          <w:rFonts w:hint="eastAsia" w:ascii="宋体" w:hAnsi="宋体" w:cs="宋体"/>
          <w:b/>
          <w:color w:val="auto"/>
          <w:sz w:val="28"/>
          <w:szCs w:val="28"/>
          <w:highlight w:val="none"/>
          <w:lang w:eastAsia="zh-CN"/>
        </w:rPr>
        <w:t>：</w:t>
      </w:r>
    </w:p>
    <w:p w14:paraId="107C94DD">
      <w:pPr>
        <w:jc w:val="center"/>
        <w:rPr>
          <w:rFonts w:hint="eastAsia" w:ascii="Times New Roman" w:hAnsi="Times New Roman" w:eastAsia="宋体" w:cs="Times New Roman"/>
          <w:b/>
          <w:bCs/>
          <w:color w:val="auto"/>
          <w:sz w:val="30"/>
          <w:szCs w:val="30"/>
          <w:highlight w:val="none"/>
        </w:rPr>
      </w:pPr>
    </w:p>
    <w:p w14:paraId="623E991B">
      <w:pPr>
        <w:jc w:val="center"/>
        <w:rPr>
          <w:rFonts w:hint="eastAsia" w:ascii="Times New Roman" w:hAnsi="Times New Roman" w:eastAsia="宋体" w:cs="Times New Roman"/>
          <w:b/>
          <w:bCs/>
          <w:color w:val="auto"/>
          <w:sz w:val="30"/>
          <w:szCs w:val="30"/>
          <w:highlight w:val="none"/>
        </w:rPr>
      </w:pPr>
      <w:r>
        <w:rPr>
          <w:rFonts w:hint="eastAsia" w:ascii="Times New Roman" w:hAnsi="Times New Roman" w:eastAsia="宋体" w:cs="Times New Roman"/>
          <w:b/>
          <w:bCs/>
          <w:color w:val="auto"/>
          <w:sz w:val="30"/>
          <w:szCs w:val="30"/>
          <w:highlight w:val="none"/>
        </w:rPr>
        <w:t>商务条款偏离表</w:t>
      </w:r>
    </w:p>
    <w:p w14:paraId="35A8C80F">
      <w:pPr>
        <w:spacing w:line="360" w:lineRule="auto"/>
        <w:ind w:firstLine="0" w:firstLineChars="0"/>
        <w:contextualSpacing/>
        <w:rPr>
          <w:rFonts w:hint="eastAsia" w:ascii="宋体" w:hAnsi="宋体" w:cs="宋体"/>
          <w:color w:val="auto"/>
          <w:sz w:val="24"/>
          <w:highlight w:val="none"/>
        </w:rPr>
      </w:pPr>
    </w:p>
    <w:p w14:paraId="4190AC4A">
      <w:pPr>
        <w:spacing w:line="360" w:lineRule="auto"/>
        <w:ind w:firstLine="0" w:firstLineChars="0"/>
        <w:contextualSpacing/>
        <w:rPr>
          <w:rFonts w:hint="eastAsia" w:ascii="宋体" w:hAnsi="宋体" w:cs="宋体"/>
          <w:color w:val="auto"/>
          <w:sz w:val="24"/>
          <w:highlight w:val="none"/>
          <w:u w:val="singl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417D5908">
      <w:pPr>
        <w:snapToGrid/>
        <w:spacing w:before="0" w:line="360" w:lineRule="auto"/>
        <w:contextualSpacing/>
        <w:jc w:val="left"/>
        <w:rPr>
          <w:rFonts w:hint="eastAsia" w:ascii="宋体" w:hAnsi="宋体" w:cs="宋体"/>
          <w:color w:val="auto"/>
          <w:sz w:val="24"/>
          <w:highlight w:val="none"/>
          <w:u w:val="single"/>
        </w:rPr>
      </w:pPr>
      <w:r>
        <w:rPr>
          <w:rFonts w:hint="eastAsia" w:ascii="宋体" w:hAnsi="宋体" w:cs="宋体"/>
          <w:color w:val="auto"/>
          <w:sz w:val="24"/>
          <w:highlight w:val="none"/>
        </w:rPr>
        <w:t>项目编号：</w:t>
      </w:r>
      <w:r>
        <w:rPr>
          <w:rFonts w:hint="eastAsia" w:ascii="宋体" w:hAnsi="宋体" w:cs="宋体"/>
          <w:color w:val="auto"/>
          <w:sz w:val="24"/>
          <w:highlight w:val="none"/>
          <w:u w:val="single"/>
        </w:rPr>
        <w:t xml:space="preserve">                 </w:t>
      </w:r>
    </w:p>
    <w:p w14:paraId="51800466">
      <w:pPr>
        <w:pStyle w:val="16"/>
        <w:spacing w:line="480" w:lineRule="auto"/>
        <w:ind w:left="-422" w:leftChars="-201" w:firstLine="424"/>
        <w:rPr>
          <w:rFonts w:hint="eastAsia"/>
          <w:color w:val="auto"/>
          <w:highlight w:val="none"/>
        </w:rPr>
      </w:pPr>
      <w:r>
        <w:rPr>
          <w:rFonts w:hint="eastAsia" w:hAnsi="宋体" w:cs="宋体"/>
          <w:color w:val="auto"/>
          <w:sz w:val="24"/>
          <w:szCs w:val="24"/>
          <w:highlight w:val="none"/>
          <w:lang w:eastAsia="zh-CN"/>
        </w:rPr>
        <w:t>所投</w:t>
      </w:r>
      <w:r>
        <w:rPr>
          <w:rFonts w:hint="eastAsia" w:ascii="宋体" w:hAnsi="宋体" w:cs="宋体"/>
          <w:color w:val="auto"/>
          <w:sz w:val="24"/>
          <w:szCs w:val="24"/>
          <w:highlight w:val="none"/>
        </w:rPr>
        <w:t>分标</w:t>
      </w:r>
      <w:r>
        <w:rPr>
          <w:rFonts w:hint="eastAsia" w:ascii="宋体" w:hAnsi="宋体" w:cs="宋体"/>
          <w:color w:val="auto"/>
          <w:sz w:val="21"/>
          <w:szCs w:val="21"/>
          <w:highlight w:val="none"/>
        </w:rPr>
        <w:t>（此处有分标时填写具体分标号，无分标时填写“无”）</w:t>
      </w:r>
      <w:r>
        <w:rPr>
          <w:rFonts w:hint="eastAsia" w:ascii="宋体" w:hAnsi="宋体" w:cs="宋体"/>
          <w:color w:val="auto"/>
          <w:sz w:val="24"/>
          <w:szCs w:val="24"/>
          <w:highlight w:val="none"/>
          <w:lang w:eastAsia="zh-CN"/>
        </w:rPr>
        <w:t>：</w:t>
      </w:r>
      <w:r>
        <w:rPr>
          <w:rFonts w:hint="eastAsia" w:ascii="宋体" w:hAnsi="宋体" w:cs="宋体"/>
          <w:color w:val="auto"/>
          <w:sz w:val="24"/>
          <w:highlight w:val="none"/>
          <w:u w:val="single"/>
        </w:rPr>
        <w:t xml:space="preserve">           </w:t>
      </w:r>
    </w:p>
    <w:tbl>
      <w:tblPr>
        <w:tblStyle w:val="27"/>
        <w:tblW w:w="92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3379"/>
        <w:gridCol w:w="3229"/>
        <w:gridCol w:w="1917"/>
      </w:tblGrid>
      <w:tr w14:paraId="014B3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774" w:type="dxa"/>
            <w:tcBorders>
              <w:top w:val="single" w:color="auto" w:sz="4" w:space="0"/>
              <w:left w:val="single" w:color="auto" w:sz="4" w:space="0"/>
              <w:bottom w:val="single" w:color="auto" w:sz="4" w:space="0"/>
              <w:right w:val="single" w:color="auto" w:sz="4" w:space="0"/>
            </w:tcBorders>
            <w:noWrap w:val="0"/>
            <w:vAlign w:val="center"/>
          </w:tcPr>
          <w:p w14:paraId="1B258F0D">
            <w:pPr>
              <w:spacing w:line="340" w:lineRule="exact"/>
              <w:jc w:val="center"/>
              <w:rPr>
                <w:rFonts w:hint="eastAsia" w:ascii="宋体" w:hAnsi="宋体" w:cs="宋体"/>
                <w:color w:val="auto"/>
                <w:szCs w:val="21"/>
                <w:highlight w:val="none"/>
              </w:rPr>
            </w:pPr>
            <w:r>
              <w:rPr>
                <w:rFonts w:hint="eastAsia" w:ascii="宋体" w:hAnsi="宋体" w:cs="宋体"/>
                <w:color w:val="auto"/>
                <w:szCs w:val="21"/>
                <w:highlight w:val="none"/>
              </w:rPr>
              <w:t>项号</w:t>
            </w:r>
          </w:p>
        </w:tc>
        <w:tc>
          <w:tcPr>
            <w:tcW w:w="3379" w:type="dxa"/>
            <w:tcBorders>
              <w:top w:val="single" w:color="auto" w:sz="4" w:space="0"/>
              <w:left w:val="single" w:color="auto" w:sz="4" w:space="0"/>
              <w:bottom w:val="single" w:color="auto" w:sz="4" w:space="0"/>
              <w:right w:val="single" w:color="auto" w:sz="4" w:space="0"/>
            </w:tcBorders>
            <w:noWrap w:val="0"/>
            <w:vAlign w:val="center"/>
          </w:tcPr>
          <w:p w14:paraId="3343F6BD">
            <w:pPr>
              <w:spacing w:line="34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招标文件的商务</w:t>
            </w:r>
            <w:r>
              <w:rPr>
                <w:rFonts w:hint="eastAsia" w:ascii="宋体" w:hAnsi="宋体" w:cs="宋体"/>
                <w:color w:val="auto"/>
                <w:szCs w:val="21"/>
                <w:highlight w:val="none"/>
                <w:lang w:val="en-US" w:eastAsia="zh-CN"/>
              </w:rPr>
              <w:t>条款</w:t>
            </w:r>
          </w:p>
        </w:tc>
        <w:tc>
          <w:tcPr>
            <w:tcW w:w="3229" w:type="dxa"/>
            <w:tcBorders>
              <w:top w:val="single" w:color="auto" w:sz="4" w:space="0"/>
              <w:left w:val="single" w:color="auto" w:sz="4" w:space="0"/>
              <w:bottom w:val="single" w:color="auto" w:sz="4" w:space="0"/>
              <w:right w:val="single" w:color="auto" w:sz="4" w:space="0"/>
            </w:tcBorders>
            <w:noWrap w:val="0"/>
            <w:vAlign w:val="center"/>
          </w:tcPr>
          <w:p w14:paraId="79EEE9F7">
            <w:pPr>
              <w:spacing w:line="340" w:lineRule="exact"/>
              <w:jc w:val="center"/>
              <w:rPr>
                <w:rFonts w:hint="eastAsia" w:ascii="宋体" w:hAnsi="宋体" w:cs="宋体"/>
                <w:color w:val="auto"/>
                <w:szCs w:val="21"/>
                <w:highlight w:val="none"/>
              </w:rPr>
            </w:pPr>
            <w:r>
              <w:rPr>
                <w:rFonts w:hint="eastAsia" w:ascii="宋体" w:hAnsi="宋体" w:cs="宋体"/>
                <w:color w:val="auto"/>
                <w:szCs w:val="21"/>
                <w:highlight w:val="none"/>
              </w:rPr>
              <w:t>投标文件</w:t>
            </w:r>
            <w:r>
              <w:rPr>
                <w:rFonts w:hint="eastAsia" w:ascii="宋体" w:hAnsi="宋体" w:cs="宋体"/>
                <w:color w:val="auto"/>
                <w:szCs w:val="21"/>
                <w:highlight w:val="none"/>
                <w:lang w:val="en-US" w:eastAsia="zh-CN"/>
              </w:rPr>
              <w:t>响应</w:t>
            </w:r>
            <w:r>
              <w:rPr>
                <w:rFonts w:hint="eastAsia" w:ascii="宋体" w:hAnsi="宋体" w:cs="宋体"/>
                <w:color w:val="auto"/>
                <w:szCs w:val="21"/>
                <w:highlight w:val="none"/>
              </w:rPr>
              <w:t>的商务条款</w:t>
            </w:r>
          </w:p>
        </w:tc>
        <w:tc>
          <w:tcPr>
            <w:tcW w:w="1917" w:type="dxa"/>
            <w:tcBorders>
              <w:top w:val="single" w:color="auto" w:sz="4" w:space="0"/>
              <w:left w:val="single" w:color="auto" w:sz="4" w:space="0"/>
              <w:bottom w:val="single" w:color="auto" w:sz="4" w:space="0"/>
              <w:right w:val="single" w:color="auto" w:sz="4" w:space="0"/>
            </w:tcBorders>
            <w:noWrap w:val="0"/>
            <w:vAlign w:val="center"/>
          </w:tcPr>
          <w:p w14:paraId="1B310D0F">
            <w:pPr>
              <w:spacing w:line="340" w:lineRule="exact"/>
              <w:jc w:val="center"/>
              <w:rPr>
                <w:rFonts w:hint="eastAsia" w:ascii="宋体" w:hAnsi="宋体" w:cs="宋体"/>
                <w:color w:val="auto"/>
                <w:szCs w:val="21"/>
                <w:highlight w:val="none"/>
              </w:rPr>
            </w:pPr>
            <w:r>
              <w:rPr>
                <w:rFonts w:hint="eastAsia" w:ascii="宋体" w:hAnsi="宋体" w:cs="宋体"/>
                <w:color w:val="auto"/>
                <w:szCs w:val="21"/>
                <w:highlight w:val="none"/>
              </w:rPr>
              <w:t>偏离说明</w:t>
            </w:r>
          </w:p>
        </w:tc>
      </w:tr>
      <w:tr w14:paraId="58642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774" w:type="dxa"/>
            <w:tcBorders>
              <w:top w:val="single" w:color="auto" w:sz="4" w:space="0"/>
              <w:left w:val="single" w:color="auto" w:sz="4" w:space="0"/>
              <w:bottom w:val="single" w:color="auto" w:sz="4" w:space="0"/>
              <w:right w:val="single" w:color="auto" w:sz="4" w:space="0"/>
            </w:tcBorders>
            <w:noWrap w:val="0"/>
            <w:vAlign w:val="top"/>
          </w:tcPr>
          <w:p w14:paraId="1DEFAA82">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一</w:t>
            </w:r>
          </w:p>
        </w:tc>
        <w:tc>
          <w:tcPr>
            <w:tcW w:w="3379" w:type="dxa"/>
            <w:tcBorders>
              <w:top w:val="single" w:color="auto" w:sz="4" w:space="0"/>
              <w:left w:val="single" w:color="auto" w:sz="4" w:space="0"/>
              <w:bottom w:val="single" w:color="auto" w:sz="4" w:space="0"/>
              <w:right w:val="single" w:color="auto" w:sz="4" w:space="0"/>
            </w:tcBorders>
            <w:noWrap w:val="0"/>
            <w:vAlign w:val="top"/>
          </w:tcPr>
          <w:p w14:paraId="0C785B43">
            <w:pPr>
              <w:spacing w:line="340" w:lineRule="exact"/>
              <w:rPr>
                <w:rFonts w:hint="eastAsia" w:ascii="宋体" w:hAnsi="宋体" w:cs="宋体"/>
                <w:color w:val="auto"/>
                <w:szCs w:val="21"/>
                <w:highlight w:val="none"/>
              </w:rPr>
            </w:pPr>
          </w:p>
        </w:tc>
        <w:tc>
          <w:tcPr>
            <w:tcW w:w="3229" w:type="dxa"/>
            <w:tcBorders>
              <w:top w:val="single" w:color="auto" w:sz="4" w:space="0"/>
              <w:left w:val="single" w:color="auto" w:sz="4" w:space="0"/>
              <w:bottom w:val="single" w:color="auto" w:sz="4" w:space="0"/>
              <w:right w:val="single" w:color="auto" w:sz="4" w:space="0"/>
            </w:tcBorders>
            <w:noWrap w:val="0"/>
            <w:vAlign w:val="top"/>
          </w:tcPr>
          <w:p w14:paraId="1722D068">
            <w:pPr>
              <w:spacing w:line="340" w:lineRule="exact"/>
              <w:rPr>
                <w:rFonts w:hint="eastAsia" w:ascii="宋体" w:hAnsi="宋体" w:cs="宋体"/>
                <w:color w:val="auto"/>
                <w:szCs w:val="21"/>
                <w:highlight w:val="none"/>
              </w:rPr>
            </w:pPr>
          </w:p>
        </w:tc>
        <w:tc>
          <w:tcPr>
            <w:tcW w:w="1917" w:type="dxa"/>
            <w:tcBorders>
              <w:top w:val="single" w:color="auto" w:sz="4" w:space="0"/>
              <w:left w:val="single" w:color="auto" w:sz="4" w:space="0"/>
              <w:bottom w:val="single" w:color="auto" w:sz="4" w:space="0"/>
              <w:right w:val="single" w:color="auto" w:sz="4" w:space="0"/>
            </w:tcBorders>
            <w:noWrap w:val="0"/>
            <w:vAlign w:val="top"/>
          </w:tcPr>
          <w:p w14:paraId="7010B8B8">
            <w:pPr>
              <w:spacing w:line="300" w:lineRule="exact"/>
              <w:rPr>
                <w:rFonts w:hint="eastAsia" w:ascii="宋体" w:hAnsi="宋体" w:cs="宋体"/>
                <w:color w:val="auto"/>
                <w:szCs w:val="21"/>
                <w:highlight w:val="none"/>
              </w:rPr>
            </w:pPr>
          </w:p>
        </w:tc>
      </w:tr>
      <w:tr w14:paraId="34655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774" w:type="dxa"/>
            <w:tcBorders>
              <w:top w:val="single" w:color="auto" w:sz="4" w:space="0"/>
              <w:left w:val="single" w:color="auto" w:sz="4" w:space="0"/>
              <w:bottom w:val="single" w:color="auto" w:sz="4" w:space="0"/>
              <w:right w:val="single" w:color="auto" w:sz="4" w:space="0"/>
            </w:tcBorders>
            <w:noWrap w:val="0"/>
            <w:vAlign w:val="top"/>
          </w:tcPr>
          <w:p w14:paraId="294D0ED9">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二</w:t>
            </w:r>
          </w:p>
        </w:tc>
        <w:tc>
          <w:tcPr>
            <w:tcW w:w="3379" w:type="dxa"/>
            <w:tcBorders>
              <w:top w:val="single" w:color="auto" w:sz="4" w:space="0"/>
              <w:left w:val="single" w:color="auto" w:sz="4" w:space="0"/>
              <w:bottom w:val="single" w:color="auto" w:sz="4" w:space="0"/>
              <w:right w:val="single" w:color="auto" w:sz="4" w:space="0"/>
            </w:tcBorders>
            <w:noWrap w:val="0"/>
            <w:vAlign w:val="top"/>
          </w:tcPr>
          <w:p w14:paraId="2E45F7BD">
            <w:pPr>
              <w:spacing w:line="340" w:lineRule="exact"/>
              <w:rPr>
                <w:rFonts w:hint="eastAsia" w:ascii="宋体" w:hAnsi="宋体" w:cs="宋体"/>
                <w:color w:val="auto"/>
                <w:szCs w:val="21"/>
                <w:highlight w:val="none"/>
              </w:rPr>
            </w:pPr>
          </w:p>
        </w:tc>
        <w:tc>
          <w:tcPr>
            <w:tcW w:w="3229" w:type="dxa"/>
            <w:tcBorders>
              <w:top w:val="single" w:color="auto" w:sz="4" w:space="0"/>
              <w:left w:val="single" w:color="auto" w:sz="4" w:space="0"/>
              <w:bottom w:val="single" w:color="auto" w:sz="4" w:space="0"/>
              <w:right w:val="single" w:color="auto" w:sz="4" w:space="0"/>
            </w:tcBorders>
            <w:noWrap w:val="0"/>
            <w:vAlign w:val="top"/>
          </w:tcPr>
          <w:p w14:paraId="09886AEC">
            <w:pPr>
              <w:spacing w:line="340" w:lineRule="exact"/>
              <w:rPr>
                <w:rFonts w:hint="eastAsia" w:ascii="宋体" w:hAnsi="宋体" w:cs="宋体"/>
                <w:color w:val="auto"/>
                <w:szCs w:val="21"/>
                <w:highlight w:val="none"/>
              </w:rPr>
            </w:pPr>
          </w:p>
        </w:tc>
        <w:tc>
          <w:tcPr>
            <w:tcW w:w="1917" w:type="dxa"/>
            <w:tcBorders>
              <w:top w:val="single" w:color="auto" w:sz="4" w:space="0"/>
              <w:left w:val="single" w:color="auto" w:sz="4" w:space="0"/>
              <w:bottom w:val="single" w:color="auto" w:sz="4" w:space="0"/>
              <w:right w:val="single" w:color="auto" w:sz="4" w:space="0"/>
            </w:tcBorders>
            <w:noWrap w:val="0"/>
            <w:vAlign w:val="top"/>
          </w:tcPr>
          <w:p w14:paraId="6758EB96">
            <w:pPr>
              <w:spacing w:line="300" w:lineRule="exact"/>
              <w:rPr>
                <w:rFonts w:hint="eastAsia" w:ascii="宋体" w:hAnsi="宋体" w:cs="宋体"/>
                <w:color w:val="auto"/>
                <w:szCs w:val="21"/>
                <w:highlight w:val="none"/>
              </w:rPr>
            </w:pPr>
          </w:p>
        </w:tc>
      </w:tr>
      <w:tr w14:paraId="5561E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774" w:type="dxa"/>
            <w:tcBorders>
              <w:top w:val="single" w:color="auto" w:sz="4" w:space="0"/>
              <w:left w:val="single" w:color="auto" w:sz="4" w:space="0"/>
              <w:bottom w:val="single" w:color="auto" w:sz="4" w:space="0"/>
              <w:right w:val="single" w:color="auto" w:sz="4" w:space="0"/>
            </w:tcBorders>
            <w:noWrap w:val="0"/>
            <w:vAlign w:val="top"/>
          </w:tcPr>
          <w:p w14:paraId="4A9FCFEA">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w:t>
            </w:r>
          </w:p>
        </w:tc>
        <w:tc>
          <w:tcPr>
            <w:tcW w:w="3379" w:type="dxa"/>
            <w:tcBorders>
              <w:top w:val="single" w:color="auto" w:sz="4" w:space="0"/>
              <w:left w:val="single" w:color="auto" w:sz="4" w:space="0"/>
              <w:bottom w:val="single" w:color="auto" w:sz="4" w:space="0"/>
              <w:right w:val="single" w:color="auto" w:sz="4" w:space="0"/>
            </w:tcBorders>
            <w:noWrap w:val="0"/>
            <w:vAlign w:val="top"/>
          </w:tcPr>
          <w:p w14:paraId="0E13AAD3">
            <w:pPr>
              <w:spacing w:line="340" w:lineRule="exact"/>
              <w:rPr>
                <w:rFonts w:hint="eastAsia" w:ascii="宋体" w:hAnsi="宋体" w:cs="宋体"/>
                <w:color w:val="auto"/>
                <w:szCs w:val="21"/>
                <w:highlight w:val="none"/>
              </w:rPr>
            </w:pPr>
          </w:p>
        </w:tc>
        <w:tc>
          <w:tcPr>
            <w:tcW w:w="3229" w:type="dxa"/>
            <w:tcBorders>
              <w:top w:val="single" w:color="auto" w:sz="4" w:space="0"/>
              <w:left w:val="single" w:color="auto" w:sz="4" w:space="0"/>
              <w:bottom w:val="single" w:color="auto" w:sz="4" w:space="0"/>
              <w:right w:val="single" w:color="auto" w:sz="4" w:space="0"/>
            </w:tcBorders>
            <w:noWrap w:val="0"/>
            <w:vAlign w:val="top"/>
          </w:tcPr>
          <w:p w14:paraId="7B896DA3">
            <w:pPr>
              <w:spacing w:line="340" w:lineRule="exact"/>
              <w:rPr>
                <w:rFonts w:hint="eastAsia" w:ascii="宋体" w:hAnsi="宋体" w:cs="宋体"/>
                <w:color w:val="auto"/>
                <w:szCs w:val="21"/>
                <w:highlight w:val="none"/>
              </w:rPr>
            </w:pPr>
          </w:p>
        </w:tc>
        <w:tc>
          <w:tcPr>
            <w:tcW w:w="1917" w:type="dxa"/>
            <w:tcBorders>
              <w:top w:val="single" w:color="auto" w:sz="4" w:space="0"/>
              <w:left w:val="single" w:color="auto" w:sz="4" w:space="0"/>
              <w:bottom w:val="single" w:color="auto" w:sz="4" w:space="0"/>
              <w:right w:val="single" w:color="auto" w:sz="4" w:space="0"/>
            </w:tcBorders>
            <w:noWrap w:val="0"/>
            <w:vAlign w:val="top"/>
          </w:tcPr>
          <w:p w14:paraId="650CA871">
            <w:pPr>
              <w:spacing w:line="300" w:lineRule="exact"/>
              <w:rPr>
                <w:rFonts w:hint="eastAsia" w:ascii="宋体" w:hAnsi="宋体" w:cs="宋体"/>
                <w:color w:val="auto"/>
                <w:szCs w:val="21"/>
                <w:highlight w:val="none"/>
              </w:rPr>
            </w:pPr>
          </w:p>
        </w:tc>
      </w:tr>
    </w:tbl>
    <w:p w14:paraId="57E4A476">
      <w:pPr>
        <w:pStyle w:val="16"/>
        <w:spacing w:line="360" w:lineRule="auto"/>
        <w:ind w:left="-708" w:leftChars="-337"/>
        <w:rPr>
          <w:rFonts w:hint="eastAsia" w:ascii="Times New Roman" w:hAnsi="Times New Roman" w:eastAsia="宋体" w:cs="Times New Roman"/>
          <w:color w:val="auto"/>
          <w:highlight w:val="none"/>
        </w:rPr>
      </w:pPr>
    </w:p>
    <w:p w14:paraId="22F0D4CA">
      <w:pPr>
        <w:pStyle w:val="16"/>
        <w:spacing w:line="360" w:lineRule="auto"/>
        <w:ind w:left="0" w:leftChars="0" w:firstLine="420"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注：</w:t>
      </w:r>
    </w:p>
    <w:p w14:paraId="3934FAA5">
      <w:pPr>
        <w:pStyle w:val="16"/>
        <w:spacing w:line="360" w:lineRule="auto"/>
        <w:ind w:left="0" w:leftChars="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1.表格内容均需按要求填写并加盖投标人公章。</w:t>
      </w:r>
    </w:p>
    <w:p w14:paraId="5F54BAA2">
      <w:pPr>
        <w:pStyle w:val="16"/>
        <w:spacing w:line="360" w:lineRule="auto"/>
        <w:ind w:left="-424" w:leftChars="-202" w:firstLine="846" w:firstLineChars="0"/>
        <w:rPr>
          <w:rFonts w:hint="eastAsia" w:ascii="宋体" w:hAnsi="宋体" w:eastAsia="宋体" w:cs="宋体"/>
          <w:color w:val="auto"/>
          <w:highlight w:val="none"/>
        </w:rPr>
      </w:pPr>
      <w:r>
        <w:rPr>
          <w:rFonts w:hint="eastAsia" w:ascii="宋体" w:hAnsi="宋体" w:eastAsia="宋体" w:cs="宋体"/>
          <w:color w:val="auto"/>
          <w:highlight w:val="none"/>
        </w:rPr>
        <w:t>2.请逐条对应本项目招标文件</w:t>
      </w:r>
      <w:r>
        <w:rPr>
          <w:rFonts w:hint="eastAsia" w:ascii="宋体" w:hAnsi="宋体" w:cs="宋体"/>
          <w:color w:val="auto"/>
          <w:highlight w:val="none"/>
        </w:rPr>
        <w:t>“第二章</w:t>
      </w:r>
      <w:r>
        <w:rPr>
          <w:rFonts w:hint="eastAsia" w:ascii="宋体" w:hAnsi="宋体" w:cs="宋体"/>
          <w:color w:val="auto"/>
          <w:highlight w:val="none"/>
          <w:lang w:val="en-US" w:eastAsia="zh-CN"/>
        </w:rPr>
        <w:t xml:space="preserve">  </w:t>
      </w:r>
      <w:r>
        <w:rPr>
          <w:rFonts w:hint="eastAsia" w:ascii="宋体" w:hAnsi="宋体" w:cs="宋体"/>
          <w:b/>
          <w:color w:val="auto"/>
          <w:sz w:val="21"/>
          <w:szCs w:val="21"/>
          <w:highlight w:val="none"/>
        </w:rPr>
        <w:t>采购需求</w:t>
      </w:r>
      <w:r>
        <w:rPr>
          <w:rFonts w:hint="eastAsia" w:ascii="宋体" w:hAnsi="宋体" w:cs="宋体"/>
          <w:color w:val="auto"/>
          <w:highlight w:val="none"/>
        </w:rPr>
        <w:t>”</w:t>
      </w:r>
      <w:r>
        <w:rPr>
          <w:rFonts w:hint="eastAsia" w:ascii="宋体" w:hAnsi="宋体" w:eastAsia="宋体" w:cs="宋体"/>
          <w:color w:val="auto"/>
          <w:highlight w:val="none"/>
        </w:rPr>
        <w:t>中“商务条款”的要求，详细填写相应的具体内容。“偏离说明”一栏应当选择“正偏离”</w:t>
      </w:r>
      <w:r>
        <w:rPr>
          <w:rFonts w:hint="eastAsia" w:ascii="宋体" w:hAnsi="宋体" w:eastAsia="宋体" w:cs="宋体"/>
          <w:color w:val="auto"/>
          <w:highlight w:val="none"/>
          <w:lang w:eastAsia="zh-CN"/>
        </w:rPr>
        <w:t>或</w:t>
      </w:r>
      <w:r>
        <w:rPr>
          <w:rFonts w:hint="eastAsia" w:ascii="宋体" w:hAnsi="宋体" w:eastAsia="宋体" w:cs="宋体"/>
          <w:color w:val="auto"/>
          <w:highlight w:val="none"/>
        </w:rPr>
        <w:t>“负偏离”或“无偏离”进行填写。</w:t>
      </w:r>
    </w:p>
    <w:p w14:paraId="7D7B70F6">
      <w:pPr>
        <w:pStyle w:val="16"/>
        <w:spacing w:line="360" w:lineRule="auto"/>
        <w:ind w:left="-603" w:leftChars="-287" w:firstLine="945" w:firstLineChars="450"/>
        <w:rPr>
          <w:rFonts w:hint="eastAsia" w:ascii="宋体" w:hAnsi="宋体" w:eastAsia="宋体" w:cs="宋体"/>
          <w:color w:val="auto"/>
          <w:highlight w:val="none"/>
        </w:rPr>
      </w:pPr>
      <w:r>
        <w:rPr>
          <w:rFonts w:hint="eastAsia" w:ascii="宋体" w:hAnsi="宋体" w:eastAsia="宋体" w:cs="宋体"/>
          <w:color w:val="auto"/>
          <w:highlight w:val="none"/>
        </w:rPr>
        <w:t>3.当投标文件的商务内容低于招标文件要求时，投标人应当如实写明“负偏离”。</w:t>
      </w:r>
    </w:p>
    <w:p w14:paraId="78BC2E0B">
      <w:pPr>
        <w:pStyle w:val="16"/>
        <w:spacing w:line="360" w:lineRule="auto"/>
        <w:ind w:left="-708" w:leftChars="-337" w:firstLine="1050" w:firstLineChars="500"/>
        <w:rPr>
          <w:rFonts w:hint="eastAsia" w:ascii="宋体" w:hAnsi="宋体" w:eastAsia="宋体" w:cs="宋体"/>
          <w:color w:val="auto"/>
          <w:szCs w:val="21"/>
          <w:highlight w:val="none"/>
        </w:rPr>
      </w:pPr>
    </w:p>
    <w:p w14:paraId="0694204D">
      <w:pPr>
        <w:snapToGrid w:val="0"/>
        <w:spacing w:before="50" w:after="50"/>
        <w:rPr>
          <w:rFonts w:ascii="宋体" w:hAnsi="宋体" w:eastAsia="宋体" w:cs="Times New Roman"/>
          <w:color w:val="auto"/>
          <w:sz w:val="24"/>
          <w:highlight w:val="none"/>
        </w:rPr>
      </w:pPr>
    </w:p>
    <w:p w14:paraId="5CE2B6A3">
      <w:pPr>
        <w:snapToGrid w:val="0"/>
        <w:spacing w:line="360" w:lineRule="auto"/>
        <w:ind w:firstLine="4935" w:firstLineChars="2350"/>
        <w:rPr>
          <w:rFonts w:hint="eastAsia" w:ascii="宋体" w:hAnsi="宋体" w:eastAsia="宋体" w:cs="宋体"/>
          <w:color w:val="auto"/>
          <w:kern w:val="0"/>
          <w:sz w:val="24"/>
          <w:highlight w:val="none"/>
          <w:lang w:val="zh-CN"/>
        </w:rPr>
      </w:pPr>
      <w:r>
        <w:rPr>
          <w:rFonts w:hint="eastAsia" w:ascii="宋体" w:hAnsi="宋体" w:eastAsia="宋体" w:cs="宋体"/>
          <w:color w:val="auto"/>
          <w:szCs w:val="21"/>
          <w:highlight w:val="none"/>
        </w:rPr>
        <w:t xml:space="preserve">  </w:t>
      </w:r>
      <w:r>
        <w:rPr>
          <w:rFonts w:hint="eastAsia" w:ascii="宋体" w:hAnsi="宋体" w:eastAsia="宋体" w:cs="宋体"/>
          <w:color w:val="auto"/>
          <w:kern w:val="0"/>
          <w:sz w:val="24"/>
          <w:highlight w:val="none"/>
          <w:lang w:val="zh-CN"/>
        </w:rPr>
        <w:t>投标人名称(盖</w:t>
      </w:r>
      <w:r>
        <w:rPr>
          <w:rFonts w:hint="eastAsia" w:ascii="宋体" w:hAnsi="宋体" w:cs="宋体"/>
          <w:color w:val="auto"/>
          <w:kern w:val="0"/>
          <w:sz w:val="24"/>
          <w:highlight w:val="none"/>
          <w:lang w:val="en-US" w:eastAsia="zh-CN"/>
        </w:rPr>
        <w:t>单位</w:t>
      </w:r>
      <w:r>
        <w:rPr>
          <w:rFonts w:hint="eastAsia" w:ascii="宋体" w:hAnsi="宋体" w:eastAsia="宋体" w:cs="宋体"/>
          <w:color w:val="auto"/>
          <w:kern w:val="0"/>
          <w:sz w:val="24"/>
          <w:highlight w:val="none"/>
          <w:lang w:val="zh-CN"/>
        </w:rPr>
        <w:t>公章)：</w:t>
      </w:r>
    </w:p>
    <w:p w14:paraId="633A9FCA">
      <w:pPr>
        <w:pStyle w:val="18"/>
        <w:rPr>
          <w:rFonts w:hint="eastAsia"/>
          <w:color w:val="auto"/>
          <w:highlight w:val="none"/>
        </w:rPr>
      </w:pPr>
      <w:r>
        <w:rPr>
          <w:rFonts w:hint="eastAsia" w:ascii="宋体" w:hAnsi="宋体" w:eastAsia="宋体" w:cs="宋体"/>
          <w:color w:val="auto"/>
          <w:kern w:val="0"/>
          <w:sz w:val="24"/>
          <w:szCs w:val="24"/>
          <w:highlight w:val="none"/>
          <w:lang w:val="zh-CN" w:eastAsia="zh-CN" w:bidi="ar-SA"/>
        </w:rPr>
        <w:t>法定代表人（或负责人）或者委托代理人（签字或者盖章或者电子签名）：</w:t>
      </w:r>
    </w:p>
    <w:p w14:paraId="686DB283">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1F9F08CE">
      <w:pPr>
        <w:rPr>
          <w:rFonts w:hint="eastAsia"/>
          <w:color w:val="auto"/>
          <w:highlight w:val="none"/>
        </w:rPr>
      </w:pPr>
    </w:p>
    <w:p w14:paraId="14269014">
      <w:pPr>
        <w:pStyle w:val="18"/>
        <w:rPr>
          <w:rFonts w:hint="eastAsia"/>
          <w:color w:val="auto"/>
          <w:highlight w:val="none"/>
        </w:rPr>
      </w:pPr>
    </w:p>
    <w:p w14:paraId="54FB8C69">
      <w:pPr>
        <w:rPr>
          <w:rFonts w:hint="eastAsia"/>
          <w:color w:val="auto"/>
          <w:highlight w:val="none"/>
        </w:rPr>
      </w:pPr>
    </w:p>
    <w:p w14:paraId="781187BD">
      <w:pPr>
        <w:pStyle w:val="18"/>
        <w:rPr>
          <w:rFonts w:hint="eastAsia"/>
          <w:color w:val="auto"/>
          <w:highlight w:val="none"/>
        </w:rPr>
      </w:pPr>
    </w:p>
    <w:p w14:paraId="3181027B">
      <w:pPr>
        <w:rPr>
          <w:rFonts w:hint="eastAsia"/>
          <w:color w:val="auto"/>
          <w:highlight w:val="none"/>
        </w:rPr>
      </w:pPr>
    </w:p>
    <w:p w14:paraId="7CA0B7C3">
      <w:pPr>
        <w:pStyle w:val="18"/>
        <w:rPr>
          <w:rFonts w:hint="eastAsia"/>
          <w:color w:val="auto"/>
          <w:highlight w:val="none"/>
        </w:rPr>
      </w:pPr>
    </w:p>
    <w:p w14:paraId="4ED49E14">
      <w:pPr>
        <w:rPr>
          <w:rFonts w:hint="eastAsia"/>
          <w:color w:val="auto"/>
          <w:highlight w:val="none"/>
        </w:rPr>
      </w:pPr>
    </w:p>
    <w:p w14:paraId="418B25F6">
      <w:pPr>
        <w:pStyle w:val="18"/>
        <w:rPr>
          <w:rFonts w:hint="eastAsia"/>
          <w:color w:val="auto"/>
          <w:highlight w:val="none"/>
        </w:rPr>
      </w:pPr>
    </w:p>
    <w:p w14:paraId="75299B43">
      <w:pPr>
        <w:rPr>
          <w:rFonts w:hint="eastAsia"/>
          <w:color w:val="auto"/>
          <w:highlight w:val="none"/>
        </w:rPr>
      </w:pPr>
    </w:p>
    <w:p w14:paraId="44685791">
      <w:pPr>
        <w:jc w:val="left"/>
        <w:outlineLvl w:val="3"/>
        <w:rPr>
          <w:rFonts w:hint="eastAsia" w:ascii="宋体" w:hAnsi="宋体" w:eastAsia="宋体" w:cs="宋体"/>
          <w:b/>
          <w:color w:val="auto"/>
          <w:sz w:val="28"/>
          <w:szCs w:val="28"/>
          <w:highlight w:val="none"/>
          <w:lang w:val="zh-CN" w:eastAsia="zh-CN"/>
        </w:rPr>
      </w:pPr>
      <w:r>
        <w:rPr>
          <w:rFonts w:hint="eastAsia" w:ascii="宋体" w:hAnsi="宋体" w:cs="宋体"/>
          <w:b/>
          <w:color w:val="auto"/>
          <w:sz w:val="28"/>
          <w:szCs w:val="28"/>
          <w:highlight w:val="none"/>
          <w:lang w:val="en-US" w:eastAsia="zh-CN"/>
        </w:rPr>
        <w:t>7.</w:t>
      </w:r>
      <w:r>
        <w:rPr>
          <w:rFonts w:hint="eastAsia" w:ascii="宋体" w:hAnsi="宋体" w:eastAsia="宋体" w:cs="宋体"/>
          <w:b/>
          <w:color w:val="auto"/>
          <w:sz w:val="28"/>
          <w:szCs w:val="28"/>
          <w:highlight w:val="none"/>
          <w:lang w:val="en-US" w:eastAsia="zh-CN"/>
        </w:rPr>
        <w:t>企业综合实力证明材料（部分格式）</w:t>
      </w:r>
    </w:p>
    <w:p w14:paraId="7F0816E5">
      <w:pPr>
        <w:jc w:val="left"/>
        <w:rPr>
          <w:rFonts w:hint="eastAsia"/>
          <w:color w:val="auto"/>
          <w:highlight w:val="none"/>
          <w:lang w:val="zh-CN"/>
        </w:rPr>
      </w:pPr>
    </w:p>
    <w:p w14:paraId="14D5A032">
      <w:pPr>
        <w:keepNext w:val="0"/>
        <w:keepLines w:val="0"/>
        <w:widowControl/>
        <w:suppressLineNumbers w:val="0"/>
        <w:jc w:val="left"/>
        <w:rPr>
          <w:color w:val="auto"/>
          <w:sz w:val="21"/>
          <w:szCs w:val="24"/>
          <w:highlight w:val="none"/>
        </w:rPr>
      </w:pPr>
      <w:r>
        <w:rPr>
          <w:rFonts w:hint="eastAsia" w:ascii="宋体" w:hAnsi="宋体" w:eastAsia="宋体" w:cs="宋体"/>
          <w:b/>
          <w:bCs/>
          <w:color w:val="auto"/>
          <w:kern w:val="0"/>
          <w:sz w:val="24"/>
          <w:szCs w:val="24"/>
          <w:highlight w:val="none"/>
          <w:lang w:val="en-US" w:eastAsia="zh-CN" w:bidi="ar"/>
        </w:rPr>
        <w:t>7.1拟投入车辆一览表（格式）</w:t>
      </w:r>
    </w:p>
    <w:p w14:paraId="5FD0654C">
      <w:pPr>
        <w:pStyle w:val="18"/>
        <w:rPr>
          <w:rFonts w:hint="eastAsia"/>
          <w:color w:val="auto"/>
          <w:highlight w:val="none"/>
          <w:lang w:val="zh-CN"/>
        </w:rPr>
      </w:pPr>
    </w:p>
    <w:p w14:paraId="73F90DFC">
      <w:pPr>
        <w:jc w:val="center"/>
        <w:rPr>
          <w:rFonts w:hint="eastAsia"/>
          <w:color w:val="auto"/>
          <w:highlight w:val="none"/>
          <w:lang w:val="zh-CN"/>
        </w:rPr>
      </w:pPr>
      <w:r>
        <w:rPr>
          <w:rFonts w:hint="eastAsia" w:ascii="宋体" w:hAnsi="宋体" w:eastAsia="宋体" w:cs="宋体"/>
          <w:b/>
          <w:bCs/>
          <w:color w:val="auto"/>
          <w:kern w:val="0"/>
          <w:sz w:val="24"/>
          <w:szCs w:val="24"/>
          <w:highlight w:val="none"/>
          <w:lang w:val="en-US" w:eastAsia="zh-CN" w:bidi="ar"/>
        </w:rPr>
        <w:t>拟投入车辆一览表</w:t>
      </w:r>
    </w:p>
    <w:p w14:paraId="0D2556CE">
      <w:pPr>
        <w:pStyle w:val="18"/>
        <w:rPr>
          <w:rFonts w:hint="eastAsia"/>
          <w:color w:val="auto"/>
          <w:highlight w:val="none"/>
          <w:lang w:val="zh-CN"/>
        </w:rPr>
      </w:pPr>
    </w:p>
    <w:tbl>
      <w:tblPr>
        <w:tblStyle w:val="28"/>
        <w:tblW w:w="97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
        <w:gridCol w:w="2729"/>
        <w:gridCol w:w="2209"/>
        <w:gridCol w:w="1956"/>
        <w:gridCol w:w="1956"/>
      </w:tblGrid>
      <w:tr w14:paraId="6C241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927" w:type="dxa"/>
            <w:noWrap w:val="0"/>
            <w:vAlign w:val="center"/>
          </w:tcPr>
          <w:p w14:paraId="352493A0">
            <w:pPr>
              <w:keepNext w:val="0"/>
              <w:keepLines w:val="0"/>
              <w:widowControl/>
              <w:suppressLineNumbers w:val="0"/>
              <w:jc w:val="center"/>
              <w:rPr>
                <w:rFonts w:hint="eastAsia"/>
                <w:color w:val="auto"/>
                <w:sz w:val="28"/>
                <w:szCs w:val="36"/>
                <w:highlight w:val="none"/>
                <w:vertAlign w:val="baseline"/>
                <w:lang w:val="zh-CN"/>
              </w:rPr>
            </w:pPr>
            <w:r>
              <w:rPr>
                <w:rFonts w:hint="eastAsia" w:ascii="宋体" w:hAnsi="宋体" w:eastAsia="宋体" w:cs="宋体"/>
                <w:color w:val="auto"/>
                <w:kern w:val="0"/>
                <w:sz w:val="24"/>
                <w:szCs w:val="24"/>
                <w:highlight w:val="none"/>
                <w:lang w:val="en-US" w:eastAsia="zh-CN" w:bidi="ar"/>
              </w:rPr>
              <w:t>序号</w:t>
            </w:r>
          </w:p>
        </w:tc>
        <w:tc>
          <w:tcPr>
            <w:tcW w:w="2729" w:type="dxa"/>
            <w:noWrap w:val="0"/>
            <w:vAlign w:val="center"/>
          </w:tcPr>
          <w:p w14:paraId="6973442C">
            <w:pPr>
              <w:keepNext w:val="0"/>
              <w:keepLines w:val="0"/>
              <w:widowControl/>
              <w:suppressLineNumbers w:val="0"/>
              <w:jc w:val="center"/>
              <w:rPr>
                <w:rFonts w:hint="eastAsia"/>
                <w:color w:val="auto"/>
                <w:sz w:val="28"/>
                <w:szCs w:val="36"/>
                <w:highlight w:val="none"/>
                <w:vertAlign w:val="baseline"/>
                <w:lang w:val="zh-CN"/>
              </w:rPr>
            </w:pPr>
            <w:r>
              <w:rPr>
                <w:rFonts w:hint="eastAsia" w:ascii="宋体" w:hAnsi="宋体" w:eastAsia="宋体" w:cs="宋体"/>
                <w:color w:val="auto"/>
                <w:kern w:val="0"/>
                <w:sz w:val="24"/>
                <w:szCs w:val="24"/>
                <w:highlight w:val="none"/>
                <w:lang w:val="en-US" w:eastAsia="zh-CN" w:bidi="ar"/>
              </w:rPr>
              <w:t>车辆名称</w:t>
            </w:r>
          </w:p>
        </w:tc>
        <w:tc>
          <w:tcPr>
            <w:tcW w:w="2209" w:type="dxa"/>
            <w:noWrap w:val="0"/>
            <w:vAlign w:val="center"/>
          </w:tcPr>
          <w:p w14:paraId="6CA65B48">
            <w:pPr>
              <w:keepNext w:val="0"/>
              <w:keepLines w:val="0"/>
              <w:widowControl/>
              <w:suppressLineNumbers w:val="0"/>
              <w:jc w:val="center"/>
              <w:rPr>
                <w:rFonts w:hint="eastAsia"/>
                <w:color w:val="auto"/>
                <w:sz w:val="28"/>
                <w:szCs w:val="36"/>
                <w:highlight w:val="none"/>
                <w:vertAlign w:val="baseline"/>
                <w:lang w:val="zh-CN"/>
              </w:rPr>
            </w:pPr>
            <w:r>
              <w:rPr>
                <w:rFonts w:hint="eastAsia" w:ascii="宋体" w:hAnsi="宋体" w:eastAsia="宋体" w:cs="宋体"/>
                <w:color w:val="auto"/>
                <w:kern w:val="0"/>
                <w:sz w:val="24"/>
                <w:szCs w:val="24"/>
                <w:highlight w:val="none"/>
                <w:lang w:val="en-US" w:eastAsia="zh-CN" w:bidi="ar"/>
              </w:rPr>
              <w:t>车牌号码</w:t>
            </w:r>
          </w:p>
        </w:tc>
        <w:tc>
          <w:tcPr>
            <w:tcW w:w="1956" w:type="dxa"/>
            <w:noWrap w:val="0"/>
            <w:vAlign w:val="center"/>
          </w:tcPr>
          <w:p w14:paraId="06B83A79">
            <w:pPr>
              <w:keepNext w:val="0"/>
              <w:keepLines w:val="0"/>
              <w:widowControl/>
              <w:suppressLineNumbers w:val="0"/>
              <w:jc w:val="center"/>
              <w:rPr>
                <w:rFonts w:hint="eastAsia"/>
                <w:color w:val="auto"/>
                <w:sz w:val="28"/>
                <w:szCs w:val="36"/>
                <w:highlight w:val="none"/>
                <w:vertAlign w:val="baseline"/>
                <w:lang w:val="zh-CN"/>
              </w:rPr>
            </w:pPr>
            <w:r>
              <w:rPr>
                <w:rFonts w:hint="eastAsia" w:ascii="宋体" w:hAnsi="宋体" w:eastAsia="宋体" w:cs="宋体"/>
                <w:color w:val="auto"/>
                <w:kern w:val="0"/>
                <w:sz w:val="24"/>
                <w:szCs w:val="24"/>
                <w:highlight w:val="none"/>
                <w:lang w:val="en-US" w:eastAsia="zh-CN" w:bidi="ar"/>
              </w:rPr>
              <w:t>自有</w:t>
            </w:r>
            <w:r>
              <w:rPr>
                <w:rFonts w:hint="default" w:ascii="Times New Roman" w:hAnsi="Times New Roman" w:eastAsia="宋体" w:cs="Times New Roman"/>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租赁</w:t>
            </w:r>
          </w:p>
        </w:tc>
        <w:tc>
          <w:tcPr>
            <w:tcW w:w="1956" w:type="dxa"/>
            <w:noWrap w:val="0"/>
            <w:vAlign w:val="center"/>
          </w:tcPr>
          <w:p w14:paraId="0EC5B1D2">
            <w:pPr>
              <w:keepNext w:val="0"/>
              <w:keepLines w:val="0"/>
              <w:widowControl/>
              <w:suppressLineNumbers w:val="0"/>
              <w:jc w:val="center"/>
              <w:rPr>
                <w:rFonts w:hint="eastAsia"/>
                <w:color w:val="auto"/>
                <w:sz w:val="28"/>
                <w:szCs w:val="36"/>
                <w:highlight w:val="none"/>
                <w:vertAlign w:val="baseline"/>
                <w:lang w:val="zh-CN"/>
              </w:rPr>
            </w:pPr>
            <w:r>
              <w:rPr>
                <w:rFonts w:hint="eastAsia" w:ascii="宋体" w:hAnsi="宋体" w:eastAsia="宋体" w:cs="宋体"/>
                <w:color w:val="auto"/>
                <w:kern w:val="0"/>
                <w:sz w:val="24"/>
                <w:szCs w:val="24"/>
                <w:highlight w:val="none"/>
                <w:lang w:val="en-US" w:eastAsia="zh-CN" w:bidi="ar"/>
              </w:rPr>
              <w:t>车辆所有人名称</w:t>
            </w:r>
          </w:p>
        </w:tc>
      </w:tr>
      <w:tr w14:paraId="6B000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927" w:type="dxa"/>
            <w:noWrap w:val="0"/>
            <w:vAlign w:val="center"/>
          </w:tcPr>
          <w:p w14:paraId="1CE135BB">
            <w:pPr>
              <w:keepNext w:val="0"/>
              <w:keepLines w:val="0"/>
              <w:widowControl/>
              <w:suppressLineNumbers w:val="0"/>
              <w:jc w:val="center"/>
              <w:rPr>
                <w:rFonts w:hint="eastAsia" w:eastAsia="宋体"/>
                <w:color w:val="auto"/>
                <w:sz w:val="28"/>
                <w:szCs w:val="36"/>
                <w:highlight w:val="none"/>
                <w:vertAlign w:val="baseline"/>
                <w:lang w:val="en-US" w:eastAsia="zh-CN"/>
              </w:rPr>
            </w:pPr>
            <w:r>
              <w:rPr>
                <w:rFonts w:hint="eastAsia"/>
                <w:color w:val="auto"/>
                <w:sz w:val="28"/>
                <w:szCs w:val="36"/>
                <w:highlight w:val="none"/>
                <w:vertAlign w:val="baseline"/>
                <w:lang w:val="en-US" w:eastAsia="zh-CN"/>
              </w:rPr>
              <w:t>1</w:t>
            </w:r>
          </w:p>
        </w:tc>
        <w:tc>
          <w:tcPr>
            <w:tcW w:w="2729" w:type="dxa"/>
            <w:noWrap w:val="0"/>
            <w:vAlign w:val="center"/>
          </w:tcPr>
          <w:p w14:paraId="00F6F45D">
            <w:pPr>
              <w:keepNext w:val="0"/>
              <w:keepLines w:val="0"/>
              <w:widowControl/>
              <w:suppressLineNumbers w:val="0"/>
              <w:jc w:val="center"/>
              <w:rPr>
                <w:rFonts w:hint="eastAsia"/>
                <w:color w:val="auto"/>
                <w:sz w:val="28"/>
                <w:szCs w:val="36"/>
                <w:highlight w:val="none"/>
                <w:vertAlign w:val="baseline"/>
                <w:lang w:val="zh-CN"/>
              </w:rPr>
            </w:pPr>
          </w:p>
        </w:tc>
        <w:tc>
          <w:tcPr>
            <w:tcW w:w="2209" w:type="dxa"/>
            <w:noWrap w:val="0"/>
            <w:vAlign w:val="center"/>
          </w:tcPr>
          <w:p w14:paraId="75AF9CD6">
            <w:pPr>
              <w:keepNext w:val="0"/>
              <w:keepLines w:val="0"/>
              <w:widowControl/>
              <w:suppressLineNumbers w:val="0"/>
              <w:jc w:val="center"/>
              <w:rPr>
                <w:rFonts w:hint="eastAsia"/>
                <w:color w:val="auto"/>
                <w:sz w:val="28"/>
                <w:szCs w:val="36"/>
                <w:highlight w:val="none"/>
                <w:vertAlign w:val="baseline"/>
                <w:lang w:val="zh-CN"/>
              </w:rPr>
            </w:pPr>
          </w:p>
        </w:tc>
        <w:tc>
          <w:tcPr>
            <w:tcW w:w="1956" w:type="dxa"/>
            <w:noWrap w:val="0"/>
            <w:vAlign w:val="center"/>
          </w:tcPr>
          <w:p w14:paraId="5F2B37D9">
            <w:pPr>
              <w:keepNext w:val="0"/>
              <w:keepLines w:val="0"/>
              <w:widowControl/>
              <w:suppressLineNumbers w:val="0"/>
              <w:jc w:val="center"/>
              <w:rPr>
                <w:rFonts w:hint="eastAsia"/>
                <w:color w:val="auto"/>
                <w:sz w:val="28"/>
                <w:szCs w:val="36"/>
                <w:highlight w:val="none"/>
                <w:vertAlign w:val="baseline"/>
                <w:lang w:val="zh-CN"/>
              </w:rPr>
            </w:pPr>
          </w:p>
        </w:tc>
        <w:tc>
          <w:tcPr>
            <w:tcW w:w="1956" w:type="dxa"/>
            <w:noWrap w:val="0"/>
            <w:vAlign w:val="center"/>
          </w:tcPr>
          <w:p w14:paraId="5AD40E01">
            <w:pPr>
              <w:keepNext w:val="0"/>
              <w:keepLines w:val="0"/>
              <w:widowControl/>
              <w:suppressLineNumbers w:val="0"/>
              <w:jc w:val="center"/>
              <w:rPr>
                <w:rFonts w:hint="eastAsia"/>
                <w:color w:val="auto"/>
                <w:sz w:val="28"/>
                <w:szCs w:val="36"/>
                <w:highlight w:val="none"/>
                <w:vertAlign w:val="baseline"/>
                <w:lang w:val="zh-CN"/>
              </w:rPr>
            </w:pPr>
          </w:p>
        </w:tc>
      </w:tr>
      <w:tr w14:paraId="0010F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927" w:type="dxa"/>
            <w:noWrap w:val="0"/>
            <w:vAlign w:val="center"/>
          </w:tcPr>
          <w:p w14:paraId="616E3D34">
            <w:pPr>
              <w:keepNext w:val="0"/>
              <w:keepLines w:val="0"/>
              <w:widowControl/>
              <w:suppressLineNumbers w:val="0"/>
              <w:jc w:val="center"/>
              <w:rPr>
                <w:rFonts w:hint="eastAsia" w:eastAsia="宋体"/>
                <w:color w:val="auto"/>
                <w:sz w:val="28"/>
                <w:szCs w:val="36"/>
                <w:highlight w:val="none"/>
                <w:vertAlign w:val="baseline"/>
                <w:lang w:val="en-US" w:eastAsia="zh-CN"/>
              </w:rPr>
            </w:pPr>
            <w:r>
              <w:rPr>
                <w:rFonts w:hint="eastAsia"/>
                <w:color w:val="auto"/>
                <w:sz w:val="28"/>
                <w:szCs w:val="36"/>
                <w:highlight w:val="none"/>
                <w:vertAlign w:val="baseline"/>
                <w:lang w:val="en-US" w:eastAsia="zh-CN"/>
              </w:rPr>
              <w:t>2</w:t>
            </w:r>
          </w:p>
        </w:tc>
        <w:tc>
          <w:tcPr>
            <w:tcW w:w="2729" w:type="dxa"/>
            <w:noWrap w:val="0"/>
            <w:vAlign w:val="center"/>
          </w:tcPr>
          <w:p w14:paraId="207FF5BE">
            <w:pPr>
              <w:keepNext w:val="0"/>
              <w:keepLines w:val="0"/>
              <w:widowControl/>
              <w:suppressLineNumbers w:val="0"/>
              <w:jc w:val="center"/>
              <w:rPr>
                <w:rFonts w:hint="eastAsia"/>
                <w:color w:val="auto"/>
                <w:sz w:val="28"/>
                <w:szCs w:val="36"/>
                <w:highlight w:val="none"/>
                <w:vertAlign w:val="baseline"/>
                <w:lang w:val="zh-CN"/>
              </w:rPr>
            </w:pPr>
          </w:p>
        </w:tc>
        <w:tc>
          <w:tcPr>
            <w:tcW w:w="2209" w:type="dxa"/>
            <w:noWrap w:val="0"/>
            <w:vAlign w:val="center"/>
          </w:tcPr>
          <w:p w14:paraId="57EBBE22">
            <w:pPr>
              <w:keepNext w:val="0"/>
              <w:keepLines w:val="0"/>
              <w:widowControl/>
              <w:suppressLineNumbers w:val="0"/>
              <w:jc w:val="center"/>
              <w:rPr>
                <w:rFonts w:hint="eastAsia"/>
                <w:color w:val="auto"/>
                <w:sz w:val="28"/>
                <w:szCs w:val="36"/>
                <w:highlight w:val="none"/>
                <w:vertAlign w:val="baseline"/>
                <w:lang w:val="zh-CN"/>
              </w:rPr>
            </w:pPr>
          </w:p>
        </w:tc>
        <w:tc>
          <w:tcPr>
            <w:tcW w:w="1956" w:type="dxa"/>
            <w:noWrap w:val="0"/>
            <w:vAlign w:val="center"/>
          </w:tcPr>
          <w:p w14:paraId="3D9103EC">
            <w:pPr>
              <w:keepNext w:val="0"/>
              <w:keepLines w:val="0"/>
              <w:widowControl/>
              <w:suppressLineNumbers w:val="0"/>
              <w:jc w:val="center"/>
              <w:rPr>
                <w:rFonts w:hint="eastAsia"/>
                <w:color w:val="auto"/>
                <w:sz w:val="28"/>
                <w:szCs w:val="36"/>
                <w:highlight w:val="none"/>
                <w:vertAlign w:val="baseline"/>
                <w:lang w:val="zh-CN"/>
              </w:rPr>
            </w:pPr>
          </w:p>
        </w:tc>
        <w:tc>
          <w:tcPr>
            <w:tcW w:w="1956" w:type="dxa"/>
            <w:noWrap w:val="0"/>
            <w:vAlign w:val="center"/>
          </w:tcPr>
          <w:p w14:paraId="09D2B0DF">
            <w:pPr>
              <w:keepNext w:val="0"/>
              <w:keepLines w:val="0"/>
              <w:widowControl/>
              <w:suppressLineNumbers w:val="0"/>
              <w:jc w:val="center"/>
              <w:rPr>
                <w:rFonts w:hint="eastAsia"/>
                <w:color w:val="auto"/>
                <w:sz w:val="28"/>
                <w:szCs w:val="36"/>
                <w:highlight w:val="none"/>
                <w:vertAlign w:val="baseline"/>
                <w:lang w:val="zh-CN"/>
              </w:rPr>
            </w:pPr>
          </w:p>
        </w:tc>
      </w:tr>
      <w:tr w14:paraId="5B113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927" w:type="dxa"/>
            <w:noWrap w:val="0"/>
            <w:vAlign w:val="center"/>
          </w:tcPr>
          <w:p w14:paraId="5C41835F">
            <w:pPr>
              <w:keepNext w:val="0"/>
              <w:keepLines w:val="0"/>
              <w:widowControl/>
              <w:suppressLineNumbers w:val="0"/>
              <w:jc w:val="center"/>
              <w:rPr>
                <w:rFonts w:hint="eastAsia" w:eastAsia="宋体"/>
                <w:color w:val="auto"/>
                <w:sz w:val="28"/>
                <w:szCs w:val="36"/>
                <w:highlight w:val="none"/>
                <w:vertAlign w:val="baseline"/>
                <w:lang w:val="en-US" w:eastAsia="zh-CN"/>
              </w:rPr>
            </w:pPr>
            <w:r>
              <w:rPr>
                <w:rFonts w:hint="eastAsia"/>
                <w:color w:val="auto"/>
                <w:sz w:val="28"/>
                <w:szCs w:val="36"/>
                <w:highlight w:val="none"/>
                <w:vertAlign w:val="baseline"/>
                <w:lang w:val="en-US" w:eastAsia="zh-CN"/>
              </w:rPr>
              <w:t>3</w:t>
            </w:r>
          </w:p>
        </w:tc>
        <w:tc>
          <w:tcPr>
            <w:tcW w:w="2729" w:type="dxa"/>
            <w:noWrap w:val="0"/>
            <w:vAlign w:val="center"/>
          </w:tcPr>
          <w:p w14:paraId="6CB14CA7">
            <w:pPr>
              <w:keepNext w:val="0"/>
              <w:keepLines w:val="0"/>
              <w:widowControl/>
              <w:suppressLineNumbers w:val="0"/>
              <w:jc w:val="center"/>
              <w:rPr>
                <w:rFonts w:hint="eastAsia"/>
                <w:color w:val="auto"/>
                <w:sz w:val="28"/>
                <w:szCs w:val="36"/>
                <w:highlight w:val="none"/>
                <w:vertAlign w:val="baseline"/>
                <w:lang w:val="zh-CN"/>
              </w:rPr>
            </w:pPr>
          </w:p>
        </w:tc>
        <w:tc>
          <w:tcPr>
            <w:tcW w:w="2209" w:type="dxa"/>
            <w:noWrap w:val="0"/>
            <w:vAlign w:val="center"/>
          </w:tcPr>
          <w:p w14:paraId="218AECD9">
            <w:pPr>
              <w:keepNext w:val="0"/>
              <w:keepLines w:val="0"/>
              <w:widowControl/>
              <w:suppressLineNumbers w:val="0"/>
              <w:jc w:val="center"/>
              <w:rPr>
                <w:rFonts w:hint="eastAsia"/>
                <w:color w:val="auto"/>
                <w:sz w:val="28"/>
                <w:szCs w:val="36"/>
                <w:highlight w:val="none"/>
                <w:vertAlign w:val="baseline"/>
                <w:lang w:val="zh-CN"/>
              </w:rPr>
            </w:pPr>
          </w:p>
        </w:tc>
        <w:tc>
          <w:tcPr>
            <w:tcW w:w="1956" w:type="dxa"/>
            <w:noWrap w:val="0"/>
            <w:vAlign w:val="center"/>
          </w:tcPr>
          <w:p w14:paraId="1260D604">
            <w:pPr>
              <w:keepNext w:val="0"/>
              <w:keepLines w:val="0"/>
              <w:widowControl/>
              <w:suppressLineNumbers w:val="0"/>
              <w:jc w:val="center"/>
              <w:rPr>
                <w:rFonts w:hint="eastAsia"/>
                <w:color w:val="auto"/>
                <w:sz w:val="28"/>
                <w:szCs w:val="36"/>
                <w:highlight w:val="none"/>
                <w:vertAlign w:val="baseline"/>
                <w:lang w:val="zh-CN"/>
              </w:rPr>
            </w:pPr>
          </w:p>
        </w:tc>
        <w:tc>
          <w:tcPr>
            <w:tcW w:w="1956" w:type="dxa"/>
            <w:noWrap w:val="0"/>
            <w:vAlign w:val="center"/>
          </w:tcPr>
          <w:p w14:paraId="4BDB6C6A">
            <w:pPr>
              <w:keepNext w:val="0"/>
              <w:keepLines w:val="0"/>
              <w:widowControl/>
              <w:suppressLineNumbers w:val="0"/>
              <w:jc w:val="center"/>
              <w:rPr>
                <w:rFonts w:hint="eastAsia"/>
                <w:color w:val="auto"/>
                <w:sz w:val="28"/>
                <w:szCs w:val="36"/>
                <w:highlight w:val="none"/>
                <w:vertAlign w:val="baseline"/>
                <w:lang w:val="zh-CN"/>
              </w:rPr>
            </w:pPr>
          </w:p>
        </w:tc>
      </w:tr>
      <w:tr w14:paraId="10CBC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927" w:type="dxa"/>
            <w:noWrap w:val="0"/>
            <w:vAlign w:val="center"/>
          </w:tcPr>
          <w:p w14:paraId="12175F75">
            <w:pPr>
              <w:keepNext w:val="0"/>
              <w:keepLines w:val="0"/>
              <w:widowControl/>
              <w:suppressLineNumbers w:val="0"/>
              <w:jc w:val="center"/>
              <w:rPr>
                <w:rFonts w:hint="default"/>
                <w:color w:val="auto"/>
                <w:sz w:val="28"/>
                <w:szCs w:val="36"/>
                <w:highlight w:val="none"/>
                <w:vertAlign w:val="baseline"/>
                <w:lang w:val="en-US" w:eastAsia="zh-CN"/>
              </w:rPr>
            </w:pPr>
            <w:r>
              <w:rPr>
                <w:rFonts w:hint="eastAsia"/>
                <w:color w:val="auto"/>
                <w:sz w:val="28"/>
                <w:szCs w:val="36"/>
                <w:highlight w:val="none"/>
                <w:vertAlign w:val="baseline"/>
                <w:lang w:val="en-US" w:eastAsia="zh-CN"/>
              </w:rPr>
              <w:t>4</w:t>
            </w:r>
          </w:p>
        </w:tc>
        <w:tc>
          <w:tcPr>
            <w:tcW w:w="2729" w:type="dxa"/>
            <w:noWrap w:val="0"/>
            <w:vAlign w:val="center"/>
          </w:tcPr>
          <w:p w14:paraId="0974F8A7">
            <w:pPr>
              <w:keepNext w:val="0"/>
              <w:keepLines w:val="0"/>
              <w:widowControl/>
              <w:suppressLineNumbers w:val="0"/>
              <w:jc w:val="center"/>
              <w:rPr>
                <w:rFonts w:hint="eastAsia"/>
                <w:color w:val="auto"/>
                <w:sz w:val="28"/>
                <w:szCs w:val="36"/>
                <w:highlight w:val="none"/>
                <w:vertAlign w:val="baseline"/>
                <w:lang w:val="zh-CN"/>
              </w:rPr>
            </w:pPr>
          </w:p>
        </w:tc>
        <w:tc>
          <w:tcPr>
            <w:tcW w:w="2209" w:type="dxa"/>
            <w:noWrap w:val="0"/>
            <w:vAlign w:val="center"/>
          </w:tcPr>
          <w:p w14:paraId="02486078">
            <w:pPr>
              <w:keepNext w:val="0"/>
              <w:keepLines w:val="0"/>
              <w:widowControl/>
              <w:suppressLineNumbers w:val="0"/>
              <w:jc w:val="center"/>
              <w:rPr>
                <w:rFonts w:hint="eastAsia"/>
                <w:color w:val="auto"/>
                <w:sz w:val="28"/>
                <w:szCs w:val="36"/>
                <w:highlight w:val="none"/>
                <w:vertAlign w:val="baseline"/>
                <w:lang w:val="zh-CN"/>
              </w:rPr>
            </w:pPr>
          </w:p>
        </w:tc>
        <w:tc>
          <w:tcPr>
            <w:tcW w:w="1956" w:type="dxa"/>
            <w:noWrap w:val="0"/>
            <w:vAlign w:val="center"/>
          </w:tcPr>
          <w:p w14:paraId="00EF93A6">
            <w:pPr>
              <w:keepNext w:val="0"/>
              <w:keepLines w:val="0"/>
              <w:widowControl/>
              <w:suppressLineNumbers w:val="0"/>
              <w:jc w:val="center"/>
              <w:rPr>
                <w:rFonts w:hint="eastAsia"/>
                <w:color w:val="auto"/>
                <w:sz w:val="28"/>
                <w:szCs w:val="36"/>
                <w:highlight w:val="none"/>
                <w:vertAlign w:val="baseline"/>
                <w:lang w:val="zh-CN"/>
              </w:rPr>
            </w:pPr>
          </w:p>
        </w:tc>
        <w:tc>
          <w:tcPr>
            <w:tcW w:w="1956" w:type="dxa"/>
            <w:noWrap w:val="0"/>
            <w:vAlign w:val="center"/>
          </w:tcPr>
          <w:p w14:paraId="3760F986">
            <w:pPr>
              <w:keepNext w:val="0"/>
              <w:keepLines w:val="0"/>
              <w:widowControl/>
              <w:suppressLineNumbers w:val="0"/>
              <w:jc w:val="center"/>
              <w:rPr>
                <w:rFonts w:hint="eastAsia"/>
                <w:color w:val="auto"/>
                <w:sz w:val="28"/>
                <w:szCs w:val="36"/>
                <w:highlight w:val="none"/>
                <w:vertAlign w:val="baseline"/>
                <w:lang w:val="zh-CN"/>
              </w:rPr>
            </w:pPr>
          </w:p>
        </w:tc>
      </w:tr>
      <w:tr w14:paraId="481BC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927" w:type="dxa"/>
            <w:noWrap w:val="0"/>
            <w:vAlign w:val="center"/>
          </w:tcPr>
          <w:p w14:paraId="574A71C0">
            <w:pPr>
              <w:keepNext w:val="0"/>
              <w:keepLines w:val="0"/>
              <w:widowControl/>
              <w:suppressLineNumbers w:val="0"/>
              <w:jc w:val="center"/>
              <w:rPr>
                <w:rFonts w:hint="default"/>
                <w:color w:val="auto"/>
                <w:sz w:val="28"/>
                <w:szCs w:val="36"/>
                <w:highlight w:val="none"/>
                <w:vertAlign w:val="baseline"/>
                <w:lang w:val="en-US" w:eastAsia="zh-CN"/>
              </w:rPr>
            </w:pPr>
            <w:r>
              <w:rPr>
                <w:rFonts w:hint="eastAsia"/>
                <w:color w:val="auto"/>
                <w:sz w:val="28"/>
                <w:szCs w:val="36"/>
                <w:highlight w:val="none"/>
                <w:vertAlign w:val="baseline"/>
                <w:lang w:val="en-US" w:eastAsia="zh-CN"/>
              </w:rPr>
              <w:t>5</w:t>
            </w:r>
          </w:p>
        </w:tc>
        <w:tc>
          <w:tcPr>
            <w:tcW w:w="2729" w:type="dxa"/>
            <w:noWrap w:val="0"/>
            <w:vAlign w:val="center"/>
          </w:tcPr>
          <w:p w14:paraId="2292778B">
            <w:pPr>
              <w:keepNext w:val="0"/>
              <w:keepLines w:val="0"/>
              <w:widowControl/>
              <w:suppressLineNumbers w:val="0"/>
              <w:jc w:val="center"/>
              <w:rPr>
                <w:rFonts w:hint="eastAsia"/>
                <w:color w:val="auto"/>
                <w:sz w:val="28"/>
                <w:szCs w:val="36"/>
                <w:highlight w:val="none"/>
                <w:vertAlign w:val="baseline"/>
                <w:lang w:val="zh-CN"/>
              </w:rPr>
            </w:pPr>
          </w:p>
        </w:tc>
        <w:tc>
          <w:tcPr>
            <w:tcW w:w="2209" w:type="dxa"/>
            <w:noWrap w:val="0"/>
            <w:vAlign w:val="center"/>
          </w:tcPr>
          <w:p w14:paraId="3B23DD73">
            <w:pPr>
              <w:keepNext w:val="0"/>
              <w:keepLines w:val="0"/>
              <w:widowControl/>
              <w:suppressLineNumbers w:val="0"/>
              <w:jc w:val="center"/>
              <w:rPr>
                <w:rFonts w:hint="eastAsia"/>
                <w:color w:val="auto"/>
                <w:sz w:val="28"/>
                <w:szCs w:val="36"/>
                <w:highlight w:val="none"/>
                <w:vertAlign w:val="baseline"/>
                <w:lang w:val="zh-CN"/>
              </w:rPr>
            </w:pPr>
          </w:p>
        </w:tc>
        <w:tc>
          <w:tcPr>
            <w:tcW w:w="1956" w:type="dxa"/>
            <w:noWrap w:val="0"/>
            <w:vAlign w:val="center"/>
          </w:tcPr>
          <w:p w14:paraId="082043C0">
            <w:pPr>
              <w:keepNext w:val="0"/>
              <w:keepLines w:val="0"/>
              <w:widowControl/>
              <w:suppressLineNumbers w:val="0"/>
              <w:jc w:val="center"/>
              <w:rPr>
                <w:rFonts w:hint="eastAsia"/>
                <w:color w:val="auto"/>
                <w:sz w:val="28"/>
                <w:szCs w:val="36"/>
                <w:highlight w:val="none"/>
                <w:vertAlign w:val="baseline"/>
                <w:lang w:val="zh-CN"/>
              </w:rPr>
            </w:pPr>
          </w:p>
        </w:tc>
        <w:tc>
          <w:tcPr>
            <w:tcW w:w="1956" w:type="dxa"/>
            <w:noWrap w:val="0"/>
            <w:vAlign w:val="center"/>
          </w:tcPr>
          <w:p w14:paraId="62FFDCF9">
            <w:pPr>
              <w:keepNext w:val="0"/>
              <w:keepLines w:val="0"/>
              <w:widowControl/>
              <w:suppressLineNumbers w:val="0"/>
              <w:jc w:val="center"/>
              <w:rPr>
                <w:rFonts w:hint="eastAsia"/>
                <w:color w:val="auto"/>
                <w:sz w:val="28"/>
                <w:szCs w:val="36"/>
                <w:highlight w:val="none"/>
                <w:vertAlign w:val="baseline"/>
                <w:lang w:val="zh-CN"/>
              </w:rPr>
            </w:pPr>
          </w:p>
        </w:tc>
      </w:tr>
      <w:tr w14:paraId="1E083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927" w:type="dxa"/>
            <w:noWrap w:val="0"/>
            <w:vAlign w:val="center"/>
          </w:tcPr>
          <w:p w14:paraId="6181F4F7">
            <w:pPr>
              <w:keepNext w:val="0"/>
              <w:keepLines w:val="0"/>
              <w:widowControl/>
              <w:suppressLineNumbers w:val="0"/>
              <w:jc w:val="center"/>
              <w:rPr>
                <w:rFonts w:hint="default"/>
                <w:color w:val="auto"/>
                <w:sz w:val="28"/>
                <w:szCs w:val="36"/>
                <w:highlight w:val="none"/>
                <w:vertAlign w:val="baseline"/>
                <w:lang w:val="en-US" w:eastAsia="zh-CN"/>
              </w:rPr>
            </w:pPr>
          </w:p>
        </w:tc>
        <w:tc>
          <w:tcPr>
            <w:tcW w:w="2729" w:type="dxa"/>
            <w:noWrap w:val="0"/>
            <w:vAlign w:val="center"/>
          </w:tcPr>
          <w:p w14:paraId="30C0E2D0">
            <w:pPr>
              <w:keepNext w:val="0"/>
              <w:keepLines w:val="0"/>
              <w:widowControl/>
              <w:suppressLineNumbers w:val="0"/>
              <w:jc w:val="center"/>
              <w:rPr>
                <w:rFonts w:hint="eastAsia"/>
                <w:color w:val="auto"/>
                <w:sz w:val="28"/>
                <w:szCs w:val="36"/>
                <w:highlight w:val="none"/>
                <w:vertAlign w:val="baseline"/>
                <w:lang w:val="zh-CN"/>
              </w:rPr>
            </w:pPr>
          </w:p>
        </w:tc>
        <w:tc>
          <w:tcPr>
            <w:tcW w:w="2209" w:type="dxa"/>
            <w:noWrap w:val="0"/>
            <w:vAlign w:val="center"/>
          </w:tcPr>
          <w:p w14:paraId="6ED53521">
            <w:pPr>
              <w:keepNext w:val="0"/>
              <w:keepLines w:val="0"/>
              <w:widowControl/>
              <w:suppressLineNumbers w:val="0"/>
              <w:jc w:val="center"/>
              <w:rPr>
                <w:rFonts w:hint="eastAsia"/>
                <w:color w:val="auto"/>
                <w:sz w:val="28"/>
                <w:szCs w:val="36"/>
                <w:highlight w:val="none"/>
                <w:vertAlign w:val="baseline"/>
                <w:lang w:val="zh-CN"/>
              </w:rPr>
            </w:pPr>
          </w:p>
        </w:tc>
        <w:tc>
          <w:tcPr>
            <w:tcW w:w="1956" w:type="dxa"/>
            <w:noWrap w:val="0"/>
            <w:vAlign w:val="center"/>
          </w:tcPr>
          <w:p w14:paraId="039C80BE">
            <w:pPr>
              <w:keepNext w:val="0"/>
              <w:keepLines w:val="0"/>
              <w:widowControl/>
              <w:suppressLineNumbers w:val="0"/>
              <w:jc w:val="center"/>
              <w:rPr>
                <w:rFonts w:hint="eastAsia"/>
                <w:color w:val="auto"/>
                <w:sz w:val="28"/>
                <w:szCs w:val="36"/>
                <w:highlight w:val="none"/>
                <w:vertAlign w:val="baseline"/>
                <w:lang w:val="zh-CN"/>
              </w:rPr>
            </w:pPr>
          </w:p>
        </w:tc>
        <w:tc>
          <w:tcPr>
            <w:tcW w:w="1956" w:type="dxa"/>
            <w:noWrap w:val="0"/>
            <w:vAlign w:val="center"/>
          </w:tcPr>
          <w:p w14:paraId="078F3C5B">
            <w:pPr>
              <w:keepNext w:val="0"/>
              <w:keepLines w:val="0"/>
              <w:widowControl/>
              <w:suppressLineNumbers w:val="0"/>
              <w:jc w:val="center"/>
              <w:rPr>
                <w:rFonts w:hint="eastAsia"/>
                <w:color w:val="auto"/>
                <w:sz w:val="28"/>
                <w:szCs w:val="36"/>
                <w:highlight w:val="none"/>
                <w:vertAlign w:val="baseline"/>
                <w:lang w:val="zh-CN"/>
              </w:rPr>
            </w:pPr>
          </w:p>
        </w:tc>
      </w:tr>
      <w:tr w14:paraId="5D1FD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927" w:type="dxa"/>
            <w:noWrap w:val="0"/>
            <w:vAlign w:val="center"/>
          </w:tcPr>
          <w:p w14:paraId="6F2E3D96">
            <w:pPr>
              <w:keepNext w:val="0"/>
              <w:keepLines w:val="0"/>
              <w:widowControl/>
              <w:suppressLineNumbers w:val="0"/>
              <w:jc w:val="center"/>
              <w:rPr>
                <w:rFonts w:hint="default"/>
                <w:color w:val="auto"/>
                <w:sz w:val="28"/>
                <w:szCs w:val="36"/>
                <w:highlight w:val="none"/>
                <w:vertAlign w:val="baseline"/>
                <w:lang w:val="en-US" w:eastAsia="zh-CN"/>
              </w:rPr>
            </w:pPr>
            <w:r>
              <w:rPr>
                <w:rFonts w:hint="eastAsia"/>
                <w:color w:val="auto"/>
                <w:sz w:val="28"/>
                <w:szCs w:val="36"/>
                <w:highlight w:val="none"/>
                <w:vertAlign w:val="baseline"/>
                <w:lang w:val="en-US" w:eastAsia="zh-CN"/>
              </w:rPr>
              <w:t>...</w:t>
            </w:r>
          </w:p>
        </w:tc>
        <w:tc>
          <w:tcPr>
            <w:tcW w:w="2729" w:type="dxa"/>
            <w:noWrap w:val="0"/>
            <w:vAlign w:val="center"/>
          </w:tcPr>
          <w:p w14:paraId="3DDDBEA1">
            <w:pPr>
              <w:keepNext w:val="0"/>
              <w:keepLines w:val="0"/>
              <w:widowControl/>
              <w:suppressLineNumbers w:val="0"/>
              <w:jc w:val="center"/>
              <w:rPr>
                <w:rFonts w:hint="eastAsia"/>
                <w:color w:val="auto"/>
                <w:sz w:val="28"/>
                <w:szCs w:val="36"/>
                <w:highlight w:val="none"/>
                <w:vertAlign w:val="baseline"/>
                <w:lang w:val="zh-CN"/>
              </w:rPr>
            </w:pPr>
          </w:p>
        </w:tc>
        <w:tc>
          <w:tcPr>
            <w:tcW w:w="2209" w:type="dxa"/>
            <w:noWrap w:val="0"/>
            <w:vAlign w:val="center"/>
          </w:tcPr>
          <w:p w14:paraId="0C23F1F8">
            <w:pPr>
              <w:keepNext w:val="0"/>
              <w:keepLines w:val="0"/>
              <w:widowControl/>
              <w:suppressLineNumbers w:val="0"/>
              <w:jc w:val="center"/>
              <w:rPr>
                <w:rFonts w:hint="eastAsia"/>
                <w:color w:val="auto"/>
                <w:sz w:val="28"/>
                <w:szCs w:val="36"/>
                <w:highlight w:val="none"/>
                <w:vertAlign w:val="baseline"/>
                <w:lang w:val="zh-CN"/>
              </w:rPr>
            </w:pPr>
          </w:p>
        </w:tc>
        <w:tc>
          <w:tcPr>
            <w:tcW w:w="1956" w:type="dxa"/>
            <w:noWrap w:val="0"/>
            <w:vAlign w:val="center"/>
          </w:tcPr>
          <w:p w14:paraId="4823D765">
            <w:pPr>
              <w:keepNext w:val="0"/>
              <w:keepLines w:val="0"/>
              <w:widowControl/>
              <w:suppressLineNumbers w:val="0"/>
              <w:jc w:val="center"/>
              <w:rPr>
                <w:rFonts w:hint="eastAsia"/>
                <w:color w:val="auto"/>
                <w:sz w:val="28"/>
                <w:szCs w:val="36"/>
                <w:highlight w:val="none"/>
                <w:vertAlign w:val="baseline"/>
                <w:lang w:val="zh-CN"/>
              </w:rPr>
            </w:pPr>
          </w:p>
        </w:tc>
        <w:tc>
          <w:tcPr>
            <w:tcW w:w="1956" w:type="dxa"/>
            <w:noWrap w:val="0"/>
            <w:vAlign w:val="center"/>
          </w:tcPr>
          <w:p w14:paraId="6959A9B6">
            <w:pPr>
              <w:keepNext w:val="0"/>
              <w:keepLines w:val="0"/>
              <w:widowControl/>
              <w:suppressLineNumbers w:val="0"/>
              <w:jc w:val="center"/>
              <w:rPr>
                <w:rFonts w:hint="eastAsia"/>
                <w:color w:val="auto"/>
                <w:sz w:val="28"/>
                <w:szCs w:val="36"/>
                <w:highlight w:val="none"/>
                <w:vertAlign w:val="baseline"/>
                <w:lang w:val="zh-CN"/>
              </w:rPr>
            </w:pPr>
          </w:p>
        </w:tc>
      </w:tr>
    </w:tbl>
    <w:p w14:paraId="32902573">
      <w:pPr>
        <w:rPr>
          <w:rFonts w:hint="eastAsia"/>
          <w:color w:val="auto"/>
          <w:highlight w:val="none"/>
          <w:lang w:val="zh-CN"/>
        </w:rPr>
      </w:pPr>
    </w:p>
    <w:p w14:paraId="33E50C88">
      <w:pPr>
        <w:keepNext w:val="0"/>
        <w:keepLines w:val="0"/>
        <w:widowControl/>
        <w:suppressLineNumbers w:val="0"/>
        <w:jc w:val="left"/>
        <w:rPr>
          <w:color w:val="auto"/>
          <w:highlight w:val="none"/>
        </w:rPr>
      </w:pPr>
      <w:r>
        <w:rPr>
          <w:rFonts w:hint="eastAsia" w:ascii="宋体" w:hAnsi="宋体" w:eastAsia="宋体" w:cs="宋体"/>
          <w:color w:val="auto"/>
          <w:kern w:val="0"/>
          <w:sz w:val="20"/>
          <w:szCs w:val="20"/>
          <w:highlight w:val="none"/>
          <w:lang w:val="en-US" w:eastAsia="zh-CN" w:bidi="ar"/>
        </w:rPr>
        <w:t>注：车辆证明材料附后（加盖</w:t>
      </w:r>
      <w:r>
        <w:rPr>
          <w:rFonts w:hint="eastAsia" w:ascii="宋体" w:hAnsi="宋体" w:cs="宋体"/>
          <w:color w:val="auto"/>
          <w:kern w:val="0"/>
          <w:sz w:val="20"/>
          <w:szCs w:val="20"/>
          <w:highlight w:val="none"/>
          <w:lang w:val="en-US" w:eastAsia="zh-CN" w:bidi="ar"/>
        </w:rPr>
        <w:t>投标人</w:t>
      </w:r>
      <w:r>
        <w:rPr>
          <w:rFonts w:hint="eastAsia" w:ascii="宋体" w:hAnsi="宋体" w:eastAsia="宋体" w:cs="宋体"/>
          <w:color w:val="auto"/>
          <w:kern w:val="0"/>
          <w:sz w:val="20"/>
          <w:szCs w:val="20"/>
          <w:highlight w:val="none"/>
          <w:lang w:val="en-US" w:eastAsia="zh-CN" w:bidi="ar"/>
        </w:rPr>
        <w:t>公章）。</w:t>
      </w:r>
    </w:p>
    <w:p w14:paraId="42C1E9D8">
      <w:pPr>
        <w:pStyle w:val="18"/>
        <w:rPr>
          <w:rFonts w:hint="eastAsia"/>
          <w:color w:val="auto"/>
          <w:highlight w:val="none"/>
          <w:lang w:val="zh-CN"/>
        </w:rPr>
      </w:pPr>
    </w:p>
    <w:p w14:paraId="54F4F6F6">
      <w:pPr>
        <w:rPr>
          <w:rFonts w:hint="eastAsia"/>
          <w:color w:val="auto"/>
          <w:highlight w:val="none"/>
          <w:lang w:val="zh-CN"/>
        </w:rPr>
      </w:pPr>
    </w:p>
    <w:p w14:paraId="7A31D9EA">
      <w:pPr>
        <w:snapToGrid w:val="0"/>
        <w:spacing w:line="360" w:lineRule="auto"/>
        <w:ind w:firstLine="4935" w:firstLineChars="2350"/>
        <w:rPr>
          <w:rFonts w:hint="eastAsia" w:ascii="宋体" w:hAnsi="宋体" w:eastAsia="宋体" w:cs="宋体"/>
          <w:color w:val="auto"/>
          <w:kern w:val="0"/>
          <w:sz w:val="24"/>
          <w:highlight w:val="none"/>
          <w:lang w:val="zh-CN"/>
        </w:rPr>
      </w:pPr>
      <w:r>
        <w:rPr>
          <w:rFonts w:hint="eastAsia" w:ascii="宋体" w:hAnsi="宋体" w:eastAsia="宋体" w:cs="宋体"/>
          <w:color w:val="auto"/>
          <w:szCs w:val="21"/>
          <w:highlight w:val="none"/>
        </w:rPr>
        <w:t xml:space="preserve"> </w:t>
      </w:r>
      <w:r>
        <w:rPr>
          <w:rFonts w:hint="eastAsia" w:ascii="宋体" w:hAnsi="宋体" w:eastAsia="宋体" w:cs="宋体"/>
          <w:color w:val="auto"/>
          <w:kern w:val="0"/>
          <w:sz w:val="24"/>
          <w:highlight w:val="none"/>
          <w:lang w:val="zh-CN"/>
        </w:rPr>
        <w:t>投标人名称(盖</w:t>
      </w:r>
      <w:r>
        <w:rPr>
          <w:rFonts w:hint="eastAsia" w:ascii="宋体" w:hAnsi="宋体" w:cs="宋体"/>
          <w:color w:val="auto"/>
          <w:kern w:val="0"/>
          <w:sz w:val="24"/>
          <w:highlight w:val="none"/>
          <w:lang w:val="en-US" w:eastAsia="zh-CN"/>
        </w:rPr>
        <w:t>单位</w:t>
      </w:r>
      <w:r>
        <w:rPr>
          <w:rFonts w:hint="eastAsia" w:ascii="宋体" w:hAnsi="宋体" w:eastAsia="宋体" w:cs="宋体"/>
          <w:color w:val="auto"/>
          <w:kern w:val="0"/>
          <w:sz w:val="24"/>
          <w:highlight w:val="none"/>
          <w:lang w:val="zh-CN"/>
        </w:rPr>
        <w:t>公章)：</w:t>
      </w:r>
    </w:p>
    <w:p w14:paraId="087DC9E7">
      <w:pPr>
        <w:pStyle w:val="18"/>
        <w:rPr>
          <w:rFonts w:hint="eastAsia"/>
          <w:color w:val="auto"/>
          <w:highlight w:val="none"/>
        </w:rPr>
      </w:pPr>
      <w:r>
        <w:rPr>
          <w:rFonts w:hint="eastAsia" w:ascii="宋体" w:hAnsi="宋体" w:eastAsia="宋体" w:cs="宋体"/>
          <w:color w:val="auto"/>
          <w:kern w:val="0"/>
          <w:sz w:val="24"/>
          <w:szCs w:val="24"/>
          <w:highlight w:val="none"/>
          <w:lang w:val="zh-CN" w:eastAsia="zh-CN" w:bidi="ar-SA"/>
        </w:rPr>
        <w:t>法定代表人（或负责人）或者委托代理人（签字或者盖章或者电子签名）：</w:t>
      </w:r>
    </w:p>
    <w:p w14:paraId="0ECF58E3">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1302B3D8">
      <w:pPr>
        <w:pStyle w:val="18"/>
        <w:rPr>
          <w:rFonts w:hint="eastAsia"/>
          <w:color w:val="auto"/>
          <w:highlight w:val="none"/>
          <w:lang w:val="zh-CN"/>
        </w:rPr>
      </w:pPr>
    </w:p>
    <w:p w14:paraId="7FC01349">
      <w:pPr>
        <w:pStyle w:val="18"/>
        <w:rPr>
          <w:rFonts w:hint="eastAsia"/>
          <w:color w:val="auto"/>
          <w:highlight w:val="none"/>
          <w:lang w:val="zh-CN"/>
        </w:rPr>
      </w:pPr>
    </w:p>
    <w:p w14:paraId="6ADBAB31">
      <w:pPr>
        <w:pStyle w:val="18"/>
        <w:rPr>
          <w:rFonts w:hint="eastAsia"/>
          <w:color w:val="auto"/>
          <w:highlight w:val="none"/>
          <w:lang w:val="zh-CN"/>
        </w:rPr>
      </w:pPr>
    </w:p>
    <w:p w14:paraId="230C44FB">
      <w:pPr>
        <w:rPr>
          <w:rFonts w:hint="eastAsia"/>
          <w:color w:val="auto"/>
          <w:highlight w:val="none"/>
          <w:lang w:val="zh-CN"/>
        </w:rPr>
      </w:pPr>
    </w:p>
    <w:p w14:paraId="198FF793">
      <w:pPr>
        <w:pStyle w:val="18"/>
        <w:rPr>
          <w:rFonts w:hint="eastAsia"/>
          <w:color w:val="auto"/>
          <w:highlight w:val="none"/>
          <w:lang w:val="zh-CN"/>
        </w:rPr>
      </w:pPr>
    </w:p>
    <w:p w14:paraId="6CB66FE0">
      <w:pPr>
        <w:rPr>
          <w:rFonts w:hint="eastAsia"/>
          <w:color w:val="auto"/>
          <w:highlight w:val="none"/>
          <w:lang w:val="zh-CN"/>
        </w:rPr>
      </w:pPr>
    </w:p>
    <w:p w14:paraId="36E47144">
      <w:pPr>
        <w:pStyle w:val="18"/>
        <w:rPr>
          <w:rFonts w:hint="eastAsia"/>
          <w:color w:val="auto"/>
          <w:highlight w:val="none"/>
          <w:lang w:val="zh-CN"/>
        </w:rPr>
      </w:pPr>
    </w:p>
    <w:p w14:paraId="386245EF">
      <w:pPr>
        <w:rPr>
          <w:rFonts w:hint="eastAsia"/>
          <w:color w:val="auto"/>
          <w:highlight w:val="none"/>
          <w:lang w:val="zh-CN"/>
        </w:rPr>
      </w:pPr>
    </w:p>
    <w:p w14:paraId="3CAE99E3">
      <w:pPr>
        <w:pStyle w:val="18"/>
        <w:rPr>
          <w:rFonts w:hint="eastAsia"/>
          <w:color w:val="auto"/>
          <w:highlight w:val="none"/>
          <w:lang w:val="zh-CN"/>
        </w:rPr>
      </w:pPr>
    </w:p>
    <w:p w14:paraId="3D589C05">
      <w:pPr>
        <w:rPr>
          <w:rFonts w:hint="eastAsia"/>
          <w:color w:val="auto"/>
          <w:highlight w:val="none"/>
          <w:lang w:val="zh-CN"/>
        </w:rPr>
      </w:pPr>
    </w:p>
    <w:p w14:paraId="5F3D0EFC">
      <w:pPr>
        <w:pStyle w:val="18"/>
        <w:rPr>
          <w:rFonts w:hint="eastAsia"/>
          <w:color w:val="auto"/>
          <w:highlight w:val="none"/>
          <w:lang w:val="zh-CN"/>
        </w:rPr>
      </w:pPr>
    </w:p>
    <w:p w14:paraId="3BB8661E">
      <w:pPr>
        <w:rPr>
          <w:rFonts w:hint="eastAsia"/>
          <w:color w:val="auto"/>
          <w:highlight w:val="none"/>
          <w:lang w:val="zh-CN"/>
        </w:rPr>
      </w:pPr>
    </w:p>
    <w:p w14:paraId="3F2862EB">
      <w:pPr>
        <w:pStyle w:val="18"/>
        <w:rPr>
          <w:rFonts w:hint="eastAsia"/>
          <w:color w:val="auto"/>
          <w:highlight w:val="none"/>
          <w:lang w:val="zh-CN"/>
        </w:rPr>
      </w:pPr>
    </w:p>
    <w:p w14:paraId="49FA5E5B">
      <w:pPr>
        <w:rPr>
          <w:rFonts w:hint="eastAsia"/>
          <w:color w:val="auto"/>
          <w:highlight w:val="none"/>
          <w:lang w:val="zh-CN"/>
        </w:rPr>
      </w:pPr>
    </w:p>
    <w:p w14:paraId="3B3749ED">
      <w:pPr>
        <w:pStyle w:val="18"/>
        <w:rPr>
          <w:rFonts w:hint="eastAsia"/>
          <w:color w:val="auto"/>
          <w:highlight w:val="none"/>
          <w:lang w:val="zh-CN"/>
        </w:rPr>
      </w:pPr>
    </w:p>
    <w:p w14:paraId="4B415849">
      <w:pPr>
        <w:rPr>
          <w:rFonts w:hint="eastAsia"/>
          <w:color w:val="auto"/>
          <w:highlight w:val="none"/>
          <w:lang w:val="zh-CN"/>
        </w:rPr>
      </w:pPr>
    </w:p>
    <w:p w14:paraId="786EEC8F">
      <w:pPr>
        <w:pStyle w:val="18"/>
        <w:rPr>
          <w:rFonts w:hint="eastAsia"/>
          <w:color w:val="auto"/>
          <w:highlight w:val="none"/>
          <w:lang w:val="zh-CN"/>
        </w:rPr>
      </w:pPr>
    </w:p>
    <w:p w14:paraId="20795C97">
      <w:pPr>
        <w:rPr>
          <w:rFonts w:hint="eastAsia"/>
          <w:color w:val="auto"/>
          <w:highlight w:val="none"/>
          <w:lang w:val="zh-CN"/>
        </w:rPr>
      </w:pPr>
    </w:p>
    <w:p w14:paraId="278E7077">
      <w:pPr>
        <w:pStyle w:val="18"/>
        <w:rPr>
          <w:rFonts w:hint="eastAsia"/>
          <w:color w:val="auto"/>
          <w:highlight w:val="none"/>
          <w:lang w:val="zh-CN"/>
        </w:rPr>
      </w:pPr>
    </w:p>
    <w:p w14:paraId="20271893">
      <w:pPr>
        <w:rPr>
          <w:rFonts w:hint="eastAsia"/>
          <w:color w:val="auto"/>
          <w:highlight w:val="none"/>
          <w:lang w:val="zh-CN"/>
        </w:rPr>
      </w:pPr>
    </w:p>
    <w:p w14:paraId="46DE7657">
      <w:pPr>
        <w:pStyle w:val="18"/>
        <w:rPr>
          <w:rFonts w:hint="eastAsia"/>
          <w:color w:val="auto"/>
          <w:highlight w:val="none"/>
          <w:lang w:val="zh-CN"/>
        </w:rPr>
      </w:pPr>
    </w:p>
    <w:p w14:paraId="631054D8">
      <w:pPr>
        <w:rPr>
          <w:rFonts w:hint="eastAsia"/>
          <w:color w:val="auto"/>
          <w:highlight w:val="none"/>
          <w:lang w:val="zh-CN"/>
        </w:rPr>
      </w:pPr>
    </w:p>
    <w:p w14:paraId="1D84A6D3">
      <w:pPr>
        <w:pStyle w:val="18"/>
        <w:rPr>
          <w:rFonts w:hint="eastAsia"/>
          <w:color w:val="auto"/>
          <w:highlight w:val="none"/>
          <w:lang w:val="zh-CN"/>
        </w:rPr>
      </w:pPr>
    </w:p>
    <w:p w14:paraId="1D064D3F">
      <w:pPr>
        <w:rPr>
          <w:rFonts w:hint="eastAsia"/>
          <w:color w:val="auto"/>
          <w:highlight w:val="none"/>
          <w:lang w:val="zh-CN"/>
        </w:rPr>
      </w:pPr>
    </w:p>
    <w:p w14:paraId="0F4967DB">
      <w:pPr>
        <w:pStyle w:val="18"/>
        <w:rPr>
          <w:rFonts w:hint="eastAsia"/>
          <w:color w:val="auto"/>
          <w:highlight w:val="none"/>
          <w:lang w:val="zh-CN"/>
        </w:rPr>
      </w:pPr>
    </w:p>
    <w:p w14:paraId="2F69EE07">
      <w:pPr>
        <w:rPr>
          <w:rFonts w:hint="eastAsia"/>
          <w:color w:val="auto"/>
          <w:highlight w:val="none"/>
          <w:lang w:val="zh-CN"/>
        </w:rPr>
      </w:pPr>
    </w:p>
    <w:p w14:paraId="675B6970">
      <w:pPr>
        <w:pStyle w:val="18"/>
        <w:rPr>
          <w:rFonts w:hint="eastAsia"/>
          <w:color w:val="auto"/>
          <w:highlight w:val="none"/>
          <w:lang w:val="zh-CN"/>
        </w:rPr>
      </w:pPr>
    </w:p>
    <w:p w14:paraId="53BAC124">
      <w:pPr>
        <w:rPr>
          <w:rFonts w:hint="eastAsia"/>
          <w:color w:val="auto"/>
          <w:highlight w:val="none"/>
          <w:lang w:val="zh-CN"/>
        </w:rPr>
      </w:pPr>
    </w:p>
    <w:p w14:paraId="20CB3349">
      <w:pPr>
        <w:pStyle w:val="18"/>
        <w:rPr>
          <w:rFonts w:hint="eastAsia"/>
          <w:color w:val="auto"/>
          <w:highlight w:val="none"/>
          <w:lang w:val="zh-CN"/>
        </w:rPr>
      </w:pPr>
    </w:p>
    <w:p w14:paraId="3C40DD09">
      <w:pPr>
        <w:rPr>
          <w:rFonts w:hint="eastAsia"/>
          <w:color w:val="auto"/>
          <w:highlight w:val="none"/>
          <w:lang w:val="zh-CN"/>
        </w:rPr>
      </w:pPr>
    </w:p>
    <w:p w14:paraId="44D78AF1">
      <w:pPr>
        <w:pStyle w:val="18"/>
        <w:rPr>
          <w:rFonts w:hint="eastAsia"/>
          <w:color w:val="auto"/>
          <w:highlight w:val="none"/>
          <w:lang w:val="zh-CN"/>
        </w:rPr>
      </w:pPr>
    </w:p>
    <w:p w14:paraId="4EFE36F9">
      <w:pPr>
        <w:rPr>
          <w:rFonts w:hint="eastAsia"/>
          <w:color w:val="auto"/>
          <w:highlight w:val="none"/>
          <w:lang w:val="zh-CN"/>
        </w:rPr>
      </w:pPr>
    </w:p>
    <w:p w14:paraId="75D28DD8">
      <w:pPr>
        <w:pStyle w:val="18"/>
        <w:rPr>
          <w:rFonts w:hint="eastAsia"/>
          <w:color w:val="auto"/>
          <w:highlight w:val="none"/>
          <w:lang w:val="zh-CN"/>
        </w:rPr>
      </w:pPr>
    </w:p>
    <w:p w14:paraId="42F1D006">
      <w:pPr>
        <w:pStyle w:val="18"/>
        <w:rPr>
          <w:rFonts w:hint="eastAsia"/>
          <w:color w:val="auto"/>
          <w:highlight w:val="none"/>
          <w:lang w:val="zh-CN"/>
        </w:rPr>
      </w:pPr>
    </w:p>
    <w:p w14:paraId="057C54F2">
      <w:pPr>
        <w:pStyle w:val="18"/>
        <w:rPr>
          <w:rFonts w:hint="eastAsia"/>
          <w:color w:val="auto"/>
          <w:highlight w:val="none"/>
          <w:lang w:val="zh-CN"/>
        </w:rPr>
      </w:pPr>
    </w:p>
    <w:p w14:paraId="2C15E6FC">
      <w:pPr>
        <w:keepNext w:val="0"/>
        <w:keepLines w:val="0"/>
        <w:widowControl/>
        <w:suppressLineNumbers w:val="0"/>
        <w:jc w:val="left"/>
        <w:rPr>
          <w:rFonts w:hint="eastAsia" w:ascii="宋体" w:hAnsi="宋体" w:eastAsia="宋体" w:cs="宋体"/>
          <w:b/>
          <w:bCs/>
          <w:color w:val="auto"/>
          <w:kern w:val="0"/>
          <w:sz w:val="24"/>
          <w:szCs w:val="24"/>
          <w:highlight w:val="none"/>
          <w:lang w:val="zh-CN" w:eastAsia="zh-CN" w:bidi="ar"/>
        </w:rPr>
      </w:pPr>
      <w:r>
        <w:rPr>
          <w:rFonts w:hint="eastAsia" w:ascii="宋体" w:hAnsi="宋体" w:cs="宋体"/>
          <w:b/>
          <w:bCs/>
          <w:color w:val="auto"/>
          <w:kern w:val="0"/>
          <w:sz w:val="24"/>
          <w:szCs w:val="24"/>
          <w:highlight w:val="none"/>
          <w:lang w:val="en-US" w:eastAsia="zh-CN" w:bidi="ar"/>
        </w:rPr>
        <w:t>7.2</w:t>
      </w:r>
      <w:r>
        <w:rPr>
          <w:rFonts w:hint="eastAsia" w:ascii="宋体" w:hAnsi="宋体" w:eastAsia="宋体" w:cs="宋体"/>
          <w:b/>
          <w:bCs/>
          <w:color w:val="auto"/>
          <w:kern w:val="0"/>
          <w:sz w:val="24"/>
          <w:szCs w:val="24"/>
          <w:highlight w:val="none"/>
          <w:lang w:val="en-US" w:eastAsia="zh-CN" w:bidi="ar"/>
        </w:rPr>
        <w:t>拟投入人员一览表（格式）</w:t>
      </w:r>
    </w:p>
    <w:p w14:paraId="167AD420">
      <w:pPr>
        <w:rPr>
          <w:rFonts w:hint="eastAsia"/>
          <w:color w:val="auto"/>
          <w:highlight w:val="none"/>
          <w:lang w:val="zh-CN"/>
        </w:rPr>
      </w:pPr>
    </w:p>
    <w:p w14:paraId="29E53CCC">
      <w:pPr>
        <w:pStyle w:val="18"/>
        <w:jc w:val="center"/>
        <w:rPr>
          <w:rFonts w:hint="eastAsia"/>
          <w:color w:val="auto"/>
          <w:highlight w:val="none"/>
          <w:lang w:val="zh-CN"/>
        </w:rPr>
      </w:pPr>
      <w:r>
        <w:rPr>
          <w:rFonts w:hint="eastAsia" w:ascii="宋体" w:hAnsi="宋体" w:eastAsia="宋体" w:cs="宋体"/>
          <w:b/>
          <w:bCs/>
          <w:color w:val="auto"/>
          <w:kern w:val="0"/>
          <w:sz w:val="24"/>
          <w:szCs w:val="24"/>
          <w:highlight w:val="none"/>
          <w:lang w:val="en-US" w:eastAsia="zh-CN" w:bidi="ar"/>
        </w:rPr>
        <w:t>拟投入人员一览表</w:t>
      </w:r>
    </w:p>
    <w:p w14:paraId="21E5A840">
      <w:pPr>
        <w:rPr>
          <w:rFonts w:hint="eastAsia"/>
          <w:color w:val="auto"/>
          <w:highlight w:val="none"/>
          <w:lang w:val="zh-CN"/>
        </w:rPr>
      </w:pPr>
    </w:p>
    <w:tbl>
      <w:tblPr>
        <w:tblStyle w:val="28"/>
        <w:tblW w:w="99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283"/>
        <w:gridCol w:w="1284"/>
        <w:gridCol w:w="2333"/>
        <w:gridCol w:w="1217"/>
        <w:gridCol w:w="1507"/>
        <w:gridCol w:w="1493"/>
      </w:tblGrid>
      <w:tr w14:paraId="3B39A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noWrap w:val="0"/>
            <w:vAlign w:val="center"/>
          </w:tcPr>
          <w:p w14:paraId="25617F7B">
            <w:pPr>
              <w:pStyle w:val="18"/>
              <w:jc w:val="center"/>
              <w:rPr>
                <w:rFonts w:hint="default"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序号</w:t>
            </w:r>
          </w:p>
        </w:tc>
        <w:tc>
          <w:tcPr>
            <w:tcW w:w="1283" w:type="dxa"/>
            <w:noWrap w:val="0"/>
            <w:vAlign w:val="center"/>
          </w:tcPr>
          <w:p w14:paraId="5B270DED">
            <w:pPr>
              <w:pStyle w:val="18"/>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姓名</w:t>
            </w:r>
          </w:p>
        </w:tc>
        <w:tc>
          <w:tcPr>
            <w:tcW w:w="1284" w:type="dxa"/>
            <w:noWrap w:val="0"/>
            <w:vAlign w:val="center"/>
          </w:tcPr>
          <w:p w14:paraId="1233A3F8">
            <w:pPr>
              <w:pStyle w:val="18"/>
              <w:jc w:val="center"/>
              <w:rPr>
                <w:rFonts w:hint="eastAsia" w:ascii="宋体" w:hAnsi="宋体" w:eastAsia="宋体" w:cs="宋体"/>
                <w:color w:val="auto"/>
                <w:kern w:val="0"/>
                <w:sz w:val="24"/>
                <w:szCs w:val="24"/>
                <w:highlight w:val="none"/>
                <w:lang w:val="zh-CN" w:eastAsia="zh-CN" w:bidi="ar"/>
              </w:rPr>
            </w:pPr>
            <w:r>
              <w:rPr>
                <w:rFonts w:hint="eastAsia" w:ascii="宋体" w:hAnsi="宋体" w:eastAsia="宋体" w:cs="宋体"/>
                <w:color w:val="auto"/>
                <w:kern w:val="0"/>
                <w:sz w:val="24"/>
                <w:szCs w:val="24"/>
                <w:highlight w:val="none"/>
                <w:lang w:val="en-US" w:eastAsia="zh-CN" w:bidi="ar"/>
              </w:rPr>
              <w:t>职务</w:t>
            </w:r>
          </w:p>
        </w:tc>
        <w:tc>
          <w:tcPr>
            <w:tcW w:w="2333" w:type="dxa"/>
            <w:noWrap w:val="0"/>
            <w:vAlign w:val="center"/>
          </w:tcPr>
          <w:p w14:paraId="5405F6E1">
            <w:pPr>
              <w:keepNext w:val="0"/>
              <w:keepLines w:val="0"/>
              <w:widowControl/>
              <w:suppressLineNumbers w:val="0"/>
              <w:jc w:val="center"/>
              <w:rPr>
                <w:rFonts w:hint="eastAsia" w:ascii="宋体" w:hAnsi="宋体" w:eastAsia="宋体" w:cs="宋体"/>
                <w:color w:val="auto"/>
                <w:kern w:val="0"/>
                <w:sz w:val="24"/>
                <w:szCs w:val="24"/>
                <w:highlight w:val="none"/>
                <w:lang w:val="zh-CN" w:eastAsia="zh-CN" w:bidi="ar"/>
              </w:rPr>
            </w:pPr>
            <w:r>
              <w:rPr>
                <w:rFonts w:hint="eastAsia" w:ascii="宋体" w:hAnsi="宋体" w:eastAsia="宋体" w:cs="宋体"/>
                <w:color w:val="auto"/>
                <w:kern w:val="0"/>
                <w:sz w:val="24"/>
                <w:szCs w:val="24"/>
                <w:highlight w:val="none"/>
                <w:lang w:val="en-US" w:eastAsia="zh-CN" w:bidi="ar"/>
              </w:rPr>
              <w:t>专业技术资格（职称）或者其他证书</w:t>
            </w:r>
          </w:p>
        </w:tc>
        <w:tc>
          <w:tcPr>
            <w:tcW w:w="1217" w:type="dxa"/>
            <w:noWrap w:val="0"/>
            <w:vAlign w:val="center"/>
          </w:tcPr>
          <w:p w14:paraId="3E519C4B">
            <w:pPr>
              <w:pStyle w:val="18"/>
              <w:jc w:val="center"/>
              <w:rPr>
                <w:rFonts w:hint="eastAsia" w:ascii="宋体" w:hAnsi="宋体" w:eastAsia="宋体" w:cs="宋体"/>
                <w:color w:val="auto"/>
                <w:kern w:val="0"/>
                <w:sz w:val="24"/>
                <w:szCs w:val="24"/>
                <w:highlight w:val="none"/>
                <w:lang w:val="zh-CN" w:eastAsia="zh-CN" w:bidi="ar"/>
              </w:rPr>
            </w:pPr>
            <w:r>
              <w:rPr>
                <w:rFonts w:hint="eastAsia" w:ascii="宋体" w:hAnsi="宋体" w:eastAsia="宋体" w:cs="宋体"/>
                <w:color w:val="auto"/>
                <w:kern w:val="0"/>
                <w:sz w:val="24"/>
                <w:szCs w:val="24"/>
                <w:highlight w:val="none"/>
                <w:lang w:val="en-US" w:eastAsia="zh-CN" w:bidi="ar"/>
              </w:rPr>
              <w:t>证书编号</w:t>
            </w:r>
          </w:p>
        </w:tc>
        <w:tc>
          <w:tcPr>
            <w:tcW w:w="1507" w:type="dxa"/>
            <w:noWrap w:val="0"/>
            <w:vAlign w:val="center"/>
          </w:tcPr>
          <w:p w14:paraId="59F6E1FA">
            <w:pPr>
              <w:keepNext w:val="0"/>
              <w:keepLines w:val="0"/>
              <w:widowControl/>
              <w:suppressLineNumbers w:val="0"/>
              <w:jc w:val="center"/>
              <w:rPr>
                <w:rFonts w:hint="eastAsia" w:ascii="宋体" w:hAnsi="宋体" w:eastAsia="宋体" w:cs="宋体"/>
                <w:color w:val="auto"/>
                <w:kern w:val="0"/>
                <w:sz w:val="24"/>
                <w:szCs w:val="24"/>
                <w:highlight w:val="none"/>
                <w:lang w:val="zh-CN" w:eastAsia="zh-CN" w:bidi="ar"/>
              </w:rPr>
            </w:pPr>
            <w:r>
              <w:rPr>
                <w:rFonts w:hint="eastAsia" w:ascii="宋体" w:hAnsi="宋体" w:eastAsia="宋体" w:cs="宋体"/>
                <w:color w:val="auto"/>
                <w:kern w:val="0"/>
                <w:sz w:val="24"/>
                <w:szCs w:val="24"/>
                <w:highlight w:val="none"/>
                <w:lang w:val="en-US" w:eastAsia="zh-CN" w:bidi="ar"/>
              </w:rPr>
              <w:t>参加本单位工作时间</w:t>
            </w:r>
          </w:p>
        </w:tc>
        <w:tc>
          <w:tcPr>
            <w:tcW w:w="1493" w:type="dxa"/>
            <w:noWrap w:val="0"/>
            <w:vAlign w:val="center"/>
          </w:tcPr>
          <w:p w14:paraId="6B214A52">
            <w:pPr>
              <w:keepNext w:val="0"/>
              <w:keepLines w:val="0"/>
              <w:widowControl/>
              <w:suppressLineNumbers w:val="0"/>
              <w:jc w:val="center"/>
              <w:rPr>
                <w:rFonts w:hint="eastAsia" w:ascii="宋体" w:hAnsi="宋体" w:eastAsia="宋体" w:cs="宋体"/>
                <w:color w:val="auto"/>
                <w:kern w:val="0"/>
                <w:sz w:val="24"/>
                <w:szCs w:val="24"/>
                <w:highlight w:val="none"/>
                <w:lang w:val="zh-CN" w:eastAsia="zh-CN" w:bidi="ar"/>
              </w:rPr>
            </w:pPr>
            <w:r>
              <w:rPr>
                <w:rFonts w:hint="eastAsia" w:ascii="宋体" w:hAnsi="宋体" w:cs="宋体"/>
                <w:color w:val="auto"/>
                <w:szCs w:val="21"/>
                <w:highlight w:val="none"/>
                <w:shd w:val="clear" w:color="auto" w:fill="auto"/>
                <w:lang w:val="en-US" w:eastAsia="zh-CN"/>
              </w:rPr>
              <w:t>聘请</w:t>
            </w:r>
            <w:r>
              <w:rPr>
                <w:rFonts w:hint="eastAsia" w:ascii="宋体" w:hAnsi="宋体" w:eastAsia="宋体" w:cs="宋体"/>
                <w:color w:val="auto"/>
                <w:kern w:val="0"/>
                <w:sz w:val="24"/>
                <w:szCs w:val="24"/>
                <w:highlight w:val="none"/>
                <w:lang w:val="en-US" w:eastAsia="zh-CN" w:bidi="ar"/>
              </w:rPr>
              <w:t>合同编号（如有）</w:t>
            </w:r>
          </w:p>
        </w:tc>
      </w:tr>
      <w:tr w14:paraId="383CB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noWrap w:val="0"/>
            <w:vAlign w:val="center"/>
          </w:tcPr>
          <w:p w14:paraId="7C07F1A9">
            <w:pPr>
              <w:keepNext w:val="0"/>
              <w:keepLines w:val="0"/>
              <w:widowControl/>
              <w:suppressLineNumbers w:val="0"/>
              <w:jc w:val="center"/>
              <w:rPr>
                <w:rFonts w:hint="eastAsia" w:ascii="Times New Roman" w:hAnsi="Times New Roman" w:eastAsia="宋体" w:cs="Times New Roman"/>
                <w:color w:val="auto"/>
                <w:kern w:val="2"/>
                <w:sz w:val="28"/>
                <w:szCs w:val="36"/>
                <w:highlight w:val="none"/>
                <w:vertAlign w:val="baseline"/>
                <w:lang w:val="zh-CN" w:eastAsia="zh-CN" w:bidi="ar-SA"/>
              </w:rPr>
            </w:pPr>
            <w:r>
              <w:rPr>
                <w:rFonts w:hint="eastAsia"/>
                <w:color w:val="auto"/>
                <w:sz w:val="28"/>
                <w:szCs w:val="36"/>
                <w:highlight w:val="none"/>
                <w:vertAlign w:val="baseline"/>
                <w:lang w:val="en-US" w:eastAsia="zh-CN"/>
              </w:rPr>
              <w:t>1</w:t>
            </w:r>
          </w:p>
        </w:tc>
        <w:tc>
          <w:tcPr>
            <w:tcW w:w="1283" w:type="dxa"/>
            <w:noWrap w:val="0"/>
            <w:vAlign w:val="center"/>
          </w:tcPr>
          <w:p w14:paraId="785D157C">
            <w:pPr>
              <w:keepNext w:val="0"/>
              <w:keepLines w:val="0"/>
              <w:widowControl/>
              <w:suppressLineNumbers w:val="0"/>
              <w:jc w:val="center"/>
              <w:rPr>
                <w:rFonts w:hint="eastAsia"/>
                <w:color w:val="auto"/>
                <w:sz w:val="28"/>
                <w:szCs w:val="36"/>
                <w:highlight w:val="none"/>
                <w:vertAlign w:val="baseline"/>
                <w:lang w:val="zh-CN"/>
              </w:rPr>
            </w:pPr>
          </w:p>
        </w:tc>
        <w:tc>
          <w:tcPr>
            <w:tcW w:w="1284" w:type="dxa"/>
            <w:noWrap w:val="0"/>
            <w:vAlign w:val="center"/>
          </w:tcPr>
          <w:p w14:paraId="71B9AD40">
            <w:pPr>
              <w:keepNext w:val="0"/>
              <w:keepLines w:val="0"/>
              <w:widowControl/>
              <w:suppressLineNumbers w:val="0"/>
              <w:jc w:val="center"/>
              <w:rPr>
                <w:rFonts w:hint="eastAsia"/>
                <w:color w:val="auto"/>
                <w:sz w:val="28"/>
                <w:szCs w:val="36"/>
                <w:highlight w:val="none"/>
                <w:vertAlign w:val="baseline"/>
                <w:lang w:val="zh-CN"/>
              </w:rPr>
            </w:pPr>
          </w:p>
        </w:tc>
        <w:tc>
          <w:tcPr>
            <w:tcW w:w="2333" w:type="dxa"/>
            <w:noWrap w:val="0"/>
            <w:vAlign w:val="center"/>
          </w:tcPr>
          <w:p w14:paraId="285CC4E1">
            <w:pPr>
              <w:keepNext w:val="0"/>
              <w:keepLines w:val="0"/>
              <w:widowControl/>
              <w:suppressLineNumbers w:val="0"/>
              <w:jc w:val="center"/>
              <w:rPr>
                <w:rFonts w:hint="eastAsia"/>
                <w:color w:val="auto"/>
                <w:sz w:val="28"/>
                <w:szCs w:val="36"/>
                <w:highlight w:val="none"/>
                <w:vertAlign w:val="baseline"/>
                <w:lang w:val="zh-CN"/>
              </w:rPr>
            </w:pPr>
          </w:p>
        </w:tc>
        <w:tc>
          <w:tcPr>
            <w:tcW w:w="1217" w:type="dxa"/>
            <w:noWrap w:val="0"/>
            <w:vAlign w:val="center"/>
          </w:tcPr>
          <w:p w14:paraId="16E3CFE7">
            <w:pPr>
              <w:keepNext w:val="0"/>
              <w:keepLines w:val="0"/>
              <w:widowControl/>
              <w:suppressLineNumbers w:val="0"/>
              <w:jc w:val="center"/>
              <w:rPr>
                <w:rFonts w:hint="eastAsia"/>
                <w:color w:val="auto"/>
                <w:sz w:val="28"/>
                <w:szCs w:val="36"/>
                <w:highlight w:val="none"/>
                <w:vertAlign w:val="baseline"/>
                <w:lang w:val="zh-CN"/>
              </w:rPr>
            </w:pPr>
          </w:p>
        </w:tc>
        <w:tc>
          <w:tcPr>
            <w:tcW w:w="1507" w:type="dxa"/>
            <w:noWrap w:val="0"/>
            <w:vAlign w:val="center"/>
          </w:tcPr>
          <w:p w14:paraId="1E035E54">
            <w:pPr>
              <w:keepNext w:val="0"/>
              <w:keepLines w:val="0"/>
              <w:widowControl/>
              <w:suppressLineNumbers w:val="0"/>
              <w:jc w:val="center"/>
              <w:rPr>
                <w:rFonts w:hint="eastAsia"/>
                <w:color w:val="auto"/>
                <w:sz w:val="28"/>
                <w:szCs w:val="36"/>
                <w:highlight w:val="none"/>
                <w:vertAlign w:val="baseline"/>
                <w:lang w:val="zh-CN"/>
              </w:rPr>
            </w:pPr>
          </w:p>
        </w:tc>
        <w:tc>
          <w:tcPr>
            <w:tcW w:w="1493" w:type="dxa"/>
            <w:noWrap w:val="0"/>
            <w:vAlign w:val="center"/>
          </w:tcPr>
          <w:p w14:paraId="7390AE53">
            <w:pPr>
              <w:keepNext w:val="0"/>
              <w:keepLines w:val="0"/>
              <w:widowControl/>
              <w:suppressLineNumbers w:val="0"/>
              <w:jc w:val="center"/>
              <w:rPr>
                <w:rFonts w:hint="eastAsia"/>
                <w:color w:val="auto"/>
                <w:sz w:val="28"/>
                <w:szCs w:val="36"/>
                <w:highlight w:val="none"/>
                <w:vertAlign w:val="baseline"/>
                <w:lang w:val="zh-CN"/>
              </w:rPr>
            </w:pPr>
          </w:p>
        </w:tc>
      </w:tr>
      <w:tr w14:paraId="2D005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noWrap w:val="0"/>
            <w:vAlign w:val="center"/>
          </w:tcPr>
          <w:p w14:paraId="4E2C233C">
            <w:pPr>
              <w:keepNext w:val="0"/>
              <w:keepLines w:val="0"/>
              <w:widowControl/>
              <w:suppressLineNumbers w:val="0"/>
              <w:jc w:val="center"/>
              <w:rPr>
                <w:rFonts w:hint="eastAsia" w:ascii="Times New Roman" w:hAnsi="Times New Roman" w:eastAsia="宋体" w:cs="Times New Roman"/>
                <w:color w:val="auto"/>
                <w:kern w:val="2"/>
                <w:sz w:val="28"/>
                <w:szCs w:val="36"/>
                <w:highlight w:val="none"/>
                <w:vertAlign w:val="baseline"/>
                <w:lang w:val="zh-CN" w:eastAsia="zh-CN" w:bidi="ar-SA"/>
              </w:rPr>
            </w:pPr>
            <w:r>
              <w:rPr>
                <w:rFonts w:hint="eastAsia"/>
                <w:color w:val="auto"/>
                <w:sz w:val="28"/>
                <w:szCs w:val="36"/>
                <w:highlight w:val="none"/>
                <w:vertAlign w:val="baseline"/>
                <w:lang w:val="en-US" w:eastAsia="zh-CN"/>
              </w:rPr>
              <w:t>2</w:t>
            </w:r>
          </w:p>
        </w:tc>
        <w:tc>
          <w:tcPr>
            <w:tcW w:w="1283" w:type="dxa"/>
            <w:noWrap w:val="0"/>
            <w:vAlign w:val="center"/>
          </w:tcPr>
          <w:p w14:paraId="05B52532">
            <w:pPr>
              <w:keepNext w:val="0"/>
              <w:keepLines w:val="0"/>
              <w:widowControl/>
              <w:suppressLineNumbers w:val="0"/>
              <w:jc w:val="center"/>
              <w:rPr>
                <w:rFonts w:hint="eastAsia"/>
                <w:color w:val="auto"/>
                <w:sz w:val="28"/>
                <w:szCs w:val="36"/>
                <w:highlight w:val="none"/>
                <w:vertAlign w:val="baseline"/>
                <w:lang w:val="zh-CN"/>
              </w:rPr>
            </w:pPr>
          </w:p>
        </w:tc>
        <w:tc>
          <w:tcPr>
            <w:tcW w:w="1284" w:type="dxa"/>
            <w:noWrap w:val="0"/>
            <w:vAlign w:val="center"/>
          </w:tcPr>
          <w:p w14:paraId="6CD0C6FE">
            <w:pPr>
              <w:keepNext w:val="0"/>
              <w:keepLines w:val="0"/>
              <w:widowControl/>
              <w:suppressLineNumbers w:val="0"/>
              <w:jc w:val="center"/>
              <w:rPr>
                <w:rFonts w:hint="eastAsia"/>
                <w:color w:val="auto"/>
                <w:sz w:val="28"/>
                <w:szCs w:val="36"/>
                <w:highlight w:val="none"/>
                <w:vertAlign w:val="baseline"/>
                <w:lang w:val="zh-CN"/>
              </w:rPr>
            </w:pPr>
          </w:p>
        </w:tc>
        <w:tc>
          <w:tcPr>
            <w:tcW w:w="2333" w:type="dxa"/>
            <w:noWrap w:val="0"/>
            <w:vAlign w:val="center"/>
          </w:tcPr>
          <w:p w14:paraId="67E88903">
            <w:pPr>
              <w:keepNext w:val="0"/>
              <w:keepLines w:val="0"/>
              <w:widowControl/>
              <w:suppressLineNumbers w:val="0"/>
              <w:jc w:val="center"/>
              <w:rPr>
                <w:rFonts w:hint="eastAsia"/>
                <w:color w:val="auto"/>
                <w:sz w:val="28"/>
                <w:szCs w:val="36"/>
                <w:highlight w:val="none"/>
                <w:vertAlign w:val="baseline"/>
                <w:lang w:val="zh-CN"/>
              </w:rPr>
            </w:pPr>
          </w:p>
        </w:tc>
        <w:tc>
          <w:tcPr>
            <w:tcW w:w="1217" w:type="dxa"/>
            <w:noWrap w:val="0"/>
            <w:vAlign w:val="center"/>
          </w:tcPr>
          <w:p w14:paraId="286ACCB8">
            <w:pPr>
              <w:keepNext w:val="0"/>
              <w:keepLines w:val="0"/>
              <w:widowControl/>
              <w:suppressLineNumbers w:val="0"/>
              <w:jc w:val="center"/>
              <w:rPr>
                <w:rFonts w:hint="eastAsia"/>
                <w:color w:val="auto"/>
                <w:sz w:val="28"/>
                <w:szCs w:val="36"/>
                <w:highlight w:val="none"/>
                <w:vertAlign w:val="baseline"/>
                <w:lang w:val="zh-CN"/>
              </w:rPr>
            </w:pPr>
          </w:p>
        </w:tc>
        <w:tc>
          <w:tcPr>
            <w:tcW w:w="1507" w:type="dxa"/>
            <w:noWrap w:val="0"/>
            <w:vAlign w:val="center"/>
          </w:tcPr>
          <w:p w14:paraId="59A363C4">
            <w:pPr>
              <w:keepNext w:val="0"/>
              <w:keepLines w:val="0"/>
              <w:widowControl/>
              <w:suppressLineNumbers w:val="0"/>
              <w:jc w:val="center"/>
              <w:rPr>
                <w:rFonts w:hint="eastAsia"/>
                <w:color w:val="auto"/>
                <w:sz w:val="28"/>
                <w:szCs w:val="36"/>
                <w:highlight w:val="none"/>
                <w:vertAlign w:val="baseline"/>
                <w:lang w:val="zh-CN"/>
              </w:rPr>
            </w:pPr>
          </w:p>
        </w:tc>
        <w:tc>
          <w:tcPr>
            <w:tcW w:w="1493" w:type="dxa"/>
            <w:noWrap w:val="0"/>
            <w:vAlign w:val="center"/>
          </w:tcPr>
          <w:p w14:paraId="15B42C89">
            <w:pPr>
              <w:keepNext w:val="0"/>
              <w:keepLines w:val="0"/>
              <w:widowControl/>
              <w:suppressLineNumbers w:val="0"/>
              <w:jc w:val="center"/>
              <w:rPr>
                <w:rFonts w:hint="eastAsia"/>
                <w:color w:val="auto"/>
                <w:sz w:val="28"/>
                <w:szCs w:val="36"/>
                <w:highlight w:val="none"/>
                <w:vertAlign w:val="baseline"/>
                <w:lang w:val="zh-CN"/>
              </w:rPr>
            </w:pPr>
          </w:p>
        </w:tc>
      </w:tr>
      <w:tr w14:paraId="036E2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noWrap w:val="0"/>
            <w:vAlign w:val="center"/>
          </w:tcPr>
          <w:p w14:paraId="74552233">
            <w:pPr>
              <w:keepNext w:val="0"/>
              <w:keepLines w:val="0"/>
              <w:widowControl/>
              <w:suppressLineNumbers w:val="0"/>
              <w:jc w:val="center"/>
              <w:rPr>
                <w:rFonts w:hint="eastAsia" w:ascii="Times New Roman" w:hAnsi="Times New Roman" w:eastAsia="宋体" w:cs="Times New Roman"/>
                <w:color w:val="auto"/>
                <w:kern w:val="2"/>
                <w:sz w:val="28"/>
                <w:szCs w:val="36"/>
                <w:highlight w:val="none"/>
                <w:vertAlign w:val="baseline"/>
                <w:lang w:val="zh-CN" w:eastAsia="zh-CN" w:bidi="ar-SA"/>
              </w:rPr>
            </w:pPr>
            <w:r>
              <w:rPr>
                <w:rFonts w:hint="eastAsia"/>
                <w:color w:val="auto"/>
                <w:sz w:val="28"/>
                <w:szCs w:val="36"/>
                <w:highlight w:val="none"/>
                <w:vertAlign w:val="baseline"/>
                <w:lang w:val="en-US" w:eastAsia="zh-CN"/>
              </w:rPr>
              <w:t>3</w:t>
            </w:r>
          </w:p>
        </w:tc>
        <w:tc>
          <w:tcPr>
            <w:tcW w:w="1283" w:type="dxa"/>
            <w:noWrap w:val="0"/>
            <w:vAlign w:val="center"/>
          </w:tcPr>
          <w:p w14:paraId="247E6C93">
            <w:pPr>
              <w:keepNext w:val="0"/>
              <w:keepLines w:val="0"/>
              <w:widowControl/>
              <w:suppressLineNumbers w:val="0"/>
              <w:jc w:val="center"/>
              <w:rPr>
                <w:rFonts w:hint="eastAsia"/>
                <w:color w:val="auto"/>
                <w:sz w:val="28"/>
                <w:szCs w:val="36"/>
                <w:highlight w:val="none"/>
                <w:vertAlign w:val="baseline"/>
                <w:lang w:val="zh-CN"/>
              </w:rPr>
            </w:pPr>
          </w:p>
        </w:tc>
        <w:tc>
          <w:tcPr>
            <w:tcW w:w="1284" w:type="dxa"/>
            <w:noWrap w:val="0"/>
            <w:vAlign w:val="center"/>
          </w:tcPr>
          <w:p w14:paraId="3C1EB2EF">
            <w:pPr>
              <w:keepNext w:val="0"/>
              <w:keepLines w:val="0"/>
              <w:widowControl/>
              <w:suppressLineNumbers w:val="0"/>
              <w:jc w:val="center"/>
              <w:rPr>
                <w:rFonts w:hint="eastAsia"/>
                <w:color w:val="auto"/>
                <w:sz w:val="28"/>
                <w:szCs w:val="36"/>
                <w:highlight w:val="none"/>
                <w:vertAlign w:val="baseline"/>
                <w:lang w:val="zh-CN"/>
              </w:rPr>
            </w:pPr>
          </w:p>
        </w:tc>
        <w:tc>
          <w:tcPr>
            <w:tcW w:w="2333" w:type="dxa"/>
            <w:noWrap w:val="0"/>
            <w:vAlign w:val="center"/>
          </w:tcPr>
          <w:p w14:paraId="15FE7D35">
            <w:pPr>
              <w:keepNext w:val="0"/>
              <w:keepLines w:val="0"/>
              <w:widowControl/>
              <w:suppressLineNumbers w:val="0"/>
              <w:jc w:val="center"/>
              <w:rPr>
                <w:rFonts w:hint="eastAsia"/>
                <w:color w:val="auto"/>
                <w:sz w:val="28"/>
                <w:szCs w:val="36"/>
                <w:highlight w:val="none"/>
                <w:vertAlign w:val="baseline"/>
                <w:lang w:val="zh-CN"/>
              </w:rPr>
            </w:pPr>
          </w:p>
        </w:tc>
        <w:tc>
          <w:tcPr>
            <w:tcW w:w="1217" w:type="dxa"/>
            <w:noWrap w:val="0"/>
            <w:vAlign w:val="center"/>
          </w:tcPr>
          <w:p w14:paraId="4D58F649">
            <w:pPr>
              <w:keepNext w:val="0"/>
              <w:keepLines w:val="0"/>
              <w:widowControl/>
              <w:suppressLineNumbers w:val="0"/>
              <w:jc w:val="center"/>
              <w:rPr>
                <w:rFonts w:hint="eastAsia"/>
                <w:color w:val="auto"/>
                <w:sz w:val="28"/>
                <w:szCs w:val="36"/>
                <w:highlight w:val="none"/>
                <w:vertAlign w:val="baseline"/>
                <w:lang w:val="zh-CN"/>
              </w:rPr>
            </w:pPr>
          </w:p>
        </w:tc>
        <w:tc>
          <w:tcPr>
            <w:tcW w:w="1507" w:type="dxa"/>
            <w:noWrap w:val="0"/>
            <w:vAlign w:val="center"/>
          </w:tcPr>
          <w:p w14:paraId="0D9DDEA5">
            <w:pPr>
              <w:keepNext w:val="0"/>
              <w:keepLines w:val="0"/>
              <w:widowControl/>
              <w:suppressLineNumbers w:val="0"/>
              <w:jc w:val="center"/>
              <w:rPr>
                <w:rFonts w:hint="eastAsia"/>
                <w:color w:val="auto"/>
                <w:sz w:val="28"/>
                <w:szCs w:val="36"/>
                <w:highlight w:val="none"/>
                <w:vertAlign w:val="baseline"/>
                <w:lang w:val="zh-CN"/>
              </w:rPr>
            </w:pPr>
          </w:p>
        </w:tc>
        <w:tc>
          <w:tcPr>
            <w:tcW w:w="1493" w:type="dxa"/>
            <w:noWrap w:val="0"/>
            <w:vAlign w:val="center"/>
          </w:tcPr>
          <w:p w14:paraId="1BC8116C">
            <w:pPr>
              <w:keepNext w:val="0"/>
              <w:keepLines w:val="0"/>
              <w:widowControl/>
              <w:suppressLineNumbers w:val="0"/>
              <w:jc w:val="center"/>
              <w:rPr>
                <w:rFonts w:hint="eastAsia"/>
                <w:color w:val="auto"/>
                <w:sz w:val="28"/>
                <w:szCs w:val="36"/>
                <w:highlight w:val="none"/>
                <w:vertAlign w:val="baseline"/>
                <w:lang w:val="zh-CN"/>
              </w:rPr>
            </w:pPr>
          </w:p>
        </w:tc>
      </w:tr>
      <w:tr w14:paraId="4728C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noWrap w:val="0"/>
            <w:vAlign w:val="center"/>
          </w:tcPr>
          <w:p w14:paraId="56F59E68">
            <w:pPr>
              <w:keepNext w:val="0"/>
              <w:keepLines w:val="0"/>
              <w:widowControl/>
              <w:suppressLineNumbers w:val="0"/>
              <w:jc w:val="center"/>
              <w:rPr>
                <w:rFonts w:hint="eastAsia" w:ascii="Times New Roman" w:hAnsi="Times New Roman" w:eastAsia="宋体" w:cs="Times New Roman"/>
                <w:color w:val="auto"/>
                <w:kern w:val="2"/>
                <w:sz w:val="28"/>
                <w:szCs w:val="36"/>
                <w:highlight w:val="none"/>
                <w:vertAlign w:val="baseline"/>
                <w:lang w:val="zh-CN" w:eastAsia="zh-CN" w:bidi="ar-SA"/>
              </w:rPr>
            </w:pPr>
            <w:r>
              <w:rPr>
                <w:rFonts w:hint="eastAsia"/>
                <w:color w:val="auto"/>
                <w:sz w:val="28"/>
                <w:szCs w:val="36"/>
                <w:highlight w:val="none"/>
                <w:vertAlign w:val="baseline"/>
                <w:lang w:val="en-US" w:eastAsia="zh-CN"/>
              </w:rPr>
              <w:t>4</w:t>
            </w:r>
          </w:p>
        </w:tc>
        <w:tc>
          <w:tcPr>
            <w:tcW w:w="1283" w:type="dxa"/>
            <w:noWrap w:val="0"/>
            <w:vAlign w:val="center"/>
          </w:tcPr>
          <w:p w14:paraId="5E85CDE3">
            <w:pPr>
              <w:keepNext w:val="0"/>
              <w:keepLines w:val="0"/>
              <w:widowControl/>
              <w:suppressLineNumbers w:val="0"/>
              <w:jc w:val="center"/>
              <w:rPr>
                <w:rFonts w:hint="eastAsia"/>
                <w:color w:val="auto"/>
                <w:sz w:val="28"/>
                <w:szCs w:val="36"/>
                <w:highlight w:val="none"/>
                <w:vertAlign w:val="baseline"/>
                <w:lang w:val="zh-CN"/>
              </w:rPr>
            </w:pPr>
          </w:p>
        </w:tc>
        <w:tc>
          <w:tcPr>
            <w:tcW w:w="1284" w:type="dxa"/>
            <w:noWrap w:val="0"/>
            <w:vAlign w:val="center"/>
          </w:tcPr>
          <w:p w14:paraId="4238441A">
            <w:pPr>
              <w:keepNext w:val="0"/>
              <w:keepLines w:val="0"/>
              <w:widowControl/>
              <w:suppressLineNumbers w:val="0"/>
              <w:jc w:val="center"/>
              <w:rPr>
                <w:rFonts w:hint="eastAsia"/>
                <w:color w:val="auto"/>
                <w:sz w:val="28"/>
                <w:szCs w:val="36"/>
                <w:highlight w:val="none"/>
                <w:vertAlign w:val="baseline"/>
                <w:lang w:val="zh-CN"/>
              </w:rPr>
            </w:pPr>
          </w:p>
        </w:tc>
        <w:tc>
          <w:tcPr>
            <w:tcW w:w="2333" w:type="dxa"/>
            <w:noWrap w:val="0"/>
            <w:vAlign w:val="center"/>
          </w:tcPr>
          <w:p w14:paraId="4A1FD557">
            <w:pPr>
              <w:keepNext w:val="0"/>
              <w:keepLines w:val="0"/>
              <w:widowControl/>
              <w:suppressLineNumbers w:val="0"/>
              <w:jc w:val="center"/>
              <w:rPr>
                <w:rFonts w:hint="eastAsia"/>
                <w:color w:val="auto"/>
                <w:sz w:val="28"/>
                <w:szCs w:val="36"/>
                <w:highlight w:val="none"/>
                <w:vertAlign w:val="baseline"/>
                <w:lang w:val="zh-CN"/>
              </w:rPr>
            </w:pPr>
          </w:p>
        </w:tc>
        <w:tc>
          <w:tcPr>
            <w:tcW w:w="1217" w:type="dxa"/>
            <w:noWrap w:val="0"/>
            <w:vAlign w:val="center"/>
          </w:tcPr>
          <w:p w14:paraId="505DED9B">
            <w:pPr>
              <w:keepNext w:val="0"/>
              <w:keepLines w:val="0"/>
              <w:widowControl/>
              <w:suppressLineNumbers w:val="0"/>
              <w:jc w:val="center"/>
              <w:rPr>
                <w:rFonts w:hint="eastAsia"/>
                <w:color w:val="auto"/>
                <w:sz w:val="28"/>
                <w:szCs w:val="36"/>
                <w:highlight w:val="none"/>
                <w:vertAlign w:val="baseline"/>
                <w:lang w:val="zh-CN"/>
              </w:rPr>
            </w:pPr>
          </w:p>
        </w:tc>
        <w:tc>
          <w:tcPr>
            <w:tcW w:w="1507" w:type="dxa"/>
            <w:noWrap w:val="0"/>
            <w:vAlign w:val="center"/>
          </w:tcPr>
          <w:p w14:paraId="7AD78B48">
            <w:pPr>
              <w:keepNext w:val="0"/>
              <w:keepLines w:val="0"/>
              <w:widowControl/>
              <w:suppressLineNumbers w:val="0"/>
              <w:jc w:val="center"/>
              <w:rPr>
                <w:rFonts w:hint="eastAsia"/>
                <w:color w:val="auto"/>
                <w:sz w:val="28"/>
                <w:szCs w:val="36"/>
                <w:highlight w:val="none"/>
                <w:vertAlign w:val="baseline"/>
                <w:lang w:val="zh-CN"/>
              </w:rPr>
            </w:pPr>
          </w:p>
        </w:tc>
        <w:tc>
          <w:tcPr>
            <w:tcW w:w="1493" w:type="dxa"/>
            <w:noWrap w:val="0"/>
            <w:vAlign w:val="center"/>
          </w:tcPr>
          <w:p w14:paraId="1C34B6AF">
            <w:pPr>
              <w:keepNext w:val="0"/>
              <w:keepLines w:val="0"/>
              <w:widowControl/>
              <w:suppressLineNumbers w:val="0"/>
              <w:jc w:val="center"/>
              <w:rPr>
                <w:rFonts w:hint="eastAsia"/>
                <w:color w:val="auto"/>
                <w:sz w:val="28"/>
                <w:szCs w:val="36"/>
                <w:highlight w:val="none"/>
                <w:vertAlign w:val="baseline"/>
                <w:lang w:val="zh-CN"/>
              </w:rPr>
            </w:pPr>
          </w:p>
        </w:tc>
      </w:tr>
      <w:tr w14:paraId="36B5F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noWrap w:val="0"/>
            <w:vAlign w:val="center"/>
          </w:tcPr>
          <w:p w14:paraId="0EF53769">
            <w:pPr>
              <w:keepNext w:val="0"/>
              <w:keepLines w:val="0"/>
              <w:widowControl/>
              <w:suppressLineNumbers w:val="0"/>
              <w:jc w:val="center"/>
              <w:rPr>
                <w:rFonts w:hint="eastAsia" w:ascii="Times New Roman" w:hAnsi="Times New Roman" w:eastAsia="宋体" w:cs="Times New Roman"/>
                <w:color w:val="auto"/>
                <w:kern w:val="2"/>
                <w:sz w:val="28"/>
                <w:szCs w:val="36"/>
                <w:highlight w:val="none"/>
                <w:vertAlign w:val="baseline"/>
                <w:lang w:val="zh-CN" w:eastAsia="zh-CN" w:bidi="ar-SA"/>
              </w:rPr>
            </w:pPr>
            <w:r>
              <w:rPr>
                <w:rFonts w:hint="eastAsia"/>
                <w:color w:val="auto"/>
                <w:sz w:val="28"/>
                <w:szCs w:val="36"/>
                <w:highlight w:val="none"/>
                <w:vertAlign w:val="baseline"/>
                <w:lang w:val="en-US" w:eastAsia="zh-CN"/>
              </w:rPr>
              <w:t>5</w:t>
            </w:r>
          </w:p>
        </w:tc>
        <w:tc>
          <w:tcPr>
            <w:tcW w:w="1283" w:type="dxa"/>
            <w:noWrap w:val="0"/>
            <w:vAlign w:val="center"/>
          </w:tcPr>
          <w:p w14:paraId="79086BF3">
            <w:pPr>
              <w:keepNext w:val="0"/>
              <w:keepLines w:val="0"/>
              <w:widowControl/>
              <w:suppressLineNumbers w:val="0"/>
              <w:jc w:val="center"/>
              <w:rPr>
                <w:rFonts w:hint="eastAsia"/>
                <w:color w:val="auto"/>
                <w:sz w:val="28"/>
                <w:szCs w:val="36"/>
                <w:highlight w:val="none"/>
                <w:vertAlign w:val="baseline"/>
                <w:lang w:val="zh-CN"/>
              </w:rPr>
            </w:pPr>
          </w:p>
        </w:tc>
        <w:tc>
          <w:tcPr>
            <w:tcW w:w="1284" w:type="dxa"/>
            <w:noWrap w:val="0"/>
            <w:vAlign w:val="center"/>
          </w:tcPr>
          <w:p w14:paraId="0145FB80">
            <w:pPr>
              <w:keepNext w:val="0"/>
              <w:keepLines w:val="0"/>
              <w:widowControl/>
              <w:suppressLineNumbers w:val="0"/>
              <w:jc w:val="center"/>
              <w:rPr>
                <w:rFonts w:hint="eastAsia"/>
                <w:color w:val="auto"/>
                <w:sz w:val="28"/>
                <w:szCs w:val="36"/>
                <w:highlight w:val="none"/>
                <w:vertAlign w:val="baseline"/>
                <w:lang w:val="zh-CN"/>
              </w:rPr>
            </w:pPr>
          </w:p>
        </w:tc>
        <w:tc>
          <w:tcPr>
            <w:tcW w:w="2333" w:type="dxa"/>
            <w:noWrap w:val="0"/>
            <w:vAlign w:val="center"/>
          </w:tcPr>
          <w:p w14:paraId="5E2C3D8C">
            <w:pPr>
              <w:keepNext w:val="0"/>
              <w:keepLines w:val="0"/>
              <w:widowControl/>
              <w:suppressLineNumbers w:val="0"/>
              <w:jc w:val="center"/>
              <w:rPr>
                <w:rFonts w:hint="eastAsia"/>
                <w:color w:val="auto"/>
                <w:sz w:val="28"/>
                <w:szCs w:val="36"/>
                <w:highlight w:val="none"/>
                <w:vertAlign w:val="baseline"/>
                <w:lang w:val="zh-CN"/>
              </w:rPr>
            </w:pPr>
          </w:p>
        </w:tc>
        <w:tc>
          <w:tcPr>
            <w:tcW w:w="1217" w:type="dxa"/>
            <w:noWrap w:val="0"/>
            <w:vAlign w:val="center"/>
          </w:tcPr>
          <w:p w14:paraId="0E38FD5A">
            <w:pPr>
              <w:keepNext w:val="0"/>
              <w:keepLines w:val="0"/>
              <w:widowControl/>
              <w:suppressLineNumbers w:val="0"/>
              <w:jc w:val="center"/>
              <w:rPr>
                <w:rFonts w:hint="eastAsia"/>
                <w:color w:val="auto"/>
                <w:sz w:val="28"/>
                <w:szCs w:val="36"/>
                <w:highlight w:val="none"/>
                <w:vertAlign w:val="baseline"/>
                <w:lang w:val="zh-CN"/>
              </w:rPr>
            </w:pPr>
          </w:p>
        </w:tc>
        <w:tc>
          <w:tcPr>
            <w:tcW w:w="1507" w:type="dxa"/>
            <w:noWrap w:val="0"/>
            <w:vAlign w:val="center"/>
          </w:tcPr>
          <w:p w14:paraId="072C64BF">
            <w:pPr>
              <w:keepNext w:val="0"/>
              <w:keepLines w:val="0"/>
              <w:widowControl/>
              <w:suppressLineNumbers w:val="0"/>
              <w:jc w:val="center"/>
              <w:rPr>
                <w:rFonts w:hint="eastAsia"/>
                <w:color w:val="auto"/>
                <w:sz w:val="28"/>
                <w:szCs w:val="36"/>
                <w:highlight w:val="none"/>
                <w:vertAlign w:val="baseline"/>
                <w:lang w:val="zh-CN"/>
              </w:rPr>
            </w:pPr>
          </w:p>
        </w:tc>
        <w:tc>
          <w:tcPr>
            <w:tcW w:w="1493" w:type="dxa"/>
            <w:noWrap w:val="0"/>
            <w:vAlign w:val="center"/>
          </w:tcPr>
          <w:p w14:paraId="75135C51">
            <w:pPr>
              <w:keepNext w:val="0"/>
              <w:keepLines w:val="0"/>
              <w:widowControl/>
              <w:suppressLineNumbers w:val="0"/>
              <w:jc w:val="center"/>
              <w:rPr>
                <w:rFonts w:hint="eastAsia"/>
                <w:color w:val="auto"/>
                <w:sz w:val="28"/>
                <w:szCs w:val="36"/>
                <w:highlight w:val="none"/>
                <w:vertAlign w:val="baseline"/>
                <w:lang w:val="zh-CN"/>
              </w:rPr>
            </w:pPr>
          </w:p>
        </w:tc>
      </w:tr>
      <w:tr w14:paraId="39A7C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noWrap w:val="0"/>
            <w:vAlign w:val="center"/>
          </w:tcPr>
          <w:p w14:paraId="72DDA06E">
            <w:pPr>
              <w:keepNext w:val="0"/>
              <w:keepLines w:val="0"/>
              <w:widowControl/>
              <w:suppressLineNumbers w:val="0"/>
              <w:jc w:val="center"/>
              <w:rPr>
                <w:rFonts w:hint="eastAsia" w:ascii="Times New Roman" w:hAnsi="Times New Roman" w:eastAsia="宋体" w:cs="Times New Roman"/>
                <w:color w:val="auto"/>
                <w:kern w:val="2"/>
                <w:sz w:val="28"/>
                <w:szCs w:val="36"/>
                <w:highlight w:val="none"/>
                <w:vertAlign w:val="baseline"/>
                <w:lang w:val="zh-CN" w:eastAsia="zh-CN" w:bidi="ar-SA"/>
              </w:rPr>
            </w:pPr>
          </w:p>
        </w:tc>
        <w:tc>
          <w:tcPr>
            <w:tcW w:w="1283" w:type="dxa"/>
            <w:noWrap w:val="0"/>
            <w:vAlign w:val="center"/>
          </w:tcPr>
          <w:p w14:paraId="67CAFA35">
            <w:pPr>
              <w:keepNext w:val="0"/>
              <w:keepLines w:val="0"/>
              <w:widowControl/>
              <w:suppressLineNumbers w:val="0"/>
              <w:jc w:val="center"/>
              <w:rPr>
                <w:rFonts w:hint="eastAsia"/>
                <w:color w:val="auto"/>
                <w:sz w:val="28"/>
                <w:szCs w:val="36"/>
                <w:highlight w:val="none"/>
                <w:vertAlign w:val="baseline"/>
                <w:lang w:val="zh-CN"/>
              </w:rPr>
            </w:pPr>
          </w:p>
        </w:tc>
        <w:tc>
          <w:tcPr>
            <w:tcW w:w="1284" w:type="dxa"/>
            <w:noWrap w:val="0"/>
            <w:vAlign w:val="center"/>
          </w:tcPr>
          <w:p w14:paraId="4D08FE80">
            <w:pPr>
              <w:keepNext w:val="0"/>
              <w:keepLines w:val="0"/>
              <w:widowControl/>
              <w:suppressLineNumbers w:val="0"/>
              <w:jc w:val="center"/>
              <w:rPr>
                <w:rFonts w:hint="eastAsia"/>
                <w:color w:val="auto"/>
                <w:sz w:val="28"/>
                <w:szCs w:val="36"/>
                <w:highlight w:val="none"/>
                <w:vertAlign w:val="baseline"/>
                <w:lang w:val="zh-CN"/>
              </w:rPr>
            </w:pPr>
          </w:p>
        </w:tc>
        <w:tc>
          <w:tcPr>
            <w:tcW w:w="2333" w:type="dxa"/>
            <w:noWrap w:val="0"/>
            <w:vAlign w:val="center"/>
          </w:tcPr>
          <w:p w14:paraId="7121A680">
            <w:pPr>
              <w:keepNext w:val="0"/>
              <w:keepLines w:val="0"/>
              <w:widowControl/>
              <w:suppressLineNumbers w:val="0"/>
              <w:jc w:val="center"/>
              <w:rPr>
                <w:rFonts w:hint="eastAsia"/>
                <w:color w:val="auto"/>
                <w:sz w:val="28"/>
                <w:szCs w:val="36"/>
                <w:highlight w:val="none"/>
                <w:vertAlign w:val="baseline"/>
                <w:lang w:val="zh-CN"/>
              </w:rPr>
            </w:pPr>
          </w:p>
        </w:tc>
        <w:tc>
          <w:tcPr>
            <w:tcW w:w="1217" w:type="dxa"/>
            <w:noWrap w:val="0"/>
            <w:vAlign w:val="center"/>
          </w:tcPr>
          <w:p w14:paraId="1A149071">
            <w:pPr>
              <w:keepNext w:val="0"/>
              <w:keepLines w:val="0"/>
              <w:widowControl/>
              <w:suppressLineNumbers w:val="0"/>
              <w:jc w:val="center"/>
              <w:rPr>
                <w:rFonts w:hint="eastAsia"/>
                <w:color w:val="auto"/>
                <w:sz w:val="28"/>
                <w:szCs w:val="36"/>
                <w:highlight w:val="none"/>
                <w:vertAlign w:val="baseline"/>
                <w:lang w:val="zh-CN"/>
              </w:rPr>
            </w:pPr>
          </w:p>
        </w:tc>
        <w:tc>
          <w:tcPr>
            <w:tcW w:w="1507" w:type="dxa"/>
            <w:noWrap w:val="0"/>
            <w:vAlign w:val="center"/>
          </w:tcPr>
          <w:p w14:paraId="35415858">
            <w:pPr>
              <w:keepNext w:val="0"/>
              <w:keepLines w:val="0"/>
              <w:widowControl/>
              <w:suppressLineNumbers w:val="0"/>
              <w:jc w:val="center"/>
              <w:rPr>
                <w:rFonts w:hint="eastAsia"/>
                <w:color w:val="auto"/>
                <w:sz w:val="28"/>
                <w:szCs w:val="36"/>
                <w:highlight w:val="none"/>
                <w:vertAlign w:val="baseline"/>
                <w:lang w:val="zh-CN"/>
              </w:rPr>
            </w:pPr>
          </w:p>
        </w:tc>
        <w:tc>
          <w:tcPr>
            <w:tcW w:w="1493" w:type="dxa"/>
            <w:noWrap w:val="0"/>
            <w:vAlign w:val="center"/>
          </w:tcPr>
          <w:p w14:paraId="7DC3C60F">
            <w:pPr>
              <w:keepNext w:val="0"/>
              <w:keepLines w:val="0"/>
              <w:widowControl/>
              <w:suppressLineNumbers w:val="0"/>
              <w:jc w:val="center"/>
              <w:rPr>
                <w:rFonts w:hint="eastAsia"/>
                <w:color w:val="auto"/>
                <w:sz w:val="28"/>
                <w:szCs w:val="36"/>
                <w:highlight w:val="none"/>
                <w:vertAlign w:val="baseline"/>
                <w:lang w:val="zh-CN"/>
              </w:rPr>
            </w:pPr>
          </w:p>
        </w:tc>
      </w:tr>
      <w:tr w14:paraId="00595263">
        <w:tblPrEx>
          <w:tblCellMar>
            <w:top w:w="0" w:type="dxa"/>
            <w:left w:w="108" w:type="dxa"/>
            <w:bottom w:w="0" w:type="dxa"/>
            <w:right w:w="108" w:type="dxa"/>
          </w:tblCellMar>
        </w:tblPrEx>
        <w:tc>
          <w:tcPr>
            <w:tcW w:w="818" w:type="dxa"/>
            <w:noWrap w:val="0"/>
            <w:vAlign w:val="center"/>
          </w:tcPr>
          <w:p w14:paraId="3EB3C1CB">
            <w:pPr>
              <w:keepNext w:val="0"/>
              <w:keepLines w:val="0"/>
              <w:widowControl/>
              <w:suppressLineNumbers w:val="0"/>
              <w:jc w:val="center"/>
              <w:rPr>
                <w:rFonts w:hint="eastAsia" w:ascii="Times New Roman" w:hAnsi="Times New Roman" w:eastAsia="宋体" w:cs="Times New Roman"/>
                <w:color w:val="auto"/>
                <w:kern w:val="2"/>
                <w:sz w:val="28"/>
                <w:szCs w:val="36"/>
                <w:highlight w:val="none"/>
                <w:vertAlign w:val="baseline"/>
                <w:lang w:val="zh-CN" w:eastAsia="zh-CN" w:bidi="ar-SA"/>
              </w:rPr>
            </w:pPr>
            <w:r>
              <w:rPr>
                <w:rFonts w:hint="eastAsia"/>
                <w:color w:val="auto"/>
                <w:sz w:val="28"/>
                <w:szCs w:val="36"/>
                <w:highlight w:val="none"/>
                <w:vertAlign w:val="baseline"/>
                <w:lang w:val="en-US" w:eastAsia="zh-CN"/>
              </w:rPr>
              <w:t>...</w:t>
            </w:r>
          </w:p>
        </w:tc>
        <w:tc>
          <w:tcPr>
            <w:tcW w:w="1283" w:type="dxa"/>
            <w:noWrap w:val="0"/>
            <w:vAlign w:val="center"/>
          </w:tcPr>
          <w:p w14:paraId="5A22E019">
            <w:pPr>
              <w:keepNext w:val="0"/>
              <w:keepLines w:val="0"/>
              <w:widowControl/>
              <w:suppressLineNumbers w:val="0"/>
              <w:jc w:val="center"/>
              <w:rPr>
                <w:rFonts w:hint="eastAsia"/>
                <w:color w:val="auto"/>
                <w:sz w:val="28"/>
                <w:szCs w:val="36"/>
                <w:highlight w:val="none"/>
                <w:vertAlign w:val="baseline"/>
                <w:lang w:val="zh-CN"/>
              </w:rPr>
            </w:pPr>
          </w:p>
        </w:tc>
        <w:tc>
          <w:tcPr>
            <w:tcW w:w="1284" w:type="dxa"/>
            <w:noWrap w:val="0"/>
            <w:vAlign w:val="center"/>
          </w:tcPr>
          <w:p w14:paraId="163CACA9">
            <w:pPr>
              <w:keepNext w:val="0"/>
              <w:keepLines w:val="0"/>
              <w:widowControl/>
              <w:suppressLineNumbers w:val="0"/>
              <w:jc w:val="center"/>
              <w:rPr>
                <w:rFonts w:hint="eastAsia"/>
                <w:color w:val="auto"/>
                <w:sz w:val="28"/>
                <w:szCs w:val="36"/>
                <w:highlight w:val="none"/>
                <w:vertAlign w:val="baseline"/>
                <w:lang w:val="zh-CN"/>
              </w:rPr>
            </w:pPr>
          </w:p>
        </w:tc>
        <w:tc>
          <w:tcPr>
            <w:tcW w:w="2333" w:type="dxa"/>
            <w:noWrap w:val="0"/>
            <w:vAlign w:val="center"/>
          </w:tcPr>
          <w:p w14:paraId="311F505E">
            <w:pPr>
              <w:keepNext w:val="0"/>
              <w:keepLines w:val="0"/>
              <w:widowControl/>
              <w:suppressLineNumbers w:val="0"/>
              <w:jc w:val="center"/>
              <w:rPr>
                <w:rFonts w:hint="eastAsia"/>
                <w:color w:val="auto"/>
                <w:sz w:val="28"/>
                <w:szCs w:val="36"/>
                <w:highlight w:val="none"/>
                <w:vertAlign w:val="baseline"/>
                <w:lang w:val="zh-CN"/>
              </w:rPr>
            </w:pPr>
          </w:p>
        </w:tc>
        <w:tc>
          <w:tcPr>
            <w:tcW w:w="1217" w:type="dxa"/>
            <w:noWrap w:val="0"/>
            <w:vAlign w:val="center"/>
          </w:tcPr>
          <w:p w14:paraId="138D8842">
            <w:pPr>
              <w:keepNext w:val="0"/>
              <w:keepLines w:val="0"/>
              <w:widowControl/>
              <w:suppressLineNumbers w:val="0"/>
              <w:jc w:val="center"/>
              <w:rPr>
                <w:rFonts w:hint="eastAsia"/>
                <w:color w:val="auto"/>
                <w:sz w:val="28"/>
                <w:szCs w:val="36"/>
                <w:highlight w:val="none"/>
                <w:vertAlign w:val="baseline"/>
                <w:lang w:val="zh-CN"/>
              </w:rPr>
            </w:pPr>
          </w:p>
        </w:tc>
        <w:tc>
          <w:tcPr>
            <w:tcW w:w="1507" w:type="dxa"/>
            <w:noWrap w:val="0"/>
            <w:vAlign w:val="center"/>
          </w:tcPr>
          <w:p w14:paraId="6DDC7D5D">
            <w:pPr>
              <w:keepNext w:val="0"/>
              <w:keepLines w:val="0"/>
              <w:widowControl/>
              <w:suppressLineNumbers w:val="0"/>
              <w:jc w:val="center"/>
              <w:rPr>
                <w:rFonts w:hint="eastAsia"/>
                <w:color w:val="auto"/>
                <w:sz w:val="28"/>
                <w:szCs w:val="36"/>
                <w:highlight w:val="none"/>
                <w:vertAlign w:val="baseline"/>
                <w:lang w:val="zh-CN"/>
              </w:rPr>
            </w:pPr>
          </w:p>
        </w:tc>
        <w:tc>
          <w:tcPr>
            <w:tcW w:w="1493" w:type="dxa"/>
            <w:noWrap w:val="0"/>
            <w:vAlign w:val="center"/>
          </w:tcPr>
          <w:p w14:paraId="01794DED">
            <w:pPr>
              <w:keepNext w:val="0"/>
              <w:keepLines w:val="0"/>
              <w:widowControl/>
              <w:suppressLineNumbers w:val="0"/>
              <w:jc w:val="center"/>
              <w:rPr>
                <w:rFonts w:hint="eastAsia"/>
                <w:color w:val="auto"/>
                <w:sz w:val="28"/>
                <w:szCs w:val="36"/>
                <w:highlight w:val="none"/>
                <w:vertAlign w:val="baseline"/>
                <w:lang w:val="zh-CN"/>
              </w:rPr>
            </w:pPr>
          </w:p>
        </w:tc>
      </w:tr>
    </w:tbl>
    <w:p w14:paraId="64A80A2B">
      <w:pPr>
        <w:pStyle w:val="18"/>
        <w:rPr>
          <w:rFonts w:hint="eastAsia"/>
          <w:color w:val="auto"/>
          <w:highlight w:val="none"/>
          <w:lang w:val="zh-CN"/>
        </w:rPr>
      </w:pPr>
    </w:p>
    <w:p w14:paraId="70FD902D">
      <w:pPr>
        <w:keepNext w:val="0"/>
        <w:keepLines w:val="0"/>
        <w:widowControl/>
        <w:suppressLineNumbers w:val="0"/>
        <w:jc w:val="left"/>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 xml:space="preserve">注： </w:t>
      </w:r>
    </w:p>
    <w:p w14:paraId="0A57EA4F">
      <w:pPr>
        <w:keepNext w:val="0"/>
        <w:keepLines w:val="0"/>
        <w:widowControl/>
        <w:suppressLineNumbers w:val="0"/>
        <w:jc w:val="left"/>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 xml:space="preserve">1.在填写时，如本表格不适合投标人的实际情况，可根据本表格式自行制表填写。 </w:t>
      </w:r>
    </w:p>
    <w:p w14:paraId="7C97B53C">
      <w:pPr>
        <w:keepNext w:val="0"/>
        <w:keepLines w:val="0"/>
        <w:widowControl/>
        <w:suppressLineNumbers w:val="0"/>
        <w:jc w:val="left"/>
        <w:rPr>
          <w:rFonts w:hint="eastAsia"/>
          <w:color w:val="auto"/>
          <w:highlight w:val="none"/>
          <w:lang w:val="zh-CN"/>
        </w:rPr>
      </w:pPr>
      <w:r>
        <w:rPr>
          <w:rFonts w:hint="eastAsia" w:ascii="宋体" w:hAnsi="宋体" w:eastAsia="宋体" w:cs="宋体"/>
          <w:color w:val="auto"/>
          <w:kern w:val="0"/>
          <w:sz w:val="20"/>
          <w:szCs w:val="20"/>
          <w:highlight w:val="none"/>
          <w:lang w:val="en-US" w:eastAsia="zh-CN" w:bidi="ar"/>
        </w:rPr>
        <w:t>2附</w:t>
      </w:r>
      <w:r>
        <w:rPr>
          <w:rFonts w:hint="eastAsia" w:ascii="宋体" w:hAnsi="宋体" w:cs="宋体"/>
          <w:color w:val="auto"/>
          <w:kern w:val="0"/>
          <w:sz w:val="20"/>
          <w:szCs w:val="20"/>
          <w:highlight w:val="none"/>
          <w:lang w:val="en-US" w:eastAsia="zh-CN" w:bidi="ar"/>
        </w:rPr>
        <w:t>相关证明材料</w:t>
      </w:r>
      <w:r>
        <w:rPr>
          <w:rFonts w:hint="eastAsia" w:ascii="宋体" w:hAnsi="宋体" w:eastAsia="宋体" w:cs="宋体"/>
          <w:color w:val="auto"/>
          <w:kern w:val="0"/>
          <w:sz w:val="20"/>
          <w:szCs w:val="20"/>
          <w:highlight w:val="none"/>
          <w:lang w:val="en-US" w:eastAsia="zh-CN" w:bidi="ar"/>
        </w:rPr>
        <w:t>复印件并加盖投标</w:t>
      </w:r>
      <w:r>
        <w:rPr>
          <w:rFonts w:hint="eastAsia" w:ascii="宋体" w:hAnsi="宋体" w:cs="宋体"/>
          <w:color w:val="auto"/>
          <w:kern w:val="0"/>
          <w:sz w:val="20"/>
          <w:szCs w:val="20"/>
          <w:highlight w:val="none"/>
          <w:lang w:val="en-US" w:eastAsia="zh-CN" w:bidi="ar"/>
        </w:rPr>
        <w:t>人公</w:t>
      </w:r>
      <w:r>
        <w:rPr>
          <w:rFonts w:hint="eastAsia" w:ascii="宋体" w:hAnsi="宋体" w:eastAsia="宋体" w:cs="宋体"/>
          <w:color w:val="auto"/>
          <w:kern w:val="0"/>
          <w:sz w:val="20"/>
          <w:szCs w:val="20"/>
          <w:highlight w:val="none"/>
          <w:lang w:val="en-US" w:eastAsia="zh-CN" w:bidi="ar"/>
        </w:rPr>
        <w:t>章。</w:t>
      </w:r>
    </w:p>
    <w:p w14:paraId="054E1BB8">
      <w:pPr>
        <w:pStyle w:val="18"/>
        <w:rPr>
          <w:rFonts w:hint="eastAsia"/>
          <w:color w:val="auto"/>
          <w:highlight w:val="none"/>
          <w:lang w:val="zh-CN"/>
        </w:rPr>
      </w:pPr>
    </w:p>
    <w:p w14:paraId="1C78ACD3">
      <w:pPr>
        <w:snapToGrid w:val="0"/>
        <w:spacing w:line="360" w:lineRule="auto"/>
        <w:ind w:firstLine="5640" w:firstLineChars="23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szCs w:val="24"/>
          <w:highlight w:val="none"/>
          <w:lang w:val="en-US" w:eastAsia="zh-CN" w:bidi="ar"/>
        </w:rPr>
        <w:t xml:space="preserve"> </w:t>
      </w:r>
      <w:r>
        <w:rPr>
          <w:rFonts w:hint="eastAsia" w:ascii="宋体" w:hAnsi="宋体" w:eastAsia="宋体" w:cs="宋体"/>
          <w:color w:val="auto"/>
          <w:szCs w:val="21"/>
          <w:highlight w:val="none"/>
        </w:rPr>
        <w:t xml:space="preserve"> </w:t>
      </w:r>
      <w:r>
        <w:rPr>
          <w:rFonts w:hint="eastAsia" w:ascii="宋体" w:hAnsi="宋体" w:eastAsia="宋体" w:cs="宋体"/>
          <w:color w:val="auto"/>
          <w:kern w:val="0"/>
          <w:sz w:val="24"/>
          <w:highlight w:val="none"/>
          <w:lang w:val="zh-CN"/>
        </w:rPr>
        <w:t>投标人名称(盖</w:t>
      </w:r>
      <w:r>
        <w:rPr>
          <w:rFonts w:hint="eastAsia" w:ascii="宋体" w:hAnsi="宋体" w:cs="宋体"/>
          <w:color w:val="auto"/>
          <w:kern w:val="0"/>
          <w:sz w:val="24"/>
          <w:highlight w:val="none"/>
          <w:lang w:val="en-US" w:eastAsia="zh-CN"/>
        </w:rPr>
        <w:t>单位</w:t>
      </w:r>
      <w:r>
        <w:rPr>
          <w:rFonts w:hint="eastAsia" w:ascii="宋体" w:hAnsi="宋体" w:eastAsia="宋体" w:cs="宋体"/>
          <w:color w:val="auto"/>
          <w:kern w:val="0"/>
          <w:sz w:val="24"/>
          <w:highlight w:val="none"/>
          <w:lang w:val="zh-CN"/>
        </w:rPr>
        <w:t>公章)：</w:t>
      </w:r>
    </w:p>
    <w:p w14:paraId="763230CA">
      <w:pPr>
        <w:pStyle w:val="18"/>
        <w:ind w:firstLine="720" w:firstLineChars="300"/>
        <w:rPr>
          <w:rFonts w:hint="eastAsia"/>
          <w:color w:val="auto"/>
          <w:highlight w:val="none"/>
        </w:rPr>
      </w:pPr>
      <w:r>
        <w:rPr>
          <w:rFonts w:hint="eastAsia" w:ascii="宋体" w:hAnsi="宋体" w:eastAsia="宋体" w:cs="宋体"/>
          <w:color w:val="auto"/>
          <w:kern w:val="0"/>
          <w:sz w:val="24"/>
          <w:szCs w:val="24"/>
          <w:highlight w:val="none"/>
          <w:lang w:val="zh-CN" w:eastAsia="zh-CN" w:bidi="ar-SA"/>
        </w:rPr>
        <w:t>法定代表人（或负责人）或者委托代理人（签字或者盖章或者电子签名）：</w:t>
      </w:r>
    </w:p>
    <w:p w14:paraId="1BE11356">
      <w:pPr>
        <w:snapToGrid w:val="0"/>
        <w:spacing w:line="360" w:lineRule="auto"/>
        <w:ind w:firstLine="5880" w:firstLineChars="24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4B7D063A">
      <w:pPr>
        <w:rPr>
          <w:rFonts w:hint="eastAsia"/>
          <w:color w:val="auto"/>
          <w:highlight w:val="none"/>
          <w:lang w:val="zh-CN"/>
        </w:rPr>
      </w:pPr>
    </w:p>
    <w:p w14:paraId="548184D2">
      <w:pPr>
        <w:keepNext w:val="0"/>
        <w:keepLines w:val="0"/>
        <w:widowControl/>
        <w:suppressLineNumbers w:val="0"/>
        <w:jc w:val="left"/>
        <w:rPr>
          <w:rFonts w:hint="eastAsia" w:ascii="宋体" w:hAnsi="宋体" w:cs="宋体"/>
          <w:b/>
          <w:bCs/>
          <w:color w:val="auto"/>
          <w:kern w:val="0"/>
          <w:sz w:val="24"/>
          <w:szCs w:val="24"/>
          <w:highlight w:val="none"/>
          <w:lang w:val="en-US" w:eastAsia="zh-CN" w:bidi="ar"/>
        </w:rPr>
      </w:pPr>
    </w:p>
    <w:p w14:paraId="3CAC82C6">
      <w:pPr>
        <w:keepNext w:val="0"/>
        <w:keepLines w:val="0"/>
        <w:widowControl/>
        <w:suppressLineNumbers w:val="0"/>
        <w:jc w:val="left"/>
        <w:rPr>
          <w:rFonts w:hint="eastAsia" w:ascii="宋体" w:hAnsi="宋体" w:cs="宋体"/>
          <w:b/>
          <w:bCs/>
          <w:color w:val="auto"/>
          <w:kern w:val="0"/>
          <w:sz w:val="24"/>
          <w:szCs w:val="24"/>
          <w:highlight w:val="none"/>
          <w:lang w:val="en-US" w:eastAsia="zh-CN" w:bidi="ar"/>
        </w:rPr>
      </w:pPr>
    </w:p>
    <w:p w14:paraId="3A9982D5">
      <w:pPr>
        <w:keepNext w:val="0"/>
        <w:keepLines w:val="0"/>
        <w:widowControl/>
        <w:suppressLineNumbers w:val="0"/>
        <w:jc w:val="left"/>
        <w:rPr>
          <w:rFonts w:hint="eastAsia" w:ascii="宋体" w:hAnsi="宋体" w:cs="宋体"/>
          <w:b/>
          <w:bCs/>
          <w:color w:val="auto"/>
          <w:kern w:val="0"/>
          <w:sz w:val="24"/>
          <w:szCs w:val="24"/>
          <w:highlight w:val="none"/>
          <w:lang w:val="en-US" w:eastAsia="zh-CN" w:bidi="ar"/>
        </w:rPr>
      </w:pPr>
    </w:p>
    <w:p w14:paraId="1E4E0110">
      <w:pPr>
        <w:keepNext w:val="0"/>
        <w:keepLines w:val="0"/>
        <w:widowControl/>
        <w:suppressLineNumbers w:val="0"/>
        <w:jc w:val="left"/>
        <w:rPr>
          <w:rFonts w:hint="eastAsia" w:ascii="宋体" w:hAnsi="宋体" w:cs="宋体"/>
          <w:b/>
          <w:bCs/>
          <w:color w:val="auto"/>
          <w:kern w:val="0"/>
          <w:sz w:val="24"/>
          <w:szCs w:val="24"/>
          <w:highlight w:val="none"/>
          <w:lang w:val="en-US" w:eastAsia="zh-CN" w:bidi="ar"/>
        </w:rPr>
      </w:pPr>
    </w:p>
    <w:p w14:paraId="234B2E67">
      <w:pPr>
        <w:keepNext w:val="0"/>
        <w:keepLines w:val="0"/>
        <w:widowControl/>
        <w:suppressLineNumbers w:val="0"/>
        <w:jc w:val="left"/>
        <w:rPr>
          <w:rFonts w:hint="eastAsia" w:ascii="宋体" w:hAnsi="宋体" w:cs="宋体"/>
          <w:b/>
          <w:bCs/>
          <w:color w:val="auto"/>
          <w:kern w:val="0"/>
          <w:sz w:val="24"/>
          <w:szCs w:val="24"/>
          <w:highlight w:val="none"/>
          <w:lang w:val="en-US" w:eastAsia="zh-CN" w:bidi="ar"/>
        </w:rPr>
      </w:pPr>
    </w:p>
    <w:p w14:paraId="2BE8B0A6">
      <w:pPr>
        <w:keepNext w:val="0"/>
        <w:keepLines w:val="0"/>
        <w:widowControl/>
        <w:suppressLineNumbers w:val="0"/>
        <w:jc w:val="left"/>
        <w:rPr>
          <w:rFonts w:hint="default" w:ascii="宋体" w:hAnsi="宋体" w:cs="宋体"/>
          <w:b/>
          <w:bCs/>
          <w:color w:val="auto"/>
          <w:kern w:val="0"/>
          <w:sz w:val="24"/>
          <w:szCs w:val="24"/>
          <w:highlight w:val="none"/>
          <w:lang w:val="en-US" w:eastAsia="zh-CN" w:bidi="ar"/>
        </w:rPr>
      </w:pPr>
      <w:r>
        <w:rPr>
          <w:rFonts w:hint="eastAsia" w:ascii="宋体" w:hAnsi="宋体" w:cs="宋体"/>
          <w:b/>
          <w:bCs/>
          <w:color w:val="auto"/>
          <w:kern w:val="0"/>
          <w:sz w:val="24"/>
          <w:szCs w:val="24"/>
          <w:highlight w:val="none"/>
          <w:lang w:val="en-US" w:eastAsia="zh-CN" w:bidi="ar"/>
        </w:rPr>
        <w:t>7.3配送</w:t>
      </w:r>
      <w:r>
        <w:rPr>
          <w:rFonts w:hint="eastAsia" w:ascii="宋体" w:hAnsi="宋体" w:cs="宋体"/>
          <w:b/>
          <w:bCs/>
          <w:color w:val="auto"/>
          <w:kern w:val="0"/>
          <w:sz w:val="24"/>
          <w:szCs w:val="24"/>
          <w:highlight w:val="none"/>
          <w:lang w:val="zh-CN" w:eastAsia="zh-CN" w:bidi="ar"/>
        </w:rPr>
        <w:t>场所</w:t>
      </w:r>
      <w:r>
        <w:rPr>
          <w:rFonts w:hint="eastAsia" w:ascii="宋体" w:hAnsi="宋体" w:cs="宋体"/>
          <w:b/>
          <w:bCs/>
          <w:color w:val="auto"/>
          <w:kern w:val="0"/>
          <w:sz w:val="24"/>
          <w:szCs w:val="24"/>
          <w:highlight w:val="none"/>
          <w:lang w:val="en-US" w:eastAsia="zh-CN" w:bidi="ar"/>
        </w:rPr>
        <w:t>证明材料（格式自拟，加盖投标人公章）</w:t>
      </w:r>
    </w:p>
    <w:p w14:paraId="69512F88">
      <w:pPr>
        <w:rPr>
          <w:rFonts w:hint="eastAsia"/>
          <w:color w:val="auto"/>
          <w:highlight w:val="none"/>
          <w:lang w:val="zh-CN"/>
        </w:rPr>
      </w:pPr>
    </w:p>
    <w:p w14:paraId="1439C55D">
      <w:pPr>
        <w:rPr>
          <w:rFonts w:hint="eastAsia"/>
          <w:color w:val="auto"/>
          <w:highlight w:val="none"/>
          <w:lang w:val="zh-CN"/>
        </w:rPr>
      </w:pPr>
    </w:p>
    <w:p w14:paraId="3F7CE26C">
      <w:pPr>
        <w:pStyle w:val="18"/>
        <w:rPr>
          <w:rFonts w:hint="eastAsia"/>
          <w:color w:val="auto"/>
          <w:highlight w:val="none"/>
          <w:lang w:val="zh-CN"/>
        </w:rPr>
      </w:pPr>
    </w:p>
    <w:p w14:paraId="400D4468">
      <w:pPr>
        <w:rPr>
          <w:rFonts w:hint="eastAsia"/>
          <w:color w:val="auto"/>
          <w:highlight w:val="none"/>
          <w:lang w:val="zh-CN"/>
        </w:rPr>
      </w:pPr>
    </w:p>
    <w:p w14:paraId="62F58559">
      <w:pPr>
        <w:pStyle w:val="18"/>
        <w:rPr>
          <w:rFonts w:hint="eastAsia"/>
          <w:color w:val="auto"/>
          <w:highlight w:val="none"/>
          <w:lang w:val="zh-CN"/>
        </w:rPr>
      </w:pPr>
    </w:p>
    <w:p w14:paraId="7F01EA4A">
      <w:pPr>
        <w:rPr>
          <w:rFonts w:hint="eastAsia"/>
          <w:color w:val="auto"/>
          <w:highlight w:val="none"/>
          <w:lang w:val="zh-CN"/>
        </w:rPr>
      </w:pPr>
    </w:p>
    <w:p w14:paraId="2400AF4A">
      <w:pPr>
        <w:pStyle w:val="18"/>
        <w:rPr>
          <w:rFonts w:hint="eastAsia"/>
          <w:color w:val="auto"/>
          <w:highlight w:val="none"/>
          <w:lang w:val="zh-CN"/>
        </w:rPr>
      </w:pPr>
    </w:p>
    <w:p w14:paraId="509A1368">
      <w:pPr>
        <w:rPr>
          <w:rFonts w:hint="eastAsia"/>
          <w:color w:val="auto"/>
          <w:highlight w:val="none"/>
          <w:lang w:val="zh-CN"/>
        </w:rPr>
      </w:pPr>
    </w:p>
    <w:p w14:paraId="085384EF">
      <w:pPr>
        <w:pStyle w:val="18"/>
        <w:rPr>
          <w:rFonts w:hint="eastAsia"/>
          <w:color w:val="auto"/>
          <w:highlight w:val="none"/>
          <w:lang w:val="zh-CN"/>
        </w:rPr>
      </w:pPr>
    </w:p>
    <w:p w14:paraId="37ADD3A1">
      <w:pPr>
        <w:rPr>
          <w:rFonts w:hint="eastAsia"/>
          <w:color w:val="auto"/>
          <w:highlight w:val="none"/>
          <w:lang w:val="zh-CN"/>
        </w:rPr>
      </w:pPr>
    </w:p>
    <w:p w14:paraId="548FA77A">
      <w:pPr>
        <w:pStyle w:val="18"/>
        <w:rPr>
          <w:rFonts w:hint="eastAsia"/>
          <w:color w:val="auto"/>
          <w:highlight w:val="none"/>
          <w:lang w:val="zh-CN"/>
        </w:rPr>
      </w:pPr>
    </w:p>
    <w:p w14:paraId="660AA392">
      <w:pPr>
        <w:rPr>
          <w:rFonts w:hint="eastAsia"/>
          <w:color w:val="auto"/>
          <w:highlight w:val="none"/>
          <w:lang w:val="zh-CN"/>
        </w:rPr>
      </w:pPr>
    </w:p>
    <w:p w14:paraId="3532FFCC">
      <w:pPr>
        <w:pStyle w:val="18"/>
        <w:rPr>
          <w:rFonts w:hint="eastAsia"/>
          <w:color w:val="auto"/>
          <w:highlight w:val="none"/>
          <w:lang w:val="zh-CN"/>
        </w:rPr>
      </w:pPr>
    </w:p>
    <w:p w14:paraId="49E50C9D">
      <w:pPr>
        <w:rPr>
          <w:rFonts w:hint="eastAsia"/>
          <w:color w:val="auto"/>
          <w:highlight w:val="none"/>
          <w:lang w:val="zh-CN"/>
        </w:rPr>
      </w:pPr>
    </w:p>
    <w:p w14:paraId="68949E6D">
      <w:pPr>
        <w:pStyle w:val="18"/>
        <w:rPr>
          <w:rFonts w:hint="eastAsia"/>
          <w:color w:val="auto"/>
          <w:highlight w:val="none"/>
          <w:lang w:val="zh-CN"/>
        </w:rPr>
      </w:pPr>
    </w:p>
    <w:p w14:paraId="3D58256C">
      <w:pPr>
        <w:rPr>
          <w:rFonts w:hint="eastAsia"/>
          <w:color w:val="auto"/>
          <w:highlight w:val="none"/>
          <w:lang w:val="zh-CN"/>
        </w:rPr>
      </w:pPr>
    </w:p>
    <w:p w14:paraId="00593467">
      <w:pPr>
        <w:pStyle w:val="18"/>
        <w:rPr>
          <w:rFonts w:hint="eastAsia"/>
          <w:color w:val="auto"/>
          <w:highlight w:val="none"/>
          <w:lang w:val="zh-CN"/>
        </w:rPr>
      </w:pPr>
    </w:p>
    <w:p w14:paraId="2282F840">
      <w:pPr>
        <w:rPr>
          <w:rFonts w:hint="eastAsia"/>
          <w:color w:val="auto"/>
          <w:highlight w:val="none"/>
          <w:lang w:val="zh-CN"/>
        </w:rPr>
      </w:pPr>
    </w:p>
    <w:p w14:paraId="0E2A1DA9">
      <w:pPr>
        <w:pStyle w:val="18"/>
        <w:rPr>
          <w:rFonts w:hint="eastAsia"/>
          <w:color w:val="auto"/>
          <w:highlight w:val="none"/>
          <w:lang w:val="zh-CN"/>
        </w:rPr>
      </w:pPr>
    </w:p>
    <w:p w14:paraId="3417C0C9">
      <w:pPr>
        <w:rPr>
          <w:rFonts w:hint="eastAsia"/>
          <w:color w:val="auto"/>
          <w:highlight w:val="none"/>
          <w:lang w:val="zh-CN"/>
        </w:rPr>
      </w:pPr>
    </w:p>
    <w:p w14:paraId="5923A0BF">
      <w:pPr>
        <w:pStyle w:val="18"/>
        <w:rPr>
          <w:rFonts w:hint="eastAsia"/>
          <w:color w:val="auto"/>
          <w:highlight w:val="none"/>
          <w:lang w:val="zh-CN"/>
        </w:rPr>
      </w:pPr>
    </w:p>
    <w:p w14:paraId="32D28DD9">
      <w:pPr>
        <w:rPr>
          <w:rFonts w:hint="eastAsia"/>
          <w:color w:val="auto"/>
          <w:highlight w:val="none"/>
          <w:lang w:val="zh-CN"/>
        </w:rPr>
      </w:pPr>
    </w:p>
    <w:p w14:paraId="0FB20FB7">
      <w:pPr>
        <w:rPr>
          <w:rFonts w:hint="eastAsia"/>
          <w:color w:val="auto"/>
          <w:highlight w:val="none"/>
          <w:lang w:val="zh-CN"/>
        </w:rPr>
      </w:pPr>
    </w:p>
    <w:p w14:paraId="731D2340">
      <w:pPr>
        <w:pStyle w:val="18"/>
        <w:rPr>
          <w:rFonts w:hint="eastAsia"/>
          <w:color w:val="auto"/>
          <w:highlight w:val="none"/>
          <w:lang w:val="zh-CN"/>
        </w:rPr>
      </w:pPr>
    </w:p>
    <w:p w14:paraId="68BC7480">
      <w:pPr>
        <w:rPr>
          <w:rFonts w:hint="eastAsia"/>
          <w:color w:val="auto"/>
          <w:highlight w:val="none"/>
          <w:lang w:val="zh-CN"/>
        </w:rPr>
      </w:pPr>
    </w:p>
    <w:p w14:paraId="1D3403CF">
      <w:pPr>
        <w:pStyle w:val="18"/>
        <w:rPr>
          <w:rFonts w:hint="eastAsia"/>
          <w:color w:val="auto"/>
          <w:highlight w:val="none"/>
          <w:lang w:val="zh-CN"/>
        </w:rPr>
      </w:pPr>
      <w:r>
        <w:rPr>
          <w:rFonts w:hint="eastAsia" w:ascii="宋体" w:hAnsi="宋体" w:cs="宋体"/>
          <w:b/>
          <w:bCs/>
          <w:color w:val="auto"/>
          <w:kern w:val="0"/>
          <w:sz w:val="24"/>
          <w:szCs w:val="24"/>
          <w:highlight w:val="none"/>
          <w:lang w:val="en-US" w:eastAsia="zh-CN" w:bidi="ar"/>
        </w:rPr>
        <w:t>7.4投标人2022年1月1日以来类似食品供应服务的业绩（格式）</w:t>
      </w:r>
    </w:p>
    <w:p w14:paraId="58A6F2CB">
      <w:pPr>
        <w:pStyle w:val="18"/>
        <w:rPr>
          <w:rFonts w:hint="eastAsia"/>
          <w:color w:val="auto"/>
          <w:highlight w:val="none"/>
          <w:lang w:val="zh-CN"/>
        </w:rPr>
      </w:pPr>
    </w:p>
    <w:p w14:paraId="74501891">
      <w:pPr>
        <w:jc w:val="center"/>
        <w:rPr>
          <w:rFonts w:hint="default"/>
          <w:color w:val="auto"/>
          <w:highlight w:val="none"/>
          <w:lang w:val="en-US"/>
        </w:rPr>
      </w:pPr>
      <w:r>
        <w:rPr>
          <w:rFonts w:hint="eastAsia" w:ascii="宋体" w:hAnsi="宋体" w:cs="宋体"/>
          <w:b/>
          <w:bCs/>
          <w:color w:val="auto"/>
          <w:kern w:val="0"/>
          <w:sz w:val="24"/>
          <w:szCs w:val="24"/>
          <w:highlight w:val="none"/>
          <w:lang w:val="en-US" w:eastAsia="zh-CN" w:bidi="ar"/>
        </w:rPr>
        <w:t>投标人2022年1月1日以来类似食品供应服务的业绩一览表</w:t>
      </w:r>
    </w:p>
    <w:p w14:paraId="5B41B4B2">
      <w:pPr>
        <w:pStyle w:val="18"/>
        <w:rPr>
          <w:rFonts w:hint="eastAsia"/>
          <w:color w:val="auto"/>
          <w:highlight w:val="none"/>
          <w:lang w:val="zh-CN"/>
        </w:rPr>
      </w:pPr>
    </w:p>
    <w:tbl>
      <w:tblPr>
        <w:tblStyle w:val="28"/>
        <w:tblW w:w="97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693"/>
        <w:gridCol w:w="2059"/>
        <w:gridCol w:w="3155"/>
        <w:gridCol w:w="2084"/>
      </w:tblGrid>
      <w:tr w14:paraId="04AC7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748" w:type="dxa"/>
            <w:noWrap w:val="0"/>
            <w:vAlign w:val="center"/>
          </w:tcPr>
          <w:p w14:paraId="7D9D230C">
            <w:pPr>
              <w:keepNext w:val="0"/>
              <w:keepLines w:val="0"/>
              <w:widowControl/>
              <w:suppressLineNumbers w:val="0"/>
              <w:jc w:val="center"/>
              <w:rPr>
                <w:rFonts w:hint="eastAsia"/>
                <w:color w:val="auto"/>
                <w:sz w:val="28"/>
                <w:szCs w:val="36"/>
                <w:highlight w:val="none"/>
                <w:vertAlign w:val="baseline"/>
                <w:lang w:val="zh-CN"/>
              </w:rPr>
            </w:pPr>
            <w:r>
              <w:rPr>
                <w:rFonts w:hint="eastAsia" w:ascii="宋体" w:hAnsi="宋体" w:eastAsia="宋体" w:cs="宋体"/>
                <w:color w:val="auto"/>
                <w:kern w:val="0"/>
                <w:sz w:val="24"/>
                <w:szCs w:val="24"/>
                <w:highlight w:val="none"/>
                <w:lang w:val="en-US" w:eastAsia="zh-CN" w:bidi="ar"/>
              </w:rPr>
              <w:t>序号</w:t>
            </w:r>
          </w:p>
        </w:tc>
        <w:tc>
          <w:tcPr>
            <w:tcW w:w="1693" w:type="dxa"/>
            <w:noWrap w:val="0"/>
            <w:vAlign w:val="center"/>
          </w:tcPr>
          <w:p w14:paraId="144150EF">
            <w:pPr>
              <w:keepNext w:val="0"/>
              <w:keepLines w:val="0"/>
              <w:widowControl/>
              <w:suppressLineNumbers w:val="0"/>
              <w:jc w:val="center"/>
              <w:rPr>
                <w:rFonts w:hint="eastAsia"/>
                <w:color w:val="auto"/>
                <w:sz w:val="28"/>
                <w:szCs w:val="36"/>
                <w:highlight w:val="none"/>
                <w:vertAlign w:val="baseline"/>
                <w:lang w:val="zh-CN"/>
              </w:rPr>
            </w:pPr>
            <w:r>
              <w:rPr>
                <w:rFonts w:hint="eastAsia" w:ascii="宋体" w:hAnsi="宋体" w:cs="宋体"/>
                <w:color w:val="auto"/>
                <w:kern w:val="0"/>
                <w:sz w:val="24"/>
                <w:szCs w:val="24"/>
                <w:highlight w:val="none"/>
                <w:lang w:val="en-US" w:eastAsia="zh-CN" w:bidi="ar"/>
              </w:rPr>
              <w:t>采购单位</w:t>
            </w:r>
            <w:r>
              <w:rPr>
                <w:rFonts w:hint="eastAsia" w:ascii="宋体" w:hAnsi="宋体" w:eastAsia="宋体" w:cs="宋体"/>
                <w:color w:val="auto"/>
                <w:kern w:val="0"/>
                <w:sz w:val="24"/>
                <w:szCs w:val="24"/>
                <w:highlight w:val="none"/>
                <w:lang w:val="en-US" w:eastAsia="zh-CN" w:bidi="ar"/>
              </w:rPr>
              <w:t>名称</w:t>
            </w:r>
          </w:p>
        </w:tc>
        <w:tc>
          <w:tcPr>
            <w:tcW w:w="2059" w:type="dxa"/>
            <w:noWrap w:val="0"/>
            <w:vAlign w:val="center"/>
          </w:tcPr>
          <w:p w14:paraId="515C919D">
            <w:pPr>
              <w:keepNext w:val="0"/>
              <w:keepLines w:val="0"/>
              <w:widowControl/>
              <w:suppressLineNumbers w:val="0"/>
              <w:jc w:val="center"/>
              <w:rPr>
                <w:rFonts w:hint="eastAsia"/>
                <w:color w:val="auto"/>
                <w:sz w:val="28"/>
                <w:szCs w:val="36"/>
                <w:highlight w:val="none"/>
                <w:vertAlign w:val="baseline"/>
                <w:lang w:val="zh-CN"/>
              </w:rPr>
            </w:pPr>
            <w:r>
              <w:rPr>
                <w:rFonts w:hint="eastAsia" w:ascii="宋体" w:hAnsi="宋体" w:cs="宋体"/>
                <w:color w:val="auto"/>
                <w:kern w:val="0"/>
                <w:sz w:val="24"/>
                <w:szCs w:val="24"/>
                <w:highlight w:val="none"/>
                <w:lang w:val="en-US" w:eastAsia="zh-CN" w:bidi="ar"/>
              </w:rPr>
              <w:t>项目名称</w:t>
            </w:r>
          </w:p>
        </w:tc>
        <w:tc>
          <w:tcPr>
            <w:tcW w:w="3155" w:type="dxa"/>
            <w:noWrap w:val="0"/>
            <w:vAlign w:val="center"/>
          </w:tcPr>
          <w:p w14:paraId="0AE9D4A4">
            <w:pPr>
              <w:keepNext w:val="0"/>
              <w:keepLines w:val="0"/>
              <w:widowControl/>
              <w:suppressLineNumbers w:val="0"/>
              <w:jc w:val="center"/>
              <w:rPr>
                <w:rFonts w:hint="default"/>
                <w:color w:val="auto"/>
                <w:sz w:val="28"/>
                <w:szCs w:val="36"/>
                <w:highlight w:val="none"/>
                <w:vertAlign w:val="baseline"/>
                <w:lang w:val="en-US"/>
              </w:rPr>
            </w:pPr>
            <w:r>
              <w:rPr>
                <w:rFonts w:hint="eastAsia" w:ascii="宋体" w:hAnsi="宋体" w:cs="宋体"/>
                <w:color w:val="auto"/>
                <w:kern w:val="0"/>
                <w:sz w:val="24"/>
                <w:szCs w:val="24"/>
                <w:highlight w:val="none"/>
                <w:lang w:val="en-US" w:eastAsia="zh-CN" w:bidi="ar"/>
              </w:rPr>
              <w:t>合同履行期限</w:t>
            </w:r>
          </w:p>
        </w:tc>
        <w:tc>
          <w:tcPr>
            <w:tcW w:w="2084" w:type="dxa"/>
            <w:noWrap w:val="0"/>
            <w:vAlign w:val="center"/>
          </w:tcPr>
          <w:p w14:paraId="5D21D14E">
            <w:pPr>
              <w:keepNext w:val="0"/>
              <w:keepLines w:val="0"/>
              <w:widowControl/>
              <w:suppressLineNumbers w:val="0"/>
              <w:jc w:val="center"/>
              <w:rPr>
                <w:rFonts w:hint="default"/>
                <w:color w:val="auto"/>
                <w:sz w:val="28"/>
                <w:szCs w:val="36"/>
                <w:highlight w:val="none"/>
                <w:vertAlign w:val="baseline"/>
                <w:lang w:val="en-US"/>
              </w:rPr>
            </w:pPr>
            <w:r>
              <w:rPr>
                <w:rFonts w:hint="eastAsia" w:ascii="宋体" w:hAnsi="宋体" w:cs="宋体"/>
                <w:color w:val="auto"/>
                <w:kern w:val="0"/>
                <w:sz w:val="24"/>
                <w:szCs w:val="24"/>
                <w:highlight w:val="none"/>
                <w:lang w:val="en-US" w:eastAsia="zh-CN" w:bidi="ar"/>
              </w:rPr>
              <w:t>合同金额（万元）</w:t>
            </w:r>
          </w:p>
        </w:tc>
      </w:tr>
      <w:tr w14:paraId="214BB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748" w:type="dxa"/>
            <w:noWrap w:val="0"/>
            <w:vAlign w:val="center"/>
          </w:tcPr>
          <w:p w14:paraId="3F81781F">
            <w:pPr>
              <w:keepNext w:val="0"/>
              <w:keepLines w:val="0"/>
              <w:widowControl/>
              <w:suppressLineNumbers w:val="0"/>
              <w:jc w:val="center"/>
              <w:rPr>
                <w:rFonts w:hint="eastAsia" w:eastAsia="宋体"/>
                <w:color w:val="auto"/>
                <w:sz w:val="28"/>
                <w:szCs w:val="36"/>
                <w:highlight w:val="none"/>
                <w:vertAlign w:val="baseline"/>
                <w:lang w:val="en-US" w:eastAsia="zh-CN"/>
              </w:rPr>
            </w:pPr>
            <w:r>
              <w:rPr>
                <w:rFonts w:hint="eastAsia"/>
                <w:color w:val="auto"/>
                <w:sz w:val="28"/>
                <w:szCs w:val="36"/>
                <w:highlight w:val="none"/>
                <w:vertAlign w:val="baseline"/>
                <w:lang w:val="en-US" w:eastAsia="zh-CN"/>
              </w:rPr>
              <w:t>1</w:t>
            </w:r>
          </w:p>
        </w:tc>
        <w:tc>
          <w:tcPr>
            <w:tcW w:w="1693" w:type="dxa"/>
            <w:noWrap w:val="0"/>
            <w:vAlign w:val="center"/>
          </w:tcPr>
          <w:p w14:paraId="0EE7AB67">
            <w:pPr>
              <w:keepNext w:val="0"/>
              <w:keepLines w:val="0"/>
              <w:widowControl/>
              <w:suppressLineNumbers w:val="0"/>
              <w:jc w:val="center"/>
              <w:rPr>
                <w:rFonts w:hint="eastAsia"/>
                <w:color w:val="auto"/>
                <w:sz w:val="28"/>
                <w:szCs w:val="36"/>
                <w:highlight w:val="none"/>
                <w:vertAlign w:val="baseline"/>
                <w:lang w:val="zh-CN"/>
              </w:rPr>
            </w:pPr>
          </w:p>
        </w:tc>
        <w:tc>
          <w:tcPr>
            <w:tcW w:w="2059" w:type="dxa"/>
            <w:noWrap w:val="0"/>
            <w:vAlign w:val="center"/>
          </w:tcPr>
          <w:p w14:paraId="2C2EE198">
            <w:pPr>
              <w:keepNext w:val="0"/>
              <w:keepLines w:val="0"/>
              <w:widowControl/>
              <w:suppressLineNumbers w:val="0"/>
              <w:jc w:val="center"/>
              <w:rPr>
                <w:rFonts w:hint="eastAsia"/>
                <w:color w:val="auto"/>
                <w:sz w:val="28"/>
                <w:szCs w:val="36"/>
                <w:highlight w:val="none"/>
                <w:vertAlign w:val="baseline"/>
                <w:lang w:val="zh-CN"/>
              </w:rPr>
            </w:pPr>
          </w:p>
        </w:tc>
        <w:tc>
          <w:tcPr>
            <w:tcW w:w="3155" w:type="dxa"/>
            <w:noWrap w:val="0"/>
            <w:vAlign w:val="center"/>
          </w:tcPr>
          <w:p w14:paraId="4089D67F">
            <w:pPr>
              <w:keepNext w:val="0"/>
              <w:keepLines w:val="0"/>
              <w:widowControl/>
              <w:suppressLineNumbers w:val="0"/>
              <w:jc w:val="right"/>
              <w:rPr>
                <w:rFonts w:hint="default" w:eastAsia="宋体"/>
                <w:color w:val="auto"/>
                <w:sz w:val="28"/>
                <w:szCs w:val="36"/>
                <w:highlight w:val="none"/>
                <w:vertAlign w:val="baseline"/>
                <w:lang w:val="en-US" w:eastAsia="zh-CN"/>
              </w:rPr>
            </w:pPr>
            <w:r>
              <w:rPr>
                <w:rFonts w:hint="eastAsia"/>
                <w:color w:val="auto"/>
                <w:sz w:val="22"/>
                <w:szCs w:val="28"/>
                <w:highlight w:val="none"/>
                <w:vertAlign w:val="baseline"/>
                <w:lang w:val="en-US" w:eastAsia="zh-CN"/>
              </w:rPr>
              <w:t xml:space="preserve"> 年  月  日至  年  月  日</w:t>
            </w:r>
          </w:p>
        </w:tc>
        <w:tc>
          <w:tcPr>
            <w:tcW w:w="2084" w:type="dxa"/>
            <w:noWrap w:val="0"/>
            <w:vAlign w:val="center"/>
          </w:tcPr>
          <w:p w14:paraId="7E86D0D9">
            <w:pPr>
              <w:keepNext w:val="0"/>
              <w:keepLines w:val="0"/>
              <w:widowControl/>
              <w:suppressLineNumbers w:val="0"/>
              <w:jc w:val="center"/>
              <w:rPr>
                <w:rFonts w:hint="eastAsia"/>
                <w:color w:val="auto"/>
                <w:sz w:val="28"/>
                <w:szCs w:val="36"/>
                <w:highlight w:val="none"/>
                <w:vertAlign w:val="baseline"/>
                <w:lang w:val="zh-CN"/>
              </w:rPr>
            </w:pPr>
          </w:p>
        </w:tc>
      </w:tr>
      <w:tr w14:paraId="20369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748" w:type="dxa"/>
            <w:noWrap w:val="0"/>
            <w:vAlign w:val="center"/>
          </w:tcPr>
          <w:p w14:paraId="53E98ACF">
            <w:pPr>
              <w:keepNext w:val="0"/>
              <w:keepLines w:val="0"/>
              <w:widowControl/>
              <w:suppressLineNumbers w:val="0"/>
              <w:jc w:val="center"/>
              <w:rPr>
                <w:rFonts w:hint="eastAsia" w:eastAsia="宋体"/>
                <w:color w:val="auto"/>
                <w:sz w:val="28"/>
                <w:szCs w:val="36"/>
                <w:highlight w:val="none"/>
                <w:vertAlign w:val="baseline"/>
                <w:lang w:val="en-US" w:eastAsia="zh-CN"/>
              </w:rPr>
            </w:pPr>
            <w:r>
              <w:rPr>
                <w:rFonts w:hint="eastAsia"/>
                <w:color w:val="auto"/>
                <w:sz w:val="28"/>
                <w:szCs w:val="36"/>
                <w:highlight w:val="none"/>
                <w:vertAlign w:val="baseline"/>
                <w:lang w:val="en-US" w:eastAsia="zh-CN"/>
              </w:rPr>
              <w:t>2</w:t>
            </w:r>
          </w:p>
        </w:tc>
        <w:tc>
          <w:tcPr>
            <w:tcW w:w="1693" w:type="dxa"/>
            <w:noWrap w:val="0"/>
            <w:vAlign w:val="center"/>
          </w:tcPr>
          <w:p w14:paraId="77954CC3">
            <w:pPr>
              <w:keepNext w:val="0"/>
              <w:keepLines w:val="0"/>
              <w:widowControl/>
              <w:suppressLineNumbers w:val="0"/>
              <w:jc w:val="center"/>
              <w:rPr>
                <w:rFonts w:hint="eastAsia"/>
                <w:color w:val="auto"/>
                <w:sz w:val="28"/>
                <w:szCs w:val="36"/>
                <w:highlight w:val="none"/>
                <w:vertAlign w:val="baseline"/>
                <w:lang w:val="zh-CN"/>
              </w:rPr>
            </w:pPr>
          </w:p>
        </w:tc>
        <w:tc>
          <w:tcPr>
            <w:tcW w:w="2059" w:type="dxa"/>
            <w:noWrap w:val="0"/>
            <w:vAlign w:val="center"/>
          </w:tcPr>
          <w:p w14:paraId="0726808D">
            <w:pPr>
              <w:keepNext w:val="0"/>
              <w:keepLines w:val="0"/>
              <w:widowControl/>
              <w:suppressLineNumbers w:val="0"/>
              <w:jc w:val="center"/>
              <w:rPr>
                <w:rFonts w:hint="eastAsia"/>
                <w:color w:val="auto"/>
                <w:sz w:val="28"/>
                <w:szCs w:val="36"/>
                <w:highlight w:val="none"/>
                <w:vertAlign w:val="baseline"/>
                <w:lang w:val="zh-CN"/>
              </w:rPr>
            </w:pPr>
          </w:p>
        </w:tc>
        <w:tc>
          <w:tcPr>
            <w:tcW w:w="3155" w:type="dxa"/>
            <w:noWrap w:val="0"/>
            <w:vAlign w:val="center"/>
          </w:tcPr>
          <w:p w14:paraId="0E28BDBF">
            <w:pPr>
              <w:keepNext w:val="0"/>
              <w:keepLines w:val="0"/>
              <w:widowControl/>
              <w:suppressLineNumbers w:val="0"/>
              <w:jc w:val="right"/>
              <w:rPr>
                <w:rFonts w:hint="eastAsia"/>
                <w:color w:val="auto"/>
                <w:sz w:val="28"/>
                <w:szCs w:val="36"/>
                <w:highlight w:val="none"/>
                <w:vertAlign w:val="baseline"/>
                <w:lang w:val="zh-CN"/>
              </w:rPr>
            </w:pPr>
            <w:r>
              <w:rPr>
                <w:rFonts w:hint="eastAsia"/>
                <w:color w:val="auto"/>
                <w:sz w:val="22"/>
                <w:szCs w:val="28"/>
                <w:highlight w:val="none"/>
                <w:vertAlign w:val="baseline"/>
                <w:lang w:val="en-US" w:eastAsia="zh-CN"/>
              </w:rPr>
              <w:t xml:space="preserve"> 年  月  日至  年  月  日</w:t>
            </w:r>
          </w:p>
        </w:tc>
        <w:tc>
          <w:tcPr>
            <w:tcW w:w="2084" w:type="dxa"/>
            <w:noWrap w:val="0"/>
            <w:vAlign w:val="center"/>
          </w:tcPr>
          <w:p w14:paraId="53F7141B">
            <w:pPr>
              <w:keepNext w:val="0"/>
              <w:keepLines w:val="0"/>
              <w:widowControl/>
              <w:suppressLineNumbers w:val="0"/>
              <w:jc w:val="center"/>
              <w:rPr>
                <w:rFonts w:hint="eastAsia"/>
                <w:color w:val="auto"/>
                <w:sz w:val="28"/>
                <w:szCs w:val="36"/>
                <w:highlight w:val="none"/>
                <w:vertAlign w:val="baseline"/>
                <w:lang w:val="zh-CN"/>
              </w:rPr>
            </w:pPr>
          </w:p>
        </w:tc>
      </w:tr>
      <w:tr w14:paraId="1BACE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748" w:type="dxa"/>
            <w:noWrap w:val="0"/>
            <w:vAlign w:val="center"/>
          </w:tcPr>
          <w:p w14:paraId="6A23031F">
            <w:pPr>
              <w:keepNext w:val="0"/>
              <w:keepLines w:val="0"/>
              <w:widowControl/>
              <w:suppressLineNumbers w:val="0"/>
              <w:jc w:val="center"/>
              <w:rPr>
                <w:rFonts w:hint="eastAsia" w:eastAsia="宋体"/>
                <w:color w:val="auto"/>
                <w:sz w:val="28"/>
                <w:szCs w:val="36"/>
                <w:highlight w:val="none"/>
                <w:vertAlign w:val="baseline"/>
                <w:lang w:val="en-US" w:eastAsia="zh-CN"/>
              </w:rPr>
            </w:pPr>
            <w:r>
              <w:rPr>
                <w:rFonts w:hint="eastAsia"/>
                <w:color w:val="auto"/>
                <w:sz w:val="28"/>
                <w:szCs w:val="36"/>
                <w:highlight w:val="none"/>
                <w:vertAlign w:val="baseline"/>
                <w:lang w:val="en-US" w:eastAsia="zh-CN"/>
              </w:rPr>
              <w:t>3</w:t>
            </w:r>
          </w:p>
        </w:tc>
        <w:tc>
          <w:tcPr>
            <w:tcW w:w="1693" w:type="dxa"/>
            <w:noWrap w:val="0"/>
            <w:vAlign w:val="center"/>
          </w:tcPr>
          <w:p w14:paraId="54618FBD">
            <w:pPr>
              <w:keepNext w:val="0"/>
              <w:keepLines w:val="0"/>
              <w:widowControl/>
              <w:suppressLineNumbers w:val="0"/>
              <w:jc w:val="center"/>
              <w:rPr>
                <w:rFonts w:hint="eastAsia"/>
                <w:color w:val="auto"/>
                <w:sz w:val="28"/>
                <w:szCs w:val="36"/>
                <w:highlight w:val="none"/>
                <w:vertAlign w:val="baseline"/>
                <w:lang w:val="zh-CN"/>
              </w:rPr>
            </w:pPr>
          </w:p>
        </w:tc>
        <w:tc>
          <w:tcPr>
            <w:tcW w:w="2059" w:type="dxa"/>
            <w:noWrap w:val="0"/>
            <w:vAlign w:val="center"/>
          </w:tcPr>
          <w:p w14:paraId="2DFCCE49">
            <w:pPr>
              <w:keepNext w:val="0"/>
              <w:keepLines w:val="0"/>
              <w:widowControl/>
              <w:suppressLineNumbers w:val="0"/>
              <w:jc w:val="center"/>
              <w:rPr>
                <w:rFonts w:hint="eastAsia"/>
                <w:color w:val="auto"/>
                <w:sz w:val="28"/>
                <w:szCs w:val="36"/>
                <w:highlight w:val="none"/>
                <w:vertAlign w:val="baseline"/>
                <w:lang w:val="zh-CN"/>
              </w:rPr>
            </w:pPr>
          </w:p>
        </w:tc>
        <w:tc>
          <w:tcPr>
            <w:tcW w:w="3155" w:type="dxa"/>
            <w:noWrap w:val="0"/>
            <w:vAlign w:val="center"/>
          </w:tcPr>
          <w:p w14:paraId="69EA13EE">
            <w:pPr>
              <w:keepNext w:val="0"/>
              <w:keepLines w:val="0"/>
              <w:widowControl/>
              <w:suppressLineNumbers w:val="0"/>
              <w:jc w:val="right"/>
              <w:rPr>
                <w:rFonts w:hint="eastAsia"/>
                <w:color w:val="auto"/>
                <w:sz w:val="28"/>
                <w:szCs w:val="36"/>
                <w:highlight w:val="none"/>
                <w:vertAlign w:val="baseline"/>
                <w:lang w:val="zh-CN"/>
              </w:rPr>
            </w:pPr>
            <w:r>
              <w:rPr>
                <w:rFonts w:hint="eastAsia"/>
                <w:color w:val="auto"/>
                <w:sz w:val="22"/>
                <w:szCs w:val="28"/>
                <w:highlight w:val="none"/>
                <w:vertAlign w:val="baseline"/>
                <w:lang w:val="en-US" w:eastAsia="zh-CN"/>
              </w:rPr>
              <w:t xml:space="preserve"> 年  月  日至  年  月  日</w:t>
            </w:r>
          </w:p>
        </w:tc>
        <w:tc>
          <w:tcPr>
            <w:tcW w:w="2084" w:type="dxa"/>
            <w:noWrap w:val="0"/>
            <w:vAlign w:val="center"/>
          </w:tcPr>
          <w:p w14:paraId="50ACF55D">
            <w:pPr>
              <w:keepNext w:val="0"/>
              <w:keepLines w:val="0"/>
              <w:widowControl/>
              <w:suppressLineNumbers w:val="0"/>
              <w:jc w:val="center"/>
              <w:rPr>
                <w:rFonts w:hint="eastAsia"/>
                <w:color w:val="auto"/>
                <w:sz w:val="28"/>
                <w:szCs w:val="36"/>
                <w:highlight w:val="none"/>
                <w:vertAlign w:val="baseline"/>
                <w:lang w:val="zh-CN"/>
              </w:rPr>
            </w:pPr>
          </w:p>
        </w:tc>
      </w:tr>
      <w:tr w14:paraId="64D17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748" w:type="dxa"/>
            <w:noWrap w:val="0"/>
            <w:vAlign w:val="center"/>
          </w:tcPr>
          <w:p w14:paraId="22B8AADD">
            <w:pPr>
              <w:keepNext w:val="0"/>
              <w:keepLines w:val="0"/>
              <w:widowControl/>
              <w:suppressLineNumbers w:val="0"/>
              <w:jc w:val="center"/>
              <w:rPr>
                <w:rFonts w:hint="default"/>
                <w:color w:val="auto"/>
                <w:sz w:val="28"/>
                <w:szCs w:val="36"/>
                <w:highlight w:val="none"/>
                <w:vertAlign w:val="baseline"/>
                <w:lang w:val="en-US" w:eastAsia="zh-CN"/>
              </w:rPr>
            </w:pPr>
            <w:r>
              <w:rPr>
                <w:rFonts w:hint="eastAsia"/>
                <w:color w:val="auto"/>
                <w:sz w:val="28"/>
                <w:szCs w:val="36"/>
                <w:highlight w:val="none"/>
                <w:vertAlign w:val="baseline"/>
                <w:lang w:val="en-US" w:eastAsia="zh-CN"/>
              </w:rPr>
              <w:t>4</w:t>
            </w:r>
          </w:p>
        </w:tc>
        <w:tc>
          <w:tcPr>
            <w:tcW w:w="1693" w:type="dxa"/>
            <w:noWrap w:val="0"/>
            <w:vAlign w:val="center"/>
          </w:tcPr>
          <w:p w14:paraId="6120B0E0">
            <w:pPr>
              <w:keepNext w:val="0"/>
              <w:keepLines w:val="0"/>
              <w:widowControl/>
              <w:suppressLineNumbers w:val="0"/>
              <w:jc w:val="center"/>
              <w:rPr>
                <w:rFonts w:hint="eastAsia"/>
                <w:color w:val="auto"/>
                <w:sz w:val="28"/>
                <w:szCs w:val="36"/>
                <w:highlight w:val="none"/>
                <w:vertAlign w:val="baseline"/>
                <w:lang w:val="zh-CN"/>
              </w:rPr>
            </w:pPr>
          </w:p>
        </w:tc>
        <w:tc>
          <w:tcPr>
            <w:tcW w:w="2059" w:type="dxa"/>
            <w:noWrap w:val="0"/>
            <w:vAlign w:val="center"/>
          </w:tcPr>
          <w:p w14:paraId="09CCCF88">
            <w:pPr>
              <w:keepNext w:val="0"/>
              <w:keepLines w:val="0"/>
              <w:widowControl/>
              <w:suppressLineNumbers w:val="0"/>
              <w:jc w:val="center"/>
              <w:rPr>
                <w:rFonts w:hint="eastAsia"/>
                <w:color w:val="auto"/>
                <w:sz w:val="28"/>
                <w:szCs w:val="36"/>
                <w:highlight w:val="none"/>
                <w:vertAlign w:val="baseline"/>
                <w:lang w:val="zh-CN"/>
              </w:rPr>
            </w:pPr>
          </w:p>
        </w:tc>
        <w:tc>
          <w:tcPr>
            <w:tcW w:w="3155" w:type="dxa"/>
            <w:noWrap w:val="0"/>
            <w:vAlign w:val="center"/>
          </w:tcPr>
          <w:p w14:paraId="1009CCE7">
            <w:pPr>
              <w:keepNext w:val="0"/>
              <w:keepLines w:val="0"/>
              <w:widowControl/>
              <w:suppressLineNumbers w:val="0"/>
              <w:jc w:val="right"/>
              <w:rPr>
                <w:rFonts w:hint="eastAsia"/>
                <w:color w:val="auto"/>
                <w:sz w:val="28"/>
                <w:szCs w:val="36"/>
                <w:highlight w:val="none"/>
                <w:vertAlign w:val="baseline"/>
                <w:lang w:val="zh-CN"/>
              </w:rPr>
            </w:pPr>
            <w:r>
              <w:rPr>
                <w:rFonts w:hint="eastAsia"/>
                <w:color w:val="auto"/>
                <w:sz w:val="22"/>
                <w:szCs w:val="28"/>
                <w:highlight w:val="none"/>
                <w:vertAlign w:val="baseline"/>
                <w:lang w:val="en-US" w:eastAsia="zh-CN"/>
              </w:rPr>
              <w:t xml:space="preserve"> 年  月  日至  年  月  日</w:t>
            </w:r>
          </w:p>
        </w:tc>
        <w:tc>
          <w:tcPr>
            <w:tcW w:w="2084" w:type="dxa"/>
            <w:noWrap w:val="0"/>
            <w:vAlign w:val="center"/>
          </w:tcPr>
          <w:p w14:paraId="5A680092">
            <w:pPr>
              <w:keepNext w:val="0"/>
              <w:keepLines w:val="0"/>
              <w:widowControl/>
              <w:suppressLineNumbers w:val="0"/>
              <w:jc w:val="center"/>
              <w:rPr>
                <w:rFonts w:hint="eastAsia"/>
                <w:color w:val="auto"/>
                <w:sz w:val="28"/>
                <w:szCs w:val="36"/>
                <w:highlight w:val="none"/>
                <w:vertAlign w:val="baseline"/>
                <w:lang w:val="zh-CN"/>
              </w:rPr>
            </w:pPr>
          </w:p>
        </w:tc>
      </w:tr>
      <w:tr w14:paraId="4B9EE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748" w:type="dxa"/>
            <w:noWrap w:val="0"/>
            <w:vAlign w:val="center"/>
          </w:tcPr>
          <w:p w14:paraId="575BB067">
            <w:pPr>
              <w:keepNext w:val="0"/>
              <w:keepLines w:val="0"/>
              <w:widowControl/>
              <w:suppressLineNumbers w:val="0"/>
              <w:jc w:val="center"/>
              <w:rPr>
                <w:rFonts w:hint="default"/>
                <w:color w:val="auto"/>
                <w:sz w:val="28"/>
                <w:szCs w:val="36"/>
                <w:highlight w:val="none"/>
                <w:vertAlign w:val="baseline"/>
                <w:lang w:val="en-US" w:eastAsia="zh-CN"/>
              </w:rPr>
            </w:pPr>
            <w:r>
              <w:rPr>
                <w:rFonts w:hint="eastAsia"/>
                <w:color w:val="auto"/>
                <w:sz w:val="28"/>
                <w:szCs w:val="36"/>
                <w:highlight w:val="none"/>
                <w:vertAlign w:val="baseline"/>
                <w:lang w:val="en-US" w:eastAsia="zh-CN"/>
              </w:rPr>
              <w:t>5</w:t>
            </w:r>
          </w:p>
        </w:tc>
        <w:tc>
          <w:tcPr>
            <w:tcW w:w="1693" w:type="dxa"/>
            <w:noWrap w:val="0"/>
            <w:vAlign w:val="center"/>
          </w:tcPr>
          <w:p w14:paraId="5A06B7C3">
            <w:pPr>
              <w:keepNext w:val="0"/>
              <w:keepLines w:val="0"/>
              <w:widowControl/>
              <w:suppressLineNumbers w:val="0"/>
              <w:jc w:val="center"/>
              <w:rPr>
                <w:rFonts w:hint="eastAsia"/>
                <w:color w:val="auto"/>
                <w:sz w:val="28"/>
                <w:szCs w:val="36"/>
                <w:highlight w:val="none"/>
                <w:vertAlign w:val="baseline"/>
                <w:lang w:val="zh-CN"/>
              </w:rPr>
            </w:pPr>
          </w:p>
        </w:tc>
        <w:tc>
          <w:tcPr>
            <w:tcW w:w="2059" w:type="dxa"/>
            <w:noWrap w:val="0"/>
            <w:vAlign w:val="center"/>
          </w:tcPr>
          <w:p w14:paraId="605B4D8A">
            <w:pPr>
              <w:keepNext w:val="0"/>
              <w:keepLines w:val="0"/>
              <w:widowControl/>
              <w:suppressLineNumbers w:val="0"/>
              <w:jc w:val="center"/>
              <w:rPr>
                <w:rFonts w:hint="eastAsia"/>
                <w:color w:val="auto"/>
                <w:sz w:val="28"/>
                <w:szCs w:val="36"/>
                <w:highlight w:val="none"/>
                <w:vertAlign w:val="baseline"/>
                <w:lang w:val="zh-CN"/>
              </w:rPr>
            </w:pPr>
          </w:p>
        </w:tc>
        <w:tc>
          <w:tcPr>
            <w:tcW w:w="3155" w:type="dxa"/>
            <w:noWrap w:val="0"/>
            <w:vAlign w:val="center"/>
          </w:tcPr>
          <w:p w14:paraId="76EF94C2">
            <w:pPr>
              <w:keepNext w:val="0"/>
              <w:keepLines w:val="0"/>
              <w:widowControl/>
              <w:suppressLineNumbers w:val="0"/>
              <w:jc w:val="right"/>
              <w:rPr>
                <w:rFonts w:hint="eastAsia"/>
                <w:color w:val="auto"/>
                <w:sz w:val="28"/>
                <w:szCs w:val="36"/>
                <w:highlight w:val="none"/>
                <w:vertAlign w:val="baseline"/>
                <w:lang w:val="zh-CN"/>
              </w:rPr>
            </w:pPr>
            <w:r>
              <w:rPr>
                <w:rFonts w:hint="eastAsia"/>
                <w:color w:val="auto"/>
                <w:sz w:val="22"/>
                <w:szCs w:val="28"/>
                <w:highlight w:val="none"/>
                <w:vertAlign w:val="baseline"/>
                <w:lang w:val="en-US" w:eastAsia="zh-CN"/>
              </w:rPr>
              <w:t xml:space="preserve"> 年  月  日至  年  月  日</w:t>
            </w:r>
          </w:p>
        </w:tc>
        <w:tc>
          <w:tcPr>
            <w:tcW w:w="2084" w:type="dxa"/>
            <w:noWrap w:val="0"/>
            <w:vAlign w:val="center"/>
          </w:tcPr>
          <w:p w14:paraId="4996B28F">
            <w:pPr>
              <w:keepNext w:val="0"/>
              <w:keepLines w:val="0"/>
              <w:widowControl/>
              <w:suppressLineNumbers w:val="0"/>
              <w:jc w:val="center"/>
              <w:rPr>
                <w:rFonts w:hint="eastAsia"/>
                <w:color w:val="auto"/>
                <w:sz w:val="28"/>
                <w:szCs w:val="36"/>
                <w:highlight w:val="none"/>
                <w:vertAlign w:val="baseline"/>
                <w:lang w:val="zh-CN"/>
              </w:rPr>
            </w:pPr>
          </w:p>
        </w:tc>
      </w:tr>
      <w:tr w14:paraId="2E61C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748" w:type="dxa"/>
            <w:noWrap w:val="0"/>
            <w:vAlign w:val="center"/>
          </w:tcPr>
          <w:p w14:paraId="1E758E53">
            <w:pPr>
              <w:keepNext w:val="0"/>
              <w:keepLines w:val="0"/>
              <w:widowControl/>
              <w:suppressLineNumbers w:val="0"/>
              <w:jc w:val="center"/>
              <w:rPr>
                <w:rFonts w:hint="default"/>
                <w:color w:val="auto"/>
                <w:sz w:val="28"/>
                <w:szCs w:val="36"/>
                <w:highlight w:val="none"/>
                <w:vertAlign w:val="baseline"/>
                <w:lang w:val="en-US" w:eastAsia="zh-CN"/>
              </w:rPr>
            </w:pPr>
          </w:p>
        </w:tc>
        <w:tc>
          <w:tcPr>
            <w:tcW w:w="1693" w:type="dxa"/>
            <w:noWrap w:val="0"/>
            <w:vAlign w:val="center"/>
          </w:tcPr>
          <w:p w14:paraId="0A8EC8FC">
            <w:pPr>
              <w:keepNext w:val="0"/>
              <w:keepLines w:val="0"/>
              <w:widowControl/>
              <w:suppressLineNumbers w:val="0"/>
              <w:jc w:val="center"/>
              <w:rPr>
                <w:rFonts w:hint="eastAsia"/>
                <w:color w:val="auto"/>
                <w:sz w:val="28"/>
                <w:szCs w:val="36"/>
                <w:highlight w:val="none"/>
                <w:vertAlign w:val="baseline"/>
                <w:lang w:val="zh-CN"/>
              </w:rPr>
            </w:pPr>
          </w:p>
        </w:tc>
        <w:tc>
          <w:tcPr>
            <w:tcW w:w="2059" w:type="dxa"/>
            <w:noWrap w:val="0"/>
            <w:vAlign w:val="center"/>
          </w:tcPr>
          <w:p w14:paraId="4B11D3E1">
            <w:pPr>
              <w:keepNext w:val="0"/>
              <w:keepLines w:val="0"/>
              <w:widowControl/>
              <w:suppressLineNumbers w:val="0"/>
              <w:jc w:val="center"/>
              <w:rPr>
                <w:rFonts w:hint="eastAsia"/>
                <w:color w:val="auto"/>
                <w:sz w:val="28"/>
                <w:szCs w:val="36"/>
                <w:highlight w:val="none"/>
                <w:vertAlign w:val="baseline"/>
                <w:lang w:val="zh-CN"/>
              </w:rPr>
            </w:pPr>
          </w:p>
        </w:tc>
        <w:tc>
          <w:tcPr>
            <w:tcW w:w="3155" w:type="dxa"/>
            <w:noWrap w:val="0"/>
            <w:vAlign w:val="center"/>
          </w:tcPr>
          <w:p w14:paraId="5E6DD894">
            <w:pPr>
              <w:keepNext w:val="0"/>
              <w:keepLines w:val="0"/>
              <w:widowControl/>
              <w:suppressLineNumbers w:val="0"/>
              <w:jc w:val="right"/>
              <w:rPr>
                <w:rFonts w:hint="eastAsia"/>
                <w:color w:val="auto"/>
                <w:sz w:val="28"/>
                <w:szCs w:val="36"/>
                <w:highlight w:val="none"/>
                <w:vertAlign w:val="baseline"/>
                <w:lang w:val="zh-CN"/>
              </w:rPr>
            </w:pPr>
            <w:r>
              <w:rPr>
                <w:rFonts w:hint="eastAsia"/>
                <w:color w:val="auto"/>
                <w:sz w:val="22"/>
                <w:szCs w:val="28"/>
                <w:highlight w:val="none"/>
                <w:vertAlign w:val="baseline"/>
                <w:lang w:val="en-US" w:eastAsia="zh-CN"/>
              </w:rPr>
              <w:t xml:space="preserve"> 年  月  日至  年  月  日</w:t>
            </w:r>
          </w:p>
        </w:tc>
        <w:tc>
          <w:tcPr>
            <w:tcW w:w="2084" w:type="dxa"/>
            <w:noWrap w:val="0"/>
            <w:vAlign w:val="center"/>
          </w:tcPr>
          <w:p w14:paraId="73B987AA">
            <w:pPr>
              <w:keepNext w:val="0"/>
              <w:keepLines w:val="0"/>
              <w:widowControl/>
              <w:suppressLineNumbers w:val="0"/>
              <w:jc w:val="center"/>
              <w:rPr>
                <w:rFonts w:hint="eastAsia"/>
                <w:color w:val="auto"/>
                <w:sz w:val="28"/>
                <w:szCs w:val="36"/>
                <w:highlight w:val="none"/>
                <w:vertAlign w:val="baseline"/>
                <w:lang w:val="zh-CN"/>
              </w:rPr>
            </w:pPr>
          </w:p>
        </w:tc>
      </w:tr>
      <w:tr w14:paraId="51079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48" w:type="dxa"/>
            <w:noWrap w:val="0"/>
            <w:vAlign w:val="center"/>
          </w:tcPr>
          <w:p w14:paraId="7145D0CD">
            <w:pPr>
              <w:keepNext w:val="0"/>
              <w:keepLines w:val="0"/>
              <w:widowControl/>
              <w:suppressLineNumbers w:val="0"/>
              <w:jc w:val="center"/>
              <w:rPr>
                <w:rFonts w:hint="default"/>
                <w:color w:val="auto"/>
                <w:sz w:val="28"/>
                <w:szCs w:val="36"/>
                <w:highlight w:val="none"/>
                <w:vertAlign w:val="baseline"/>
                <w:lang w:val="en-US" w:eastAsia="zh-CN"/>
              </w:rPr>
            </w:pPr>
            <w:r>
              <w:rPr>
                <w:rFonts w:hint="eastAsia"/>
                <w:color w:val="auto"/>
                <w:sz w:val="28"/>
                <w:szCs w:val="36"/>
                <w:highlight w:val="none"/>
                <w:vertAlign w:val="baseline"/>
                <w:lang w:val="en-US" w:eastAsia="zh-CN"/>
              </w:rPr>
              <w:t>...</w:t>
            </w:r>
          </w:p>
        </w:tc>
        <w:tc>
          <w:tcPr>
            <w:tcW w:w="1693" w:type="dxa"/>
            <w:noWrap w:val="0"/>
            <w:vAlign w:val="center"/>
          </w:tcPr>
          <w:p w14:paraId="50AD3E74">
            <w:pPr>
              <w:keepNext w:val="0"/>
              <w:keepLines w:val="0"/>
              <w:widowControl/>
              <w:suppressLineNumbers w:val="0"/>
              <w:jc w:val="center"/>
              <w:rPr>
                <w:rFonts w:hint="eastAsia"/>
                <w:color w:val="auto"/>
                <w:sz w:val="28"/>
                <w:szCs w:val="36"/>
                <w:highlight w:val="none"/>
                <w:vertAlign w:val="baseline"/>
                <w:lang w:val="zh-CN"/>
              </w:rPr>
            </w:pPr>
          </w:p>
        </w:tc>
        <w:tc>
          <w:tcPr>
            <w:tcW w:w="2059" w:type="dxa"/>
            <w:noWrap w:val="0"/>
            <w:vAlign w:val="center"/>
          </w:tcPr>
          <w:p w14:paraId="78CF9968">
            <w:pPr>
              <w:keepNext w:val="0"/>
              <w:keepLines w:val="0"/>
              <w:widowControl/>
              <w:suppressLineNumbers w:val="0"/>
              <w:jc w:val="center"/>
              <w:rPr>
                <w:rFonts w:hint="eastAsia"/>
                <w:color w:val="auto"/>
                <w:sz w:val="28"/>
                <w:szCs w:val="36"/>
                <w:highlight w:val="none"/>
                <w:vertAlign w:val="baseline"/>
                <w:lang w:val="zh-CN"/>
              </w:rPr>
            </w:pPr>
          </w:p>
        </w:tc>
        <w:tc>
          <w:tcPr>
            <w:tcW w:w="3155" w:type="dxa"/>
            <w:noWrap w:val="0"/>
            <w:vAlign w:val="center"/>
          </w:tcPr>
          <w:p w14:paraId="2A6EBAFC">
            <w:pPr>
              <w:keepNext w:val="0"/>
              <w:keepLines w:val="0"/>
              <w:widowControl/>
              <w:suppressLineNumbers w:val="0"/>
              <w:jc w:val="right"/>
              <w:rPr>
                <w:rFonts w:hint="eastAsia"/>
                <w:color w:val="auto"/>
                <w:sz w:val="28"/>
                <w:szCs w:val="36"/>
                <w:highlight w:val="none"/>
                <w:vertAlign w:val="baseline"/>
                <w:lang w:val="zh-CN"/>
              </w:rPr>
            </w:pPr>
            <w:r>
              <w:rPr>
                <w:rFonts w:hint="eastAsia"/>
                <w:color w:val="auto"/>
                <w:sz w:val="22"/>
                <w:szCs w:val="28"/>
                <w:highlight w:val="none"/>
                <w:vertAlign w:val="baseline"/>
                <w:lang w:val="en-US" w:eastAsia="zh-CN"/>
              </w:rPr>
              <w:t xml:space="preserve"> 年  月  日至  年  月  日</w:t>
            </w:r>
          </w:p>
        </w:tc>
        <w:tc>
          <w:tcPr>
            <w:tcW w:w="2084" w:type="dxa"/>
            <w:noWrap w:val="0"/>
            <w:vAlign w:val="center"/>
          </w:tcPr>
          <w:p w14:paraId="2356182D">
            <w:pPr>
              <w:keepNext w:val="0"/>
              <w:keepLines w:val="0"/>
              <w:widowControl/>
              <w:suppressLineNumbers w:val="0"/>
              <w:jc w:val="center"/>
              <w:rPr>
                <w:rFonts w:hint="eastAsia"/>
                <w:color w:val="auto"/>
                <w:sz w:val="28"/>
                <w:szCs w:val="36"/>
                <w:highlight w:val="none"/>
                <w:vertAlign w:val="baseline"/>
                <w:lang w:val="zh-CN"/>
              </w:rPr>
            </w:pPr>
          </w:p>
        </w:tc>
      </w:tr>
    </w:tbl>
    <w:p w14:paraId="1A330D05">
      <w:pPr>
        <w:rPr>
          <w:rFonts w:hint="eastAsia"/>
          <w:color w:val="auto"/>
          <w:highlight w:val="none"/>
          <w:lang w:val="zh-CN"/>
        </w:rPr>
      </w:pPr>
    </w:p>
    <w:p w14:paraId="4B24BCCA">
      <w:pPr>
        <w:keepNext w:val="0"/>
        <w:keepLines w:val="0"/>
        <w:widowControl/>
        <w:suppressLineNumbers w:val="0"/>
        <w:jc w:val="left"/>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注：附</w:t>
      </w:r>
      <w:r>
        <w:rPr>
          <w:rFonts w:hint="eastAsia" w:ascii="宋体" w:hAnsi="宋体" w:cs="宋体"/>
          <w:color w:val="auto"/>
          <w:kern w:val="0"/>
          <w:sz w:val="20"/>
          <w:szCs w:val="20"/>
          <w:highlight w:val="none"/>
          <w:lang w:val="en-US" w:eastAsia="zh-CN" w:bidi="ar"/>
        </w:rPr>
        <w:t>相关证明材料</w:t>
      </w:r>
      <w:r>
        <w:rPr>
          <w:rFonts w:hint="eastAsia" w:ascii="宋体" w:hAnsi="宋体" w:eastAsia="宋体" w:cs="宋体"/>
          <w:color w:val="auto"/>
          <w:kern w:val="0"/>
          <w:sz w:val="20"/>
          <w:szCs w:val="20"/>
          <w:highlight w:val="none"/>
          <w:lang w:val="en-US" w:eastAsia="zh-CN" w:bidi="ar"/>
        </w:rPr>
        <w:t>复印件并加盖投标</w:t>
      </w:r>
      <w:r>
        <w:rPr>
          <w:rFonts w:hint="eastAsia" w:ascii="宋体" w:hAnsi="宋体" w:cs="宋体"/>
          <w:color w:val="auto"/>
          <w:kern w:val="0"/>
          <w:sz w:val="20"/>
          <w:szCs w:val="20"/>
          <w:highlight w:val="none"/>
          <w:lang w:val="en-US" w:eastAsia="zh-CN" w:bidi="ar"/>
        </w:rPr>
        <w:t>人公</w:t>
      </w:r>
      <w:r>
        <w:rPr>
          <w:rFonts w:hint="eastAsia" w:ascii="宋体" w:hAnsi="宋体" w:eastAsia="宋体" w:cs="宋体"/>
          <w:color w:val="auto"/>
          <w:kern w:val="0"/>
          <w:sz w:val="20"/>
          <w:szCs w:val="20"/>
          <w:highlight w:val="none"/>
          <w:lang w:val="en-US" w:eastAsia="zh-CN" w:bidi="ar"/>
        </w:rPr>
        <w:t>章。</w:t>
      </w:r>
    </w:p>
    <w:p w14:paraId="0DF4BCFA">
      <w:pPr>
        <w:rPr>
          <w:rFonts w:hint="eastAsia"/>
          <w:color w:val="auto"/>
          <w:highlight w:val="none"/>
          <w:lang w:val="zh-CN"/>
        </w:rPr>
      </w:pPr>
    </w:p>
    <w:p w14:paraId="3FFCDE72">
      <w:pPr>
        <w:pStyle w:val="18"/>
        <w:rPr>
          <w:rFonts w:hint="eastAsia"/>
          <w:color w:val="auto"/>
          <w:highlight w:val="none"/>
          <w:lang w:val="zh-CN"/>
        </w:rPr>
      </w:pPr>
    </w:p>
    <w:p w14:paraId="760F03CC">
      <w:pPr>
        <w:snapToGrid w:val="0"/>
        <w:spacing w:line="360" w:lineRule="auto"/>
        <w:ind w:firstLine="5640" w:firstLineChars="23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szCs w:val="24"/>
          <w:highlight w:val="none"/>
          <w:lang w:val="en-US" w:eastAsia="zh-CN" w:bidi="ar"/>
        </w:rPr>
        <w:t xml:space="preserve"> </w:t>
      </w:r>
      <w:r>
        <w:rPr>
          <w:rFonts w:hint="eastAsia" w:ascii="宋体" w:hAnsi="宋体" w:eastAsia="宋体" w:cs="宋体"/>
          <w:color w:val="auto"/>
          <w:szCs w:val="21"/>
          <w:highlight w:val="none"/>
        </w:rPr>
        <w:t xml:space="preserve"> </w:t>
      </w:r>
      <w:r>
        <w:rPr>
          <w:rFonts w:hint="eastAsia" w:ascii="宋体" w:hAnsi="宋体" w:eastAsia="宋体" w:cs="宋体"/>
          <w:color w:val="auto"/>
          <w:kern w:val="0"/>
          <w:sz w:val="24"/>
          <w:highlight w:val="none"/>
          <w:lang w:val="zh-CN"/>
        </w:rPr>
        <w:t>投标人名称(盖</w:t>
      </w:r>
      <w:r>
        <w:rPr>
          <w:rFonts w:hint="eastAsia" w:ascii="宋体" w:hAnsi="宋体" w:cs="宋体"/>
          <w:color w:val="auto"/>
          <w:kern w:val="0"/>
          <w:sz w:val="24"/>
          <w:highlight w:val="none"/>
          <w:lang w:val="en-US" w:eastAsia="zh-CN"/>
        </w:rPr>
        <w:t>单位</w:t>
      </w:r>
      <w:r>
        <w:rPr>
          <w:rFonts w:hint="eastAsia" w:ascii="宋体" w:hAnsi="宋体" w:eastAsia="宋体" w:cs="宋体"/>
          <w:color w:val="auto"/>
          <w:kern w:val="0"/>
          <w:sz w:val="24"/>
          <w:highlight w:val="none"/>
          <w:lang w:val="zh-CN"/>
        </w:rPr>
        <w:t>公章)：</w:t>
      </w:r>
    </w:p>
    <w:p w14:paraId="351B1AAB">
      <w:pPr>
        <w:pStyle w:val="18"/>
        <w:ind w:firstLine="960" w:firstLineChars="400"/>
        <w:rPr>
          <w:rFonts w:hint="eastAsia"/>
          <w:color w:val="auto"/>
          <w:highlight w:val="none"/>
        </w:rPr>
      </w:pPr>
      <w:r>
        <w:rPr>
          <w:rFonts w:hint="eastAsia" w:ascii="宋体" w:hAnsi="宋体" w:eastAsia="宋体" w:cs="宋体"/>
          <w:color w:val="auto"/>
          <w:kern w:val="0"/>
          <w:sz w:val="24"/>
          <w:szCs w:val="24"/>
          <w:highlight w:val="none"/>
          <w:lang w:val="zh-CN" w:eastAsia="zh-CN" w:bidi="ar-SA"/>
        </w:rPr>
        <w:t>法定代表人（或负责人）或者委托代理人（签字或者盖章或者电子签名）：</w:t>
      </w:r>
    </w:p>
    <w:p w14:paraId="294F6A8B">
      <w:pPr>
        <w:snapToGrid w:val="0"/>
        <w:spacing w:line="360" w:lineRule="auto"/>
        <w:ind w:firstLine="5880" w:firstLineChars="24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08DDC966">
      <w:pPr>
        <w:rPr>
          <w:rFonts w:hint="eastAsia"/>
          <w:color w:val="auto"/>
          <w:highlight w:val="none"/>
          <w:lang w:val="zh-CN"/>
        </w:rPr>
      </w:pPr>
    </w:p>
    <w:p w14:paraId="76888C6C">
      <w:pPr>
        <w:pStyle w:val="18"/>
        <w:rPr>
          <w:rFonts w:hint="eastAsia"/>
          <w:color w:val="auto"/>
          <w:highlight w:val="none"/>
          <w:lang w:val="zh-CN"/>
        </w:rPr>
      </w:pPr>
    </w:p>
    <w:p w14:paraId="02D4CB20">
      <w:pPr>
        <w:rPr>
          <w:rFonts w:hint="eastAsia"/>
          <w:color w:val="auto"/>
          <w:highlight w:val="none"/>
          <w:lang w:val="zh-CN"/>
        </w:rPr>
      </w:pPr>
    </w:p>
    <w:p w14:paraId="64FB7EFA">
      <w:pPr>
        <w:pStyle w:val="18"/>
        <w:rPr>
          <w:rFonts w:hint="eastAsia"/>
          <w:color w:val="auto"/>
          <w:highlight w:val="none"/>
          <w:lang w:val="zh-CN"/>
        </w:rPr>
      </w:pPr>
    </w:p>
    <w:p w14:paraId="0ED26FD1">
      <w:pPr>
        <w:rPr>
          <w:rFonts w:hint="eastAsia"/>
          <w:color w:val="auto"/>
          <w:highlight w:val="none"/>
          <w:lang w:val="zh-CN"/>
        </w:rPr>
      </w:pPr>
    </w:p>
    <w:p w14:paraId="17C14B08">
      <w:pPr>
        <w:pStyle w:val="18"/>
        <w:rPr>
          <w:rFonts w:hint="eastAsia"/>
          <w:color w:val="auto"/>
          <w:highlight w:val="none"/>
          <w:lang w:val="zh-CN"/>
        </w:rPr>
      </w:pPr>
    </w:p>
    <w:p w14:paraId="6EE7D5B4">
      <w:pPr>
        <w:rPr>
          <w:rFonts w:hint="eastAsia"/>
          <w:color w:val="auto"/>
          <w:highlight w:val="none"/>
          <w:lang w:val="zh-CN"/>
        </w:rPr>
      </w:pPr>
    </w:p>
    <w:p w14:paraId="05A8EE66">
      <w:pPr>
        <w:pStyle w:val="18"/>
        <w:rPr>
          <w:rFonts w:hint="eastAsia"/>
          <w:color w:val="auto"/>
          <w:highlight w:val="none"/>
          <w:lang w:val="zh-CN"/>
        </w:rPr>
      </w:pPr>
    </w:p>
    <w:p w14:paraId="255AF689">
      <w:pPr>
        <w:rPr>
          <w:rFonts w:hint="eastAsia"/>
          <w:color w:val="auto"/>
          <w:highlight w:val="none"/>
          <w:lang w:val="zh-CN"/>
        </w:rPr>
      </w:pPr>
    </w:p>
    <w:p w14:paraId="63BF8A09">
      <w:pPr>
        <w:pStyle w:val="18"/>
        <w:rPr>
          <w:rFonts w:hint="eastAsia"/>
          <w:color w:val="auto"/>
          <w:highlight w:val="none"/>
          <w:lang w:val="zh-CN"/>
        </w:rPr>
      </w:pPr>
    </w:p>
    <w:p w14:paraId="68CAFA60">
      <w:pPr>
        <w:rPr>
          <w:rFonts w:hint="eastAsia"/>
          <w:color w:val="auto"/>
          <w:highlight w:val="none"/>
          <w:lang w:val="zh-CN"/>
        </w:rPr>
      </w:pPr>
      <w:r>
        <w:rPr>
          <w:rFonts w:hint="eastAsia" w:ascii="宋体" w:hAnsi="宋体" w:cs="宋体"/>
          <w:b/>
          <w:bCs/>
          <w:color w:val="auto"/>
          <w:kern w:val="0"/>
          <w:sz w:val="24"/>
          <w:szCs w:val="24"/>
          <w:highlight w:val="none"/>
          <w:lang w:val="en-US" w:eastAsia="zh-CN" w:bidi="ar"/>
        </w:rPr>
        <w:t>7.5采购渠道正规合法及可追溯性证明材料（格式自拟，加盖投标人公章）</w:t>
      </w:r>
    </w:p>
    <w:p w14:paraId="75A70715">
      <w:pPr>
        <w:pStyle w:val="18"/>
        <w:rPr>
          <w:rFonts w:hint="eastAsia"/>
          <w:color w:val="auto"/>
          <w:highlight w:val="none"/>
          <w:lang w:val="zh-CN"/>
        </w:rPr>
      </w:pPr>
    </w:p>
    <w:p w14:paraId="62E570AB">
      <w:pPr>
        <w:rPr>
          <w:rFonts w:hint="eastAsia"/>
          <w:color w:val="auto"/>
          <w:highlight w:val="none"/>
          <w:lang w:val="zh-CN"/>
        </w:rPr>
      </w:pPr>
    </w:p>
    <w:p w14:paraId="15DC0369">
      <w:pPr>
        <w:widowControl/>
        <w:jc w:val="left"/>
        <w:rPr>
          <w:b/>
          <w:bCs/>
          <w:color w:val="auto"/>
          <w:sz w:val="30"/>
          <w:szCs w:val="30"/>
          <w:highlight w:val="none"/>
        </w:rPr>
        <w:sectPr>
          <w:pgSz w:w="11905" w:h="16838"/>
          <w:pgMar w:top="1134" w:right="1134" w:bottom="1134" w:left="1134" w:header="850" w:footer="850" w:gutter="0"/>
          <w:pgNumType w:fmt="decimal"/>
          <w:cols w:space="720" w:num="1"/>
          <w:titlePg/>
          <w:rtlGutter w:val="0"/>
          <w:docGrid w:linePitch="331" w:charSpace="0"/>
        </w:sectPr>
      </w:pPr>
    </w:p>
    <w:p w14:paraId="17440A7A">
      <w:pPr>
        <w:pStyle w:val="16"/>
        <w:jc w:val="center"/>
        <w:outlineLvl w:val="1"/>
        <w:rPr>
          <w:rFonts w:hint="eastAsia" w:hAnsi="宋体" w:eastAsia="宋体" w:cs="Times New Roman"/>
          <w:b/>
          <w:bCs/>
          <w:color w:val="auto"/>
          <w:sz w:val="28"/>
          <w:szCs w:val="28"/>
          <w:highlight w:val="none"/>
        </w:rPr>
      </w:pPr>
      <w:bookmarkStart w:id="370" w:name="_Toc23685"/>
      <w:bookmarkStart w:id="371" w:name="_Toc10435"/>
      <w:bookmarkStart w:id="372" w:name="_Toc10197"/>
      <w:bookmarkStart w:id="373" w:name="_Toc17437"/>
      <w:bookmarkStart w:id="374" w:name="_Toc24407"/>
      <w:bookmarkStart w:id="375" w:name="_Toc24098"/>
      <w:bookmarkStart w:id="376" w:name="_Toc27757"/>
      <w:bookmarkStart w:id="377" w:name="_Toc8889"/>
      <w:bookmarkStart w:id="378" w:name="_Toc1161"/>
      <w:bookmarkStart w:id="379" w:name="_Toc19686839"/>
      <w:bookmarkStart w:id="380" w:name="_Toc585"/>
      <w:r>
        <w:rPr>
          <w:rFonts w:hint="eastAsia" w:hAnsi="宋体" w:eastAsia="宋体" w:cs="Times New Roman"/>
          <w:b/>
          <w:bCs/>
          <w:color w:val="auto"/>
          <w:sz w:val="28"/>
          <w:szCs w:val="28"/>
          <w:highlight w:val="none"/>
        </w:rPr>
        <w:t>第</w:t>
      </w:r>
      <w:r>
        <w:rPr>
          <w:rFonts w:hint="eastAsia" w:hAnsi="宋体" w:cs="Times New Roman"/>
          <w:b/>
          <w:bCs/>
          <w:color w:val="auto"/>
          <w:sz w:val="28"/>
          <w:szCs w:val="28"/>
          <w:highlight w:val="none"/>
          <w:lang w:eastAsia="zh-CN"/>
        </w:rPr>
        <w:t>三</w:t>
      </w:r>
      <w:r>
        <w:rPr>
          <w:rFonts w:hint="eastAsia" w:hAnsi="宋体" w:eastAsia="宋体" w:cs="Times New Roman"/>
          <w:b/>
          <w:bCs/>
          <w:color w:val="auto"/>
          <w:sz w:val="28"/>
          <w:szCs w:val="28"/>
          <w:highlight w:val="none"/>
        </w:rPr>
        <w:t>节 技术文件格式</w:t>
      </w:r>
      <w:bookmarkEnd w:id="370"/>
      <w:bookmarkEnd w:id="371"/>
      <w:bookmarkEnd w:id="372"/>
      <w:bookmarkEnd w:id="373"/>
      <w:bookmarkEnd w:id="374"/>
      <w:bookmarkEnd w:id="375"/>
      <w:bookmarkEnd w:id="376"/>
      <w:bookmarkEnd w:id="377"/>
      <w:bookmarkEnd w:id="378"/>
      <w:bookmarkEnd w:id="379"/>
      <w:bookmarkEnd w:id="380"/>
    </w:p>
    <w:p w14:paraId="1A96924D">
      <w:pPr>
        <w:snapToGrid w:val="0"/>
        <w:spacing w:before="165" w:beforeLines="50" w:after="5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w:t>
      </w:r>
    </w:p>
    <w:p w14:paraId="0732B5FF">
      <w:pPr>
        <w:snapToGrid w:val="0"/>
        <w:spacing w:before="165" w:beforeLines="50" w:after="50"/>
        <w:rPr>
          <w:rFonts w:hint="eastAsia" w:ascii="宋体" w:hAnsi="宋体" w:eastAsia="宋体" w:cs="Times New Roman"/>
          <w:color w:val="auto"/>
          <w:sz w:val="24"/>
          <w:highlight w:val="none"/>
        </w:rPr>
      </w:pPr>
      <w:r>
        <w:rPr>
          <w:rFonts w:hint="eastAsia" w:ascii="宋体" w:hAnsi="宋体" w:eastAsia="宋体" w:cs="宋体"/>
          <w:b/>
          <w:color w:val="auto"/>
          <w:sz w:val="28"/>
          <w:szCs w:val="28"/>
          <w:highlight w:val="none"/>
        </w:rPr>
        <w:t>1. 技术文件封面</w:t>
      </w:r>
      <w:r>
        <w:rPr>
          <w:rFonts w:hint="eastAsia" w:ascii="宋体" w:hAnsi="宋体" w:cs="宋体"/>
          <w:b/>
          <w:color w:val="auto"/>
          <w:sz w:val="28"/>
          <w:szCs w:val="28"/>
          <w:highlight w:val="none"/>
          <w:lang w:eastAsia="zh-CN"/>
        </w:rPr>
        <w:t>的</w:t>
      </w:r>
      <w:r>
        <w:rPr>
          <w:rFonts w:hint="eastAsia" w:ascii="宋体" w:hAnsi="宋体" w:eastAsia="宋体" w:cs="宋体"/>
          <w:b/>
          <w:color w:val="auto"/>
          <w:sz w:val="28"/>
          <w:szCs w:val="28"/>
          <w:highlight w:val="none"/>
        </w:rPr>
        <w:t>格式（参照此格式自拟）：</w:t>
      </w:r>
    </w:p>
    <w:p w14:paraId="33274641">
      <w:pPr>
        <w:snapToGrid w:val="0"/>
        <w:spacing w:before="165" w:beforeLines="50" w:after="50"/>
        <w:ind w:firstLine="1200" w:firstLineChars="500"/>
        <w:rPr>
          <w:rFonts w:hint="eastAsia" w:ascii="宋体" w:hAnsi="宋体" w:eastAsia="宋体" w:cs="Times New Roman"/>
          <w:bCs/>
          <w:color w:val="auto"/>
          <w:sz w:val="32"/>
          <w:szCs w:val="20"/>
          <w:highlight w:val="none"/>
        </w:rPr>
      </w:pPr>
      <w:r>
        <w:rPr>
          <w:rFonts w:hint="eastAsia" w:ascii="宋体" w:hAnsi="宋体" w:eastAsia="宋体" w:cs="Times New Roman"/>
          <w:color w:val="auto"/>
          <w:sz w:val="24"/>
          <w:highlight w:val="none"/>
        </w:rPr>
        <w:t xml:space="preserve">                                         </w:t>
      </w:r>
      <w:r>
        <w:rPr>
          <w:rFonts w:hint="eastAsia" w:ascii="宋体" w:hAnsi="宋体" w:cs="Times New Roman"/>
          <w:color w:val="auto"/>
          <w:sz w:val="24"/>
          <w:highlight w:val="none"/>
          <w:lang w:val="en-US" w:eastAsia="zh-CN"/>
        </w:rPr>
        <w:t xml:space="preserve">        </w:t>
      </w:r>
      <w:r>
        <w:rPr>
          <w:rFonts w:hint="eastAsia" w:ascii="宋体" w:hAnsi="宋体" w:eastAsia="宋体" w:cs="Times New Roman"/>
          <w:color w:val="auto"/>
          <w:sz w:val="24"/>
          <w:highlight w:val="none"/>
        </w:rPr>
        <w:t xml:space="preserve"> </w:t>
      </w:r>
      <w:r>
        <w:rPr>
          <w:rFonts w:hint="eastAsia" w:ascii="宋体" w:hAnsi="宋体" w:eastAsia="宋体" w:cs="Times New Roman"/>
          <w:bCs/>
          <w:color w:val="auto"/>
          <w:highlight w:val="none"/>
        </w:rPr>
        <w:t>电子投标文件</w:t>
      </w:r>
    </w:p>
    <w:p w14:paraId="6E4AAB7C">
      <w:pPr>
        <w:snapToGrid w:val="0"/>
        <w:spacing w:before="165" w:beforeLines="50" w:after="50"/>
        <w:rPr>
          <w:rFonts w:hint="eastAsia" w:ascii="宋体" w:hAnsi="宋体" w:eastAsia="宋体" w:cs="Times New Roman"/>
          <w:color w:val="auto"/>
          <w:sz w:val="24"/>
          <w:szCs w:val="20"/>
          <w:highlight w:val="none"/>
        </w:rPr>
      </w:pPr>
    </w:p>
    <w:p w14:paraId="55408333">
      <w:pPr>
        <w:snapToGrid w:val="0"/>
        <w:spacing w:before="165" w:beforeLines="50" w:after="50"/>
        <w:jc w:val="center"/>
        <w:rPr>
          <w:rFonts w:hint="eastAsia" w:ascii="宋体" w:hAnsi="宋体" w:eastAsia="宋体" w:cs="Times New Roman"/>
          <w:b/>
          <w:bCs/>
          <w:color w:val="auto"/>
          <w:sz w:val="32"/>
          <w:szCs w:val="32"/>
          <w:highlight w:val="none"/>
        </w:rPr>
      </w:pPr>
    </w:p>
    <w:p w14:paraId="21A0A44A">
      <w:pPr>
        <w:snapToGrid w:val="0"/>
        <w:spacing w:before="165" w:beforeLines="50" w:after="50"/>
        <w:jc w:val="center"/>
        <w:rPr>
          <w:rFonts w:hint="eastAsia" w:ascii="宋体" w:hAnsi="宋体" w:eastAsia="宋体" w:cs="Times New Roman"/>
          <w:b/>
          <w:bCs/>
          <w:color w:val="auto"/>
          <w:sz w:val="32"/>
          <w:szCs w:val="32"/>
          <w:highlight w:val="none"/>
        </w:rPr>
      </w:pPr>
      <w:r>
        <w:rPr>
          <w:rFonts w:hint="eastAsia" w:ascii="宋体" w:hAnsi="宋体" w:eastAsia="宋体" w:cs="Times New Roman"/>
          <w:b/>
          <w:bCs/>
          <w:color w:val="auto"/>
          <w:sz w:val="32"/>
          <w:szCs w:val="32"/>
          <w:highlight w:val="none"/>
        </w:rPr>
        <w:t>技术文件</w:t>
      </w:r>
    </w:p>
    <w:p w14:paraId="203C4325">
      <w:pPr>
        <w:snapToGrid w:val="0"/>
        <w:spacing w:before="165" w:beforeLines="50" w:after="50"/>
        <w:rPr>
          <w:rFonts w:hint="eastAsia" w:ascii="宋体" w:hAnsi="宋体" w:eastAsia="宋体" w:cs="Times New Roman"/>
          <w:bCs/>
          <w:color w:val="auto"/>
          <w:sz w:val="24"/>
          <w:szCs w:val="20"/>
          <w:highlight w:val="none"/>
        </w:rPr>
      </w:pPr>
    </w:p>
    <w:p w14:paraId="02383F44">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 xml:space="preserve">项目名称： </w:t>
      </w:r>
    </w:p>
    <w:p w14:paraId="53F61006">
      <w:pPr>
        <w:snapToGrid w:val="0"/>
        <w:spacing w:before="165" w:beforeLines="50" w:after="50" w:line="400" w:lineRule="exact"/>
        <w:ind w:firstLine="360" w:firstLineChars="150"/>
        <w:rPr>
          <w:rFonts w:hint="eastAsia" w:ascii="宋体" w:hAnsi="宋体" w:eastAsia="宋体" w:cs="Times New Roman"/>
          <w:bCs/>
          <w:color w:val="auto"/>
          <w:sz w:val="24"/>
          <w:highlight w:val="none"/>
          <w:lang w:eastAsia="zh-CN"/>
        </w:rPr>
      </w:pPr>
      <w:r>
        <w:rPr>
          <w:rFonts w:hint="eastAsia" w:ascii="宋体" w:hAnsi="宋体" w:eastAsia="宋体" w:cs="Times New Roman"/>
          <w:bCs/>
          <w:color w:val="auto"/>
          <w:sz w:val="24"/>
          <w:highlight w:val="none"/>
        </w:rPr>
        <w:t xml:space="preserve">项目编号： </w:t>
      </w:r>
    </w:p>
    <w:p w14:paraId="0822EEEF">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所投分标（如有则填写，无分标时填写“无”或者留空）：</w:t>
      </w:r>
    </w:p>
    <w:p w14:paraId="0E4DE8A9">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投标人名称：</w:t>
      </w:r>
    </w:p>
    <w:p w14:paraId="12A3D887">
      <w:pPr>
        <w:snapToGrid w:val="0"/>
        <w:spacing w:before="165" w:beforeLines="50" w:after="50"/>
        <w:ind w:firstLine="645"/>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w:t>
      </w:r>
    </w:p>
    <w:p w14:paraId="31021298">
      <w:pPr>
        <w:snapToGrid w:val="0"/>
        <w:spacing w:before="165" w:beforeLines="50" w:after="50"/>
        <w:ind w:firstLine="645"/>
        <w:jc w:val="center"/>
        <w:rPr>
          <w:rFonts w:hint="eastAsia" w:ascii="宋体" w:hAnsi="宋体" w:eastAsia="宋体" w:cs="Times New Roman"/>
          <w:color w:val="auto"/>
          <w:sz w:val="24"/>
          <w:highlight w:val="none"/>
        </w:rPr>
      </w:pPr>
    </w:p>
    <w:p w14:paraId="4CCE77AF">
      <w:pPr>
        <w:snapToGrid w:val="0"/>
        <w:spacing w:before="165" w:beforeLines="50" w:after="50"/>
        <w:ind w:firstLine="645"/>
        <w:jc w:val="center"/>
        <w:rPr>
          <w:rFonts w:hint="eastAsia" w:ascii="宋体" w:hAnsi="宋体" w:eastAsia="宋体" w:cs="Times New Roman"/>
          <w:color w:val="auto"/>
          <w:sz w:val="24"/>
          <w:highlight w:val="none"/>
        </w:rPr>
      </w:pPr>
    </w:p>
    <w:p w14:paraId="0B099444">
      <w:pPr>
        <w:snapToGrid w:val="0"/>
        <w:spacing w:before="165" w:beforeLines="50" w:after="50"/>
        <w:ind w:firstLine="645"/>
        <w:jc w:val="center"/>
        <w:rPr>
          <w:rFonts w:hint="eastAsia" w:ascii="宋体" w:hAnsi="宋体" w:eastAsia="宋体" w:cs="Times New Roman"/>
          <w:color w:val="auto"/>
          <w:sz w:val="24"/>
          <w:highlight w:val="none"/>
        </w:rPr>
      </w:pPr>
    </w:p>
    <w:p w14:paraId="03297D18">
      <w:pPr>
        <w:snapToGrid w:val="0"/>
        <w:spacing w:before="165" w:beforeLines="50" w:after="50"/>
        <w:ind w:firstLine="645"/>
        <w:jc w:val="center"/>
        <w:rPr>
          <w:rFonts w:hint="eastAsia" w:ascii="宋体" w:hAnsi="宋体" w:eastAsia="宋体" w:cs="Times New Roman"/>
          <w:color w:val="auto"/>
          <w:sz w:val="24"/>
          <w:highlight w:val="none"/>
        </w:rPr>
      </w:pPr>
    </w:p>
    <w:p w14:paraId="5CC5902E">
      <w:pPr>
        <w:snapToGrid w:val="0"/>
        <w:spacing w:before="165" w:beforeLines="50" w:after="50"/>
        <w:ind w:firstLine="645"/>
        <w:jc w:val="center"/>
        <w:rPr>
          <w:rFonts w:hint="eastAsia" w:ascii="宋体" w:hAnsi="宋体" w:eastAsia="宋体" w:cs="Times New Roman"/>
          <w:color w:val="auto"/>
          <w:sz w:val="24"/>
          <w:highlight w:val="none"/>
        </w:rPr>
      </w:pPr>
    </w:p>
    <w:p w14:paraId="6CC2DC51">
      <w:pPr>
        <w:snapToGrid w:val="0"/>
        <w:spacing w:before="165" w:beforeLines="50" w:after="50"/>
        <w:ind w:firstLine="645"/>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年    月    日</w:t>
      </w:r>
    </w:p>
    <w:p w14:paraId="4961D49C">
      <w:pPr>
        <w:snapToGrid w:val="0"/>
        <w:spacing w:before="165" w:beforeLines="50" w:after="50"/>
        <w:ind w:firstLine="645"/>
        <w:jc w:val="center"/>
        <w:rPr>
          <w:rFonts w:hint="eastAsia" w:ascii="宋体" w:hAnsi="宋体" w:eastAsia="宋体" w:cs="Times New Roman"/>
          <w:color w:val="auto"/>
          <w:sz w:val="24"/>
          <w:szCs w:val="20"/>
          <w:highlight w:val="none"/>
        </w:rPr>
      </w:pPr>
    </w:p>
    <w:p w14:paraId="0A6D867B">
      <w:pPr>
        <w:jc w:val="center"/>
        <w:rPr>
          <w:rFonts w:hint="eastAsia" w:ascii="宋体" w:hAnsi="宋体" w:eastAsia="宋体" w:cs="Times New Roman"/>
          <w:b/>
          <w:bCs/>
          <w:color w:val="auto"/>
          <w:sz w:val="24"/>
          <w:highlight w:val="none"/>
        </w:rPr>
      </w:pPr>
      <w:r>
        <w:rPr>
          <w:rFonts w:hint="eastAsia" w:ascii="宋体" w:hAnsi="宋体" w:eastAsia="宋体" w:cs="Times New Roman"/>
          <w:b/>
          <w:bCs/>
          <w:color w:val="auto"/>
          <w:sz w:val="24"/>
          <w:highlight w:val="none"/>
        </w:rPr>
        <w:br w:type="page"/>
      </w:r>
    </w:p>
    <w:p w14:paraId="2325D49A">
      <w:pPr>
        <w:numPr>
          <w:ilvl w:val="0"/>
          <w:numId w:val="6"/>
        </w:numPr>
        <w:snapToGrid w:val="0"/>
        <w:spacing w:before="120" w:beforeLines="50" w:after="50"/>
        <w:ind w:left="142"/>
        <w:jc w:val="lef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技术文件目录</w:t>
      </w:r>
    </w:p>
    <w:p w14:paraId="4FCC3C24">
      <w:pPr>
        <w:snapToGrid w:val="0"/>
        <w:spacing w:before="120" w:beforeLines="50" w:after="50"/>
        <w:ind w:left="142" w:leftChars="0" w:firstLine="0" w:firstLineChars="0"/>
        <w:jc w:val="left"/>
        <w:rPr>
          <w:rFonts w:hint="eastAsia" w:ascii="宋体" w:hAnsi="宋体" w:eastAsia="宋体" w:cs="Times New Roman"/>
          <w:b/>
          <w:color w:val="auto"/>
          <w:sz w:val="24"/>
          <w:highlight w:val="none"/>
        </w:rPr>
      </w:pPr>
      <w:r>
        <w:rPr>
          <w:rFonts w:hint="eastAsia" w:ascii="宋体" w:hAnsi="宋体" w:eastAsia="宋体" w:cs="宋体"/>
          <w:color w:val="auto"/>
          <w:kern w:val="0"/>
          <w:sz w:val="24"/>
          <w:highlight w:val="none"/>
        </w:rPr>
        <w:t>根据招标文件规定及投标人提供的材料自行编写目录（部分格式后附）。</w:t>
      </w:r>
    </w:p>
    <w:p w14:paraId="1788D881">
      <w:pPr>
        <w:snapToGrid w:val="0"/>
        <w:spacing w:before="165" w:beforeLines="50" w:after="50"/>
        <w:ind w:left="0" w:leftChars="0" w:firstLine="0" w:firstLineChars="0"/>
        <w:jc w:val="left"/>
        <w:rPr>
          <w:rFonts w:hint="eastAsia" w:ascii="宋体" w:hAnsi="宋体" w:eastAsia="宋体" w:cs="Times New Roman"/>
          <w:b/>
          <w:color w:val="auto"/>
          <w:sz w:val="24"/>
          <w:highlight w:val="none"/>
        </w:rPr>
      </w:pPr>
      <w:r>
        <w:rPr>
          <w:rFonts w:hint="eastAsia" w:ascii="宋体" w:hAnsi="宋体" w:eastAsia="宋体" w:cs="Times New Roman"/>
          <w:b/>
          <w:color w:val="auto"/>
          <w:sz w:val="24"/>
          <w:highlight w:val="none"/>
        </w:rPr>
        <w:br w:type="page"/>
      </w:r>
      <w:r>
        <w:rPr>
          <w:rFonts w:hint="eastAsia" w:ascii="宋体" w:hAnsi="宋体" w:eastAsia="宋体" w:cs="Times New Roman"/>
          <w:b/>
          <w:color w:val="auto"/>
          <w:sz w:val="24"/>
          <w:highlight w:val="none"/>
        </w:rPr>
        <w:t xml:space="preserve"> </w:t>
      </w:r>
      <w:r>
        <w:rPr>
          <w:rFonts w:hint="eastAsia" w:ascii="宋体" w:hAnsi="宋体" w:eastAsia="宋体" w:cs="宋体"/>
          <w:b/>
          <w:color w:val="auto"/>
          <w:sz w:val="28"/>
          <w:szCs w:val="28"/>
          <w:highlight w:val="none"/>
          <w:lang w:val="en-US" w:eastAsia="zh-CN"/>
        </w:rPr>
        <w:t>3</w:t>
      </w:r>
      <w:r>
        <w:rPr>
          <w:rFonts w:hint="eastAsia" w:ascii="宋体" w:hAnsi="宋体" w:eastAsia="宋体" w:cs="宋体"/>
          <w:b/>
          <w:color w:val="auto"/>
          <w:sz w:val="28"/>
          <w:szCs w:val="28"/>
          <w:highlight w:val="none"/>
        </w:rPr>
        <w:t xml:space="preserve">. </w:t>
      </w:r>
      <w:r>
        <w:rPr>
          <w:rFonts w:hint="eastAsia" w:ascii="宋体" w:hAnsi="宋体" w:cs="宋体"/>
          <w:b/>
          <w:color w:val="auto"/>
          <w:sz w:val="28"/>
          <w:szCs w:val="28"/>
          <w:highlight w:val="none"/>
          <w:lang w:val="en-US" w:eastAsia="zh-CN"/>
        </w:rPr>
        <w:t>技术</w:t>
      </w:r>
      <w:r>
        <w:rPr>
          <w:rFonts w:hint="eastAsia" w:ascii="宋体" w:hAnsi="宋体" w:eastAsia="宋体" w:cs="宋体"/>
          <w:b/>
          <w:color w:val="auto"/>
          <w:sz w:val="28"/>
          <w:szCs w:val="28"/>
          <w:highlight w:val="none"/>
        </w:rPr>
        <w:t>要求偏离表</w:t>
      </w:r>
      <w:r>
        <w:rPr>
          <w:rFonts w:hint="eastAsia" w:hAnsi="宋体" w:cs="宋体"/>
          <w:b/>
          <w:color w:val="auto"/>
          <w:sz w:val="28"/>
          <w:szCs w:val="28"/>
          <w:highlight w:val="none"/>
          <w:lang w:eastAsia="zh-CN"/>
        </w:rPr>
        <w:t>的</w:t>
      </w:r>
      <w:r>
        <w:rPr>
          <w:rFonts w:hint="eastAsia" w:ascii="宋体" w:hAnsi="宋体" w:eastAsia="宋体" w:cs="宋体"/>
          <w:b/>
          <w:color w:val="auto"/>
          <w:sz w:val="28"/>
          <w:szCs w:val="28"/>
          <w:highlight w:val="none"/>
        </w:rPr>
        <w:t>格式</w:t>
      </w:r>
      <w:r>
        <w:rPr>
          <w:rFonts w:hint="eastAsia" w:hAnsi="宋体" w:cs="宋体"/>
          <w:b/>
          <w:color w:val="auto"/>
          <w:sz w:val="28"/>
          <w:szCs w:val="28"/>
          <w:highlight w:val="none"/>
          <w:lang w:eastAsia="zh-CN"/>
        </w:rPr>
        <w:t>：</w:t>
      </w:r>
    </w:p>
    <w:p w14:paraId="465B2545">
      <w:pPr>
        <w:pStyle w:val="16"/>
        <w:spacing w:line="500" w:lineRule="exact"/>
        <w:jc w:val="center"/>
        <w:rPr>
          <w:rFonts w:hint="eastAsia" w:ascii="Times New Roman" w:hAnsi="Times New Roman" w:eastAsia="宋体" w:cs="Times New Roman"/>
          <w:b/>
          <w:bCs/>
          <w:color w:val="auto"/>
          <w:sz w:val="30"/>
          <w:szCs w:val="30"/>
          <w:highlight w:val="none"/>
        </w:rPr>
      </w:pPr>
      <w:r>
        <w:rPr>
          <w:rFonts w:hint="eastAsia" w:ascii="Times New Roman" w:hAnsi="Times New Roman" w:cs="Times New Roman"/>
          <w:b/>
          <w:bCs/>
          <w:color w:val="auto"/>
          <w:sz w:val="30"/>
          <w:szCs w:val="30"/>
          <w:highlight w:val="none"/>
          <w:lang w:val="en-US" w:eastAsia="zh-CN"/>
        </w:rPr>
        <w:t>技术</w:t>
      </w:r>
      <w:r>
        <w:rPr>
          <w:rFonts w:hint="eastAsia" w:ascii="Times New Roman" w:hAnsi="Times New Roman" w:cs="Times New Roman"/>
          <w:b/>
          <w:bCs/>
          <w:color w:val="auto"/>
          <w:sz w:val="30"/>
          <w:szCs w:val="30"/>
          <w:highlight w:val="none"/>
          <w:lang w:eastAsia="zh-CN"/>
        </w:rPr>
        <w:t>要求</w:t>
      </w:r>
      <w:r>
        <w:rPr>
          <w:rFonts w:hint="eastAsia" w:ascii="Times New Roman" w:hAnsi="Times New Roman" w:eastAsia="宋体" w:cs="Times New Roman"/>
          <w:b/>
          <w:bCs/>
          <w:color w:val="auto"/>
          <w:sz w:val="30"/>
          <w:szCs w:val="30"/>
          <w:highlight w:val="none"/>
        </w:rPr>
        <w:t>偏离表</w:t>
      </w:r>
    </w:p>
    <w:p w14:paraId="082B52BE">
      <w:pPr>
        <w:pStyle w:val="16"/>
        <w:spacing w:line="440" w:lineRule="exact"/>
        <w:ind w:firstLine="420" w:firstLineChars="200"/>
        <w:rPr>
          <w:rFonts w:eastAsia="宋体" w:cs="Times New Roman"/>
          <w:color w:val="auto"/>
          <w:highlight w:val="none"/>
        </w:rPr>
      </w:pPr>
    </w:p>
    <w:p w14:paraId="1642082A">
      <w:pPr>
        <w:spacing w:line="360" w:lineRule="auto"/>
        <w:ind w:firstLine="0" w:firstLineChars="0"/>
        <w:contextualSpacing/>
        <w:rPr>
          <w:rFonts w:hint="eastAsia" w:ascii="宋体" w:hAnsi="宋体" w:cs="宋体"/>
          <w:color w:val="auto"/>
          <w:sz w:val="24"/>
          <w:highlight w:val="none"/>
          <w:u w:val="single"/>
        </w:rPr>
      </w:pPr>
      <w:r>
        <w:rPr>
          <w:rFonts w:hint="eastAsia" w:ascii="宋体" w:hAnsi="宋体" w:cs="宋体"/>
          <w:color w:val="auto"/>
          <w:sz w:val="24"/>
          <w:highlight w:val="none"/>
        </w:rPr>
        <w:t>项目</w:t>
      </w:r>
      <w:r>
        <w:rPr>
          <w:rFonts w:hint="eastAsia" w:hAnsi="宋体" w:cs="宋体"/>
          <w:color w:val="auto"/>
          <w:sz w:val="24"/>
          <w:highlight w:val="none"/>
        </w:rPr>
        <w:t>名称</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p>
    <w:p w14:paraId="70AD728D">
      <w:pPr>
        <w:pStyle w:val="16"/>
        <w:spacing w:line="600" w:lineRule="exact"/>
        <w:ind w:firstLine="0" w:firstLineChars="0"/>
        <w:rPr>
          <w:rFonts w:hint="eastAsia" w:hAnsi="宋体" w:cs="宋体"/>
          <w:color w:val="auto"/>
          <w:sz w:val="24"/>
          <w:highlight w:val="none"/>
          <w:u w:val="single"/>
        </w:rPr>
      </w:pPr>
      <w:r>
        <w:rPr>
          <w:rFonts w:hint="eastAsia" w:hAnsi="宋体" w:cs="宋体"/>
          <w:color w:val="auto"/>
          <w:sz w:val="24"/>
          <w:highlight w:val="none"/>
        </w:rPr>
        <w:t>项目</w:t>
      </w:r>
      <w:r>
        <w:rPr>
          <w:rFonts w:hint="eastAsia" w:ascii="宋体" w:hAnsi="宋体" w:cs="宋体"/>
          <w:color w:val="auto"/>
          <w:sz w:val="24"/>
          <w:highlight w:val="none"/>
        </w:rPr>
        <w:t>编号</w:t>
      </w:r>
      <w:r>
        <w:rPr>
          <w:rFonts w:hint="eastAsia" w:hAnsi="宋体" w:cs="宋体"/>
          <w:color w:val="auto"/>
          <w:sz w:val="24"/>
          <w:highlight w:val="none"/>
        </w:rPr>
        <w:t>：</w:t>
      </w:r>
      <w:r>
        <w:rPr>
          <w:rFonts w:hint="eastAsia" w:hAnsi="宋体" w:cs="宋体"/>
          <w:color w:val="auto"/>
          <w:sz w:val="24"/>
          <w:highlight w:val="none"/>
          <w:u w:val="single"/>
        </w:rPr>
        <w:t xml:space="preserve">                 </w:t>
      </w:r>
    </w:p>
    <w:p w14:paraId="280EAA37">
      <w:pPr>
        <w:pStyle w:val="8"/>
        <w:rPr>
          <w:rFonts w:hint="eastAsia"/>
          <w:color w:val="auto"/>
          <w:highlight w:val="none"/>
        </w:rPr>
      </w:pPr>
    </w:p>
    <w:p w14:paraId="38652E71">
      <w:pPr>
        <w:pStyle w:val="8"/>
        <w:ind w:left="0" w:firstLine="0" w:firstLineChars="0"/>
        <w:rPr>
          <w:rFonts w:hint="eastAsia" w:ascii="宋体" w:hAnsi="宋体" w:cs="宋体"/>
          <w:color w:val="auto"/>
          <w:sz w:val="24"/>
          <w:highlight w:val="none"/>
          <w:u w:val="single"/>
        </w:rPr>
      </w:pPr>
      <w:r>
        <w:rPr>
          <w:rFonts w:hint="eastAsia" w:hAnsi="宋体" w:cs="宋体"/>
          <w:color w:val="auto"/>
          <w:sz w:val="24"/>
          <w:szCs w:val="20"/>
          <w:highlight w:val="none"/>
          <w:lang w:eastAsia="zh-CN"/>
        </w:rPr>
        <w:t>所投</w:t>
      </w:r>
      <w:r>
        <w:rPr>
          <w:rFonts w:hint="eastAsia" w:ascii="宋体" w:hAnsi="宋体" w:cs="宋体"/>
          <w:color w:val="auto"/>
          <w:sz w:val="24"/>
          <w:szCs w:val="20"/>
          <w:highlight w:val="none"/>
        </w:rPr>
        <w:t>分标</w:t>
      </w:r>
      <w:r>
        <w:rPr>
          <w:rFonts w:hint="eastAsia" w:ascii="宋体" w:hAnsi="宋体" w:cs="宋体"/>
          <w:color w:val="auto"/>
          <w:sz w:val="21"/>
          <w:szCs w:val="21"/>
          <w:highlight w:val="none"/>
        </w:rPr>
        <w:t>（此处有分标时填写具体分标号，无分标时填写“无”）</w:t>
      </w:r>
      <w:r>
        <w:rPr>
          <w:rFonts w:hint="eastAsia" w:ascii="宋体" w:hAnsi="宋体" w:cs="宋体"/>
          <w:color w:val="auto"/>
          <w:sz w:val="24"/>
          <w:szCs w:val="24"/>
          <w:highlight w:val="none"/>
          <w:lang w:eastAsia="zh-CN"/>
        </w:rPr>
        <w:t>：</w:t>
      </w:r>
      <w:r>
        <w:rPr>
          <w:rFonts w:hint="eastAsia" w:ascii="宋体" w:hAnsi="宋体" w:cs="宋体"/>
          <w:color w:val="auto"/>
          <w:sz w:val="24"/>
          <w:highlight w:val="none"/>
          <w:u w:val="single"/>
        </w:rPr>
        <w:t xml:space="preserve">           </w:t>
      </w:r>
    </w:p>
    <w:p w14:paraId="2498437B">
      <w:pPr>
        <w:rPr>
          <w:rFonts w:hint="eastAsia"/>
          <w:color w:val="auto"/>
          <w:highlight w:val="none"/>
        </w:rPr>
      </w:pPr>
    </w:p>
    <w:tbl>
      <w:tblPr>
        <w:tblStyle w:val="27"/>
        <w:tblW w:w="10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1262"/>
        <w:gridCol w:w="3425"/>
        <w:gridCol w:w="3477"/>
        <w:gridCol w:w="1168"/>
      </w:tblGrid>
      <w:tr w14:paraId="5D965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1" w:hRule="atLeast"/>
          <w:jc w:val="center"/>
        </w:trPr>
        <w:tc>
          <w:tcPr>
            <w:tcW w:w="853" w:type="dxa"/>
            <w:tcBorders>
              <w:top w:val="single" w:color="auto" w:sz="4" w:space="0"/>
              <w:left w:val="single" w:color="auto" w:sz="4" w:space="0"/>
              <w:bottom w:val="single" w:color="auto" w:sz="4" w:space="0"/>
              <w:right w:val="single" w:color="auto" w:sz="4" w:space="0"/>
            </w:tcBorders>
            <w:noWrap w:val="0"/>
            <w:vAlign w:val="center"/>
          </w:tcPr>
          <w:p w14:paraId="7E9C8DB0">
            <w:pP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项号</w:t>
            </w:r>
          </w:p>
        </w:tc>
        <w:tc>
          <w:tcPr>
            <w:tcW w:w="1262" w:type="dxa"/>
            <w:tcBorders>
              <w:top w:val="single" w:color="auto" w:sz="4" w:space="0"/>
              <w:left w:val="single" w:color="auto" w:sz="4" w:space="0"/>
              <w:right w:val="single" w:color="auto" w:sz="4" w:space="0"/>
            </w:tcBorders>
            <w:noWrap w:val="0"/>
            <w:vAlign w:val="center"/>
          </w:tcPr>
          <w:p w14:paraId="4AC0A14C">
            <w:pPr>
              <w:jc w:val="center"/>
              <w:rPr>
                <w:rFonts w:hint="eastAsia" w:ascii="宋体" w:hAnsi="宋体" w:eastAsia="宋体" w:cs="Times New Roman"/>
                <w:color w:val="auto"/>
                <w:szCs w:val="21"/>
                <w:highlight w:val="none"/>
              </w:rPr>
            </w:pPr>
            <w:r>
              <w:rPr>
                <w:rFonts w:hint="eastAsia" w:ascii="宋体" w:hAnsi="宋体" w:cs="Times New Roman"/>
                <w:color w:val="auto"/>
                <w:szCs w:val="21"/>
                <w:highlight w:val="none"/>
                <w:lang w:eastAsia="zh-CN"/>
              </w:rPr>
              <w:t>标的</w:t>
            </w:r>
            <w:r>
              <w:rPr>
                <w:rFonts w:hint="eastAsia" w:ascii="宋体" w:hAnsi="宋体" w:eastAsia="宋体" w:cs="Times New Roman"/>
                <w:color w:val="auto"/>
                <w:szCs w:val="21"/>
                <w:highlight w:val="none"/>
              </w:rPr>
              <w:t>名称</w:t>
            </w:r>
          </w:p>
        </w:tc>
        <w:tc>
          <w:tcPr>
            <w:tcW w:w="3425" w:type="dxa"/>
            <w:tcBorders>
              <w:top w:val="single" w:color="auto" w:sz="4" w:space="0"/>
              <w:left w:val="single" w:color="auto" w:sz="4" w:space="0"/>
              <w:bottom w:val="single" w:color="auto" w:sz="4" w:space="0"/>
              <w:right w:val="single" w:color="auto" w:sz="4" w:space="0"/>
            </w:tcBorders>
            <w:noWrap w:val="0"/>
            <w:vAlign w:val="center"/>
          </w:tcPr>
          <w:p w14:paraId="20D5E6D1">
            <w:pPr>
              <w:jc w:val="center"/>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招标文件</w:t>
            </w:r>
            <w:r>
              <w:rPr>
                <w:rFonts w:hint="eastAsia" w:ascii="宋体" w:hAnsi="宋体" w:cs="Times New Roman"/>
                <w:color w:val="auto"/>
                <w:szCs w:val="21"/>
                <w:highlight w:val="none"/>
                <w:lang w:eastAsia="zh-CN"/>
              </w:rPr>
              <w:t>采购需求</w:t>
            </w:r>
            <w:r>
              <w:rPr>
                <w:rFonts w:hint="eastAsia" w:ascii="宋体" w:hAnsi="宋体" w:cs="Times New Roman"/>
                <w:color w:val="auto"/>
                <w:szCs w:val="21"/>
                <w:highlight w:val="none"/>
                <w:lang w:val="en-US" w:eastAsia="zh-CN"/>
              </w:rPr>
              <w:t>中的</w:t>
            </w:r>
            <w:r>
              <w:rPr>
                <w:rFonts w:hint="eastAsia" w:ascii="宋体" w:hAnsi="宋体" w:eastAsia="宋体" w:cs="Times New Roman"/>
                <w:color w:val="auto"/>
                <w:szCs w:val="21"/>
                <w:highlight w:val="none"/>
              </w:rPr>
              <w:t>服务</w:t>
            </w:r>
            <w:r>
              <w:rPr>
                <w:rFonts w:hint="eastAsia" w:ascii="宋体" w:hAnsi="宋体" w:cs="Times New Roman"/>
                <w:color w:val="auto"/>
                <w:szCs w:val="21"/>
                <w:highlight w:val="none"/>
                <w:lang w:eastAsia="zh-CN"/>
              </w:rPr>
              <w:t>内容</w:t>
            </w:r>
          </w:p>
        </w:tc>
        <w:tc>
          <w:tcPr>
            <w:tcW w:w="3477" w:type="dxa"/>
            <w:tcBorders>
              <w:top w:val="single" w:color="auto" w:sz="4" w:space="0"/>
              <w:left w:val="single" w:color="auto" w:sz="4" w:space="0"/>
              <w:right w:val="single" w:color="auto" w:sz="4" w:space="0"/>
            </w:tcBorders>
            <w:noWrap w:val="0"/>
            <w:vAlign w:val="center"/>
          </w:tcPr>
          <w:p w14:paraId="2869FDDC">
            <w:pPr>
              <w:jc w:val="center"/>
              <w:rPr>
                <w:rFonts w:hint="eastAsia" w:ascii="宋体" w:hAnsi="宋体" w:eastAsia="宋体" w:cs="Times New Roman"/>
                <w:color w:val="auto"/>
                <w:szCs w:val="21"/>
                <w:highlight w:val="none"/>
                <w:lang w:eastAsia="zh-CN"/>
              </w:rPr>
            </w:pPr>
            <w:r>
              <w:rPr>
                <w:rFonts w:hint="eastAsia" w:ascii="宋体" w:hAnsi="宋体" w:cs="Times New Roman"/>
                <w:color w:val="auto"/>
                <w:szCs w:val="21"/>
                <w:highlight w:val="none"/>
                <w:lang w:eastAsia="zh-CN"/>
              </w:rPr>
              <w:t>投标</w:t>
            </w:r>
            <w:r>
              <w:rPr>
                <w:rFonts w:hint="eastAsia" w:ascii="宋体" w:hAnsi="宋体" w:eastAsia="宋体" w:cs="Times New Roman"/>
                <w:color w:val="auto"/>
                <w:szCs w:val="21"/>
                <w:highlight w:val="none"/>
              </w:rPr>
              <w:t>文件</w:t>
            </w:r>
            <w:r>
              <w:rPr>
                <w:rFonts w:hint="eastAsia" w:ascii="宋体" w:hAnsi="宋体" w:cs="Times New Roman"/>
                <w:color w:val="auto"/>
                <w:szCs w:val="21"/>
                <w:highlight w:val="none"/>
                <w:lang w:val="en-US" w:eastAsia="zh-CN"/>
              </w:rPr>
              <w:t>响应的</w:t>
            </w:r>
            <w:r>
              <w:rPr>
                <w:rFonts w:hint="eastAsia" w:ascii="宋体" w:hAnsi="宋体" w:cs="Times New Roman"/>
                <w:color w:val="auto"/>
                <w:szCs w:val="21"/>
                <w:highlight w:val="none"/>
                <w:lang w:eastAsia="zh-CN"/>
              </w:rPr>
              <w:t>服务内容</w:t>
            </w:r>
          </w:p>
        </w:tc>
        <w:tc>
          <w:tcPr>
            <w:tcW w:w="1168" w:type="dxa"/>
            <w:tcBorders>
              <w:top w:val="single" w:color="auto" w:sz="4" w:space="0"/>
              <w:left w:val="single" w:color="auto" w:sz="4" w:space="0"/>
              <w:bottom w:val="single" w:color="auto" w:sz="4" w:space="0"/>
              <w:right w:val="single" w:color="auto" w:sz="4" w:space="0"/>
            </w:tcBorders>
            <w:noWrap w:val="0"/>
            <w:vAlign w:val="center"/>
          </w:tcPr>
          <w:p w14:paraId="7C175BC0">
            <w:pP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偏离说明</w:t>
            </w:r>
          </w:p>
        </w:tc>
      </w:tr>
      <w:tr w14:paraId="241FE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53" w:type="dxa"/>
            <w:tcBorders>
              <w:top w:val="single" w:color="auto" w:sz="4" w:space="0"/>
              <w:left w:val="single" w:color="auto" w:sz="4" w:space="0"/>
              <w:bottom w:val="single" w:color="auto" w:sz="4" w:space="0"/>
              <w:right w:val="single" w:color="auto" w:sz="4" w:space="0"/>
            </w:tcBorders>
            <w:noWrap w:val="0"/>
            <w:vAlign w:val="center"/>
          </w:tcPr>
          <w:p w14:paraId="57F711FD">
            <w:pP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p>
        </w:tc>
        <w:tc>
          <w:tcPr>
            <w:tcW w:w="1262" w:type="dxa"/>
            <w:tcBorders>
              <w:top w:val="single" w:color="auto" w:sz="4" w:space="0"/>
              <w:left w:val="single" w:color="auto" w:sz="4" w:space="0"/>
              <w:bottom w:val="single" w:color="auto" w:sz="4" w:space="0"/>
              <w:right w:val="single" w:color="auto" w:sz="4" w:space="0"/>
            </w:tcBorders>
            <w:noWrap w:val="0"/>
            <w:vAlign w:val="center"/>
          </w:tcPr>
          <w:p w14:paraId="25874FD2">
            <w:pPr>
              <w:rPr>
                <w:rFonts w:hint="eastAsia" w:ascii="宋体" w:hAnsi="宋体" w:eastAsia="宋体" w:cs="Times New Roman"/>
                <w:color w:val="auto"/>
                <w:szCs w:val="21"/>
                <w:highlight w:val="none"/>
              </w:rPr>
            </w:pPr>
          </w:p>
        </w:tc>
        <w:tc>
          <w:tcPr>
            <w:tcW w:w="3425" w:type="dxa"/>
            <w:tcBorders>
              <w:top w:val="single" w:color="auto" w:sz="4" w:space="0"/>
              <w:left w:val="single" w:color="auto" w:sz="4" w:space="0"/>
              <w:bottom w:val="single" w:color="auto" w:sz="4" w:space="0"/>
              <w:right w:val="single" w:color="auto" w:sz="4" w:space="0"/>
            </w:tcBorders>
            <w:noWrap w:val="0"/>
            <w:vAlign w:val="center"/>
          </w:tcPr>
          <w:p w14:paraId="5471EF45">
            <w:pPr>
              <w:rPr>
                <w:rFonts w:hint="eastAsia" w:ascii="宋体" w:hAnsi="宋体" w:eastAsia="宋体" w:cs="Times New Roman"/>
                <w:color w:val="auto"/>
                <w:szCs w:val="21"/>
                <w:highlight w:val="none"/>
              </w:rPr>
            </w:pPr>
          </w:p>
        </w:tc>
        <w:tc>
          <w:tcPr>
            <w:tcW w:w="3477" w:type="dxa"/>
            <w:tcBorders>
              <w:top w:val="single" w:color="auto" w:sz="4" w:space="0"/>
              <w:left w:val="single" w:color="auto" w:sz="4" w:space="0"/>
              <w:bottom w:val="single" w:color="auto" w:sz="4" w:space="0"/>
              <w:right w:val="single" w:color="auto" w:sz="4" w:space="0"/>
            </w:tcBorders>
            <w:noWrap w:val="0"/>
            <w:vAlign w:val="center"/>
          </w:tcPr>
          <w:p w14:paraId="513C2C94">
            <w:pPr>
              <w:rPr>
                <w:rFonts w:hint="eastAsia" w:ascii="宋体" w:hAnsi="宋体" w:eastAsia="宋体" w:cs="Times New Roman"/>
                <w:color w:val="auto"/>
                <w:szCs w:val="21"/>
                <w:highlight w:val="none"/>
              </w:rP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1AF4642D">
            <w:pPr>
              <w:rPr>
                <w:rFonts w:hint="eastAsia" w:ascii="宋体" w:hAnsi="宋体" w:eastAsia="宋体" w:cs="Times New Roman"/>
                <w:color w:val="auto"/>
                <w:szCs w:val="21"/>
                <w:highlight w:val="none"/>
              </w:rPr>
            </w:pPr>
          </w:p>
        </w:tc>
      </w:tr>
      <w:tr w14:paraId="1EF94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53" w:type="dxa"/>
            <w:tcBorders>
              <w:top w:val="single" w:color="auto" w:sz="4" w:space="0"/>
              <w:left w:val="single" w:color="auto" w:sz="4" w:space="0"/>
              <w:bottom w:val="single" w:color="auto" w:sz="4" w:space="0"/>
              <w:right w:val="single" w:color="auto" w:sz="4" w:space="0"/>
            </w:tcBorders>
            <w:noWrap w:val="0"/>
            <w:vAlign w:val="center"/>
          </w:tcPr>
          <w:p w14:paraId="349506EB">
            <w:pP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w:t>
            </w:r>
          </w:p>
        </w:tc>
        <w:tc>
          <w:tcPr>
            <w:tcW w:w="1262" w:type="dxa"/>
            <w:tcBorders>
              <w:top w:val="single" w:color="auto" w:sz="4" w:space="0"/>
              <w:left w:val="single" w:color="auto" w:sz="4" w:space="0"/>
              <w:bottom w:val="single" w:color="auto" w:sz="4" w:space="0"/>
              <w:right w:val="single" w:color="auto" w:sz="4" w:space="0"/>
            </w:tcBorders>
            <w:noWrap w:val="0"/>
            <w:vAlign w:val="center"/>
          </w:tcPr>
          <w:p w14:paraId="041A072C">
            <w:pPr>
              <w:rPr>
                <w:rFonts w:hint="eastAsia" w:ascii="宋体" w:hAnsi="宋体" w:eastAsia="宋体" w:cs="Times New Roman"/>
                <w:color w:val="auto"/>
                <w:szCs w:val="21"/>
                <w:highlight w:val="none"/>
              </w:rPr>
            </w:pPr>
          </w:p>
        </w:tc>
        <w:tc>
          <w:tcPr>
            <w:tcW w:w="3425" w:type="dxa"/>
            <w:tcBorders>
              <w:top w:val="single" w:color="auto" w:sz="4" w:space="0"/>
              <w:left w:val="single" w:color="auto" w:sz="4" w:space="0"/>
              <w:bottom w:val="single" w:color="auto" w:sz="4" w:space="0"/>
              <w:right w:val="single" w:color="auto" w:sz="4" w:space="0"/>
            </w:tcBorders>
            <w:noWrap w:val="0"/>
            <w:vAlign w:val="center"/>
          </w:tcPr>
          <w:p w14:paraId="2DD3A9CF">
            <w:pPr>
              <w:rPr>
                <w:rFonts w:hint="eastAsia" w:ascii="宋体" w:hAnsi="宋体" w:eastAsia="宋体" w:cs="Times New Roman"/>
                <w:color w:val="auto"/>
                <w:szCs w:val="21"/>
                <w:highlight w:val="none"/>
              </w:rPr>
            </w:pPr>
          </w:p>
        </w:tc>
        <w:tc>
          <w:tcPr>
            <w:tcW w:w="3477" w:type="dxa"/>
            <w:tcBorders>
              <w:top w:val="single" w:color="auto" w:sz="4" w:space="0"/>
              <w:left w:val="single" w:color="auto" w:sz="4" w:space="0"/>
              <w:bottom w:val="single" w:color="auto" w:sz="4" w:space="0"/>
              <w:right w:val="single" w:color="auto" w:sz="4" w:space="0"/>
            </w:tcBorders>
            <w:noWrap w:val="0"/>
            <w:vAlign w:val="center"/>
          </w:tcPr>
          <w:p w14:paraId="46F27586">
            <w:pPr>
              <w:rPr>
                <w:rFonts w:hint="eastAsia" w:ascii="宋体" w:hAnsi="宋体" w:eastAsia="宋体" w:cs="Times New Roman"/>
                <w:color w:val="auto"/>
                <w:szCs w:val="21"/>
                <w:highlight w:val="none"/>
              </w:rP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77305D16">
            <w:pPr>
              <w:rPr>
                <w:rFonts w:hint="eastAsia" w:ascii="宋体" w:hAnsi="宋体" w:eastAsia="宋体" w:cs="Times New Roman"/>
                <w:color w:val="auto"/>
                <w:szCs w:val="21"/>
                <w:highlight w:val="none"/>
              </w:rPr>
            </w:pPr>
          </w:p>
        </w:tc>
      </w:tr>
      <w:tr w14:paraId="70B8C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53" w:type="dxa"/>
            <w:tcBorders>
              <w:top w:val="single" w:color="auto" w:sz="4" w:space="0"/>
              <w:left w:val="single" w:color="auto" w:sz="4" w:space="0"/>
              <w:bottom w:val="single" w:color="auto" w:sz="4" w:space="0"/>
              <w:right w:val="single" w:color="auto" w:sz="4" w:space="0"/>
            </w:tcBorders>
            <w:noWrap w:val="0"/>
            <w:vAlign w:val="center"/>
          </w:tcPr>
          <w:p w14:paraId="51CD19D1">
            <w:pP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p>
        </w:tc>
        <w:tc>
          <w:tcPr>
            <w:tcW w:w="1262" w:type="dxa"/>
            <w:tcBorders>
              <w:top w:val="single" w:color="auto" w:sz="4" w:space="0"/>
              <w:left w:val="single" w:color="auto" w:sz="4" w:space="0"/>
              <w:bottom w:val="single" w:color="auto" w:sz="4" w:space="0"/>
              <w:right w:val="single" w:color="auto" w:sz="4" w:space="0"/>
            </w:tcBorders>
            <w:noWrap w:val="0"/>
            <w:vAlign w:val="center"/>
          </w:tcPr>
          <w:p w14:paraId="0B61DF2D">
            <w:pPr>
              <w:rPr>
                <w:rFonts w:hint="eastAsia" w:ascii="宋体" w:hAnsi="宋体" w:eastAsia="宋体" w:cs="Times New Roman"/>
                <w:color w:val="auto"/>
                <w:szCs w:val="21"/>
                <w:highlight w:val="none"/>
              </w:rPr>
            </w:pPr>
          </w:p>
        </w:tc>
        <w:tc>
          <w:tcPr>
            <w:tcW w:w="3425" w:type="dxa"/>
            <w:tcBorders>
              <w:top w:val="single" w:color="auto" w:sz="4" w:space="0"/>
              <w:left w:val="single" w:color="auto" w:sz="4" w:space="0"/>
              <w:bottom w:val="single" w:color="auto" w:sz="4" w:space="0"/>
              <w:right w:val="single" w:color="auto" w:sz="4" w:space="0"/>
            </w:tcBorders>
            <w:noWrap w:val="0"/>
            <w:vAlign w:val="center"/>
          </w:tcPr>
          <w:p w14:paraId="681CE210">
            <w:pPr>
              <w:rPr>
                <w:rFonts w:hint="eastAsia" w:ascii="宋体" w:hAnsi="宋体" w:eastAsia="宋体" w:cs="Times New Roman"/>
                <w:color w:val="auto"/>
                <w:szCs w:val="21"/>
                <w:highlight w:val="none"/>
              </w:rPr>
            </w:pPr>
          </w:p>
        </w:tc>
        <w:tc>
          <w:tcPr>
            <w:tcW w:w="3477" w:type="dxa"/>
            <w:tcBorders>
              <w:top w:val="single" w:color="auto" w:sz="4" w:space="0"/>
              <w:left w:val="single" w:color="auto" w:sz="4" w:space="0"/>
              <w:bottom w:val="single" w:color="auto" w:sz="4" w:space="0"/>
              <w:right w:val="single" w:color="auto" w:sz="4" w:space="0"/>
            </w:tcBorders>
            <w:noWrap w:val="0"/>
            <w:vAlign w:val="center"/>
          </w:tcPr>
          <w:p w14:paraId="4772F948">
            <w:pPr>
              <w:rPr>
                <w:rFonts w:hint="eastAsia" w:ascii="宋体" w:hAnsi="宋体" w:eastAsia="宋体" w:cs="Times New Roman"/>
                <w:color w:val="auto"/>
                <w:szCs w:val="21"/>
                <w:highlight w:val="none"/>
              </w:rP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6B7B9401">
            <w:pPr>
              <w:rPr>
                <w:rFonts w:hint="eastAsia" w:ascii="宋体" w:hAnsi="宋体" w:eastAsia="宋体" w:cs="Times New Roman"/>
                <w:color w:val="auto"/>
                <w:szCs w:val="21"/>
                <w:highlight w:val="none"/>
              </w:rPr>
            </w:pPr>
          </w:p>
        </w:tc>
      </w:tr>
    </w:tbl>
    <w:p w14:paraId="6729B17E">
      <w:pPr>
        <w:pStyle w:val="16"/>
        <w:spacing w:line="360" w:lineRule="auto"/>
        <w:ind w:firstLine="0" w:firstLineChars="0"/>
        <w:rPr>
          <w:rFonts w:hint="eastAsia" w:hAnsi="宋体" w:cs="宋体"/>
          <w:color w:val="auto"/>
          <w:szCs w:val="21"/>
          <w:highlight w:val="none"/>
        </w:rPr>
      </w:pPr>
    </w:p>
    <w:p w14:paraId="63690BD0">
      <w:pPr>
        <w:pStyle w:val="16"/>
        <w:spacing w:line="360" w:lineRule="auto"/>
        <w:ind w:firstLine="420" w:firstLineChars="200"/>
        <w:rPr>
          <w:rFonts w:hint="eastAsia" w:hAnsi="宋体" w:cs="宋体"/>
          <w:color w:val="auto"/>
          <w:szCs w:val="21"/>
          <w:highlight w:val="none"/>
        </w:rPr>
      </w:pPr>
      <w:r>
        <w:rPr>
          <w:rFonts w:hint="eastAsia" w:hAnsi="宋体" w:cs="宋体"/>
          <w:color w:val="auto"/>
          <w:szCs w:val="21"/>
          <w:highlight w:val="none"/>
        </w:rPr>
        <w:t>注：</w:t>
      </w:r>
    </w:p>
    <w:p w14:paraId="5C73CA17">
      <w:pPr>
        <w:pStyle w:val="16"/>
        <w:spacing w:line="360" w:lineRule="auto"/>
        <w:ind w:firstLine="420" w:firstLineChars="200"/>
        <w:rPr>
          <w:rFonts w:hint="eastAsia" w:hAnsi="宋体" w:cs="宋体"/>
          <w:color w:val="auto"/>
          <w:szCs w:val="21"/>
          <w:highlight w:val="none"/>
        </w:rPr>
      </w:pPr>
      <w:r>
        <w:rPr>
          <w:rFonts w:hint="eastAsia" w:hAnsi="宋体" w:cs="宋体"/>
          <w:color w:val="auto"/>
          <w:szCs w:val="21"/>
          <w:highlight w:val="none"/>
        </w:rPr>
        <w:t>1.表格内容均需按要求填写并</w:t>
      </w:r>
      <w:r>
        <w:rPr>
          <w:rFonts w:hint="eastAsia" w:hAnsi="宋体" w:cs="宋体"/>
          <w:color w:val="auto"/>
          <w:szCs w:val="21"/>
          <w:highlight w:val="none"/>
          <w:lang w:eastAsia="zh-CN"/>
        </w:rPr>
        <w:t>加</w:t>
      </w:r>
      <w:r>
        <w:rPr>
          <w:rFonts w:hint="eastAsia" w:hAnsi="宋体" w:cs="宋体"/>
          <w:color w:val="auto"/>
          <w:szCs w:val="21"/>
          <w:highlight w:val="none"/>
        </w:rPr>
        <w:t>盖</w:t>
      </w:r>
      <w:r>
        <w:rPr>
          <w:rFonts w:hint="eastAsia" w:hAnsi="宋体" w:cs="宋体"/>
          <w:color w:val="auto"/>
          <w:szCs w:val="21"/>
          <w:highlight w:val="none"/>
          <w:lang w:eastAsia="zh-CN"/>
        </w:rPr>
        <w:t>投标人公</w:t>
      </w:r>
      <w:r>
        <w:rPr>
          <w:rFonts w:hint="eastAsia" w:hAnsi="宋体" w:cs="宋体"/>
          <w:color w:val="auto"/>
          <w:szCs w:val="21"/>
          <w:highlight w:val="none"/>
        </w:rPr>
        <w:t>章。</w:t>
      </w:r>
    </w:p>
    <w:p w14:paraId="4315D2C3">
      <w:pPr>
        <w:pStyle w:val="16"/>
        <w:spacing w:line="360" w:lineRule="auto"/>
        <w:ind w:firstLine="420" w:firstLineChars="200"/>
        <w:rPr>
          <w:rFonts w:hint="eastAsia" w:ascii="宋体" w:hAnsi="宋体" w:eastAsia="宋体" w:cs="宋体"/>
          <w:bCs w:val="0"/>
          <w:color w:val="auto"/>
          <w:szCs w:val="21"/>
          <w:highlight w:val="none"/>
        </w:rPr>
      </w:pPr>
      <w:r>
        <w:rPr>
          <w:rFonts w:hint="eastAsia" w:hAnsi="宋体" w:cs="宋体"/>
          <w:bCs/>
          <w:color w:val="auto"/>
          <w:szCs w:val="21"/>
          <w:highlight w:val="none"/>
        </w:rPr>
        <w:t>2.</w:t>
      </w:r>
      <w:r>
        <w:rPr>
          <w:rFonts w:hint="eastAsia" w:ascii="宋体" w:hAnsi="宋体" w:eastAsia="宋体" w:cs="宋体"/>
          <w:color w:val="auto"/>
          <w:sz w:val="21"/>
          <w:szCs w:val="21"/>
          <w:highlight w:val="none"/>
        </w:rPr>
        <w:t>请根据所投</w:t>
      </w:r>
      <w:r>
        <w:rPr>
          <w:rFonts w:hint="eastAsia" w:hAnsi="宋体" w:cs="宋体"/>
          <w:color w:val="auto"/>
          <w:sz w:val="21"/>
          <w:szCs w:val="21"/>
          <w:highlight w:val="none"/>
          <w:lang w:eastAsia="zh-CN"/>
        </w:rPr>
        <w:t>服务内容</w:t>
      </w:r>
      <w:r>
        <w:rPr>
          <w:rFonts w:hint="eastAsia" w:ascii="宋体" w:hAnsi="宋体" w:eastAsia="宋体" w:cs="宋体"/>
          <w:color w:val="auto"/>
          <w:sz w:val="21"/>
          <w:szCs w:val="21"/>
          <w:highlight w:val="none"/>
        </w:rPr>
        <w:t>，</w:t>
      </w:r>
      <w:r>
        <w:rPr>
          <w:rFonts w:hint="eastAsia" w:ascii="宋体" w:hAnsi="宋体" w:eastAsia="宋体" w:cs="宋体"/>
          <w:b w:val="0"/>
          <w:color w:val="auto"/>
          <w:sz w:val="21"/>
          <w:szCs w:val="21"/>
          <w:highlight w:val="none"/>
        </w:rPr>
        <w:t>逐条对应</w:t>
      </w:r>
      <w:r>
        <w:rPr>
          <w:rFonts w:hint="eastAsia" w:ascii="宋体" w:hAnsi="宋体" w:eastAsia="宋体" w:cs="宋体"/>
          <w:color w:val="auto"/>
          <w:sz w:val="21"/>
          <w:szCs w:val="21"/>
          <w:highlight w:val="none"/>
        </w:rPr>
        <w:t>本项目招标文件“第二章</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采购需求</w:t>
      </w:r>
      <w:r>
        <w:rPr>
          <w:rFonts w:hint="eastAsia" w:ascii="宋体" w:hAnsi="宋体" w:eastAsia="宋体" w:cs="宋体"/>
          <w:color w:val="auto"/>
          <w:sz w:val="21"/>
          <w:szCs w:val="21"/>
          <w:highlight w:val="none"/>
        </w:rPr>
        <w:t>”中</w:t>
      </w:r>
      <w:r>
        <w:rPr>
          <w:rFonts w:hint="eastAsia" w:ascii="宋体" w:hAnsi="宋体" w:eastAsia="宋体" w:cs="宋体"/>
          <w:color w:val="auto"/>
          <w:sz w:val="21"/>
          <w:szCs w:val="21"/>
          <w:highlight w:val="none"/>
          <w:lang w:eastAsia="zh-CN"/>
        </w:rPr>
        <w:t>“</w:t>
      </w:r>
      <w:r>
        <w:rPr>
          <w:rFonts w:hint="eastAsia" w:hAnsi="宋体" w:cs="宋体"/>
          <w:color w:val="auto"/>
          <w:sz w:val="21"/>
          <w:szCs w:val="21"/>
          <w:highlight w:val="none"/>
          <w:lang w:val="en-US" w:eastAsia="zh-CN"/>
        </w:rPr>
        <w:t>技术</w:t>
      </w:r>
      <w:r>
        <w:rPr>
          <w:rFonts w:hint="eastAsia" w:hAnsi="宋体" w:cs="宋体"/>
          <w:color w:val="auto"/>
          <w:sz w:val="21"/>
          <w:szCs w:val="21"/>
          <w:highlight w:val="none"/>
          <w:lang w:eastAsia="zh-CN"/>
        </w:rPr>
        <w:t>要求</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的</w:t>
      </w:r>
      <w:r>
        <w:rPr>
          <w:rFonts w:hint="eastAsia" w:hAnsi="宋体" w:cs="宋体"/>
          <w:color w:val="auto"/>
          <w:sz w:val="21"/>
          <w:szCs w:val="21"/>
          <w:highlight w:val="none"/>
          <w:lang w:val="en-US" w:eastAsia="zh-CN"/>
        </w:rPr>
        <w:t>内容作出明确响应，并作出偏离说明</w:t>
      </w:r>
      <w:r>
        <w:rPr>
          <w:rFonts w:hint="eastAsia" w:ascii="宋体" w:hAnsi="宋体" w:eastAsia="宋体" w:cs="宋体"/>
          <w:color w:val="auto"/>
          <w:sz w:val="21"/>
          <w:szCs w:val="21"/>
          <w:highlight w:val="none"/>
        </w:rPr>
        <w:t>。“偏离说明”一栏应当选择“正偏离”</w:t>
      </w:r>
      <w:r>
        <w:rPr>
          <w:rFonts w:hint="eastAsia" w:ascii="宋体" w:hAnsi="宋体" w:eastAsia="宋体" w:cs="宋体"/>
          <w:color w:val="auto"/>
          <w:sz w:val="21"/>
          <w:szCs w:val="21"/>
          <w:highlight w:val="none"/>
          <w:lang w:eastAsia="zh-CN"/>
        </w:rPr>
        <w:t>或</w:t>
      </w:r>
      <w:r>
        <w:rPr>
          <w:rFonts w:hint="eastAsia" w:ascii="宋体" w:hAnsi="宋体" w:eastAsia="宋体" w:cs="宋体"/>
          <w:color w:val="auto"/>
          <w:sz w:val="21"/>
          <w:szCs w:val="21"/>
          <w:highlight w:val="none"/>
        </w:rPr>
        <w:t>“负偏离”或“无偏离”进行填写。</w:t>
      </w:r>
    </w:p>
    <w:p w14:paraId="48FA7102">
      <w:pPr>
        <w:pStyle w:val="16"/>
        <w:spacing w:line="360" w:lineRule="auto"/>
        <w:ind w:firstLine="420" w:firstLineChars="200"/>
        <w:rPr>
          <w:rFonts w:hint="eastAsia" w:hAnsi="宋体" w:cs="宋体"/>
          <w:color w:val="auto"/>
          <w:szCs w:val="21"/>
          <w:highlight w:val="none"/>
        </w:rPr>
      </w:pPr>
      <w:r>
        <w:rPr>
          <w:rFonts w:hint="eastAsia" w:hAnsi="宋体" w:cs="宋体"/>
          <w:bCs/>
          <w:color w:val="auto"/>
          <w:szCs w:val="21"/>
          <w:highlight w:val="none"/>
          <w:lang w:val="en-US" w:eastAsia="zh-CN"/>
        </w:rPr>
        <w:t>3.</w:t>
      </w:r>
      <w:r>
        <w:rPr>
          <w:rFonts w:hint="eastAsia" w:hAnsi="宋体" w:cs="宋体"/>
          <w:bCs/>
          <w:color w:val="auto"/>
          <w:szCs w:val="21"/>
          <w:highlight w:val="none"/>
        </w:rPr>
        <w:t>当投标文件的</w:t>
      </w:r>
      <w:r>
        <w:rPr>
          <w:rFonts w:hint="eastAsia" w:hAnsi="宋体" w:cs="宋体"/>
          <w:bCs/>
          <w:color w:val="auto"/>
          <w:szCs w:val="21"/>
          <w:highlight w:val="none"/>
          <w:lang w:eastAsia="zh-CN"/>
        </w:rPr>
        <w:t>服务</w:t>
      </w:r>
      <w:r>
        <w:rPr>
          <w:rFonts w:hint="eastAsia" w:hAnsi="宋体" w:cs="宋体"/>
          <w:bCs/>
          <w:color w:val="auto"/>
          <w:szCs w:val="21"/>
          <w:highlight w:val="none"/>
        </w:rPr>
        <w:t>内容低于招标文件要求时，投标人应当如实写明“负偏离”。</w:t>
      </w:r>
    </w:p>
    <w:p w14:paraId="408605E3">
      <w:pPr>
        <w:pStyle w:val="8"/>
        <w:rPr>
          <w:rFonts w:hint="eastAsia" w:hAnsi="宋体" w:eastAsia="宋体" w:cs="宋体"/>
          <w:color w:val="auto"/>
          <w:szCs w:val="21"/>
          <w:highlight w:val="none"/>
        </w:rPr>
      </w:pPr>
    </w:p>
    <w:p w14:paraId="4A04E06E">
      <w:pPr>
        <w:rPr>
          <w:rFonts w:hint="eastAsia" w:hAnsi="宋体" w:eastAsia="宋体" w:cs="宋体"/>
          <w:color w:val="auto"/>
          <w:szCs w:val="21"/>
          <w:highlight w:val="none"/>
        </w:rPr>
      </w:pPr>
    </w:p>
    <w:p w14:paraId="0945E71D">
      <w:pPr>
        <w:snapToGrid w:val="0"/>
        <w:spacing w:line="360" w:lineRule="auto"/>
        <w:ind w:firstLine="5640" w:firstLineChars="2350"/>
        <w:rPr>
          <w:rFonts w:hint="eastAsia" w:ascii="仿宋_GB2312" w:hAnsi="仿宋" w:eastAsia="仿宋_GB2312" w:cs="仿宋_GB2312"/>
          <w:color w:val="auto"/>
          <w:kern w:val="0"/>
          <w:sz w:val="24"/>
          <w:highlight w:val="none"/>
          <w:lang w:val="zh-CN"/>
        </w:rPr>
      </w:pPr>
    </w:p>
    <w:p w14:paraId="01F65E64">
      <w:pPr>
        <w:snapToGrid w:val="0"/>
        <w:spacing w:line="360" w:lineRule="auto"/>
        <w:ind w:firstLine="5640" w:firstLineChars="23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投标人名称(盖</w:t>
      </w:r>
      <w:r>
        <w:rPr>
          <w:rFonts w:hint="eastAsia" w:ascii="宋体" w:hAnsi="宋体" w:eastAsia="宋体" w:cs="宋体"/>
          <w:color w:val="auto"/>
          <w:kern w:val="0"/>
          <w:sz w:val="24"/>
          <w:highlight w:val="none"/>
          <w:lang w:val="en-US" w:eastAsia="zh-CN"/>
        </w:rPr>
        <w:t>单位</w:t>
      </w:r>
      <w:r>
        <w:rPr>
          <w:rFonts w:hint="eastAsia" w:ascii="宋体" w:hAnsi="宋体" w:eastAsia="宋体" w:cs="宋体"/>
          <w:color w:val="auto"/>
          <w:kern w:val="0"/>
          <w:sz w:val="24"/>
          <w:highlight w:val="none"/>
          <w:lang w:val="zh-CN"/>
        </w:rPr>
        <w:t>公章)：</w:t>
      </w:r>
    </w:p>
    <w:p w14:paraId="05D4087D">
      <w:pPr>
        <w:snapToGrid w:val="0"/>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eastAsia="zh-CN"/>
        </w:rPr>
        <w:t>法定代表人（或负责人）或者委托代理人（签字或者盖章或者电子签名）：</w:t>
      </w:r>
    </w:p>
    <w:p w14:paraId="61E1AAF4">
      <w:pPr>
        <w:snapToGrid w:val="0"/>
        <w:spacing w:line="360" w:lineRule="auto"/>
        <w:ind w:firstLine="5640" w:firstLineChars="23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3F52EF14">
      <w:pPr>
        <w:widowControl/>
        <w:jc w:val="left"/>
        <w:rPr>
          <w:rFonts w:ascii="宋体" w:hAnsi="宋体"/>
          <w:color w:val="auto"/>
          <w:sz w:val="30"/>
          <w:szCs w:val="20"/>
          <w:highlight w:val="none"/>
        </w:rPr>
        <w:sectPr>
          <w:pgSz w:w="11905" w:h="16838"/>
          <w:pgMar w:top="1134" w:right="1134" w:bottom="1134" w:left="1134" w:header="850" w:footer="850" w:gutter="0"/>
          <w:pgNumType w:fmt="decimal"/>
          <w:cols w:space="720" w:num="1"/>
          <w:titlePg/>
          <w:rtlGutter w:val="0"/>
          <w:docGrid w:linePitch="331" w:charSpace="0"/>
        </w:sectPr>
      </w:pPr>
    </w:p>
    <w:p w14:paraId="157AE79C">
      <w:pPr>
        <w:snapToGrid w:val="0"/>
        <w:spacing w:before="50" w:after="50"/>
        <w:rPr>
          <w:rFonts w:hint="eastAsia" w:ascii="宋体" w:hAnsi="宋体" w:eastAsia="宋体" w:cs="Times New Roman"/>
          <w:color w:val="auto"/>
          <w:sz w:val="24"/>
          <w:highlight w:val="none"/>
        </w:rPr>
      </w:pPr>
    </w:p>
    <w:p w14:paraId="4BCE6888">
      <w:pPr>
        <w:pStyle w:val="16"/>
        <w:jc w:val="center"/>
        <w:outlineLvl w:val="1"/>
        <w:rPr>
          <w:rFonts w:hint="eastAsia" w:hAnsi="宋体" w:eastAsia="宋体" w:cs="Times New Roman"/>
          <w:b/>
          <w:bCs/>
          <w:color w:val="auto"/>
          <w:sz w:val="28"/>
          <w:szCs w:val="28"/>
          <w:highlight w:val="none"/>
        </w:rPr>
      </w:pPr>
      <w:bookmarkStart w:id="381" w:name="_Toc9015"/>
      <w:bookmarkStart w:id="382" w:name="_Toc31920"/>
      <w:bookmarkStart w:id="383" w:name="_Toc22926"/>
      <w:bookmarkStart w:id="384" w:name="_Toc1343"/>
      <w:bookmarkStart w:id="385" w:name="_Toc12675"/>
      <w:bookmarkStart w:id="386" w:name="_Toc17719"/>
      <w:bookmarkStart w:id="387" w:name="_Toc30951"/>
      <w:bookmarkStart w:id="388" w:name="_Toc12868"/>
      <w:bookmarkStart w:id="389" w:name="_Toc28617"/>
      <w:bookmarkStart w:id="390" w:name="_Toc3481"/>
      <w:r>
        <w:rPr>
          <w:rFonts w:hint="eastAsia" w:hAnsi="宋体" w:eastAsia="宋体" w:cs="Times New Roman"/>
          <w:b/>
          <w:bCs/>
          <w:color w:val="auto"/>
          <w:sz w:val="28"/>
          <w:szCs w:val="28"/>
          <w:highlight w:val="none"/>
        </w:rPr>
        <w:t>第</w:t>
      </w:r>
      <w:r>
        <w:rPr>
          <w:rFonts w:hint="eastAsia" w:hAnsi="宋体" w:cs="Times New Roman"/>
          <w:b/>
          <w:bCs/>
          <w:color w:val="auto"/>
          <w:sz w:val="28"/>
          <w:szCs w:val="28"/>
          <w:highlight w:val="none"/>
          <w:lang w:eastAsia="zh-CN"/>
        </w:rPr>
        <w:t>四</w:t>
      </w:r>
      <w:r>
        <w:rPr>
          <w:rFonts w:hint="eastAsia" w:hAnsi="宋体" w:eastAsia="宋体" w:cs="Times New Roman"/>
          <w:b/>
          <w:bCs/>
          <w:color w:val="auto"/>
          <w:sz w:val="28"/>
          <w:szCs w:val="28"/>
          <w:highlight w:val="none"/>
        </w:rPr>
        <w:t>节 报价文件格式</w:t>
      </w:r>
      <w:bookmarkEnd w:id="381"/>
      <w:bookmarkEnd w:id="382"/>
      <w:bookmarkEnd w:id="383"/>
      <w:bookmarkEnd w:id="384"/>
      <w:bookmarkEnd w:id="385"/>
      <w:bookmarkEnd w:id="386"/>
      <w:bookmarkEnd w:id="387"/>
      <w:bookmarkEnd w:id="388"/>
      <w:bookmarkEnd w:id="389"/>
      <w:bookmarkEnd w:id="390"/>
    </w:p>
    <w:p w14:paraId="197CC8EA">
      <w:pPr>
        <w:snapToGrid w:val="0"/>
        <w:spacing w:before="165" w:beforeLines="50" w:after="50" w:line="400" w:lineRule="exact"/>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w:t>
      </w:r>
      <w:r>
        <w:rPr>
          <w:rFonts w:hint="eastAsia" w:ascii="宋体" w:hAnsi="宋体" w:cs="宋体"/>
          <w:b/>
          <w:bCs/>
          <w:color w:val="auto"/>
          <w:sz w:val="28"/>
          <w:szCs w:val="28"/>
          <w:highlight w:val="none"/>
          <w:lang w:val="en-US" w:eastAsia="zh-CN"/>
        </w:rPr>
        <w:t>1.</w:t>
      </w:r>
      <w:r>
        <w:rPr>
          <w:rFonts w:hint="eastAsia" w:ascii="宋体" w:hAnsi="宋体" w:cs="宋体"/>
          <w:b/>
          <w:bCs/>
          <w:color w:val="auto"/>
          <w:sz w:val="28"/>
          <w:szCs w:val="28"/>
          <w:highlight w:val="none"/>
        </w:rPr>
        <w:t>报价文件</w:t>
      </w:r>
      <w:r>
        <w:rPr>
          <w:rFonts w:hint="eastAsia" w:ascii="宋体" w:hAnsi="宋体" w:cs="宋体"/>
          <w:b/>
          <w:bCs/>
          <w:color w:val="auto"/>
          <w:sz w:val="28"/>
          <w:szCs w:val="28"/>
          <w:highlight w:val="none"/>
          <w:lang w:eastAsia="zh-CN"/>
        </w:rPr>
        <w:t>封面的格式（参照此格式自拟）：</w:t>
      </w:r>
      <w:r>
        <w:rPr>
          <w:rFonts w:hint="eastAsia" w:ascii="宋体" w:hAnsi="宋体" w:eastAsia="宋体" w:cs="Times New Roman"/>
          <w:color w:val="auto"/>
          <w:sz w:val="24"/>
          <w:highlight w:val="none"/>
        </w:rPr>
        <w:t xml:space="preserve">                                </w:t>
      </w:r>
    </w:p>
    <w:p w14:paraId="158EF6F9">
      <w:pPr>
        <w:snapToGrid w:val="0"/>
        <w:spacing w:before="165" w:beforeLines="50" w:after="50" w:line="400" w:lineRule="exact"/>
        <w:rPr>
          <w:rFonts w:hint="eastAsia" w:ascii="宋体" w:hAnsi="宋体" w:eastAsia="宋体" w:cs="Times New Roman"/>
          <w:color w:val="auto"/>
          <w:sz w:val="24"/>
          <w:highlight w:val="none"/>
        </w:rPr>
      </w:pPr>
    </w:p>
    <w:p w14:paraId="5E31D731">
      <w:pPr>
        <w:snapToGrid w:val="0"/>
        <w:spacing w:before="165" w:beforeLines="50" w:after="50" w:line="400" w:lineRule="exact"/>
        <w:rPr>
          <w:rFonts w:hint="eastAsia" w:ascii="宋体" w:hAnsi="宋体" w:eastAsia="宋体" w:cs="Times New Roman"/>
          <w:bCs/>
          <w:color w:val="auto"/>
          <w:sz w:val="32"/>
          <w:szCs w:val="20"/>
          <w:highlight w:val="none"/>
        </w:rPr>
      </w:pPr>
      <w:r>
        <w:rPr>
          <w:rFonts w:hint="eastAsia" w:ascii="宋体" w:hAnsi="宋体" w:eastAsia="宋体" w:cs="Times New Roman"/>
          <w:color w:val="auto"/>
          <w:sz w:val="24"/>
          <w:highlight w:val="none"/>
        </w:rPr>
        <w:t xml:space="preserve">                        </w:t>
      </w:r>
      <w:r>
        <w:rPr>
          <w:rFonts w:hint="eastAsia" w:ascii="宋体" w:hAnsi="宋体" w:cs="Times New Roman"/>
          <w:color w:val="auto"/>
          <w:sz w:val="24"/>
          <w:highlight w:val="none"/>
          <w:lang w:val="en-US" w:eastAsia="zh-CN"/>
        </w:rPr>
        <w:t xml:space="preserve">                                  </w:t>
      </w:r>
      <w:r>
        <w:rPr>
          <w:rFonts w:hint="eastAsia" w:ascii="宋体" w:hAnsi="宋体" w:eastAsia="宋体" w:cs="Times New Roman"/>
          <w:bCs/>
          <w:color w:val="auto"/>
          <w:highlight w:val="none"/>
        </w:rPr>
        <w:t>电子投标文件</w:t>
      </w:r>
    </w:p>
    <w:p w14:paraId="2B974800">
      <w:pPr>
        <w:snapToGrid w:val="0"/>
        <w:spacing w:before="165" w:beforeLines="50" w:after="50" w:line="400" w:lineRule="exact"/>
        <w:jc w:val="center"/>
        <w:rPr>
          <w:rFonts w:hint="eastAsia" w:ascii="宋体" w:hAnsi="宋体" w:eastAsia="宋体" w:cs="Times New Roman"/>
          <w:bCs/>
          <w:color w:val="auto"/>
          <w:sz w:val="24"/>
          <w:szCs w:val="20"/>
          <w:highlight w:val="none"/>
        </w:rPr>
      </w:pPr>
    </w:p>
    <w:p w14:paraId="5D1A5E07">
      <w:pPr>
        <w:snapToGrid w:val="0"/>
        <w:spacing w:before="165" w:beforeLines="50" w:after="50" w:line="400" w:lineRule="exact"/>
        <w:jc w:val="center"/>
        <w:rPr>
          <w:rFonts w:hint="eastAsia" w:ascii="宋体" w:hAnsi="宋体" w:eastAsia="宋体" w:cs="Times New Roman"/>
          <w:b/>
          <w:bCs/>
          <w:color w:val="auto"/>
          <w:sz w:val="32"/>
          <w:szCs w:val="32"/>
          <w:highlight w:val="none"/>
        </w:rPr>
      </w:pPr>
      <w:r>
        <w:rPr>
          <w:rFonts w:hint="eastAsia" w:ascii="宋体" w:hAnsi="宋体" w:eastAsia="宋体" w:cs="Times New Roman"/>
          <w:b/>
          <w:bCs/>
          <w:color w:val="auto"/>
          <w:sz w:val="32"/>
          <w:szCs w:val="32"/>
          <w:highlight w:val="none"/>
        </w:rPr>
        <w:t>报价文件</w:t>
      </w:r>
    </w:p>
    <w:p w14:paraId="5CF46421">
      <w:pPr>
        <w:snapToGrid w:val="0"/>
        <w:spacing w:before="165" w:beforeLines="50" w:after="50" w:line="400" w:lineRule="exact"/>
        <w:rPr>
          <w:rFonts w:hint="eastAsia" w:ascii="宋体" w:hAnsi="宋体" w:eastAsia="宋体" w:cs="Times New Roman"/>
          <w:bCs/>
          <w:color w:val="auto"/>
          <w:sz w:val="24"/>
          <w:szCs w:val="20"/>
          <w:highlight w:val="none"/>
        </w:rPr>
      </w:pPr>
    </w:p>
    <w:p w14:paraId="1D4207CA">
      <w:pPr>
        <w:snapToGrid w:val="0"/>
        <w:spacing w:before="165" w:beforeLines="50" w:after="50" w:line="400" w:lineRule="exact"/>
        <w:rPr>
          <w:rFonts w:hint="eastAsia" w:ascii="宋体" w:hAnsi="宋体" w:eastAsia="宋体" w:cs="Times New Roman"/>
          <w:bCs/>
          <w:color w:val="auto"/>
          <w:sz w:val="24"/>
          <w:szCs w:val="20"/>
          <w:highlight w:val="none"/>
        </w:rPr>
      </w:pPr>
    </w:p>
    <w:p w14:paraId="5D6142F3">
      <w:pPr>
        <w:snapToGrid w:val="0"/>
        <w:spacing w:before="165" w:beforeLines="50" w:after="50" w:line="400" w:lineRule="exact"/>
        <w:rPr>
          <w:rFonts w:hint="eastAsia" w:ascii="宋体" w:hAnsi="宋体" w:eastAsia="宋体" w:cs="Times New Roman"/>
          <w:bCs/>
          <w:color w:val="auto"/>
          <w:sz w:val="24"/>
          <w:szCs w:val="20"/>
          <w:highlight w:val="none"/>
        </w:rPr>
      </w:pPr>
    </w:p>
    <w:p w14:paraId="76BD0F0E">
      <w:pPr>
        <w:snapToGrid w:val="0"/>
        <w:spacing w:before="165" w:beforeLines="50" w:after="50" w:line="400" w:lineRule="exact"/>
        <w:rPr>
          <w:rFonts w:hint="eastAsia" w:ascii="宋体" w:hAnsi="宋体" w:eastAsia="宋体" w:cs="Times New Roman"/>
          <w:bCs/>
          <w:color w:val="auto"/>
          <w:sz w:val="24"/>
          <w:szCs w:val="20"/>
          <w:highlight w:val="none"/>
        </w:rPr>
      </w:pPr>
    </w:p>
    <w:p w14:paraId="671F4646">
      <w:pPr>
        <w:snapToGrid w:val="0"/>
        <w:spacing w:before="165" w:beforeLines="50" w:after="50" w:line="400" w:lineRule="exact"/>
        <w:ind w:firstLine="360" w:firstLineChars="150"/>
        <w:rPr>
          <w:rFonts w:hint="eastAsia" w:ascii="宋体" w:hAnsi="宋体" w:eastAsia="宋体" w:cs="Times New Roman"/>
          <w:bCs/>
          <w:color w:val="auto"/>
          <w:sz w:val="24"/>
          <w:highlight w:val="none"/>
          <w:lang w:eastAsia="zh-CN"/>
        </w:rPr>
      </w:pPr>
      <w:r>
        <w:rPr>
          <w:rFonts w:hint="eastAsia" w:ascii="宋体" w:hAnsi="宋体" w:eastAsia="宋体" w:cs="Times New Roman"/>
          <w:bCs/>
          <w:color w:val="auto"/>
          <w:sz w:val="24"/>
          <w:highlight w:val="none"/>
        </w:rPr>
        <w:t xml:space="preserve">项目名称： </w:t>
      </w:r>
    </w:p>
    <w:p w14:paraId="5FB834E2">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p>
    <w:p w14:paraId="14B9A597">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 xml:space="preserve">项目编号： </w:t>
      </w:r>
    </w:p>
    <w:p w14:paraId="292ED2A3">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p>
    <w:p w14:paraId="10F0CBC2">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所投分标（如有则填写，无分标时填写“无”或者留空）：</w:t>
      </w:r>
    </w:p>
    <w:p w14:paraId="24AC47A2">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p>
    <w:p w14:paraId="3235742F">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投标人名称：</w:t>
      </w:r>
    </w:p>
    <w:p w14:paraId="24D9CD47">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p>
    <w:p w14:paraId="64EFB784">
      <w:pPr>
        <w:pStyle w:val="7"/>
        <w:snapToGrid w:val="0"/>
        <w:spacing w:before="50" w:after="50" w:line="400" w:lineRule="exact"/>
        <w:ind w:firstLine="960" w:firstLineChars="400"/>
        <w:rPr>
          <w:rFonts w:hint="eastAsia" w:ascii="宋体" w:hAnsi="宋体" w:eastAsia="宋体" w:cs="Times New Roman"/>
          <w:bCs/>
          <w:color w:val="auto"/>
          <w:sz w:val="24"/>
          <w:szCs w:val="24"/>
          <w:highlight w:val="none"/>
        </w:rPr>
      </w:pPr>
    </w:p>
    <w:p w14:paraId="12BE4228">
      <w:pPr>
        <w:snapToGrid w:val="0"/>
        <w:spacing w:before="165" w:beforeLines="50" w:after="50" w:line="400" w:lineRule="exac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w:t>
      </w:r>
    </w:p>
    <w:p w14:paraId="41483F2B">
      <w:pPr>
        <w:snapToGrid w:val="0"/>
        <w:spacing w:before="165" w:beforeLines="50" w:after="50" w:line="400" w:lineRule="exact"/>
        <w:ind w:firstLine="3120" w:firstLineChars="1300"/>
        <w:rPr>
          <w:rFonts w:hint="eastAsia" w:ascii="宋体" w:hAnsi="宋体" w:eastAsia="宋体" w:cs="Times New Roman"/>
          <w:color w:val="auto"/>
          <w:sz w:val="24"/>
          <w:highlight w:val="none"/>
        </w:rPr>
      </w:pPr>
    </w:p>
    <w:p w14:paraId="59639099">
      <w:pPr>
        <w:snapToGrid w:val="0"/>
        <w:spacing w:before="165" w:beforeLines="50" w:after="50" w:line="400" w:lineRule="exact"/>
        <w:ind w:firstLine="4320" w:firstLineChars="18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年  月  日</w:t>
      </w:r>
    </w:p>
    <w:p w14:paraId="6115E88C">
      <w:pPr>
        <w:widowControl/>
        <w:jc w:val="left"/>
        <w:rPr>
          <w:rFonts w:ascii="宋体" w:hAnsi="宋体"/>
          <w:color w:val="auto"/>
          <w:sz w:val="24"/>
          <w:highlight w:val="none"/>
        </w:rPr>
        <w:sectPr>
          <w:pgSz w:w="11905" w:h="16838"/>
          <w:pgMar w:top="1134" w:right="1134" w:bottom="1134" w:left="1134" w:header="850" w:footer="850" w:gutter="0"/>
          <w:pgNumType w:fmt="decimal"/>
          <w:cols w:space="720" w:num="1"/>
          <w:titlePg/>
          <w:rtlGutter w:val="0"/>
          <w:docGrid w:linePitch="331" w:charSpace="0"/>
        </w:sectPr>
      </w:pPr>
    </w:p>
    <w:p w14:paraId="4BA00088">
      <w:pPr>
        <w:snapToGrid w:val="0"/>
        <w:spacing w:before="120" w:beforeLines="50" w:after="50" w:line="360" w:lineRule="auto"/>
        <w:jc w:val="left"/>
        <w:rPr>
          <w:rFonts w:hint="eastAsia" w:ascii="宋体" w:hAnsi="宋体" w:eastAsia="宋体" w:cs="宋体"/>
          <w:color w:val="auto"/>
          <w:sz w:val="28"/>
          <w:szCs w:val="28"/>
          <w:highlight w:val="none"/>
        </w:rPr>
      </w:pPr>
      <w:r>
        <w:rPr>
          <w:rFonts w:hint="eastAsia" w:ascii="宋体" w:hAnsi="宋体" w:eastAsia="宋体" w:cs="宋体"/>
          <w:b/>
          <w:color w:val="auto"/>
          <w:sz w:val="28"/>
          <w:szCs w:val="28"/>
          <w:highlight w:val="none"/>
          <w:lang w:val="en-US"/>
        </w:rPr>
        <w:t>2</w:t>
      </w:r>
      <w:r>
        <w:rPr>
          <w:rFonts w:hint="eastAsia" w:ascii="宋体" w:hAnsi="宋体" w:eastAsia="宋体" w:cs="宋体"/>
          <w:b/>
          <w:color w:val="auto"/>
          <w:sz w:val="28"/>
          <w:szCs w:val="28"/>
          <w:highlight w:val="none"/>
        </w:rPr>
        <w:t>.</w:t>
      </w:r>
      <w:r>
        <w:rPr>
          <w:rFonts w:hint="eastAsia" w:ascii="宋体" w:hAnsi="宋体" w:eastAsia="宋体" w:cs="宋体"/>
          <w:b/>
          <w:bCs/>
          <w:color w:val="auto"/>
          <w:sz w:val="28"/>
          <w:szCs w:val="28"/>
          <w:highlight w:val="none"/>
        </w:rPr>
        <w:t>报价文件目录</w:t>
      </w:r>
    </w:p>
    <w:p w14:paraId="3664D268">
      <w:pPr>
        <w:snapToGrid w:val="0"/>
        <w:spacing w:before="50" w:after="120" w:afterLines="50" w:line="360" w:lineRule="auto"/>
        <w:jc w:val="left"/>
        <w:rPr>
          <w:rFonts w:hint="eastAsia" w:ascii="宋体" w:hAnsi="宋体" w:eastAsia="宋体" w:cs="宋体"/>
          <w:b/>
          <w:color w:val="auto"/>
          <w:sz w:val="28"/>
          <w:szCs w:val="28"/>
          <w:highlight w:val="none"/>
        </w:rPr>
      </w:pPr>
      <w:r>
        <w:rPr>
          <w:rFonts w:hint="eastAsia" w:ascii="宋体" w:hAnsi="宋体" w:eastAsia="宋体" w:cs="宋体"/>
          <w:color w:val="auto"/>
          <w:sz w:val="28"/>
          <w:szCs w:val="28"/>
          <w:highlight w:val="none"/>
        </w:rPr>
        <w:t>根据招标文件规定及投标人提供的材料自行编写目录</w:t>
      </w:r>
      <w:r>
        <w:rPr>
          <w:rFonts w:hint="eastAsia" w:ascii="宋体" w:hAnsi="宋体" w:eastAsia="宋体" w:cs="宋体"/>
          <w:color w:val="auto"/>
          <w:kern w:val="0"/>
          <w:sz w:val="28"/>
          <w:szCs w:val="28"/>
          <w:highlight w:val="none"/>
        </w:rPr>
        <w:t>（部分格式后附）</w:t>
      </w:r>
      <w:r>
        <w:rPr>
          <w:rFonts w:hint="eastAsia" w:ascii="宋体" w:hAnsi="宋体" w:eastAsia="宋体" w:cs="宋体"/>
          <w:color w:val="auto"/>
          <w:sz w:val="28"/>
          <w:szCs w:val="28"/>
          <w:highlight w:val="none"/>
        </w:rPr>
        <w:t>。</w:t>
      </w:r>
    </w:p>
    <w:p w14:paraId="33377122">
      <w:pPr>
        <w:spacing w:line="500" w:lineRule="exact"/>
        <w:jc w:val="center"/>
        <w:rPr>
          <w:rFonts w:hint="eastAsia" w:ascii="Times New Roman" w:hAnsi="Times New Roman" w:eastAsia="宋体" w:cs="Times New Roman"/>
          <w:b/>
          <w:bCs/>
          <w:color w:val="auto"/>
          <w:sz w:val="30"/>
          <w:szCs w:val="30"/>
          <w:highlight w:val="none"/>
        </w:rPr>
      </w:pPr>
      <w:r>
        <w:rPr>
          <w:rFonts w:hint="eastAsia" w:ascii="Times New Roman" w:hAnsi="Times New Roman" w:eastAsia="宋体" w:cs="Times New Roman"/>
          <w:b/>
          <w:bCs/>
          <w:color w:val="auto"/>
          <w:sz w:val="30"/>
          <w:szCs w:val="30"/>
          <w:highlight w:val="none"/>
        </w:rPr>
        <w:br w:type="page"/>
      </w:r>
    </w:p>
    <w:p w14:paraId="6BE1C393">
      <w:pPr>
        <w:pStyle w:val="16"/>
        <w:spacing w:line="500" w:lineRule="exact"/>
        <w:jc w:val="left"/>
        <w:rPr>
          <w:rFonts w:hint="eastAsia" w:ascii="Times New Roman" w:hAnsi="Times New Roman" w:eastAsia="宋体" w:cs="Times New Roman"/>
          <w:b/>
          <w:bCs/>
          <w:color w:val="auto"/>
          <w:sz w:val="30"/>
          <w:szCs w:val="30"/>
          <w:highlight w:val="none"/>
        </w:rPr>
      </w:pPr>
      <w:r>
        <w:rPr>
          <w:rFonts w:hint="eastAsia" w:ascii="宋体" w:hAnsi="宋体" w:cs="宋体"/>
          <w:b/>
          <w:bCs/>
          <w:color w:val="auto"/>
          <w:sz w:val="28"/>
          <w:szCs w:val="28"/>
          <w:highlight w:val="none"/>
          <w:lang w:val="en-US" w:eastAsia="zh-CN"/>
        </w:rPr>
        <w:t>3.投标函的格式：</w:t>
      </w:r>
    </w:p>
    <w:p w14:paraId="1C086FE2">
      <w:pPr>
        <w:pStyle w:val="16"/>
        <w:spacing w:line="500" w:lineRule="exact"/>
        <w:jc w:val="center"/>
        <w:rPr>
          <w:rFonts w:hint="eastAsia" w:ascii="Times New Roman" w:hAnsi="Times New Roman" w:eastAsia="宋体" w:cs="Times New Roman"/>
          <w:b/>
          <w:bCs/>
          <w:color w:val="auto"/>
          <w:sz w:val="30"/>
          <w:szCs w:val="30"/>
          <w:highlight w:val="none"/>
        </w:rPr>
      </w:pPr>
      <w:r>
        <w:rPr>
          <w:rFonts w:hint="eastAsia" w:ascii="Times New Roman" w:hAnsi="Times New Roman" w:eastAsia="宋体" w:cs="Times New Roman"/>
          <w:b/>
          <w:bCs/>
          <w:color w:val="auto"/>
          <w:sz w:val="30"/>
          <w:szCs w:val="30"/>
          <w:highlight w:val="none"/>
        </w:rPr>
        <w:t>投标函</w:t>
      </w:r>
    </w:p>
    <w:p w14:paraId="5E069B0C">
      <w:pPr>
        <w:pStyle w:val="16"/>
        <w:spacing w:line="440" w:lineRule="exact"/>
        <w:ind w:firstLine="420" w:firstLineChars="200"/>
        <w:rPr>
          <w:rFonts w:hint="eastAsia" w:ascii="Times New Roman" w:hAnsi="Times New Roman" w:eastAsia="宋体" w:cs="Times New Roman"/>
          <w:color w:val="auto"/>
          <w:highlight w:val="none"/>
        </w:rPr>
      </w:pPr>
    </w:p>
    <w:p w14:paraId="3D37E181">
      <w:pPr>
        <w:pStyle w:val="16"/>
        <w:spacing w:line="440" w:lineRule="exact"/>
        <w:ind w:firstLine="420" w:firstLineChars="200"/>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rPr>
        <w:t>致：</w:t>
      </w:r>
      <w:r>
        <w:rPr>
          <w:rFonts w:hint="eastAsia" w:ascii="Times New Roman" w:hAnsi="Times New Roman" w:cs="Times New Roman"/>
          <w:color w:val="auto"/>
          <w:highlight w:val="none"/>
          <w:u w:val="single"/>
          <w:lang w:eastAsia="zh-CN"/>
        </w:rPr>
        <w:t>广西建设工程机电设备招标中心有限公司</w:t>
      </w:r>
    </w:p>
    <w:p w14:paraId="55C22026">
      <w:pPr>
        <w:pStyle w:val="16"/>
        <w:spacing w:line="440" w:lineRule="exact"/>
        <w:ind w:firstLine="420" w:firstLineChars="200"/>
        <w:rPr>
          <w:rFonts w:eastAsia="宋体" w:cs="Times New Roman"/>
          <w:color w:val="auto"/>
          <w:highlight w:val="none"/>
        </w:rPr>
      </w:pPr>
      <w:r>
        <w:rPr>
          <w:rFonts w:hint="eastAsia" w:eastAsia="宋体" w:cs="Times New Roman"/>
          <w:color w:val="auto"/>
          <w:highlight w:val="none"/>
        </w:rPr>
        <w:t>我方已仔细阅读了贵方组织的</w:t>
      </w:r>
      <w:r>
        <w:rPr>
          <w:rFonts w:hint="eastAsia" w:ascii="宋体" w:hAnsi="宋体" w:cs="宋体"/>
          <w:i/>
          <w:iCs/>
          <w:color w:val="auto"/>
          <w:highlight w:val="none"/>
          <w:u w:val="single"/>
          <w:lang w:eastAsia="zh-CN"/>
        </w:rPr>
        <w:t>（项目名称）</w:t>
      </w:r>
      <w:r>
        <w:rPr>
          <w:rFonts w:ascii="Times New Roman" w:hAnsi="Times New Roman" w:eastAsia="宋体" w:cs="Times New Roman"/>
          <w:color w:val="auto"/>
          <w:highlight w:val="none"/>
          <w:u w:val="single"/>
        </w:rPr>
        <w:t xml:space="preserve"> </w:t>
      </w:r>
      <w:r>
        <w:rPr>
          <w:rFonts w:hint="eastAsia" w:eastAsia="宋体" w:cs="Times New Roman"/>
          <w:color w:val="auto"/>
          <w:highlight w:val="none"/>
        </w:rPr>
        <w:t>项目（项目编号：</w:t>
      </w:r>
      <w:r>
        <w:rPr>
          <w:rFonts w:hint="eastAsia" w:cs="Times New Roman"/>
          <w:color w:val="auto"/>
          <w:highlight w:val="none"/>
          <w:u w:val="single"/>
          <w:lang w:val="en-US" w:eastAsia="zh-CN"/>
        </w:rPr>
        <w:t xml:space="preserve">        </w:t>
      </w:r>
      <w:r>
        <w:rPr>
          <w:rFonts w:hint="eastAsia" w:eastAsia="宋体" w:cs="Times New Roman"/>
          <w:color w:val="auto"/>
          <w:highlight w:val="none"/>
        </w:rPr>
        <w:t>）的招标文件的全部内容，授权</w:t>
      </w:r>
      <w:r>
        <w:rPr>
          <w:rFonts w:ascii="Times New Roman" w:hAnsi="Times New Roman" w:eastAsia="宋体" w:cs="Times New Roman"/>
          <w:color w:val="auto"/>
          <w:highlight w:val="none"/>
          <w:u w:val="single"/>
        </w:rPr>
        <w:t xml:space="preserve">                      </w:t>
      </w:r>
      <w:r>
        <w:rPr>
          <w:rFonts w:hint="eastAsia" w:eastAsia="宋体" w:cs="Times New Roman"/>
          <w:color w:val="auto"/>
          <w:highlight w:val="none"/>
        </w:rPr>
        <w:t>(全权代表姓名)</w:t>
      </w:r>
      <w:r>
        <w:rPr>
          <w:rFonts w:ascii="Times New Roman" w:hAnsi="Times New Roman" w:eastAsia="宋体" w:cs="Times New Roman"/>
          <w:color w:val="auto"/>
          <w:highlight w:val="none"/>
          <w:u w:val="single"/>
        </w:rPr>
        <w:t xml:space="preserve">          </w:t>
      </w:r>
      <w:r>
        <w:rPr>
          <w:rFonts w:hint="eastAsia" w:eastAsia="宋体" w:cs="Times New Roman"/>
          <w:color w:val="auto"/>
          <w:highlight w:val="none"/>
        </w:rPr>
        <w:t xml:space="preserve"> (职务、职称)为全权代表，现正式递交下述文件参加贵方组织的本次政府采购活动： </w:t>
      </w:r>
    </w:p>
    <w:p w14:paraId="501C1B92">
      <w:pPr>
        <w:pStyle w:val="16"/>
        <w:spacing w:line="440" w:lineRule="exact"/>
        <w:ind w:firstLine="420" w:firstLineChars="200"/>
        <w:rPr>
          <w:rFonts w:hint="eastAsia" w:eastAsia="宋体" w:cs="Times New Roman"/>
          <w:color w:val="auto"/>
          <w:highlight w:val="none"/>
        </w:rPr>
      </w:pPr>
      <w:r>
        <w:rPr>
          <w:rFonts w:hint="eastAsia" w:eastAsia="宋体" w:cs="Times New Roman"/>
          <w:color w:val="auto"/>
          <w:highlight w:val="none"/>
        </w:rPr>
        <w:t>一、报价文件电子版（包含按投标人须知前附表要求提交的全部文件）；</w:t>
      </w:r>
    </w:p>
    <w:p w14:paraId="24DFFCF4">
      <w:pPr>
        <w:pStyle w:val="16"/>
        <w:spacing w:line="440" w:lineRule="exact"/>
        <w:ind w:firstLine="482"/>
        <w:rPr>
          <w:rFonts w:hint="eastAsia" w:eastAsia="宋体" w:cs="Times New Roman"/>
          <w:color w:val="auto"/>
          <w:highlight w:val="none"/>
        </w:rPr>
      </w:pPr>
      <w:r>
        <w:rPr>
          <w:rFonts w:hint="eastAsia" w:eastAsia="宋体" w:cs="Times New Roman"/>
          <w:color w:val="auto"/>
          <w:highlight w:val="none"/>
        </w:rPr>
        <w:t>二、资格文件电子版（包含按投标人须知前附表要求提交的全部文件）；</w:t>
      </w:r>
    </w:p>
    <w:p w14:paraId="03D4E78D">
      <w:pPr>
        <w:pStyle w:val="16"/>
        <w:spacing w:line="440" w:lineRule="exact"/>
        <w:ind w:firstLine="482"/>
        <w:rPr>
          <w:rFonts w:hint="eastAsia" w:eastAsia="宋体" w:cs="Times New Roman"/>
          <w:color w:val="auto"/>
          <w:highlight w:val="none"/>
        </w:rPr>
      </w:pPr>
      <w:r>
        <w:rPr>
          <w:rFonts w:hint="eastAsia" w:eastAsia="宋体" w:cs="Times New Roman"/>
          <w:color w:val="auto"/>
          <w:highlight w:val="none"/>
        </w:rPr>
        <w:t>三、</w:t>
      </w:r>
      <w:r>
        <w:rPr>
          <w:rFonts w:hint="eastAsia" w:hAnsi="宋体" w:eastAsia="宋体" w:cs="Times New Roman"/>
          <w:color w:val="auto"/>
          <w:highlight w:val="none"/>
        </w:rPr>
        <w:t>技术</w:t>
      </w:r>
      <w:r>
        <w:rPr>
          <w:rFonts w:hint="eastAsia" w:eastAsia="宋体" w:cs="Times New Roman"/>
          <w:color w:val="auto"/>
          <w:highlight w:val="none"/>
        </w:rPr>
        <w:t>文件电子版（包含按投标人须知前附表要求提交的全部文件）；</w:t>
      </w:r>
    </w:p>
    <w:p w14:paraId="1A8A1FAD">
      <w:pPr>
        <w:pStyle w:val="16"/>
        <w:spacing w:line="440" w:lineRule="exact"/>
        <w:ind w:firstLine="482"/>
        <w:rPr>
          <w:rFonts w:hint="eastAsia" w:eastAsia="宋体" w:cs="Times New Roman"/>
          <w:color w:val="auto"/>
          <w:highlight w:val="none"/>
        </w:rPr>
      </w:pPr>
      <w:r>
        <w:rPr>
          <w:rFonts w:hint="eastAsia" w:hAnsi="宋体" w:eastAsia="宋体" w:cs="Times New Roman"/>
          <w:color w:val="auto"/>
          <w:highlight w:val="none"/>
        </w:rPr>
        <w:t>四、</w:t>
      </w:r>
      <w:r>
        <w:rPr>
          <w:rFonts w:hint="eastAsia" w:eastAsia="宋体" w:cs="Times New Roman"/>
          <w:color w:val="auto"/>
          <w:highlight w:val="none"/>
        </w:rPr>
        <w:t>商务</w:t>
      </w:r>
      <w:r>
        <w:rPr>
          <w:rFonts w:hint="eastAsia" w:hAnsi="宋体" w:eastAsia="宋体" w:cs="Times New Roman"/>
          <w:color w:val="auto"/>
          <w:highlight w:val="none"/>
        </w:rPr>
        <w:t>文件</w:t>
      </w:r>
      <w:r>
        <w:rPr>
          <w:rFonts w:hint="eastAsia" w:eastAsia="宋体" w:cs="Times New Roman"/>
          <w:color w:val="auto"/>
          <w:highlight w:val="none"/>
        </w:rPr>
        <w:t>电子版（包含按投标人须知前附表要求提交的全部文件）；</w:t>
      </w:r>
    </w:p>
    <w:p w14:paraId="606C3793">
      <w:pPr>
        <w:pStyle w:val="16"/>
        <w:spacing w:line="440" w:lineRule="exact"/>
        <w:ind w:firstLine="482"/>
        <w:rPr>
          <w:rFonts w:hint="eastAsia" w:ascii="Times New Roman" w:hAnsi="Times New Roman" w:eastAsia="宋体" w:cs="Times New Roman"/>
          <w:color w:val="auto"/>
          <w:highlight w:val="none"/>
        </w:rPr>
      </w:pPr>
      <w:r>
        <w:rPr>
          <w:rFonts w:hint="eastAsia" w:eastAsia="宋体" w:cs="Times New Roman"/>
          <w:color w:val="auto"/>
          <w:highlight w:val="none"/>
        </w:rPr>
        <w:t>据此函，</w:t>
      </w:r>
      <w:r>
        <w:rPr>
          <w:rFonts w:hint="eastAsia" w:cs="Times New Roman"/>
          <w:color w:val="auto"/>
          <w:highlight w:val="none"/>
          <w:lang w:val="en-US" w:eastAsia="zh-CN"/>
        </w:rPr>
        <w:t>我方</w:t>
      </w:r>
      <w:r>
        <w:rPr>
          <w:rFonts w:hint="default" w:eastAsia="宋体" w:cs="Times New Roman"/>
          <w:color w:val="auto"/>
          <w:highlight w:val="none"/>
          <w:lang w:val="en-US"/>
        </w:rPr>
        <w:t>兹</w:t>
      </w:r>
      <w:r>
        <w:rPr>
          <w:rFonts w:hint="eastAsia" w:eastAsia="宋体" w:cs="Times New Roman"/>
          <w:color w:val="auto"/>
          <w:highlight w:val="none"/>
        </w:rPr>
        <w:t>宣布：</w:t>
      </w:r>
    </w:p>
    <w:p w14:paraId="64552254">
      <w:pPr>
        <w:pStyle w:val="16"/>
        <w:spacing w:line="440" w:lineRule="exact"/>
        <w:ind w:firstLine="420" w:firstLineChars="200"/>
        <w:rPr>
          <w:rFonts w:ascii="Times New Roman" w:hAnsi="Times New Roman" w:eastAsia="宋体" w:cs="Times New Roman"/>
          <w:color w:val="auto"/>
          <w:highlight w:val="none"/>
        </w:rPr>
      </w:pPr>
      <w:r>
        <w:rPr>
          <w:rFonts w:hint="eastAsia" w:eastAsia="宋体" w:cs="Times New Roman"/>
          <w:color w:val="auto"/>
          <w:highlight w:val="none"/>
        </w:rPr>
        <w:t>1、我方愿意以投标时提供</w:t>
      </w:r>
      <w:r>
        <w:rPr>
          <w:rFonts w:hint="eastAsia" w:hAnsi="宋体" w:cs="宋体"/>
          <w:color w:val="auto"/>
          <w:highlight w:val="none"/>
          <w:lang w:eastAsia="zh-CN"/>
        </w:rPr>
        <w:t>的开标一览表中的投标总</w:t>
      </w:r>
      <w:r>
        <w:rPr>
          <w:rFonts w:hint="eastAsia" w:ascii="宋体" w:hAnsi="宋体" w:cs="宋体"/>
          <w:color w:val="auto"/>
          <w:szCs w:val="22"/>
          <w:highlight w:val="none"/>
        </w:rPr>
        <w:t>报价</w:t>
      </w:r>
      <w:r>
        <w:rPr>
          <w:rFonts w:hint="eastAsia" w:hAnsi="宋体" w:cs="宋体"/>
          <w:color w:val="auto"/>
          <w:szCs w:val="22"/>
          <w:highlight w:val="none"/>
          <w:lang w:eastAsia="zh-CN"/>
        </w:rPr>
        <w:t>，在承诺的提交服务成果时间内</w:t>
      </w:r>
      <w:r>
        <w:rPr>
          <w:rFonts w:hint="eastAsia" w:eastAsia="宋体" w:cs="Times New Roman"/>
          <w:color w:val="auto"/>
          <w:highlight w:val="none"/>
        </w:rPr>
        <w:t>提供本项目</w:t>
      </w:r>
      <w:r>
        <w:rPr>
          <w:rFonts w:hint="eastAsia" w:hAnsi="Times New Roman" w:eastAsia="宋体" w:cs="Times New Roman"/>
          <w:color w:val="auto"/>
          <w:highlight w:val="none"/>
        </w:rPr>
        <w:t>招标文件“第二章  采购需求”的“</w:t>
      </w:r>
      <w:r>
        <w:rPr>
          <w:rFonts w:hint="eastAsia" w:hAnsi="Times New Roman" w:cs="Times New Roman"/>
          <w:color w:val="auto"/>
          <w:highlight w:val="none"/>
          <w:lang w:val="en-US" w:eastAsia="zh-CN"/>
        </w:rPr>
        <w:t>技术</w:t>
      </w:r>
      <w:r>
        <w:rPr>
          <w:rFonts w:hint="eastAsia" w:hAnsi="Times New Roman" w:cs="Times New Roman"/>
          <w:color w:val="auto"/>
          <w:highlight w:val="none"/>
          <w:lang w:eastAsia="zh-CN"/>
        </w:rPr>
        <w:t>要求</w:t>
      </w:r>
      <w:r>
        <w:rPr>
          <w:rFonts w:hint="eastAsia" w:hAnsi="Times New Roman" w:eastAsia="宋体" w:cs="Times New Roman"/>
          <w:color w:val="auto"/>
          <w:highlight w:val="none"/>
        </w:rPr>
        <w:t>”</w:t>
      </w:r>
      <w:r>
        <w:rPr>
          <w:rFonts w:hint="eastAsia" w:hAnsi="Times New Roman" w:cs="Times New Roman"/>
          <w:color w:val="auto"/>
          <w:highlight w:val="none"/>
          <w:lang w:eastAsia="zh-CN"/>
        </w:rPr>
        <w:t>中</w:t>
      </w:r>
      <w:r>
        <w:rPr>
          <w:rFonts w:hint="eastAsia" w:eastAsia="宋体" w:cs="Times New Roman"/>
          <w:color w:val="auto"/>
          <w:highlight w:val="none"/>
        </w:rPr>
        <w:t>的相应的采购内容</w:t>
      </w:r>
      <w:r>
        <w:rPr>
          <w:rFonts w:hint="eastAsia" w:hAnsi="宋体" w:cs="宋体"/>
          <w:color w:val="auto"/>
          <w:highlight w:val="none"/>
          <w:lang w:eastAsia="zh-CN"/>
        </w:rPr>
        <w:t>，具体详见开标一览表</w:t>
      </w:r>
      <w:r>
        <w:rPr>
          <w:rFonts w:hint="eastAsia" w:eastAsia="宋体" w:cs="Times New Roman"/>
          <w:color w:val="auto"/>
          <w:highlight w:val="none"/>
        </w:rPr>
        <w:t>。</w:t>
      </w:r>
    </w:p>
    <w:p w14:paraId="12B559F7">
      <w:pPr>
        <w:pStyle w:val="16"/>
        <w:spacing w:line="360" w:lineRule="exact"/>
        <w:ind w:firstLine="420" w:firstLineChars="200"/>
        <w:rPr>
          <w:rFonts w:hint="eastAsia" w:eastAsia="宋体" w:cs="Times New Roman"/>
          <w:color w:val="auto"/>
          <w:highlight w:val="none"/>
          <w:u w:val="single"/>
        </w:rPr>
      </w:pPr>
      <w:r>
        <w:rPr>
          <w:rFonts w:hint="eastAsia" w:eastAsia="宋体" w:cs="Times New Roman"/>
          <w:color w:val="auto"/>
          <w:highlight w:val="none"/>
        </w:rPr>
        <w:t>2、我方同意自本项目招标文件“第三章 投标人须知”第一节 投标人须知前附表 第21.</w:t>
      </w:r>
      <w:r>
        <w:rPr>
          <w:rFonts w:hint="eastAsia" w:cs="Times New Roman"/>
          <w:color w:val="auto"/>
          <w:highlight w:val="none"/>
          <w:lang w:val="en-US" w:eastAsia="zh-CN"/>
        </w:rPr>
        <w:t>1</w:t>
      </w:r>
      <w:r>
        <w:rPr>
          <w:rFonts w:hint="eastAsia" w:eastAsia="宋体" w:cs="Times New Roman"/>
          <w:color w:val="auto"/>
          <w:highlight w:val="none"/>
        </w:rPr>
        <w:t>项规定的投标截止时间（开标时间）起遵循</w:t>
      </w:r>
      <w:r>
        <w:rPr>
          <w:rFonts w:hint="eastAsia" w:hAnsi="宋体" w:eastAsia="宋体" w:cs="Times New Roman"/>
          <w:color w:val="auto"/>
          <w:highlight w:val="none"/>
        </w:rPr>
        <w:t>本投标函</w:t>
      </w:r>
      <w:r>
        <w:rPr>
          <w:rFonts w:hint="eastAsia" w:eastAsia="宋体" w:cs="Times New Roman"/>
          <w:color w:val="auto"/>
          <w:highlight w:val="none"/>
        </w:rPr>
        <w:t>，并承诺在“投标人须知前附表”第17.2项规定的投标有效期内不修改、撤销投标文件。</w:t>
      </w:r>
    </w:p>
    <w:p w14:paraId="6B27539B">
      <w:pPr>
        <w:pStyle w:val="16"/>
        <w:spacing w:line="360" w:lineRule="exact"/>
        <w:ind w:firstLine="420" w:firstLineChars="200"/>
        <w:rPr>
          <w:rFonts w:hint="eastAsia" w:eastAsia="宋体" w:cs="Times New Roman"/>
          <w:color w:val="auto"/>
          <w:highlight w:val="none"/>
          <w:u w:val="single"/>
        </w:rPr>
      </w:pPr>
      <w:r>
        <w:rPr>
          <w:rFonts w:hint="eastAsia" w:eastAsia="宋体" w:cs="Times New Roman"/>
          <w:color w:val="auto"/>
          <w:highlight w:val="none"/>
        </w:rPr>
        <w:t>3、我方</w:t>
      </w:r>
      <w:r>
        <w:rPr>
          <w:rFonts w:hint="eastAsia" w:ascii="宋体" w:hAnsi="宋体" w:eastAsia="宋体" w:cs="宋体"/>
          <w:color w:val="auto"/>
          <w:kern w:val="0"/>
          <w:sz w:val="20"/>
          <w:szCs w:val="21"/>
          <w:highlight w:val="none"/>
          <w:lang w:val="zh-CN" w:eastAsia="zh-CN"/>
        </w:rPr>
        <w:t>在此声明</w:t>
      </w:r>
      <w:r>
        <w:rPr>
          <w:rFonts w:hint="eastAsia" w:eastAsia="宋体" w:cs="Times New Roman"/>
          <w:color w:val="auto"/>
          <w:highlight w:val="none"/>
        </w:rPr>
        <w:t>所递交的投标文件及有关资料都是内容完整、真实和准确的。</w:t>
      </w:r>
    </w:p>
    <w:p w14:paraId="344D18A8">
      <w:pPr>
        <w:pStyle w:val="16"/>
        <w:spacing w:line="440" w:lineRule="exact"/>
        <w:ind w:firstLine="420" w:firstLineChars="200"/>
        <w:rPr>
          <w:rFonts w:hint="eastAsia" w:eastAsia="宋体" w:cs="Times New Roman"/>
          <w:color w:val="auto"/>
          <w:highlight w:val="none"/>
        </w:rPr>
      </w:pPr>
      <w:r>
        <w:rPr>
          <w:rFonts w:hint="eastAsia" w:eastAsia="宋体" w:cs="Times New Roman"/>
          <w:color w:val="auto"/>
          <w:highlight w:val="none"/>
        </w:rPr>
        <w:t>4、</w:t>
      </w:r>
      <w:r>
        <w:rPr>
          <w:rFonts w:hint="eastAsia" w:eastAsia="宋体" w:cs="Times New Roman"/>
          <w:color w:val="auto"/>
          <w:szCs w:val="21"/>
          <w:highlight w:val="none"/>
        </w:rPr>
        <w:t>如本项目采购内容涉及须符合国家强制规定的，我方承诺我方本次投标（包括资格条件和所投产品）均符合国家有关强制规定。</w:t>
      </w:r>
    </w:p>
    <w:p w14:paraId="50E40B68">
      <w:pPr>
        <w:pStyle w:val="16"/>
        <w:spacing w:line="440" w:lineRule="exact"/>
        <w:ind w:firstLine="420" w:firstLineChars="200"/>
        <w:rPr>
          <w:rFonts w:hint="eastAsia" w:eastAsia="宋体" w:cs="Times New Roman"/>
          <w:color w:val="auto"/>
          <w:highlight w:val="none"/>
        </w:rPr>
      </w:pPr>
      <w:r>
        <w:rPr>
          <w:rFonts w:hint="eastAsia" w:eastAsia="宋体" w:cs="Times New Roman"/>
          <w:color w:val="auto"/>
          <w:highlight w:val="none"/>
        </w:rPr>
        <w:t>5、如我方中标，我方承诺在收到中标通知书后，在中标通知书规定的期限内，</w:t>
      </w:r>
      <w:r>
        <w:rPr>
          <w:rFonts w:hint="eastAsia" w:hAnsi="宋体" w:eastAsia="宋体" w:cs="Times New Roman"/>
          <w:color w:val="auto"/>
          <w:highlight w:val="none"/>
        </w:rPr>
        <w:t>根据招标文件、我方的投标文件及有关澄清承诺书的要求按第五章“拟签订的合同文本”与采购人订立书面合同，并按照合同约定</w:t>
      </w:r>
      <w:r>
        <w:rPr>
          <w:rFonts w:hint="eastAsia" w:eastAsia="宋体" w:cs="Times New Roman"/>
          <w:color w:val="auto"/>
          <w:highlight w:val="none"/>
        </w:rPr>
        <w:t>承担完成合同的责任和义务。</w:t>
      </w:r>
    </w:p>
    <w:p w14:paraId="244938DD">
      <w:pPr>
        <w:pStyle w:val="16"/>
        <w:spacing w:line="440" w:lineRule="exact"/>
        <w:ind w:firstLine="420" w:firstLineChars="200"/>
        <w:rPr>
          <w:rFonts w:hint="eastAsia" w:eastAsia="宋体" w:cs="Times New Roman"/>
          <w:color w:val="auto"/>
          <w:highlight w:val="none"/>
        </w:rPr>
      </w:pPr>
      <w:r>
        <w:rPr>
          <w:rFonts w:hint="eastAsia" w:eastAsia="宋体" w:cs="Times New Roman"/>
          <w:color w:val="auto"/>
          <w:highlight w:val="none"/>
        </w:rPr>
        <w:t>6、我方已详细审核招标文件，我方知道必须放弃提出含糊不清或误解问题的权利。</w:t>
      </w:r>
    </w:p>
    <w:p w14:paraId="55C6B41C">
      <w:pPr>
        <w:pStyle w:val="16"/>
        <w:spacing w:line="440" w:lineRule="exact"/>
        <w:ind w:firstLine="420" w:firstLineChars="200"/>
        <w:rPr>
          <w:rFonts w:hint="eastAsia" w:eastAsia="宋体" w:cs="Times New Roman"/>
          <w:color w:val="auto"/>
          <w:highlight w:val="none"/>
        </w:rPr>
      </w:pPr>
      <w:r>
        <w:rPr>
          <w:rFonts w:hint="eastAsia" w:eastAsia="宋体" w:cs="Times New Roman"/>
          <w:color w:val="auto"/>
          <w:highlight w:val="none"/>
        </w:rPr>
        <w:t>7、我方同意应贵方要求提供与本投标有关的任何数据或资料。若贵方需要，我方愿意提供我方作出的一切承诺的证明材料。</w:t>
      </w:r>
    </w:p>
    <w:p w14:paraId="3703B4C0">
      <w:pPr>
        <w:pStyle w:val="16"/>
        <w:spacing w:line="440" w:lineRule="exact"/>
        <w:ind w:firstLine="420" w:firstLineChars="200"/>
        <w:rPr>
          <w:rFonts w:hint="eastAsia" w:eastAsia="宋体" w:cs="Times New Roman"/>
          <w:color w:val="auto"/>
          <w:highlight w:val="none"/>
        </w:rPr>
      </w:pPr>
      <w:r>
        <w:rPr>
          <w:rFonts w:hint="eastAsia" w:eastAsia="宋体" w:cs="Times New Roman"/>
          <w:color w:val="auto"/>
          <w:highlight w:val="none"/>
        </w:rPr>
        <w:t>8、我方完全理解贵方不一定接受投标报价最低的投标人为中标</w:t>
      </w:r>
      <w:r>
        <w:rPr>
          <w:rFonts w:hint="eastAsia" w:cs="Times New Roman"/>
          <w:color w:val="auto"/>
          <w:highlight w:val="none"/>
          <w:lang w:val="en-US" w:eastAsia="zh-CN"/>
        </w:rPr>
        <w:t>人</w:t>
      </w:r>
      <w:r>
        <w:rPr>
          <w:rFonts w:hint="eastAsia" w:eastAsia="宋体" w:cs="Times New Roman"/>
          <w:color w:val="auto"/>
          <w:highlight w:val="none"/>
        </w:rPr>
        <w:t>的行为。</w:t>
      </w:r>
    </w:p>
    <w:p w14:paraId="384CA05B">
      <w:pPr>
        <w:pStyle w:val="16"/>
        <w:spacing w:line="440" w:lineRule="exact"/>
        <w:ind w:firstLine="420" w:firstLineChars="200"/>
        <w:rPr>
          <w:rFonts w:hint="eastAsia" w:eastAsia="宋体" w:cs="Times New Roman"/>
          <w:color w:val="auto"/>
          <w:highlight w:val="none"/>
        </w:rPr>
      </w:pPr>
      <w:r>
        <w:rPr>
          <w:rFonts w:hint="eastAsia" w:eastAsia="宋体" w:cs="Times New Roman"/>
          <w:color w:val="auto"/>
          <w:highlight w:val="none"/>
        </w:rPr>
        <w:t>9、我方将严格遵守《中华人民共和国政府采购法》第七十七条的规定，即供应商有下列情形之一的，处以采购金额千分之五以上千分之十</w:t>
      </w:r>
      <w:r>
        <w:rPr>
          <w:rFonts w:hint="eastAsia" w:hAnsi="宋体" w:eastAsia="宋体" w:cs="Times New Roman"/>
          <w:color w:val="auto"/>
          <w:highlight w:val="none"/>
        </w:rPr>
        <w:t>以下的罚款，列入不良行为记录名单，在一至三年内禁止参加政府采购活动，有违法所得的，并处没收违法所得，情节严重的，由工商行政管理机关吊销营业执照；构成犯罪的，依法追究刑事责任：</w:t>
      </w:r>
    </w:p>
    <w:p w14:paraId="460247F0">
      <w:pPr>
        <w:pStyle w:val="16"/>
        <w:numPr>
          <w:ilvl w:val="0"/>
          <w:numId w:val="7"/>
        </w:numPr>
        <w:spacing w:line="440" w:lineRule="exact"/>
        <w:ind w:left="1140" w:hanging="720"/>
        <w:rPr>
          <w:rFonts w:hint="eastAsia" w:hAnsi="宋体" w:eastAsia="宋体" w:cs="Times New Roman"/>
          <w:color w:val="auto"/>
          <w:highlight w:val="none"/>
        </w:rPr>
      </w:pPr>
      <w:r>
        <w:rPr>
          <w:rFonts w:hint="eastAsia" w:hAnsi="宋体" w:eastAsia="宋体" w:cs="Times New Roman"/>
          <w:color w:val="auto"/>
          <w:highlight w:val="none"/>
        </w:rPr>
        <w:t>提供虚假材料谋取中标、成交的；</w:t>
      </w:r>
    </w:p>
    <w:p w14:paraId="0D5735D6">
      <w:pPr>
        <w:pStyle w:val="16"/>
        <w:numPr>
          <w:ilvl w:val="0"/>
          <w:numId w:val="7"/>
        </w:numPr>
        <w:spacing w:line="440" w:lineRule="exact"/>
        <w:ind w:left="1140" w:hanging="720"/>
        <w:rPr>
          <w:rFonts w:hint="eastAsia" w:hAnsi="宋体" w:eastAsia="宋体" w:cs="Times New Roman"/>
          <w:color w:val="auto"/>
          <w:highlight w:val="none"/>
        </w:rPr>
      </w:pPr>
      <w:r>
        <w:rPr>
          <w:rFonts w:hint="eastAsia" w:hAnsi="宋体" w:eastAsia="宋体" w:cs="Times New Roman"/>
          <w:color w:val="auto"/>
          <w:highlight w:val="none"/>
        </w:rPr>
        <w:t>采取不正当手段诋毁、排挤其他供应商的；</w:t>
      </w:r>
    </w:p>
    <w:p w14:paraId="52D6EA7D">
      <w:pPr>
        <w:pStyle w:val="16"/>
        <w:numPr>
          <w:ilvl w:val="0"/>
          <w:numId w:val="7"/>
        </w:numPr>
        <w:spacing w:line="440" w:lineRule="exact"/>
        <w:ind w:left="1140" w:hanging="720"/>
        <w:rPr>
          <w:rFonts w:hint="eastAsia" w:eastAsia="宋体" w:cs="Times New Roman"/>
          <w:color w:val="auto"/>
          <w:highlight w:val="none"/>
        </w:rPr>
      </w:pPr>
      <w:r>
        <w:rPr>
          <w:rFonts w:hint="eastAsia" w:hAnsi="宋体" w:eastAsia="宋体" w:cs="Times New Roman"/>
          <w:color w:val="auto"/>
          <w:highlight w:val="none"/>
        </w:rPr>
        <w:t>与采购人、其他供应商或者采购代理机构恶意串通的；</w:t>
      </w:r>
    </w:p>
    <w:p w14:paraId="6B90F5E2">
      <w:pPr>
        <w:pStyle w:val="16"/>
        <w:numPr>
          <w:ilvl w:val="0"/>
          <w:numId w:val="7"/>
        </w:numPr>
        <w:spacing w:line="440" w:lineRule="exact"/>
        <w:ind w:left="1140" w:hanging="720"/>
        <w:rPr>
          <w:rFonts w:hint="eastAsia" w:eastAsia="宋体" w:cs="Times New Roman"/>
          <w:color w:val="auto"/>
          <w:highlight w:val="none"/>
        </w:rPr>
      </w:pPr>
      <w:r>
        <w:rPr>
          <w:rFonts w:hint="eastAsia" w:hAnsi="宋体" w:eastAsia="宋体" w:cs="Times New Roman"/>
          <w:color w:val="auto"/>
          <w:highlight w:val="none"/>
        </w:rPr>
        <w:t>向采购人、采购代理机构行贿或者提供其他不正当利益的；</w:t>
      </w:r>
    </w:p>
    <w:p w14:paraId="68229A26">
      <w:pPr>
        <w:pStyle w:val="16"/>
        <w:numPr>
          <w:ilvl w:val="0"/>
          <w:numId w:val="7"/>
        </w:numPr>
        <w:spacing w:line="440" w:lineRule="exact"/>
        <w:ind w:left="1140" w:hanging="720"/>
        <w:rPr>
          <w:rFonts w:hint="eastAsia" w:eastAsia="宋体" w:cs="Times New Roman"/>
          <w:color w:val="auto"/>
          <w:highlight w:val="none"/>
        </w:rPr>
      </w:pPr>
      <w:r>
        <w:rPr>
          <w:rFonts w:hint="eastAsia" w:hAnsi="宋体" w:eastAsia="宋体" w:cs="Times New Roman"/>
          <w:color w:val="auto"/>
          <w:highlight w:val="none"/>
        </w:rPr>
        <w:t>在招标采购过程中与采购人进行协商谈判的；</w:t>
      </w:r>
    </w:p>
    <w:p w14:paraId="366ED3AA">
      <w:pPr>
        <w:pStyle w:val="16"/>
        <w:numPr>
          <w:ilvl w:val="0"/>
          <w:numId w:val="7"/>
        </w:numPr>
        <w:spacing w:line="440" w:lineRule="exact"/>
        <w:ind w:left="1140" w:hanging="720"/>
        <w:rPr>
          <w:rFonts w:hint="eastAsia" w:eastAsia="宋体" w:cs="Times New Roman"/>
          <w:color w:val="auto"/>
          <w:highlight w:val="none"/>
        </w:rPr>
      </w:pPr>
      <w:r>
        <w:rPr>
          <w:rFonts w:hint="eastAsia" w:hAnsi="宋体" w:eastAsia="宋体" w:cs="Times New Roman"/>
          <w:color w:val="auto"/>
          <w:highlight w:val="none"/>
        </w:rPr>
        <w:t>拒绝有关部门监督检查或提供虚假情况的。</w:t>
      </w:r>
    </w:p>
    <w:p w14:paraId="7C5BDBCB">
      <w:pPr>
        <w:pStyle w:val="16"/>
        <w:spacing w:line="360" w:lineRule="auto"/>
        <w:ind w:firstLine="420"/>
        <w:rPr>
          <w:rFonts w:hint="eastAsia" w:eastAsia="宋体" w:cs="Times New Roman"/>
          <w:color w:val="auto"/>
          <w:highlight w:val="none"/>
        </w:rPr>
      </w:pPr>
      <w:r>
        <w:rPr>
          <w:rFonts w:hint="eastAsia" w:eastAsia="宋体" w:cs="Times New Roman"/>
          <w:color w:val="auto"/>
          <w:highlight w:val="none"/>
        </w:rPr>
        <w:t>10、以上事项如有虚假或</w:t>
      </w:r>
      <w:r>
        <w:rPr>
          <w:rFonts w:hint="eastAsia" w:cs="Times New Roman"/>
          <w:color w:val="auto"/>
          <w:highlight w:val="none"/>
          <w:lang w:val="en-US" w:eastAsia="zh-CN"/>
        </w:rPr>
        <w:t>者</w:t>
      </w:r>
      <w:r>
        <w:rPr>
          <w:rFonts w:hint="eastAsia" w:eastAsia="宋体" w:cs="Times New Roman"/>
          <w:color w:val="auto"/>
          <w:highlight w:val="none"/>
        </w:rPr>
        <w:t>隐瞒，我方愿意承担一切后果，并不再寻求任何旨在减轻或</w:t>
      </w:r>
      <w:r>
        <w:rPr>
          <w:rFonts w:hint="eastAsia" w:cs="Times New Roman"/>
          <w:color w:val="auto"/>
          <w:highlight w:val="none"/>
          <w:lang w:val="en-US" w:eastAsia="zh-CN"/>
        </w:rPr>
        <w:t>者</w:t>
      </w:r>
      <w:r>
        <w:rPr>
          <w:rFonts w:hint="eastAsia" w:eastAsia="宋体" w:cs="Times New Roman"/>
          <w:color w:val="auto"/>
          <w:highlight w:val="none"/>
        </w:rPr>
        <w:t>免除法律责任的辩解。</w:t>
      </w:r>
    </w:p>
    <w:p w14:paraId="0A0326FF">
      <w:pPr>
        <w:pStyle w:val="16"/>
        <w:spacing w:line="360" w:lineRule="auto"/>
        <w:ind w:firstLine="420"/>
        <w:rPr>
          <w:rFonts w:hint="eastAsia" w:eastAsia="宋体" w:cs="Times New Roman"/>
          <w:color w:val="auto"/>
          <w:highlight w:val="none"/>
        </w:rPr>
      </w:pPr>
      <w:r>
        <w:rPr>
          <w:rFonts w:hint="eastAsia" w:eastAsia="宋体" w:cs="Times New Roman"/>
          <w:color w:val="auto"/>
          <w:highlight w:val="none"/>
        </w:rPr>
        <w:t>1</w:t>
      </w:r>
      <w:r>
        <w:rPr>
          <w:rFonts w:hint="eastAsia" w:cs="Times New Roman"/>
          <w:color w:val="auto"/>
          <w:highlight w:val="none"/>
          <w:lang w:val="en-US" w:eastAsia="zh-CN"/>
        </w:rPr>
        <w:t>1</w:t>
      </w:r>
      <w:r>
        <w:rPr>
          <w:rFonts w:hint="eastAsia" w:eastAsia="宋体" w:cs="Times New Roman"/>
          <w:color w:val="auto"/>
          <w:highlight w:val="none"/>
        </w:rPr>
        <w:t>、与本投标有关的一切正式往来信函请寄：</w:t>
      </w:r>
    </w:p>
    <w:p w14:paraId="75224104">
      <w:pPr>
        <w:pStyle w:val="16"/>
        <w:spacing w:line="360" w:lineRule="auto"/>
        <w:ind w:firstLine="420"/>
        <w:rPr>
          <w:rFonts w:hint="eastAsia" w:eastAsia="宋体" w:cs="Times New Roman"/>
          <w:color w:val="auto"/>
          <w:highlight w:val="none"/>
        </w:rPr>
      </w:pPr>
      <w:r>
        <w:rPr>
          <w:rFonts w:hint="eastAsia" w:eastAsia="宋体" w:cs="Times New Roman"/>
          <w:color w:val="auto"/>
          <w:highlight w:val="none"/>
        </w:rPr>
        <w:t>地址：</w:t>
      </w:r>
      <w:r>
        <w:rPr>
          <w:rFonts w:hint="eastAsia" w:eastAsia="宋体" w:cs="Times New Roman"/>
          <w:color w:val="auto"/>
          <w:highlight w:val="none"/>
          <w:u w:val="single"/>
        </w:rPr>
        <w:t xml:space="preserve">                                                        </w:t>
      </w:r>
      <w:r>
        <w:rPr>
          <w:rFonts w:hint="eastAsia" w:eastAsia="宋体" w:cs="Times New Roman"/>
          <w:color w:val="auto"/>
          <w:highlight w:val="none"/>
        </w:rPr>
        <w:t xml:space="preserve"> </w:t>
      </w:r>
    </w:p>
    <w:p w14:paraId="27C62A0D">
      <w:pPr>
        <w:pStyle w:val="16"/>
        <w:spacing w:line="360" w:lineRule="auto"/>
        <w:ind w:firstLine="420"/>
        <w:rPr>
          <w:rFonts w:hint="eastAsia" w:eastAsia="宋体" w:cs="Times New Roman"/>
          <w:color w:val="auto"/>
          <w:highlight w:val="none"/>
          <w:u w:val="single"/>
        </w:rPr>
      </w:pPr>
      <w:r>
        <w:rPr>
          <w:rFonts w:hint="eastAsia" w:eastAsia="宋体" w:cs="Times New Roman"/>
          <w:color w:val="auto"/>
          <w:highlight w:val="none"/>
        </w:rPr>
        <w:t>电话：</w:t>
      </w:r>
      <w:r>
        <w:rPr>
          <w:rFonts w:hint="eastAsia" w:eastAsia="宋体" w:cs="Times New Roman"/>
          <w:color w:val="auto"/>
          <w:highlight w:val="none"/>
          <w:u w:val="single"/>
        </w:rPr>
        <w:t xml:space="preserve">                                      　　　　　　　　　</w:t>
      </w:r>
    </w:p>
    <w:p w14:paraId="3EF20099">
      <w:pPr>
        <w:pStyle w:val="16"/>
        <w:spacing w:line="360" w:lineRule="auto"/>
        <w:ind w:firstLine="420"/>
        <w:rPr>
          <w:rFonts w:hint="eastAsia" w:eastAsia="宋体" w:cs="Times New Roman"/>
          <w:color w:val="auto"/>
          <w:highlight w:val="none"/>
          <w:u w:val="single"/>
        </w:rPr>
      </w:pPr>
      <w:r>
        <w:rPr>
          <w:rFonts w:hint="eastAsia" w:eastAsia="宋体" w:cs="Times New Roman"/>
          <w:color w:val="auto"/>
          <w:highlight w:val="none"/>
        </w:rPr>
        <w:t>传真：</w:t>
      </w:r>
      <w:r>
        <w:rPr>
          <w:rFonts w:hint="eastAsia" w:eastAsia="宋体" w:cs="Times New Roman"/>
          <w:color w:val="auto"/>
          <w:highlight w:val="none"/>
          <w:u w:val="single"/>
        </w:rPr>
        <w:t>　　　　　　　　　　　　　　　　　　　　　　　　　　　　</w:t>
      </w:r>
    </w:p>
    <w:p w14:paraId="5EA23184">
      <w:pPr>
        <w:pStyle w:val="8"/>
        <w:spacing w:line="360" w:lineRule="auto"/>
        <w:ind w:left="0" w:firstLine="420" w:firstLineChars="200"/>
        <w:rPr>
          <w:rFonts w:hint="eastAsia"/>
          <w:color w:val="auto"/>
          <w:highlight w:val="none"/>
        </w:rPr>
      </w:pPr>
      <w:r>
        <w:rPr>
          <w:rFonts w:hint="eastAsia"/>
          <w:color w:val="auto"/>
          <w:highlight w:val="none"/>
          <w:u w:val="none"/>
        </w:rPr>
        <w:t>电子邮箱：</w:t>
      </w:r>
      <w:r>
        <w:rPr>
          <w:rFonts w:hint="eastAsia" w:eastAsia="宋体" w:cs="Times New Roman"/>
          <w:color w:val="auto"/>
          <w:highlight w:val="none"/>
          <w:u w:val="single"/>
        </w:rPr>
        <w:t>　　　　　　　　　　　　　　　　　　　　　　　　　　</w:t>
      </w:r>
    </w:p>
    <w:p w14:paraId="26443922">
      <w:pPr>
        <w:pStyle w:val="16"/>
        <w:spacing w:line="360" w:lineRule="auto"/>
        <w:ind w:firstLine="420"/>
        <w:rPr>
          <w:rFonts w:hint="eastAsia" w:eastAsia="宋体" w:cs="Times New Roman"/>
          <w:color w:val="auto"/>
          <w:highlight w:val="none"/>
          <w:u w:val="single"/>
        </w:rPr>
      </w:pPr>
      <w:r>
        <w:rPr>
          <w:rFonts w:hint="eastAsia" w:eastAsia="宋体" w:cs="Times New Roman"/>
          <w:color w:val="auto"/>
          <w:highlight w:val="none"/>
        </w:rPr>
        <w:t>邮政编码：</w:t>
      </w:r>
      <w:r>
        <w:rPr>
          <w:rFonts w:hint="eastAsia" w:eastAsia="宋体" w:cs="Times New Roman"/>
          <w:color w:val="auto"/>
          <w:highlight w:val="none"/>
          <w:u w:val="single"/>
        </w:rPr>
        <w:t xml:space="preserve">                                                    </w:t>
      </w:r>
    </w:p>
    <w:p w14:paraId="3A16AFF2">
      <w:pPr>
        <w:pStyle w:val="16"/>
        <w:spacing w:line="360" w:lineRule="auto"/>
        <w:ind w:firstLine="420"/>
        <w:rPr>
          <w:rFonts w:hint="eastAsia" w:eastAsia="宋体" w:cs="Times New Roman"/>
          <w:color w:val="auto"/>
          <w:highlight w:val="none"/>
          <w:u w:val="single"/>
        </w:rPr>
      </w:pPr>
      <w:r>
        <w:rPr>
          <w:rFonts w:hint="eastAsia" w:eastAsia="宋体" w:cs="Times New Roman"/>
          <w:color w:val="auto"/>
          <w:highlight w:val="none"/>
        </w:rPr>
        <w:t>开户名称：</w:t>
      </w:r>
      <w:r>
        <w:rPr>
          <w:rFonts w:hint="eastAsia" w:eastAsia="宋体" w:cs="Times New Roman"/>
          <w:color w:val="auto"/>
          <w:highlight w:val="none"/>
          <w:u w:val="single"/>
        </w:rPr>
        <w:t xml:space="preserve">                                                    </w:t>
      </w:r>
    </w:p>
    <w:p w14:paraId="0F9C4484">
      <w:pPr>
        <w:pStyle w:val="16"/>
        <w:spacing w:line="360" w:lineRule="auto"/>
        <w:ind w:firstLine="420"/>
        <w:rPr>
          <w:rFonts w:hint="eastAsia" w:eastAsia="宋体" w:cs="Times New Roman"/>
          <w:color w:val="auto"/>
          <w:highlight w:val="none"/>
          <w:u w:val="single"/>
        </w:rPr>
      </w:pPr>
      <w:r>
        <w:rPr>
          <w:rFonts w:hint="eastAsia" w:eastAsia="宋体" w:cs="Times New Roman"/>
          <w:color w:val="auto"/>
          <w:highlight w:val="none"/>
        </w:rPr>
        <w:t>开户银行：</w:t>
      </w:r>
      <w:r>
        <w:rPr>
          <w:rFonts w:hint="eastAsia" w:eastAsia="宋体" w:cs="Times New Roman"/>
          <w:color w:val="auto"/>
          <w:highlight w:val="none"/>
          <w:u w:val="single"/>
        </w:rPr>
        <w:t xml:space="preserve">                                                    </w:t>
      </w:r>
    </w:p>
    <w:p w14:paraId="1D808153">
      <w:pPr>
        <w:pStyle w:val="16"/>
        <w:spacing w:line="360" w:lineRule="auto"/>
        <w:ind w:firstLine="420"/>
        <w:rPr>
          <w:rFonts w:hint="eastAsia" w:eastAsia="宋体" w:cs="Times New Roman"/>
          <w:color w:val="auto"/>
          <w:highlight w:val="none"/>
          <w:u w:val="single"/>
        </w:rPr>
      </w:pPr>
      <w:r>
        <w:rPr>
          <w:rFonts w:hint="eastAsia" w:eastAsia="宋体" w:cs="Times New Roman"/>
          <w:color w:val="auto"/>
          <w:highlight w:val="none"/>
        </w:rPr>
        <w:t>银行账号：</w:t>
      </w:r>
      <w:r>
        <w:rPr>
          <w:rFonts w:hint="eastAsia" w:eastAsia="宋体" w:cs="Times New Roman"/>
          <w:color w:val="auto"/>
          <w:highlight w:val="none"/>
          <w:u w:val="single"/>
        </w:rPr>
        <w:t xml:space="preserve">                                                    </w:t>
      </w:r>
    </w:p>
    <w:p w14:paraId="79203949">
      <w:pPr>
        <w:snapToGrid w:val="0"/>
        <w:spacing w:line="360" w:lineRule="auto"/>
        <w:ind w:firstLine="5040" w:firstLineChars="2100"/>
        <w:rPr>
          <w:rFonts w:hint="eastAsia" w:ascii="仿宋_GB2312" w:hAnsi="仿宋" w:eastAsia="仿宋_GB2312" w:cs="仿宋_GB2312"/>
          <w:color w:val="auto"/>
          <w:kern w:val="0"/>
          <w:sz w:val="24"/>
          <w:highlight w:val="none"/>
          <w:lang w:val="zh-CN"/>
        </w:rPr>
      </w:pPr>
    </w:p>
    <w:p w14:paraId="0B874694">
      <w:pPr>
        <w:snapToGrid w:val="0"/>
        <w:spacing w:line="360" w:lineRule="auto"/>
        <w:ind w:firstLine="5040" w:firstLineChars="2100"/>
        <w:rPr>
          <w:rFonts w:hint="eastAsia" w:ascii="仿宋_GB2312" w:hAnsi="仿宋" w:eastAsia="仿宋_GB2312" w:cs="仿宋_GB2312"/>
          <w:color w:val="auto"/>
          <w:kern w:val="0"/>
          <w:sz w:val="24"/>
          <w:highlight w:val="none"/>
          <w:lang w:val="zh-CN"/>
        </w:rPr>
      </w:pPr>
    </w:p>
    <w:p w14:paraId="70458597">
      <w:pPr>
        <w:snapToGrid w:val="0"/>
        <w:spacing w:line="360" w:lineRule="auto"/>
        <w:ind w:firstLine="5280" w:firstLineChars="2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投标人名称(盖</w:t>
      </w:r>
      <w:r>
        <w:rPr>
          <w:rFonts w:hint="eastAsia" w:ascii="宋体" w:hAnsi="宋体" w:cs="宋体"/>
          <w:color w:val="auto"/>
          <w:kern w:val="0"/>
          <w:sz w:val="24"/>
          <w:highlight w:val="none"/>
          <w:lang w:val="en-US" w:eastAsia="zh-CN"/>
        </w:rPr>
        <w:t>单位</w:t>
      </w:r>
      <w:r>
        <w:rPr>
          <w:rFonts w:hint="eastAsia" w:ascii="宋体" w:hAnsi="宋体" w:eastAsia="宋体" w:cs="宋体"/>
          <w:color w:val="auto"/>
          <w:kern w:val="0"/>
          <w:sz w:val="24"/>
          <w:highlight w:val="none"/>
          <w:lang w:val="zh-CN"/>
        </w:rPr>
        <w:t>公章)：</w:t>
      </w:r>
    </w:p>
    <w:p w14:paraId="7B00CB54">
      <w:pPr>
        <w:pStyle w:val="18"/>
        <w:rPr>
          <w:rFonts w:hint="eastAsia"/>
          <w:color w:val="auto"/>
          <w:highlight w:val="none"/>
          <w:lang w:val="zh-CN"/>
        </w:rPr>
      </w:pPr>
      <w:r>
        <w:rPr>
          <w:rFonts w:hint="eastAsia" w:ascii="宋体" w:hAnsi="宋体" w:eastAsia="宋体" w:cs="宋体"/>
          <w:color w:val="auto"/>
          <w:kern w:val="0"/>
          <w:sz w:val="24"/>
          <w:szCs w:val="24"/>
          <w:highlight w:val="none"/>
          <w:lang w:val="zh-CN" w:eastAsia="zh-CN" w:bidi="ar-SA"/>
        </w:rPr>
        <w:t xml:space="preserve">法定代表人（或负责人）或者委托代理人（签字或者盖章或者电子签名）：     </w:t>
      </w:r>
      <w:r>
        <w:rPr>
          <w:rFonts w:hint="eastAsia"/>
          <w:color w:val="auto"/>
          <w:highlight w:val="none"/>
        </w:rPr>
        <w:t xml:space="preserve">         </w:t>
      </w:r>
    </w:p>
    <w:p w14:paraId="56D476DF">
      <w:pPr>
        <w:pStyle w:val="18"/>
        <w:rPr>
          <w:rFonts w:hint="eastAsia"/>
          <w:color w:val="auto"/>
          <w:highlight w:val="none"/>
        </w:rPr>
      </w:pPr>
    </w:p>
    <w:p w14:paraId="6844AA40">
      <w:pPr>
        <w:snapToGrid w:val="0"/>
        <w:spacing w:line="360" w:lineRule="auto"/>
        <w:ind w:firstLine="5280" w:firstLineChars="2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000F5848">
      <w:pPr>
        <w:widowControl/>
        <w:spacing w:line="360" w:lineRule="auto"/>
        <w:jc w:val="left"/>
        <w:rPr>
          <w:rFonts w:ascii="仿宋_GB2312" w:hAnsi="仿宋" w:eastAsia="仿宋_GB2312" w:cs="仿宋_GB2312"/>
          <w:color w:val="auto"/>
          <w:kern w:val="0"/>
          <w:sz w:val="24"/>
          <w:highlight w:val="none"/>
          <w:lang w:val="zh-CN"/>
        </w:rPr>
        <w:sectPr>
          <w:pgSz w:w="11905" w:h="16838"/>
          <w:pgMar w:top="1134" w:right="1134" w:bottom="1134" w:left="1134" w:header="850" w:footer="850" w:gutter="0"/>
          <w:pgNumType w:fmt="decimal"/>
          <w:cols w:space="720" w:num="1"/>
          <w:titlePg/>
          <w:rtlGutter w:val="0"/>
          <w:docGrid w:linePitch="331" w:charSpace="0"/>
        </w:sectPr>
      </w:pPr>
    </w:p>
    <w:p w14:paraId="79544580">
      <w:pPr>
        <w:pStyle w:val="16"/>
        <w:spacing w:line="360" w:lineRule="auto"/>
        <w:jc w:val="left"/>
        <w:rPr>
          <w:rFonts w:hint="eastAsia" w:hAnsi="宋体" w:cs="宋体"/>
          <w:b/>
          <w:bCs w:val="0"/>
          <w:color w:val="auto"/>
          <w:sz w:val="28"/>
          <w:szCs w:val="28"/>
          <w:highlight w:val="none"/>
        </w:rPr>
      </w:pPr>
      <w:r>
        <w:rPr>
          <w:rFonts w:hint="eastAsia" w:ascii="宋体" w:hAnsi="宋体" w:eastAsia="宋体" w:cs="宋体"/>
          <w:b/>
          <w:bCs w:val="0"/>
          <w:color w:val="auto"/>
          <w:sz w:val="28"/>
          <w:szCs w:val="28"/>
          <w:highlight w:val="none"/>
          <w:lang w:val="en-US"/>
        </w:rPr>
        <w:t>4</w:t>
      </w:r>
      <w:r>
        <w:rPr>
          <w:rFonts w:hint="eastAsia" w:ascii="宋体" w:hAnsi="宋体" w:eastAsia="宋体" w:cs="宋体"/>
          <w:b/>
          <w:bCs w:val="0"/>
          <w:color w:val="auto"/>
          <w:sz w:val="28"/>
          <w:szCs w:val="28"/>
          <w:highlight w:val="none"/>
        </w:rPr>
        <w:t>. 开标一览表</w:t>
      </w:r>
      <w:r>
        <w:rPr>
          <w:rFonts w:hint="eastAsia" w:hAnsi="宋体" w:cs="宋体"/>
          <w:b/>
          <w:bCs w:val="0"/>
          <w:color w:val="auto"/>
          <w:sz w:val="28"/>
          <w:szCs w:val="28"/>
          <w:highlight w:val="none"/>
          <w:lang w:eastAsia="zh-CN"/>
        </w:rPr>
        <w:t>的</w:t>
      </w:r>
      <w:r>
        <w:rPr>
          <w:rFonts w:hint="eastAsia" w:ascii="宋体" w:hAnsi="宋体" w:eastAsia="宋体" w:cs="宋体"/>
          <w:b/>
          <w:bCs w:val="0"/>
          <w:color w:val="auto"/>
          <w:sz w:val="28"/>
          <w:szCs w:val="28"/>
          <w:highlight w:val="none"/>
        </w:rPr>
        <w:t>格式</w:t>
      </w:r>
      <w:r>
        <w:rPr>
          <w:rFonts w:hint="eastAsia" w:hAnsi="宋体" w:cs="宋体"/>
          <w:b/>
          <w:bCs w:val="0"/>
          <w:color w:val="auto"/>
          <w:sz w:val="28"/>
          <w:szCs w:val="28"/>
          <w:highlight w:val="none"/>
          <w:lang w:eastAsia="zh-CN"/>
        </w:rPr>
        <w:t>：</w:t>
      </w:r>
    </w:p>
    <w:p w14:paraId="304AF0C8">
      <w:pPr>
        <w:pStyle w:val="16"/>
        <w:spacing w:line="360" w:lineRule="auto"/>
        <w:jc w:val="center"/>
        <w:rPr>
          <w:rFonts w:hint="eastAsia" w:eastAsia="宋体" w:cs="Times New Roman"/>
          <w:b/>
          <w:color w:val="auto"/>
          <w:sz w:val="30"/>
          <w:szCs w:val="30"/>
          <w:highlight w:val="none"/>
        </w:rPr>
      </w:pPr>
      <w:r>
        <w:rPr>
          <w:rFonts w:hint="eastAsia" w:eastAsia="宋体" w:cs="Times New Roman"/>
          <w:b/>
          <w:color w:val="auto"/>
          <w:sz w:val="30"/>
          <w:szCs w:val="30"/>
          <w:highlight w:val="none"/>
        </w:rPr>
        <w:t>开标一览表</w:t>
      </w:r>
    </w:p>
    <w:p w14:paraId="3D8F3AB6">
      <w:pPr>
        <w:snapToGrid w:val="0"/>
        <w:spacing w:before="50" w:after="50" w:line="240" w:lineRule="auto"/>
        <w:rPr>
          <w:rFonts w:hint="eastAsia" w:ascii="宋体" w:hAnsi="宋体" w:cs="Times New Roman"/>
          <w:color w:val="auto"/>
          <w:sz w:val="24"/>
          <w:highlight w:val="none"/>
          <w:u w:val="none"/>
          <w:lang w:val="en-US" w:eastAsia="zh-CN"/>
        </w:rPr>
      </w:pPr>
      <w:r>
        <w:rPr>
          <w:rFonts w:hint="eastAsia" w:ascii="宋体" w:hAnsi="宋体" w:eastAsia="宋体" w:cs="Times New Roman"/>
          <w:color w:val="auto"/>
          <w:sz w:val="24"/>
          <w:highlight w:val="none"/>
        </w:rPr>
        <w:t>项目名称：</w:t>
      </w:r>
      <w:r>
        <w:rPr>
          <w:rFonts w:hint="eastAsia" w:ascii="宋体" w:hAnsi="宋体" w:cs="Times New Roman"/>
          <w:color w:val="auto"/>
          <w:sz w:val="24"/>
          <w:highlight w:val="none"/>
          <w:u w:val="none"/>
          <w:lang w:eastAsia="zh-CN"/>
        </w:rPr>
        <w:t xml:space="preserve"> </w:t>
      </w:r>
      <w:r>
        <w:rPr>
          <w:rFonts w:hint="eastAsia" w:ascii="宋体" w:hAnsi="宋体" w:cs="Times New Roman"/>
          <w:color w:val="auto"/>
          <w:sz w:val="24"/>
          <w:highlight w:val="none"/>
          <w:u w:val="none"/>
          <w:lang w:val="en-US" w:eastAsia="zh-CN"/>
        </w:rPr>
        <w:t xml:space="preserve">                      </w:t>
      </w:r>
    </w:p>
    <w:p w14:paraId="71B7D916">
      <w:pPr>
        <w:snapToGrid w:val="0"/>
        <w:spacing w:before="50" w:after="50" w:line="240" w:lineRule="auto"/>
        <w:rPr>
          <w:rFonts w:hint="eastAsia" w:ascii="宋体" w:hAnsi="宋体" w:cs="Times New Roman"/>
          <w:color w:val="auto"/>
          <w:sz w:val="24"/>
          <w:highlight w:val="none"/>
          <w:u w:val="none"/>
          <w:lang w:val="en-US" w:eastAsia="zh-CN"/>
        </w:rPr>
      </w:pPr>
      <w:r>
        <w:rPr>
          <w:rFonts w:hint="eastAsia" w:ascii="宋体" w:hAnsi="宋体" w:eastAsia="宋体" w:cs="Times New Roman"/>
          <w:color w:val="auto"/>
          <w:sz w:val="24"/>
          <w:highlight w:val="none"/>
        </w:rPr>
        <w:t>项目编号：</w:t>
      </w:r>
      <w:r>
        <w:rPr>
          <w:rFonts w:hint="eastAsia" w:ascii="宋体" w:hAnsi="宋体" w:cs="Times New Roman"/>
          <w:color w:val="auto"/>
          <w:sz w:val="24"/>
          <w:highlight w:val="none"/>
          <w:u w:val="none"/>
          <w:lang w:eastAsia="zh-CN"/>
        </w:rPr>
        <w:t xml:space="preserve"> </w:t>
      </w:r>
      <w:r>
        <w:rPr>
          <w:rFonts w:hint="eastAsia" w:ascii="宋体" w:hAnsi="宋体" w:cs="Times New Roman"/>
          <w:color w:val="auto"/>
          <w:sz w:val="24"/>
          <w:highlight w:val="none"/>
          <w:u w:val="none"/>
          <w:lang w:val="en-US" w:eastAsia="zh-CN"/>
        </w:rPr>
        <w:t xml:space="preserve">  </w:t>
      </w:r>
    </w:p>
    <w:p w14:paraId="231C8690">
      <w:pPr>
        <w:snapToGrid w:val="0"/>
        <w:spacing w:before="50" w:after="50" w:line="240" w:lineRule="auto"/>
        <w:rPr>
          <w:rFonts w:hint="eastAsia" w:ascii="宋体" w:hAnsi="宋体" w:eastAsia="宋体" w:cs="Times New Roman"/>
          <w:color w:val="auto"/>
          <w:sz w:val="24"/>
          <w:highlight w:val="none"/>
          <w:u w:val="single"/>
        </w:rPr>
      </w:pPr>
      <w:r>
        <w:rPr>
          <w:rFonts w:hint="eastAsia" w:ascii="宋体" w:hAnsi="宋体" w:eastAsia="宋体" w:cs="Times New Roman"/>
          <w:color w:val="auto"/>
          <w:sz w:val="24"/>
          <w:highlight w:val="none"/>
          <w:u w:val="single"/>
        </w:rPr>
        <w:t>所投分标（如有则填写，无分标时填写“无”或者留空）：</w:t>
      </w:r>
    </w:p>
    <w:p w14:paraId="66F1FDB9">
      <w:pPr>
        <w:snapToGrid w:val="0"/>
        <w:spacing w:before="50" w:after="50" w:line="240" w:lineRule="auto"/>
        <w:rPr>
          <w:rFonts w:hint="eastAsia" w:ascii="宋体" w:hAnsi="宋体" w:eastAsia="宋体" w:cs="Times New Roman"/>
          <w:color w:val="auto"/>
          <w:sz w:val="24"/>
          <w:highlight w:val="none"/>
          <w:u w:val="single"/>
        </w:rPr>
      </w:pPr>
    </w:p>
    <w:tbl>
      <w:tblPr>
        <w:tblStyle w:val="27"/>
        <w:tblW w:w="926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140"/>
        <w:gridCol w:w="2648"/>
        <w:gridCol w:w="1993"/>
        <w:gridCol w:w="1486"/>
      </w:tblGrid>
      <w:tr w14:paraId="0DFAC0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7" w:hRule="atLeast"/>
          <w:jc w:val="center"/>
        </w:trPr>
        <w:tc>
          <w:tcPr>
            <w:tcW w:w="3140" w:type="dxa"/>
            <w:tcBorders>
              <w:top w:val="single" w:color="auto" w:sz="4" w:space="0"/>
              <w:left w:val="single" w:color="auto" w:sz="4" w:space="0"/>
              <w:bottom w:val="single" w:color="auto" w:sz="4" w:space="0"/>
              <w:right w:val="single" w:color="auto" w:sz="4" w:space="0"/>
            </w:tcBorders>
            <w:noWrap w:val="0"/>
            <w:vAlign w:val="center"/>
          </w:tcPr>
          <w:p w14:paraId="177D4D12">
            <w:pPr>
              <w:shd w:val="clear" w:color="auto" w:fill="auto"/>
              <w:spacing w:line="42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服务项目名称</w:t>
            </w:r>
          </w:p>
        </w:tc>
        <w:tc>
          <w:tcPr>
            <w:tcW w:w="2648" w:type="dxa"/>
            <w:tcBorders>
              <w:top w:val="single" w:color="auto" w:sz="4" w:space="0"/>
              <w:left w:val="single" w:color="auto" w:sz="4" w:space="0"/>
              <w:bottom w:val="single" w:color="auto" w:sz="4" w:space="0"/>
              <w:right w:val="single" w:color="auto" w:sz="4" w:space="0"/>
            </w:tcBorders>
            <w:noWrap w:val="0"/>
            <w:vAlign w:val="center"/>
          </w:tcPr>
          <w:p w14:paraId="49312B18">
            <w:pPr>
              <w:shd w:val="clear" w:color="auto" w:fill="auto"/>
              <w:spacing w:line="42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标的名称</w:t>
            </w:r>
          </w:p>
        </w:tc>
        <w:tc>
          <w:tcPr>
            <w:tcW w:w="1993" w:type="dxa"/>
            <w:tcBorders>
              <w:top w:val="single" w:color="auto" w:sz="4" w:space="0"/>
              <w:left w:val="single" w:color="auto" w:sz="4" w:space="0"/>
              <w:bottom w:val="single" w:color="auto" w:sz="4" w:space="0"/>
              <w:right w:val="single" w:color="auto" w:sz="4" w:space="0"/>
            </w:tcBorders>
            <w:noWrap w:val="0"/>
            <w:vAlign w:val="center"/>
          </w:tcPr>
          <w:p w14:paraId="77EE828F">
            <w:pPr>
              <w:shd w:val="clear" w:color="auto" w:fill="auto"/>
              <w:snapToGrid w:val="0"/>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lang w:eastAsia="zh-CN"/>
              </w:rPr>
              <w:t>投标折扣率</w:t>
            </w:r>
          </w:p>
        </w:tc>
        <w:tc>
          <w:tcPr>
            <w:tcW w:w="1486" w:type="dxa"/>
            <w:tcBorders>
              <w:top w:val="single" w:color="auto" w:sz="4" w:space="0"/>
              <w:left w:val="single" w:color="auto" w:sz="4" w:space="0"/>
              <w:bottom w:val="single" w:color="auto" w:sz="4" w:space="0"/>
            </w:tcBorders>
            <w:noWrap w:val="0"/>
            <w:vAlign w:val="center"/>
          </w:tcPr>
          <w:p w14:paraId="269E0876">
            <w:pPr>
              <w:shd w:val="clear" w:color="auto" w:fill="auto"/>
              <w:spacing w:line="420" w:lineRule="exact"/>
              <w:jc w:val="center"/>
              <w:rPr>
                <w:rFonts w:hint="eastAsia" w:ascii="宋体" w:hAnsi="宋体" w:cs="宋体"/>
                <w:color w:val="auto"/>
                <w:sz w:val="24"/>
                <w:highlight w:val="none"/>
              </w:rPr>
            </w:pPr>
            <w:r>
              <w:rPr>
                <w:rFonts w:hint="eastAsia" w:ascii="宋体" w:hAnsi="宋体" w:cs="宋体"/>
                <w:color w:val="auto"/>
                <w:sz w:val="24"/>
                <w:highlight w:val="none"/>
              </w:rPr>
              <w:t>备注</w:t>
            </w:r>
          </w:p>
        </w:tc>
      </w:tr>
      <w:tr w14:paraId="5BD6B2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99" w:hRule="atLeast"/>
          <w:jc w:val="center"/>
        </w:trPr>
        <w:tc>
          <w:tcPr>
            <w:tcW w:w="3140" w:type="dxa"/>
            <w:tcBorders>
              <w:top w:val="single" w:color="auto" w:sz="4" w:space="0"/>
              <w:left w:val="single" w:color="auto" w:sz="4" w:space="0"/>
              <w:bottom w:val="single" w:color="auto" w:sz="4" w:space="0"/>
              <w:right w:val="single" w:color="auto" w:sz="4" w:space="0"/>
            </w:tcBorders>
            <w:noWrap w:val="0"/>
            <w:vAlign w:val="center"/>
          </w:tcPr>
          <w:p w14:paraId="6584174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bCs/>
                <w:color w:val="auto"/>
                <w:sz w:val="24"/>
                <w:highlight w:val="none"/>
              </w:rPr>
            </w:pPr>
            <w:r>
              <w:rPr>
                <w:rFonts w:hint="eastAsia" w:cs="宋体"/>
                <w:color w:val="auto"/>
                <w:sz w:val="24"/>
                <w:szCs w:val="24"/>
                <w:highlight w:val="none"/>
                <w:lang w:eastAsia="zh-CN"/>
              </w:rPr>
              <w:t>桂平市西山镇中心小学等18个学校食堂普通餐食品原材料联合采购配送服务项目</w:t>
            </w:r>
          </w:p>
        </w:tc>
        <w:tc>
          <w:tcPr>
            <w:tcW w:w="2648" w:type="dxa"/>
            <w:tcBorders>
              <w:top w:val="single" w:color="auto" w:sz="4" w:space="0"/>
              <w:left w:val="single" w:color="auto" w:sz="4" w:space="0"/>
              <w:bottom w:val="single" w:color="auto" w:sz="4" w:space="0"/>
              <w:right w:val="single" w:color="auto" w:sz="4" w:space="0"/>
            </w:tcBorders>
            <w:noWrap w:val="0"/>
            <w:vAlign w:val="center"/>
          </w:tcPr>
          <w:p w14:paraId="782D9F5B">
            <w:pPr>
              <w:shd w:val="clear" w:color="auto" w:fill="auto"/>
              <w:snapToGrid w:val="0"/>
              <w:spacing w:line="420" w:lineRule="exact"/>
              <w:jc w:val="center"/>
              <w:rPr>
                <w:rFonts w:ascii="宋体" w:hAnsi="宋体" w:cs="宋体"/>
                <w:color w:val="auto"/>
                <w:sz w:val="24"/>
                <w:highlight w:val="none"/>
              </w:rPr>
            </w:pPr>
          </w:p>
        </w:tc>
        <w:tc>
          <w:tcPr>
            <w:tcW w:w="1993" w:type="dxa"/>
            <w:tcBorders>
              <w:top w:val="single" w:color="auto" w:sz="4" w:space="0"/>
              <w:left w:val="single" w:color="auto" w:sz="4" w:space="0"/>
              <w:bottom w:val="single" w:color="auto" w:sz="4" w:space="0"/>
              <w:right w:val="single" w:color="auto" w:sz="4" w:space="0"/>
            </w:tcBorders>
            <w:noWrap w:val="0"/>
            <w:vAlign w:val="center"/>
          </w:tcPr>
          <w:p w14:paraId="6E48B845">
            <w:pPr>
              <w:shd w:val="clear" w:color="auto" w:fill="auto"/>
              <w:spacing w:line="420" w:lineRule="exact"/>
              <w:jc w:val="center"/>
              <w:rPr>
                <w:rFonts w:hint="eastAsia" w:ascii="宋体" w:hAnsi="宋体" w:cs="宋体"/>
                <w:bCs/>
                <w:color w:val="auto"/>
                <w:sz w:val="24"/>
                <w:highlight w:val="none"/>
              </w:rPr>
            </w:pPr>
            <w:r>
              <w:rPr>
                <w:rFonts w:hint="eastAsia" w:ascii="宋体" w:hAnsi="宋体" w:cs="宋体"/>
                <w:color w:val="auto"/>
                <w:sz w:val="24"/>
                <w:highlight w:val="none"/>
                <w:lang w:val="en-US" w:eastAsia="zh-CN"/>
              </w:rPr>
              <w:t xml:space="preserve">     %</w:t>
            </w:r>
          </w:p>
        </w:tc>
        <w:tc>
          <w:tcPr>
            <w:tcW w:w="1486" w:type="dxa"/>
            <w:tcBorders>
              <w:top w:val="single" w:color="auto" w:sz="4" w:space="0"/>
              <w:left w:val="single" w:color="auto" w:sz="4" w:space="0"/>
              <w:bottom w:val="single" w:color="auto" w:sz="4" w:space="0"/>
            </w:tcBorders>
            <w:noWrap w:val="0"/>
            <w:vAlign w:val="center"/>
          </w:tcPr>
          <w:p w14:paraId="564BFE8B">
            <w:pPr>
              <w:shd w:val="clear" w:color="auto" w:fill="auto"/>
              <w:spacing w:line="420" w:lineRule="exact"/>
              <w:jc w:val="center"/>
              <w:rPr>
                <w:rFonts w:hint="eastAsia" w:ascii="宋体" w:hAnsi="宋体" w:cs="宋体"/>
                <w:bCs/>
                <w:color w:val="auto"/>
                <w:sz w:val="24"/>
                <w:highlight w:val="none"/>
              </w:rPr>
            </w:pPr>
          </w:p>
        </w:tc>
      </w:tr>
      <w:tr w14:paraId="0457F2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2" w:hRule="atLeast"/>
          <w:jc w:val="center"/>
        </w:trPr>
        <w:tc>
          <w:tcPr>
            <w:tcW w:w="9267" w:type="dxa"/>
            <w:gridSpan w:val="4"/>
            <w:tcBorders>
              <w:top w:val="single" w:color="auto" w:sz="4" w:space="0"/>
              <w:left w:val="single" w:color="auto" w:sz="4" w:space="0"/>
              <w:bottom w:val="single" w:color="auto" w:sz="4" w:space="0"/>
            </w:tcBorders>
            <w:noWrap w:val="0"/>
            <w:vAlign w:val="center"/>
          </w:tcPr>
          <w:p w14:paraId="513F634F">
            <w:pPr>
              <w:shd w:val="clear" w:color="auto" w:fill="auto"/>
              <w:spacing w:line="420" w:lineRule="exact"/>
              <w:rPr>
                <w:rFonts w:hint="eastAsia" w:ascii="宋体" w:hAnsi="宋体" w:eastAsia="宋体" w:cs="宋体"/>
                <w:bCs/>
                <w:color w:val="auto"/>
                <w:sz w:val="24"/>
                <w:highlight w:val="none"/>
                <w:lang w:eastAsia="zh-CN"/>
              </w:rPr>
            </w:pPr>
            <w:r>
              <w:rPr>
                <w:rFonts w:hint="eastAsia" w:ascii="宋体" w:hAnsi="宋体" w:cs="宋体"/>
                <w:color w:val="auto"/>
                <w:spacing w:val="-6"/>
                <w:sz w:val="24"/>
                <w:highlight w:val="none"/>
                <w:lang w:eastAsia="zh-CN"/>
              </w:rPr>
              <w:t>投标折扣率</w:t>
            </w:r>
            <w:r>
              <w:rPr>
                <w:rFonts w:hint="eastAsia" w:ascii="宋体" w:hAnsi="宋体" w:cs="宋体"/>
                <w:color w:val="auto"/>
                <w:spacing w:val="-6"/>
                <w:sz w:val="24"/>
                <w:highlight w:val="none"/>
              </w:rPr>
              <w:t>： ___</w:t>
            </w:r>
            <w:r>
              <w:rPr>
                <w:rFonts w:hint="eastAsia" w:ascii="宋体" w:hAnsi="宋体" w:cs="宋体"/>
                <w:color w:val="auto"/>
                <w:spacing w:val="-6"/>
                <w:sz w:val="24"/>
                <w:highlight w:val="none"/>
                <w:lang w:val="en-US" w:eastAsia="zh-CN"/>
              </w:rPr>
              <w:t>%</w:t>
            </w:r>
          </w:p>
        </w:tc>
      </w:tr>
      <w:tr w14:paraId="6CF3A1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2" w:hRule="atLeast"/>
          <w:jc w:val="center"/>
        </w:trPr>
        <w:tc>
          <w:tcPr>
            <w:tcW w:w="9267" w:type="dxa"/>
            <w:gridSpan w:val="4"/>
            <w:tcBorders>
              <w:top w:val="single" w:color="auto" w:sz="4" w:space="0"/>
              <w:left w:val="single" w:color="auto" w:sz="4" w:space="0"/>
              <w:bottom w:val="single" w:color="auto" w:sz="4" w:space="0"/>
            </w:tcBorders>
            <w:noWrap w:val="0"/>
            <w:vAlign w:val="center"/>
          </w:tcPr>
          <w:p w14:paraId="4C642997">
            <w:pPr>
              <w:shd w:val="clear" w:color="auto" w:fill="auto"/>
              <w:spacing w:line="240" w:lineRule="auto"/>
              <w:rPr>
                <w:rFonts w:hint="eastAsia" w:ascii="Times New Roman" w:hAnsi="Times New Roman"/>
                <w:color w:val="auto"/>
                <w:highlight w:val="none"/>
              </w:rPr>
            </w:pPr>
            <w:r>
              <w:rPr>
                <w:rFonts w:hint="eastAsia" w:ascii="宋体" w:hAnsi="宋体" w:cs="宋体"/>
                <w:color w:val="auto"/>
                <w:spacing w:val="-6"/>
                <w:sz w:val="24"/>
                <w:highlight w:val="none"/>
                <w:lang w:eastAsia="zh-CN"/>
              </w:rPr>
              <w:t>合同履行期限：</w:t>
            </w:r>
          </w:p>
        </w:tc>
      </w:tr>
      <w:tr w14:paraId="20C793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6" w:hRule="atLeast"/>
          <w:jc w:val="center"/>
        </w:trPr>
        <w:tc>
          <w:tcPr>
            <w:tcW w:w="9267" w:type="dxa"/>
            <w:gridSpan w:val="4"/>
            <w:tcBorders>
              <w:top w:val="single" w:color="auto" w:sz="4" w:space="0"/>
              <w:left w:val="single" w:color="auto" w:sz="4" w:space="0"/>
              <w:bottom w:val="single" w:color="auto" w:sz="4" w:space="0"/>
            </w:tcBorders>
            <w:noWrap w:val="0"/>
            <w:vAlign w:val="center"/>
          </w:tcPr>
          <w:p w14:paraId="74114101">
            <w:pPr>
              <w:keepNext w:val="0"/>
              <w:keepLines w:val="0"/>
              <w:pageBreakBefore w:val="0"/>
              <w:widowControl w:val="0"/>
              <w:kinsoku/>
              <w:wordWrap/>
              <w:overflowPunct/>
              <w:topLinePunct w:val="0"/>
              <w:autoSpaceDE/>
              <w:autoSpaceDN/>
              <w:bidi w:val="0"/>
              <w:adjustRightInd/>
              <w:snapToGrid w:val="0"/>
              <w:spacing w:line="300" w:lineRule="exact"/>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1、本项目投标应以价格折扣率报价（以%表示，折扣率报价精确到个位数）。投标报价范围：≤100%（如：供货产品打九七折即投标折扣率为97%，以此类推），否则，作无效报价处理。 </w:t>
            </w:r>
          </w:p>
          <w:p w14:paraId="6163C394">
            <w:pPr>
              <w:keepNext w:val="0"/>
              <w:keepLines w:val="0"/>
              <w:pageBreakBefore w:val="0"/>
              <w:widowControl w:val="0"/>
              <w:kinsoku/>
              <w:wordWrap/>
              <w:overflowPunct/>
              <w:topLinePunct w:val="0"/>
              <w:autoSpaceDE/>
              <w:autoSpaceDN/>
              <w:bidi w:val="0"/>
              <w:adjustRightInd/>
              <w:snapToGrid w:val="0"/>
              <w:spacing w:line="300" w:lineRule="exact"/>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2、实际采购时，上述数量仅作投标报价使用，结算时按实际采购数量结算。基准价设定为X，签订的合同折扣率设定为 Y%，则该原料供货单价为 X× Y%（例如：市场零售价 X=100 元，合同折扣率 Y%=97%，该原料供货单价=100× 0.97=97 元）。</w:t>
            </w:r>
          </w:p>
          <w:p w14:paraId="4ACF7DDE">
            <w:pPr>
              <w:keepNext w:val="0"/>
              <w:keepLines w:val="0"/>
              <w:pageBreakBefore w:val="0"/>
              <w:widowControl w:val="0"/>
              <w:kinsoku/>
              <w:wordWrap/>
              <w:overflowPunct/>
              <w:topLinePunct w:val="0"/>
              <w:autoSpaceDE/>
              <w:autoSpaceDN/>
              <w:bidi w:val="0"/>
              <w:adjustRightInd/>
              <w:snapToGrid w:val="0"/>
              <w:spacing w:line="300" w:lineRule="exact"/>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3、投标人必须就《目采购需求》中的全部内容作完整唯一报价。否则，其报价将被拒绝。如果投标人所填报的内容与招标文件相比较有存在漏项的状况且在评审时被接受，则将被认为该遗漏项目已包含在报价中，中标人在服务时应严格按投标文件要求的内容完整提供，不得要求招标人对其漏报的款项追加支付货款。 </w:t>
            </w:r>
          </w:p>
          <w:p w14:paraId="266E5E51">
            <w:pPr>
              <w:keepNext w:val="0"/>
              <w:keepLines w:val="0"/>
              <w:pageBreakBefore w:val="0"/>
              <w:widowControl w:val="0"/>
              <w:kinsoku/>
              <w:wordWrap/>
              <w:overflowPunct/>
              <w:topLinePunct w:val="0"/>
              <w:autoSpaceDE/>
              <w:autoSpaceDN/>
              <w:bidi w:val="0"/>
              <w:adjustRightInd/>
              <w:snapToGrid w:val="0"/>
              <w:spacing w:line="300" w:lineRule="exact"/>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4、投标人的报价大写折扣率和小写折扣率不一致的，以大写折扣率为准；对不同文字文本投标文件的解释发生异议的，以中文文本为准。如果因投标人原因引起的报价失误，并在评审时被接受，其后果由投标人自负。 </w:t>
            </w:r>
          </w:p>
          <w:p w14:paraId="65AB71D5">
            <w:pPr>
              <w:pStyle w:val="43"/>
              <w:keepNext w:val="0"/>
              <w:keepLines w:val="0"/>
              <w:pageBreakBefore w:val="0"/>
              <w:widowControl w:val="0"/>
              <w:numPr>
                <w:ilvl w:val="0"/>
                <w:numId w:val="0"/>
              </w:numPr>
              <w:tabs>
                <w:tab w:val="left" w:pos="1053"/>
              </w:tabs>
              <w:kinsoku/>
              <w:wordWrap/>
              <w:overflowPunct/>
              <w:topLinePunct w:val="0"/>
              <w:autoSpaceDE/>
              <w:autoSpaceDN/>
              <w:bidi w:val="0"/>
              <w:adjustRightInd/>
              <w:spacing w:before="110" w:line="300" w:lineRule="exact"/>
              <w:jc w:val="left"/>
              <w:textAlignment w:val="auto"/>
              <w:rPr>
                <w:rFonts w:hint="default" w:ascii="宋体" w:hAnsi="宋体" w:eastAsia="宋体" w:cs="宋体"/>
                <w:color w:val="auto"/>
                <w:spacing w:val="-6"/>
                <w:sz w:val="24"/>
                <w:highlight w:val="none"/>
                <w:lang w:val="en-US" w:eastAsia="zh-CN"/>
              </w:rPr>
            </w:pPr>
            <w:r>
              <w:rPr>
                <w:rFonts w:hint="eastAsia" w:ascii="宋体" w:hAnsi="宋体" w:eastAsia="宋体" w:cs="宋体"/>
                <w:color w:val="auto"/>
                <w:szCs w:val="21"/>
                <w:highlight w:val="none"/>
                <w:lang w:val="en-US" w:eastAsia="zh-CN"/>
              </w:rPr>
              <w:t>5、不论投标结果如何，投标人均应自行承担所有与投标有关的全部费用。</w:t>
            </w:r>
          </w:p>
        </w:tc>
      </w:tr>
    </w:tbl>
    <w:p w14:paraId="2C581E4F">
      <w:pPr>
        <w:snapToGrid w:val="0"/>
        <w:spacing w:before="50" w:after="50" w:line="240" w:lineRule="auto"/>
        <w:ind w:firstLine="420" w:firstLineChars="2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注： </w:t>
      </w:r>
    </w:p>
    <w:p w14:paraId="660853B5">
      <w:pPr>
        <w:snapToGrid w:val="0"/>
        <w:spacing w:before="50" w:after="50" w:line="240" w:lineRule="auto"/>
        <w:ind w:firstLine="420" w:firstLineChars="2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1、 投标人需按本表格式填写，不得自行更改，也不得留空（</w:t>
      </w:r>
      <w:r>
        <w:rPr>
          <w:rFonts w:hint="eastAsia" w:ascii="宋体" w:hAnsi="宋体" w:eastAsia="宋体" w:cs="宋体"/>
          <w:color w:val="auto"/>
          <w:sz w:val="21"/>
          <w:szCs w:val="21"/>
          <w:highlight w:val="none"/>
        </w:rPr>
        <w:t>备注</w:t>
      </w:r>
      <w:r>
        <w:rPr>
          <w:rFonts w:hint="eastAsia" w:ascii="宋体" w:hAnsi="宋体" w:eastAsia="宋体" w:cs="宋体"/>
          <w:color w:val="auto"/>
          <w:sz w:val="21"/>
          <w:szCs w:val="21"/>
          <w:highlight w:val="none"/>
          <w:lang w:eastAsia="zh-CN"/>
        </w:rPr>
        <w:t>除外</w:t>
      </w:r>
      <w:r>
        <w:rPr>
          <w:rFonts w:hint="eastAsia" w:ascii="宋体" w:hAnsi="宋体" w:eastAsia="宋体" w:cs="宋体"/>
          <w:color w:val="auto"/>
          <w:kern w:val="0"/>
          <w:sz w:val="21"/>
          <w:szCs w:val="21"/>
          <w:highlight w:val="none"/>
          <w:lang w:val="zh-CN"/>
        </w:rPr>
        <w:t>）, 如有多分标，按分标分别提供开标一览表，必须加盖投标人有效公章，</w:t>
      </w:r>
      <w:r>
        <w:rPr>
          <w:rFonts w:hint="eastAsia" w:ascii="宋体" w:hAnsi="宋体" w:eastAsia="宋体" w:cs="宋体"/>
          <w:b/>
          <w:color w:val="auto"/>
          <w:kern w:val="0"/>
          <w:sz w:val="21"/>
          <w:szCs w:val="21"/>
          <w:highlight w:val="none"/>
          <w:lang w:val="zh-CN"/>
        </w:rPr>
        <w:t>否则其投标作无效标处理。</w:t>
      </w:r>
    </w:p>
    <w:p w14:paraId="7DE6EDB8">
      <w:pPr>
        <w:snapToGrid w:val="0"/>
        <w:spacing w:before="50" w:after="50" w:line="240" w:lineRule="auto"/>
        <w:ind w:firstLine="420" w:firstLineChars="2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2、本表内容均不能涂改，</w:t>
      </w:r>
      <w:r>
        <w:rPr>
          <w:rFonts w:hint="eastAsia" w:ascii="宋体" w:hAnsi="宋体" w:eastAsia="宋体" w:cs="宋体"/>
          <w:b/>
          <w:color w:val="auto"/>
          <w:kern w:val="0"/>
          <w:sz w:val="21"/>
          <w:szCs w:val="21"/>
          <w:highlight w:val="none"/>
          <w:lang w:val="zh-CN"/>
        </w:rPr>
        <w:t>否则其投标作无效标处理。</w:t>
      </w:r>
    </w:p>
    <w:p w14:paraId="370A4636">
      <w:pPr>
        <w:snapToGrid w:val="0"/>
        <w:spacing w:line="240" w:lineRule="auto"/>
        <w:ind w:firstLine="420" w:firstLineChars="2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3、</w:t>
      </w:r>
      <w:r>
        <w:rPr>
          <w:rFonts w:hint="eastAsia" w:ascii="宋体" w:hAnsi="宋体" w:cs="宋体"/>
          <w:color w:val="auto"/>
          <w:kern w:val="0"/>
          <w:sz w:val="21"/>
          <w:szCs w:val="21"/>
          <w:highlight w:val="none"/>
          <w:lang w:val="en-US" w:eastAsia="zh-CN"/>
        </w:rPr>
        <w:t>请</w:t>
      </w:r>
      <w:r>
        <w:rPr>
          <w:rFonts w:hint="eastAsia" w:ascii="宋体" w:hAnsi="宋体" w:eastAsia="宋体" w:cs="宋体"/>
          <w:color w:val="auto"/>
          <w:sz w:val="21"/>
          <w:szCs w:val="21"/>
          <w:highlight w:val="none"/>
        </w:rPr>
        <w:t>根据所投</w:t>
      </w:r>
      <w:r>
        <w:rPr>
          <w:rFonts w:hint="eastAsia" w:hAnsi="宋体" w:cs="宋体"/>
          <w:color w:val="auto"/>
          <w:sz w:val="21"/>
          <w:szCs w:val="21"/>
          <w:highlight w:val="none"/>
          <w:lang w:eastAsia="zh-CN"/>
        </w:rPr>
        <w:t>服务内容</w:t>
      </w:r>
      <w:r>
        <w:rPr>
          <w:rFonts w:hint="eastAsia" w:ascii="宋体" w:hAnsi="宋体" w:eastAsia="宋体" w:cs="宋体"/>
          <w:color w:val="auto"/>
          <w:sz w:val="21"/>
          <w:szCs w:val="21"/>
          <w:highlight w:val="none"/>
        </w:rPr>
        <w:t>，</w:t>
      </w:r>
      <w:r>
        <w:rPr>
          <w:rFonts w:hint="eastAsia" w:ascii="宋体" w:hAnsi="宋体" w:eastAsia="宋体" w:cs="宋体"/>
          <w:b w:val="0"/>
          <w:color w:val="auto"/>
          <w:sz w:val="21"/>
          <w:szCs w:val="21"/>
          <w:highlight w:val="none"/>
        </w:rPr>
        <w:t>逐条对应</w:t>
      </w:r>
      <w:r>
        <w:rPr>
          <w:rFonts w:hint="eastAsia" w:ascii="宋体" w:hAnsi="宋体" w:eastAsia="宋体" w:cs="宋体"/>
          <w:color w:val="auto"/>
          <w:sz w:val="21"/>
          <w:szCs w:val="21"/>
          <w:highlight w:val="none"/>
        </w:rPr>
        <w:t>本项目招标文件“第二章</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采购需求</w:t>
      </w:r>
      <w:r>
        <w:rPr>
          <w:rFonts w:hint="eastAsia" w:ascii="宋体" w:hAnsi="宋体" w:eastAsia="宋体" w:cs="宋体"/>
          <w:color w:val="auto"/>
          <w:sz w:val="21"/>
          <w:szCs w:val="21"/>
          <w:highlight w:val="none"/>
        </w:rPr>
        <w:t>”的</w:t>
      </w:r>
      <w:r>
        <w:rPr>
          <w:rFonts w:hint="eastAsia" w:hAnsi="宋体" w:cs="宋体"/>
          <w:color w:val="auto"/>
          <w:sz w:val="21"/>
          <w:szCs w:val="21"/>
          <w:highlight w:val="none"/>
          <w:lang w:eastAsia="zh-CN"/>
        </w:rPr>
        <w:t>内容</w:t>
      </w:r>
      <w:r>
        <w:rPr>
          <w:rFonts w:hint="eastAsia" w:ascii="宋体" w:hAnsi="宋体" w:eastAsia="宋体" w:cs="宋体"/>
          <w:color w:val="auto"/>
          <w:sz w:val="21"/>
          <w:szCs w:val="21"/>
          <w:highlight w:val="none"/>
        </w:rPr>
        <w:t>详细填写相应的具体内容。</w:t>
      </w:r>
    </w:p>
    <w:p w14:paraId="7A452BBB">
      <w:pPr>
        <w:pStyle w:val="11"/>
        <w:rPr>
          <w:rFonts w:hint="eastAsia" w:ascii="宋体" w:hAnsi="宋体" w:eastAsia="宋体" w:cs="宋体"/>
          <w:color w:val="auto"/>
          <w:sz w:val="18"/>
          <w:szCs w:val="21"/>
          <w:highlight w:val="none"/>
          <w:lang w:val="zh-CN"/>
        </w:rPr>
      </w:pPr>
    </w:p>
    <w:p w14:paraId="15E0EE2F">
      <w:pPr>
        <w:snapToGrid w:val="0"/>
        <w:spacing w:line="240" w:lineRule="auto"/>
        <w:ind w:firstLine="4410" w:firstLineChars="21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zh-CN"/>
        </w:rPr>
        <w:t>投标人名称(盖</w:t>
      </w:r>
      <w:r>
        <w:rPr>
          <w:rFonts w:hint="eastAsia" w:ascii="宋体" w:hAnsi="宋体" w:cs="宋体"/>
          <w:color w:val="auto"/>
          <w:kern w:val="0"/>
          <w:sz w:val="21"/>
          <w:szCs w:val="21"/>
          <w:highlight w:val="none"/>
          <w:lang w:val="en-US" w:eastAsia="zh-CN"/>
        </w:rPr>
        <w:t>单位</w:t>
      </w:r>
      <w:r>
        <w:rPr>
          <w:rFonts w:hint="eastAsia" w:ascii="宋体" w:hAnsi="宋体" w:eastAsia="宋体" w:cs="宋体"/>
          <w:color w:val="auto"/>
          <w:kern w:val="0"/>
          <w:sz w:val="21"/>
          <w:szCs w:val="21"/>
          <w:highlight w:val="none"/>
          <w:lang w:val="zh-CN"/>
        </w:rPr>
        <w:t>公章)：</w:t>
      </w:r>
    </w:p>
    <w:p w14:paraId="3881259D">
      <w:pPr>
        <w:snapToGrid w:val="0"/>
        <w:spacing w:line="240" w:lineRule="auto"/>
        <w:ind w:firstLine="4515" w:firstLineChars="2150"/>
        <w:rPr>
          <w:rFonts w:hint="eastAsia" w:cs="宋体"/>
          <w:color w:val="auto"/>
          <w:sz w:val="21"/>
          <w:highlight w:val="none"/>
          <w:lang w:eastAsia="zh-CN"/>
        </w:rPr>
      </w:pPr>
    </w:p>
    <w:p w14:paraId="2C65AFCF">
      <w:pPr>
        <w:snapToGrid w:val="0"/>
        <w:spacing w:line="240" w:lineRule="auto"/>
        <w:rPr>
          <w:rFonts w:hint="eastAsia" w:ascii="宋体" w:hAnsi="宋体" w:eastAsia="宋体" w:cs="宋体"/>
          <w:color w:val="auto"/>
          <w:kern w:val="0"/>
          <w:sz w:val="21"/>
          <w:szCs w:val="21"/>
          <w:highlight w:val="none"/>
          <w:lang w:val="zh-CN"/>
        </w:rPr>
      </w:pPr>
      <w:r>
        <w:rPr>
          <w:rFonts w:hint="eastAsia" w:cs="宋体"/>
          <w:color w:val="auto"/>
          <w:sz w:val="21"/>
          <w:highlight w:val="none"/>
          <w:u w:val="none"/>
        </w:rPr>
        <w:t>法定代表人（或负责人）或者委托代理人（签字或者盖章或者电子签名）：</w:t>
      </w:r>
      <w:r>
        <w:rPr>
          <w:rFonts w:hint="eastAsia" w:cs="宋体"/>
          <w:color w:val="auto"/>
          <w:sz w:val="21"/>
          <w:highlight w:val="none"/>
          <w:u w:val="single"/>
        </w:rPr>
        <w:t xml:space="preserve">              </w:t>
      </w:r>
    </w:p>
    <w:p w14:paraId="36498C23">
      <w:pPr>
        <w:snapToGrid w:val="0"/>
        <w:spacing w:line="240" w:lineRule="auto"/>
        <w:ind w:firstLine="4515" w:firstLineChars="2150"/>
        <w:rPr>
          <w:rFonts w:hint="eastAsia" w:ascii="宋体" w:hAnsi="宋体" w:eastAsia="宋体" w:cs="宋体"/>
          <w:color w:val="auto"/>
          <w:kern w:val="0"/>
          <w:sz w:val="21"/>
          <w:szCs w:val="21"/>
          <w:highlight w:val="none"/>
          <w:lang w:val="zh-CN"/>
        </w:rPr>
      </w:pPr>
    </w:p>
    <w:p w14:paraId="3BDA0AC6">
      <w:pPr>
        <w:snapToGrid w:val="0"/>
        <w:spacing w:line="240" w:lineRule="auto"/>
        <w:ind w:firstLine="4515" w:firstLineChars="2150"/>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日期</w:t>
      </w:r>
      <w:r>
        <w:rPr>
          <w:rFonts w:hint="eastAsia" w:ascii="宋体" w:hAnsi="宋体" w:eastAsia="宋体" w:cs="宋体"/>
          <w:color w:val="auto"/>
          <w:kern w:val="0"/>
          <w:sz w:val="21"/>
          <w:szCs w:val="21"/>
          <w:highlight w:val="none"/>
        </w:rPr>
        <w:t xml:space="preserve">：  年  </w:t>
      </w:r>
      <w:r>
        <w:rPr>
          <w:rFonts w:hint="eastAsia" w:ascii="宋体" w:hAnsi="宋体" w:eastAsia="宋体" w:cs="宋体"/>
          <w:color w:val="auto"/>
          <w:kern w:val="0"/>
          <w:sz w:val="21"/>
          <w:szCs w:val="21"/>
          <w:highlight w:val="none"/>
          <w:lang w:val="zh-CN"/>
        </w:rPr>
        <w:t>月</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val="zh-CN"/>
        </w:rPr>
        <w:t>日</w:t>
      </w:r>
    </w:p>
    <w:p w14:paraId="7CD4F1B9">
      <w:pPr>
        <w:widowControl/>
        <w:jc w:val="left"/>
        <w:rPr>
          <w:rFonts w:hint="eastAsia" w:ascii="宋体" w:hAnsi="宋体" w:eastAsia="宋体" w:cs="宋体"/>
          <w:color w:val="auto"/>
          <w:sz w:val="30"/>
          <w:szCs w:val="20"/>
          <w:highlight w:val="none"/>
        </w:rPr>
        <w:sectPr>
          <w:pgSz w:w="11905" w:h="16838"/>
          <w:pgMar w:top="1134" w:right="1134" w:bottom="1134" w:left="1134" w:header="850" w:footer="850" w:gutter="0"/>
          <w:pgNumType w:fmt="decimal"/>
          <w:cols w:space="720" w:num="1"/>
          <w:titlePg/>
          <w:rtlGutter w:val="0"/>
          <w:docGrid w:linePitch="331" w:charSpace="0"/>
        </w:sectPr>
      </w:pPr>
    </w:p>
    <w:p w14:paraId="428524EA">
      <w:pPr>
        <w:snapToGrid w:val="0"/>
        <w:spacing w:before="165" w:beforeLines="50" w:after="50"/>
        <w:jc w:val="center"/>
        <w:outlineLvl w:val="1"/>
        <w:rPr>
          <w:rFonts w:ascii="宋体" w:hAnsi="宋体" w:eastAsia="宋体" w:cs="Times New Roman"/>
          <w:b/>
          <w:bCs/>
          <w:color w:val="auto"/>
          <w:sz w:val="28"/>
          <w:szCs w:val="28"/>
          <w:highlight w:val="none"/>
        </w:rPr>
      </w:pPr>
      <w:bookmarkStart w:id="391" w:name="_Toc2783"/>
      <w:r>
        <w:rPr>
          <w:rFonts w:hint="eastAsia" w:ascii="宋体" w:hAnsi="宋体" w:eastAsia="宋体" w:cs="Times New Roman"/>
          <w:b/>
          <w:bCs/>
          <w:color w:val="auto"/>
          <w:sz w:val="28"/>
          <w:szCs w:val="28"/>
          <w:highlight w:val="none"/>
        </w:rPr>
        <w:t>第</w:t>
      </w:r>
      <w:r>
        <w:rPr>
          <w:rFonts w:hint="eastAsia" w:ascii="宋体" w:hAnsi="宋体" w:cs="Times New Roman"/>
          <w:b/>
          <w:bCs/>
          <w:color w:val="auto"/>
          <w:sz w:val="28"/>
          <w:szCs w:val="28"/>
          <w:highlight w:val="none"/>
          <w:lang w:eastAsia="zh-CN"/>
        </w:rPr>
        <w:t>五</w:t>
      </w:r>
      <w:r>
        <w:rPr>
          <w:rFonts w:hint="eastAsia" w:ascii="宋体" w:hAnsi="宋体" w:eastAsia="宋体" w:cs="Times New Roman"/>
          <w:b/>
          <w:bCs/>
          <w:color w:val="auto"/>
          <w:sz w:val="28"/>
          <w:szCs w:val="28"/>
          <w:highlight w:val="none"/>
        </w:rPr>
        <w:t>节 其他文书、文件格式</w:t>
      </w:r>
      <w:bookmarkEnd w:id="391"/>
    </w:p>
    <w:p w14:paraId="6F304806">
      <w:pPr>
        <w:pStyle w:val="16"/>
        <w:jc w:val="center"/>
        <w:rPr>
          <w:rFonts w:hint="eastAsia" w:ascii="Times New Roman" w:hAnsi="Times New Roman" w:eastAsia="宋体" w:cs="Times New Roman"/>
          <w:b/>
          <w:color w:val="auto"/>
          <w:sz w:val="30"/>
          <w:szCs w:val="30"/>
          <w:highlight w:val="none"/>
        </w:rPr>
      </w:pPr>
    </w:p>
    <w:p w14:paraId="37BCB7BC">
      <w:pPr>
        <w:widowControl/>
        <w:spacing w:line="240" w:lineRule="auto"/>
        <w:jc w:val="left"/>
        <w:rPr>
          <w:rFonts w:hint="eastAsia" w:ascii="宋体" w:hAnsi="宋体" w:eastAsia="宋体" w:cs="宋体"/>
          <w:color w:val="auto"/>
          <w:kern w:val="0"/>
          <w:sz w:val="28"/>
          <w:szCs w:val="28"/>
          <w:highlight w:val="none"/>
          <w:lang w:eastAsia="zh-CN"/>
        </w:rPr>
      </w:pPr>
      <w:r>
        <w:rPr>
          <w:rFonts w:hint="eastAsia" w:ascii="宋体" w:hAnsi="宋体" w:cs="宋体"/>
          <w:b/>
          <w:color w:val="auto"/>
          <w:sz w:val="28"/>
          <w:szCs w:val="28"/>
          <w:highlight w:val="none"/>
          <w:lang w:val="en-US" w:eastAsia="zh-CN"/>
        </w:rPr>
        <w:t>1.</w:t>
      </w:r>
      <w:r>
        <w:rPr>
          <w:rFonts w:hint="eastAsia" w:ascii="宋体" w:hAnsi="宋体" w:eastAsia="宋体" w:cs="宋体"/>
          <w:color w:val="auto"/>
          <w:kern w:val="0"/>
          <w:sz w:val="28"/>
          <w:szCs w:val="28"/>
          <w:highlight w:val="none"/>
        </w:rPr>
        <w:t>广西壮族自治区政府采购项目合同验收书</w:t>
      </w:r>
      <w:r>
        <w:rPr>
          <w:rFonts w:hint="eastAsia" w:ascii="宋体" w:hAnsi="宋体" w:eastAsia="宋体" w:cs="宋体"/>
          <w:color w:val="auto"/>
          <w:kern w:val="0"/>
          <w:sz w:val="28"/>
          <w:szCs w:val="28"/>
          <w:highlight w:val="none"/>
          <w:lang w:eastAsia="zh-CN"/>
        </w:rPr>
        <w:t>的</w:t>
      </w:r>
      <w:r>
        <w:rPr>
          <w:rFonts w:hint="eastAsia" w:ascii="宋体" w:hAnsi="宋体" w:eastAsia="宋体" w:cs="宋体"/>
          <w:color w:val="auto"/>
          <w:kern w:val="0"/>
          <w:sz w:val="28"/>
          <w:szCs w:val="28"/>
          <w:highlight w:val="none"/>
        </w:rPr>
        <w:t>格式</w:t>
      </w:r>
      <w:r>
        <w:rPr>
          <w:rFonts w:hint="eastAsia" w:ascii="宋体" w:hAnsi="宋体" w:eastAsia="宋体" w:cs="宋体"/>
          <w:color w:val="auto"/>
          <w:kern w:val="0"/>
          <w:sz w:val="28"/>
          <w:szCs w:val="28"/>
          <w:highlight w:val="none"/>
          <w:lang w:eastAsia="zh-CN"/>
        </w:rPr>
        <w:t>：</w:t>
      </w:r>
    </w:p>
    <w:p w14:paraId="204018EC">
      <w:pPr>
        <w:pStyle w:val="18"/>
        <w:numPr>
          <w:ilvl w:val="0"/>
          <w:numId w:val="0"/>
        </w:numPr>
        <w:rPr>
          <w:rFonts w:hint="eastAsia" w:ascii="宋体" w:hAnsi="宋体" w:eastAsia="宋体" w:cs="宋体"/>
          <w:color w:val="auto"/>
          <w:kern w:val="0"/>
          <w:sz w:val="28"/>
          <w:szCs w:val="28"/>
          <w:highlight w:val="none"/>
          <w:lang w:eastAsia="zh-CN"/>
        </w:rPr>
      </w:pPr>
    </w:p>
    <w:p w14:paraId="75B5F8AD">
      <w:pPr>
        <w:shd w:val="clear" w:color="auto" w:fill="FFFFFF"/>
        <w:spacing w:line="480" w:lineRule="atLeast"/>
        <w:jc w:val="center"/>
        <w:rPr>
          <w:rFonts w:hint="eastAsia" w:ascii="宋体" w:hAnsi="宋体" w:eastAsia="宋体" w:cs="宋体"/>
          <w:color w:val="auto"/>
          <w:kern w:val="0"/>
          <w:sz w:val="32"/>
          <w:szCs w:val="32"/>
          <w:highlight w:val="none"/>
        </w:rPr>
      </w:pPr>
      <w:r>
        <w:rPr>
          <w:rFonts w:hint="eastAsia" w:ascii="宋体" w:hAnsi="宋体" w:eastAsia="宋体" w:cs="宋体"/>
          <w:color w:val="auto"/>
          <w:kern w:val="0"/>
          <w:sz w:val="32"/>
          <w:szCs w:val="32"/>
          <w:highlight w:val="none"/>
        </w:rPr>
        <w:t>广西壮族自治区政府采购项目合同验收书</w:t>
      </w:r>
    </w:p>
    <w:p w14:paraId="230F16E6">
      <w:pPr>
        <w:shd w:val="clear" w:color="auto" w:fill="FFFFFF"/>
        <w:spacing w:line="480" w:lineRule="atLeast"/>
        <w:jc w:val="center"/>
        <w:rPr>
          <w:rFonts w:hint="eastAsia" w:ascii="宋体" w:hAnsi="宋体" w:eastAsia="宋体" w:cs="宋体"/>
          <w:color w:val="auto"/>
          <w:kern w:val="0"/>
          <w:sz w:val="32"/>
          <w:szCs w:val="32"/>
          <w:highlight w:val="none"/>
        </w:rPr>
      </w:pPr>
    </w:p>
    <w:p w14:paraId="1BC40302">
      <w:pPr>
        <w:shd w:val="clear" w:color="auto" w:fill="FFFFFF"/>
        <w:snapToGrid w:val="0"/>
        <w:spacing w:line="320" w:lineRule="atLeast"/>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根据政府采购项目（</w:t>
      </w:r>
      <w:r>
        <w:rPr>
          <w:rFonts w:hint="eastAsia" w:ascii="宋体" w:hAnsi="宋体" w:eastAsia="宋体" w:cs="宋体"/>
          <w:color w:val="auto"/>
          <w:kern w:val="0"/>
          <w:szCs w:val="21"/>
          <w:highlight w:val="none"/>
          <w:u w:val="single"/>
        </w:rPr>
        <w:t>采购合同编号：</w:t>
      </w:r>
      <w:r>
        <w:rPr>
          <w:rFonts w:hint="eastAsia" w:ascii="宋体" w:hAnsi="宋体" w:eastAsia="宋体" w:cs="宋体"/>
          <w:color w:val="auto"/>
          <w:kern w:val="0"/>
          <w:szCs w:val="21"/>
          <w:highlight w:val="none"/>
          <w:u w:val="single"/>
        </w:rPr>
        <w:softHyphen/>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）的约定，我单位对（</w:t>
      </w:r>
      <w:r>
        <w:rPr>
          <w:rFonts w:hint="eastAsia" w:ascii="宋体" w:hAnsi="宋体" w:eastAsia="宋体" w:cs="宋体"/>
          <w:color w:val="auto"/>
          <w:kern w:val="0"/>
          <w:szCs w:val="21"/>
          <w:highlight w:val="none"/>
          <w:u w:val="single"/>
        </w:rPr>
        <w:t xml:space="preserve"> 项目名称 </w:t>
      </w:r>
      <w:r>
        <w:rPr>
          <w:rFonts w:hint="eastAsia" w:ascii="宋体" w:hAnsi="宋体" w:eastAsia="宋体" w:cs="宋体"/>
          <w:color w:val="auto"/>
          <w:kern w:val="0"/>
          <w:szCs w:val="21"/>
          <w:highlight w:val="none"/>
        </w:rPr>
        <w:t>） 政府采购项目中标（或者成交）投标人（</w:t>
      </w:r>
      <w:r>
        <w:rPr>
          <w:rFonts w:hint="eastAsia" w:ascii="宋体" w:hAnsi="宋体" w:eastAsia="宋体" w:cs="宋体"/>
          <w:color w:val="auto"/>
          <w:kern w:val="0"/>
          <w:szCs w:val="21"/>
          <w:highlight w:val="none"/>
          <w:u w:val="single"/>
        </w:rPr>
        <w:t xml:space="preserve"> 公司名称 </w:t>
      </w:r>
      <w:r>
        <w:rPr>
          <w:rFonts w:hint="eastAsia" w:ascii="宋体" w:hAnsi="宋体" w:eastAsia="宋体" w:cs="宋体"/>
          <w:color w:val="auto"/>
          <w:kern w:val="0"/>
          <w:szCs w:val="21"/>
          <w:highlight w:val="none"/>
        </w:rPr>
        <w:t>） 提供的货物（或者工程、服务）进行了验收，验收情况如下：</w:t>
      </w:r>
    </w:p>
    <w:tbl>
      <w:tblPr>
        <w:tblStyle w:val="27"/>
        <w:tblW w:w="9371" w:type="dxa"/>
        <w:jc w:val="center"/>
        <w:tblLayout w:type="fixed"/>
        <w:tblCellMar>
          <w:top w:w="0" w:type="dxa"/>
          <w:left w:w="0" w:type="dxa"/>
          <w:bottom w:w="0" w:type="dxa"/>
          <w:right w:w="0" w:type="dxa"/>
        </w:tblCellMar>
      </w:tblPr>
      <w:tblGrid>
        <w:gridCol w:w="1331"/>
        <w:gridCol w:w="1921"/>
        <w:gridCol w:w="798"/>
        <w:gridCol w:w="102"/>
        <w:gridCol w:w="2002"/>
        <w:gridCol w:w="178"/>
        <w:gridCol w:w="685"/>
        <w:gridCol w:w="2354"/>
      </w:tblGrid>
      <w:tr w14:paraId="58B3A2E7">
        <w:tblPrEx>
          <w:tblCellMar>
            <w:top w:w="0" w:type="dxa"/>
            <w:left w:w="0" w:type="dxa"/>
            <w:bottom w:w="0" w:type="dxa"/>
            <w:right w:w="0" w:type="dxa"/>
          </w:tblCellMar>
        </w:tblPrEx>
        <w:trPr>
          <w:trHeight w:val="497" w:hRule="atLeast"/>
          <w:jc w:val="center"/>
        </w:trPr>
        <w:tc>
          <w:tcPr>
            <w:tcW w:w="3252" w:type="dxa"/>
            <w:gridSpan w:val="2"/>
            <w:tcBorders>
              <w:top w:val="single" w:color="auto" w:sz="8" w:space="0"/>
              <w:left w:val="single" w:color="auto" w:sz="8" w:space="0"/>
              <w:bottom w:val="single" w:color="auto" w:sz="8" w:space="0"/>
              <w:right w:val="single" w:color="auto" w:sz="8" w:space="0"/>
            </w:tcBorders>
            <w:noWrap w:val="0"/>
            <w:vAlign w:val="center"/>
          </w:tcPr>
          <w:p w14:paraId="05A0D7FF">
            <w:pPr>
              <w:snapToGrid w:val="0"/>
              <w:spacing w:before="100" w:beforeAutospacing="1" w:after="100" w:afterAutospacing="1" w:line="320" w:lineRule="atLeast"/>
              <w:ind w:firstLine="5"/>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验收方式：</w:t>
            </w:r>
          </w:p>
        </w:tc>
        <w:tc>
          <w:tcPr>
            <w:tcW w:w="6119" w:type="dxa"/>
            <w:gridSpan w:val="6"/>
            <w:tcBorders>
              <w:top w:val="single" w:color="auto" w:sz="8" w:space="0"/>
              <w:left w:val="nil"/>
              <w:bottom w:val="single" w:color="auto" w:sz="8" w:space="0"/>
              <w:right w:val="single" w:color="auto" w:sz="8" w:space="0"/>
            </w:tcBorders>
            <w:noWrap w:val="0"/>
            <w:vAlign w:val="center"/>
          </w:tcPr>
          <w:p w14:paraId="33C4AF15">
            <w:pPr>
              <w:snapToGrid w:val="0"/>
              <w:spacing w:before="100" w:beforeAutospacing="1" w:after="100" w:afterAutospacing="1" w:line="320" w:lineRule="atLeast"/>
              <w:ind w:firstLine="48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□自行验收 □委托验收</w:t>
            </w:r>
          </w:p>
        </w:tc>
      </w:tr>
      <w:tr w14:paraId="04815318">
        <w:tblPrEx>
          <w:tblCellMar>
            <w:top w:w="0" w:type="dxa"/>
            <w:left w:w="0" w:type="dxa"/>
            <w:bottom w:w="0" w:type="dxa"/>
            <w:right w:w="0" w:type="dxa"/>
          </w:tblCellMar>
        </w:tblPrEx>
        <w:trPr>
          <w:trHeight w:val="622" w:hRule="atLeast"/>
          <w:jc w:val="center"/>
        </w:trPr>
        <w:tc>
          <w:tcPr>
            <w:tcW w:w="1331" w:type="dxa"/>
            <w:tcBorders>
              <w:top w:val="nil"/>
              <w:left w:val="single" w:color="auto" w:sz="8" w:space="0"/>
              <w:bottom w:val="single" w:color="auto" w:sz="8" w:space="0"/>
              <w:right w:val="single" w:color="auto" w:sz="8" w:space="0"/>
            </w:tcBorders>
            <w:noWrap w:val="0"/>
            <w:vAlign w:val="center"/>
          </w:tcPr>
          <w:p w14:paraId="10D832E8">
            <w:pPr>
              <w:snapToGrid w:val="0"/>
              <w:spacing w:before="100" w:beforeAutospacing="1" w:after="100" w:afterAutospacing="1" w:line="320" w:lineRule="atLeast"/>
              <w:ind w:firstLine="2"/>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1921" w:type="dxa"/>
            <w:tcBorders>
              <w:top w:val="nil"/>
              <w:left w:val="nil"/>
              <w:bottom w:val="single" w:color="auto" w:sz="8" w:space="0"/>
              <w:right w:val="single" w:color="auto" w:sz="8" w:space="0"/>
            </w:tcBorders>
            <w:noWrap w:val="0"/>
            <w:vAlign w:val="center"/>
          </w:tcPr>
          <w:p w14:paraId="5B0D8CE2">
            <w:pPr>
              <w:snapToGrid w:val="0"/>
              <w:spacing w:before="100" w:beforeAutospacing="1" w:after="100" w:afterAutospacing="1" w:line="320" w:lineRule="atLeast"/>
              <w:ind w:firstLine="2"/>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名 称</w:t>
            </w:r>
          </w:p>
        </w:tc>
        <w:tc>
          <w:tcPr>
            <w:tcW w:w="2902" w:type="dxa"/>
            <w:gridSpan w:val="3"/>
            <w:tcBorders>
              <w:top w:val="nil"/>
              <w:left w:val="nil"/>
              <w:bottom w:val="single" w:color="auto" w:sz="8" w:space="0"/>
              <w:right w:val="single" w:color="auto" w:sz="8" w:space="0"/>
            </w:tcBorders>
            <w:noWrap w:val="0"/>
            <w:vAlign w:val="center"/>
          </w:tcPr>
          <w:p w14:paraId="71E059A6">
            <w:pPr>
              <w:snapToGrid w:val="0"/>
              <w:spacing w:before="100" w:beforeAutospacing="1" w:after="100" w:afterAutospacing="1" w:line="320" w:lineRule="atLeast"/>
              <w:ind w:firstLine="2"/>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货物型号规格、标准及配置等（或者服务内容、标准）</w:t>
            </w:r>
          </w:p>
        </w:tc>
        <w:tc>
          <w:tcPr>
            <w:tcW w:w="863" w:type="dxa"/>
            <w:gridSpan w:val="2"/>
            <w:tcBorders>
              <w:top w:val="nil"/>
              <w:left w:val="nil"/>
              <w:bottom w:val="single" w:color="auto" w:sz="8" w:space="0"/>
              <w:right w:val="single" w:color="auto" w:sz="8" w:space="0"/>
            </w:tcBorders>
            <w:noWrap w:val="0"/>
            <w:vAlign w:val="center"/>
          </w:tcPr>
          <w:p w14:paraId="039CFEB8">
            <w:pPr>
              <w:snapToGrid w:val="0"/>
              <w:spacing w:before="100" w:beforeAutospacing="1" w:after="100" w:afterAutospacing="1" w:line="32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数量</w:t>
            </w:r>
          </w:p>
        </w:tc>
        <w:tc>
          <w:tcPr>
            <w:tcW w:w="2354" w:type="dxa"/>
            <w:tcBorders>
              <w:top w:val="nil"/>
              <w:left w:val="nil"/>
              <w:bottom w:val="single" w:color="auto" w:sz="8" w:space="0"/>
              <w:right w:val="single" w:color="auto" w:sz="8" w:space="0"/>
            </w:tcBorders>
            <w:noWrap w:val="0"/>
            <w:vAlign w:val="center"/>
          </w:tcPr>
          <w:p w14:paraId="41DFE785">
            <w:pPr>
              <w:snapToGrid w:val="0"/>
              <w:spacing w:before="100" w:beforeAutospacing="1" w:after="100" w:afterAutospacing="1" w:line="320" w:lineRule="atLeast"/>
              <w:ind w:firstLine="2"/>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金 额</w:t>
            </w:r>
          </w:p>
        </w:tc>
      </w:tr>
      <w:tr w14:paraId="4797ADE7">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noWrap w:val="0"/>
            <w:vAlign w:val="center"/>
          </w:tcPr>
          <w:p w14:paraId="074D7B69">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1921" w:type="dxa"/>
            <w:tcBorders>
              <w:top w:val="nil"/>
              <w:left w:val="nil"/>
              <w:bottom w:val="single" w:color="auto" w:sz="8" w:space="0"/>
              <w:right w:val="single" w:color="auto" w:sz="8" w:space="0"/>
            </w:tcBorders>
            <w:noWrap w:val="0"/>
            <w:vAlign w:val="center"/>
          </w:tcPr>
          <w:p w14:paraId="684D8FA7">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902" w:type="dxa"/>
            <w:gridSpan w:val="3"/>
            <w:tcBorders>
              <w:top w:val="nil"/>
              <w:left w:val="nil"/>
              <w:bottom w:val="single" w:color="auto" w:sz="8" w:space="0"/>
              <w:right w:val="single" w:color="auto" w:sz="8" w:space="0"/>
            </w:tcBorders>
            <w:noWrap w:val="0"/>
            <w:vAlign w:val="center"/>
          </w:tcPr>
          <w:p w14:paraId="7526511E">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863" w:type="dxa"/>
            <w:gridSpan w:val="2"/>
            <w:tcBorders>
              <w:top w:val="nil"/>
              <w:left w:val="nil"/>
              <w:bottom w:val="single" w:color="auto" w:sz="8" w:space="0"/>
              <w:right w:val="single" w:color="auto" w:sz="8" w:space="0"/>
            </w:tcBorders>
            <w:noWrap w:val="0"/>
            <w:vAlign w:val="center"/>
          </w:tcPr>
          <w:p w14:paraId="06DA631A">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354" w:type="dxa"/>
            <w:tcBorders>
              <w:top w:val="nil"/>
              <w:left w:val="nil"/>
              <w:bottom w:val="single" w:color="auto" w:sz="8" w:space="0"/>
              <w:right w:val="single" w:color="auto" w:sz="8" w:space="0"/>
            </w:tcBorders>
            <w:noWrap w:val="0"/>
            <w:vAlign w:val="center"/>
          </w:tcPr>
          <w:p w14:paraId="7296ADCC">
            <w:pPr>
              <w:spacing w:before="100" w:beforeAutospacing="1" w:after="100" w:afterAutospacing="1" w:line="240" w:lineRule="atLeast"/>
              <w:jc w:val="center"/>
              <w:rPr>
                <w:rFonts w:hint="eastAsia" w:ascii="宋体" w:hAnsi="宋体" w:eastAsia="宋体" w:cs="宋体"/>
                <w:color w:val="auto"/>
                <w:kern w:val="0"/>
                <w:szCs w:val="21"/>
                <w:highlight w:val="none"/>
              </w:rPr>
            </w:pPr>
          </w:p>
        </w:tc>
      </w:tr>
      <w:tr w14:paraId="53FE43F2">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noWrap w:val="0"/>
            <w:vAlign w:val="center"/>
          </w:tcPr>
          <w:p w14:paraId="7B66CEBE">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1921" w:type="dxa"/>
            <w:tcBorders>
              <w:top w:val="nil"/>
              <w:left w:val="nil"/>
              <w:bottom w:val="single" w:color="auto" w:sz="8" w:space="0"/>
              <w:right w:val="single" w:color="auto" w:sz="8" w:space="0"/>
            </w:tcBorders>
            <w:noWrap w:val="0"/>
            <w:vAlign w:val="center"/>
          </w:tcPr>
          <w:p w14:paraId="7A9A5442">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902" w:type="dxa"/>
            <w:gridSpan w:val="3"/>
            <w:tcBorders>
              <w:top w:val="nil"/>
              <w:left w:val="nil"/>
              <w:bottom w:val="single" w:color="auto" w:sz="8" w:space="0"/>
              <w:right w:val="single" w:color="auto" w:sz="8" w:space="0"/>
            </w:tcBorders>
            <w:noWrap w:val="0"/>
            <w:vAlign w:val="center"/>
          </w:tcPr>
          <w:p w14:paraId="108E731B">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863" w:type="dxa"/>
            <w:gridSpan w:val="2"/>
            <w:tcBorders>
              <w:top w:val="nil"/>
              <w:left w:val="nil"/>
              <w:bottom w:val="single" w:color="auto" w:sz="8" w:space="0"/>
              <w:right w:val="single" w:color="auto" w:sz="8" w:space="0"/>
            </w:tcBorders>
            <w:noWrap w:val="0"/>
            <w:vAlign w:val="center"/>
          </w:tcPr>
          <w:p w14:paraId="5FE21546">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354" w:type="dxa"/>
            <w:tcBorders>
              <w:top w:val="nil"/>
              <w:left w:val="nil"/>
              <w:bottom w:val="single" w:color="auto" w:sz="8" w:space="0"/>
              <w:right w:val="single" w:color="auto" w:sz="8" w:space="0"/>
            </w:tcBorders>
            <w:noWrap w:val="0"/>
            <w:vAlign w:val="center"/>
          </w:tcPr>
          <w:p w14:paraId="7342BB7E">
            <w:pPr>
              <w:spacing w:before="100" w:beforeAutospacing="1" w:after="100" w:afterAutospacing="1" w:line="240" w:lineRule="atLeast"/>
              <w:jc w:val="center"/>
              <w:rPr>
                <w:rFonts w:hint="eastAsia" w:ascii="宋体" w:hAnsi="宋体" w:eastAsia="宋体" w:cs="宋体"/>
                <w:color w:val="auto"/>
                <w:kern w:val="0"/>
                <w:szCs w:val="21"/>
                <w:highlight w:val="none"/>
              </w:rPr>
            </w:pPr>
          </w:p>
        </w:tc>
      </w:tr>
      <w:tr w14:paraId="34695967">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noWrap w:val="0"/>
            <w:vAlign w:val="center"/>
          </w:tcPr>
          <w:p w14:paraId="777D5662">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1921" w:type="dxa"/>
            <w:tcBorders>
              <w:top w:val="nil"/>
              <w:left w:val="nil"/>
              <w:bottom w:val="single" w:color="auto" w:sz="8" w:space="0"/>
              <w:right w:val="single" w:color="auto" w:sz="8" w:space="0"/>
            </w:tcBorders>
            <w:noWrap w:val="0"/>
            <w:vAlign w:val="center"/>
          </w:tcPr>
          <w:p w14:paraId="3A0D656D">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902" w:type="dxa"/>
            <w:gridSpan w:val="3"/>
            <w:tcBorders>
              <w:top w:val="nil"/>
              <w:left w:val="nil"/>
              <w:bottom w:val="single" w:color="auto" w:sz="8" w:space="0"/>
              <w:right w:val="single" w:color="auto" w:sz="8" w:space="0"/>
            </w:tcBorders>
            <w:noWrap w:val="0"/>
            <w:vAlign w:val="center"/>
          </w:tcPr>
          <w:p w14:paraId="60F1AAA7">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863" w:type="dxa"/>
            <w:gridSpan w:val="2"/>
            <w:tcBorders>
              <w:top w:val="nil"/>
              <w:left w:val="nil"/>
              <w:bottom w:val="single" w:color="auto" w:sz="8" w:space="0"/>
              <w:right w:val="single" w:color="auto" w:sz="8" w:space="0"/>
            </w:tcBorders>
            <w:noWrap w:val="0"/>
            <w:vAlign w:val="center"/>
          </w:tcPr>
          <w:p w14:paraId="0A4BC723">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354" w:type="dxa"/>
            <w:tcBorders>
              <w:top w:val="nil"/>
              <w:left w:val="nil"/>
              <w:bottom w:val="single" w:color="auto" w:sz="8" w:space="0"/>
              <w:right w:val="single" w:color="auto" w:sz="8" w:space="0"/>
            </w:tcBorders>
            <w:noWrap w:val="0"/>
            <w:vAlign w:val="center"/>
          </w:tcPr>
          <w:p w14:paraId="5786B0E7">
            <w:pPr>
              <w:spacing w:before="100" w:beforeAutospacing="1" w:after="100" w:afterAutospacing="1" w:line="240" w:lineRule="atLeast"/>
              <w:jc w:val="center"/>
              <w:rPr>
                <w:rFonts w:hint="eastAsia" w:ascii="宋体" w:hAnsi="宋体" w:eastAsia="宋体" w:cs="宋体"/>
                <w:color w:val="auto"/>
                <w:kern w:val="0"/>
                <w:szCs w:val="21"/>
                <w:highlight w:val="none"/>
              </w:rPr>
            </w:pPr>
          </w:p>
        </w:tc>
      </w:tr>
      <w:tr w14:paraId="3E8536A6">
        <w:tblPrEx>
          <w:tblCellMar>
            <w:top w:w="0" w:type="dxa"/>
            <w:left w:w="0" w:type="dxa"/>
            <w:bottom w:w="0" w:type="dxa"/>
            <w:right w:w="0" w:type="dxa"/>
          </w:tblCellMar>
        </w:tblPrEx>
        <w:trPr>
          <w:trHeight w:val="487" w:hRule="atLeast"/>
          <w:jc w:val="center"/>
        </w:trPr>
        <w:tc>
          <w:tcPr>
            <w:tcW w:w="6154" w:type="dxa"/>
            <w:gridSpan w:val="5"/>
            <w:tcBorders>
              <w:top w:val="nil"/>
              <w:left w:val="single" w:color="auto" w:sz="8" w:space="0"/>
              <w:bottom w:val="single" w:color="auto" w:sz="8" w:space="0"/>
              <w:right w:val="single" w:color="auto" w:sz="8" w:space="0"/>
            </w:tcBorders>
            <w:noWrap w:val="0"/>
            <w:vAlign w:val="center"/>
          </w:tcPr>
          <w:p w14:paraId="2651EC27">
            <w:pPr>
              <w:snapToGrid w:val="0"/>
              <w:spacing w:before="100" w:beforeAutospacing="1" w:after="100" w:afterAutospacing="1" w:line="320" w:lineRule="atLeast"/>
              <w:ind w:firstLine="5"/>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 计</w:t>
            </w:r>
          </w:p>
        </w:tc>
        <w:tc>
          <w:tcPr>
            <w:tcW w:w="863" w:type="dxa"/>
            <w:gridSpan w:val="2"/>
            <w:tcBorders>
              <w:top w:val="nil"/>
              <w:left w:val="nil"/>
              <w:bottom w:val="single" w:color="auto" w:sz="8" w:space="0"/>
              <w:right w:val="single" w:color="auto" w:sz="8" w:space="0"/>
            </w:tcBorders>
            <w:noWrap w:val="0"/>
            <w:vAlign w:val="center"/>
          </w:tcPr>
          <w:p w14:paraId="54F9B1CB">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354" w:type="dxa"/>
            <w:tcBorders>
              <w:top w:val="nil"/>
              <w:left w:val="nil"/>
              <w:bottom w:val="single" w:color="auto" w:sz="8" w:space="0"/>
              <w:right w:val="single" w:color="auto" w:sz="8" w:space="0"/>
            </w:tcBorders>
            <w:noWrap w:val="0"/>
            <w:vAlign w:val="center"/>
          </w:tcPr>
          <w:p w14:paraId="5BD136AC">
            <w:pPr>
              <w:spacing w:before="100" w:beforeAutospacing="1" w:after="100" w:afterAutospacing="1" w:line="240" w:lineRule="atLeast"/>
              <w:jc w:val="center"/>
              <w:rPr>
                <w:rFonts w:hint="eastAsia" w:ascii="宋体" w:hAnsi="宋体" w:eastAsia="宋体" w:cs="宋体"/>
                <w:color w:val="auto"/>
                <w:kern w:val="0"/>
                <w:szCs w:val="21"/>
                <w:highlight w:val="none"/>
              </w:rPr>
            </w:pPr>
          </w:p>
        </w:tc>
      </w:tr>
      <w:tr w14:paraId="77FD8AD2">
        <w:tblPrEx>
          <w:tblCellMar>
            <w:top w:w="0" w:type="dxa"/>
            <w:left w:w="0" w:type="dxa"/>
            <w:bottom w:w="0" w:type="dxa"/>
            <w:right w:w="0" w:type="dxa"/>
          </w:tblCellMar>
        </w:tblPrEx>
        <w:trPr>
          <w:trHeight w:val="641" w:hRule="atLeast"/>
          <w:jc w:val="center"/>
        </w:trPr>
        <w:tc>
          <w:tcPr>
            <w:tcW w:w="9371" w:type="dxa"/>
            <w:gridSpan w:val="8"/>
            <w:tcBorders>
              <w:top w:val="nil"/>
              <w:left w:val="single" w:color="auto" w:sz="8" w:space="0"/>
              <w:bottom w:val="single" w:color="auto" w:sz="8" w:space="0"/>
              <w:right w:val="single" w:color="auto" w:sz="8" w:space="0"/>
            </w:tcBorders>
            <w:noWrap w:val="0"/>
            <w:vAlign w:val="center"/>
          </w:tcPr>
          <w:p w14:paraId="16B3D546">
            <w:pPr>
              <w:snapToGrid w:val="0"/>
              <w:spacing w:before="100" w:beforeAutospacing="1" w:after="100" w:afterAutospacing="1" w:line="320" w:lineRule="atLeast"/>
              <w:ind w:firstLine="2"/>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合计大写金额： 亿 仟 佰 拾 万 仟 佰 拾 元</w:t>
            </w:r>
          </w:p>
        </w:tc>
      </w:tr>
      <w:tr w14:paraId="340D8775">
        <w:tblPrEx>
          <w:tblCellMar>
            <w:top w:w="0" w:type="dxa"/>
            <w:left w:w="0" w:type="dxa"/>
            <w:bottom w:w="0" w:type="dxa"/>
            <w:right w:w="0" w:type="dxa"/>
          </w:tblCellMar>
        </w:tblPrEx>
        <w:trPr>
          <w:trHeight w:val="641" w:hRule="atLeast"/>
          <w:jc w:val="center"/>
        </w:trPr>
        <w:tc>
          <w:tcPr>
            <w:tcW w:w="1331" w:type="dxa"/>
            <w:tcBorders>
              <w:top w:val="nil"/>
              <w:left w:val="single" w:color="auto" w:sz="8" w:space="0"/>
              <w:bottom w:val="single" w:color="auto" w:sz="8" w:space="0"/>
              <w:right w:val="single" w:color="auto" w:sz="8" w:space="0"/>
            </w:tcBorders>
            <w:noWrap w:val="0"/>
            <w:vAlign w:val="center"/>
          </w:tcPr>
          <w:p w14:paraId="1EEA5B09">
            <w:pPr>
              <w:snapToGrid w:val="0"/>
              <w:spacing w:before="100" w:beforeAutospacing="1" w:after="100" w:afterAutospacing="1" w:line="320" w:lineRule="atLeast"/>
              <w:ind w:firstLine="2"/>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实际供货日期</w:t>
            </w:r>
          </w:p>
        </w:tc>
        <w:tc>
          <w:tcPr>
            <w:tcW w:w="2719" w:type="dxa"/>
            <w:gridSpan w:val="2"/>
            <w:tcBorders>
              <w:top w:val="nil"/>
              <w:left w:val="nil"/>
              <w:bottom w:val="single" w:color="auto" w:sz="8" w:space="0"/>
              <w:right w:val="single" w:color="auto" w:sz="8" w:space="0"/>
            </w:tcBorders>
            <w:noWrap w:val="0"/>
            <w:vAlign w:val="center"/>
          </w:tcPr>
          <w:p w14:paraId="42CA2A5B">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282" w:type="dxa"/>
            <w:gridSpan w:val="3"/>
            <w:tcBorders>
              <w:top w:val="nil"/>
              <w:left w:val="nil"/>
              <w:bottom w:val="single" w:color="auto" w:sz="8" w:space="0"/>
              <w:right w:val="single" w:color="auto" w:sz="8" w:space="0"/>
            </w:tcBorders>
            <w:noWrap w:val="0"/>
            <w:vAlign w:val="center"/>
          </w:tcPr>
          <w:p w14:paraId="18744F7B">
            <w:pPr>
              <w:snapToGrid w:val="0"/>
              <w:spacing w:before="100" w:beforeAutospacing="1" w:after="100" w:afterAutospacing="1" w:line="320" w:lineRule="atLeast"/>
              <w:ind w:firstLine="46"/>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合同交货验收日期</w:t>
            </w:r>
          </w:p>
        </w:tc>
        <w:tc>
          <w:tcPr>
            <w:tcW w:w="3039" w:type="dxa"/>
            <w:gridSpan w:val="2"/>
            <w:tcBorders>
              <w:top w:val="nil"/>
              <w:left w:val="nil"/>
              <w:bottom w:val="single" w:color="auto" w:sz="8" w:space="0"/>
              <w:right w:val="single" w:color="auto" w:sz="8" w:space="0"/>
            </w:tcBorders>
            <w:noWrap w:val="0"/>
            <w:vAlign w:val="center"/>
          </w:tcPr>
          <w:p w14:paraId="091E7D7F">
            <w:pPr>
              <w:spacing w:before="100" w:beforeAutospacing="1" w:after="100" w:afterAutospacing="1" w:line="240" w:lineRule="atLeast"/>
              <w:jc w:val="center"/>
              <w:rPr>
                <w:rFonts w:hint="eastAsia" w:ascii="宋体" w:hAnsi="宋体" w:eastAsia="宋体" w:cs="宋体"/>
                <w:color w:val="auto"/>
                <w:kern w:val="0"/>
                <w:szCs w:val="21"/>
                <w:highlight w:val="none"/>
              </w:rPr>
            </w:pPr>
          </w:p>
        </w:tc>
      </w:tr>
      <w:tr w14:paraId="30A9B2A0">
        <w:tblPrEx>
          <w:tblCellMar>
            <w:top w:w="0" w:type="dxa"/>
            <w:left w:w="0" w:type="dxa"/>
            <w:bottom w:w="0" w:type="dxa"/>
            <w:right w:w="0" w:type="dxa"/>
          </w:tblCellMar>
        </w:tblPrEx>
        <w:trPr>
          <w:trHeight w:val="394" w:hRule="atLeast"/>
          <w:jc w:val="center"/>
        </w:trPr>
        <w:tc>
          <w:tcPr>
            <w:tcW w:w="1331" w:type="dxa"/>
            <w:tcBorders>
              <w:top w:val="nil"/>
              <w:left w:val="single" w:color="auto" w:sz="8" w:space="0"/>
              <w:bottom w:val="single" w:color="auto" w:sz="8" w:space="0"/>
              <w:right w:val="single" w:color="auto" w:sz="8" w:space="0"/>
            </w:tcBorders>
            <w:noWrap w:val="0"/>
            <w:vAlign w:val="center"/>
          </w:tcPr>
          <w:p w14:paraId="751B69CE">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719" w:type="dxa"/>
            <w:gridSpan w:val="2"/>
            <w:tcBorders>
              <w:top w:val="nil"/>
              <w:left w:val="nil"/>
              <w:bottom w:val="single" w:color="auto" w:sz="8" w:space="0"/>
              <w:right w:val="single" w:color="auto" w:sz="8" w:space="0"/>
            </w:tcBorders>
            <w:noWrap w:val="0"/>
            <w:vAlign w:val="center"/>
          </w:tcPr>
          <w:p w14:paraId="1FB8AE58">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282" w:type="dxa"/>
            <w:gridSpan w:val="3"/>
            <w:tcBorders>
              <w:top w:val="nil"/>
              <w:left w:val="nil"/>
              <w:bottom w:val="single" w:color="auto" w:sz="8" w:space="0"/>
              <w:right w:val="single" w:color="auto" w:sz="8" w:space="0"/>
            </w:tcBorders>
            <w:noWrap w:val="0"/>
            <w:vAlign w:val="center"/>
          </w:tcPr>
          <w:p w14:paraId="6547DD88">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3039" w:type="dxa"/>
            <w:gridSpan w:val="2"/>
            <w:tcBorders>
              <w:top w:val="nil"/>
              <w:left w:val="nil"/>
              <w:bottom w:val="single" w:color="auto" w:sz="8" w:space="0"/>
              <w:right w:val="single" w:color="auto" w:sz="8" w:space="0"/>
            </w:tcBorders>
            <w:noWrap w:val="0"/>
            <w:vAlign w:val="center"/>
          </w:tcPr>
          <w:p w14:paraId="418A0E22">
            <w:pPr>
              <w:spacing w:before="100" w:beforeAutospacing="1" w:after="100" w:afterAutospacing="1" w:line="240" w:lineRule="atLeast"/>
              <w:jc w:val="center"/>
              <w:rPr>
                <w:rFonts w:hint="eastAsia" w:ascii="宋体" w:hAnsi="宋体" w:eastAsia="宋体" w:cs="宋体"/>
                <w:color w:val="auto"/>
                <w:kern w:val="0"/>
                <w:szCs w:val="21"/>
                <w:highlight w:val="none"/>
              </w:rPr>
            </w:pPr>
          </w:p>
        </w:tc>
      </w:tr>
      <w:tr w14:paraId="19838C7D">
        <w:tblPrEx>
          <w:tblCellMar>
            <w:top w:w="0" w:type="dxa"/>
            <w:left w:w="0" w:type="dxa"/>
            <w:bottom w:w="0" w:type="dxa"/>
            <w:right w:w="0" w:type="dxa"/>
          </w:tblCellMar>
        </w:tblPrEx>
        <w:trPr>
          <w:trHeight w:val="693" w:hRule="atLeast"/>
          <w:jc w:val="center"/>
        </w:trPr>
        <w:tc>
          <w:tcPr>
            <w:tcW w:w="1331"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4D06A884">
            <w:pPr>
              <w:snapToGrid w:val="0"/>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验收具体内容</w:t>
            </w:r>
          </w:p>
        </w:tc>
        <w:tc>
          <w:tcPr>
            <w:tcW w:w="8040" w:type="dxa"/>
            <w:gridSpan w:val="7"/>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36BF8EB6">
            <w:pPr>
              <w:snapToGrid w:val="0"/>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应按采购合同、采购文件、投标文件及验收方案等进行验收；并核对中标或者成交投标人在安装调试等方面是否违反合同约定或者服务规范要求、提供的质量保证证明材料是否齐全、应有的配件及附件是否达到合同约定等。可附件)</w:t>
            </w:r>
          </w:p>
        </w:tc>
      </w:tr>
      <w:tr w14:paraId="6AE0744D">
        <w:tblPrEx>
          <w:tblCellMar>
            <w:top w:w="0" w:type="dxa"/>
            <w:left w:w="0" w:type="dxa"/>
            <w:bottom w:w="0" w:type="dxa"/>
            <w:right w:w="0" w:type="dxa"/>
          </w:tblCellMar>
        </w:tblPrEx>
        <w:trPr>
          <w:trHeight w:val="1281" w:hRule="atLeast"/>
          <w:jc w:val="center"/>
        </w:trPr>
        <w:tc>
          <w:tcPr>
            <w:tcW w:w="1331" w:type="dxa"/>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3124B0D0">
            <w:pPr>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验收小组意见</w:t>
            </w:r>
          </w:p>
        </w:tc>
        <w:tc>
          <w:tcPr>
            <w:tcW w:w="8040" w:type="dxa"/>
            <w:gridSpan w:val="7"/>
            <w:tcBorders>
              <w:top w:val="nil"/>
              <w:left w:val="nil"/>
              <w:bottom w:val="single" w:color="auto" w:sz="8" w:space="0"/>
              <w:right w:val="single" w:color="auto" w:sz="8" w:space="0"/>
            </w:tcBorders>
            <w:noWrap w:val="0"/>
            <w:vAlign w:val="center"/>
          </w:tcPr>
          <w:p w14:paraId="5153D035">
            <w:pPr>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验收结论性意见：</w:t>
            </w:r>
          </w:p>
        </w:tc>
      </w:tr>
      <w:tr w14:paraId="2FFF674A">
        <w:tblPrEx>
          <w:tblCellMar>
            <w:top w:w="0" w:type="dxa"/>
            <w:left w:w="0" w:type="dxa"/>
            <w:bottom w:w="0" w:type="dxa"/>
            <w:right w:w="0" w:type="dxa"/>
          </w:tblCellMar>
        </w:tblPrEx>
        <w:trPr>
          <w:trHeight w:val="607" w:hRule="atLeast"/>
          <w:jc w:val="center"/>
        </w:trPr>
        <w:tc>
          <w:tcPr>
            <w:tcW w:w="1331" w:type="dxa"/>
            <w:vMerge w:val="continue"/>
            <w:tcBorders>
              <w:top w:val="nil"/>
              <w:left w:val="single" w:color="auto" w:sz="8" w:space="0"/>
              <w:bottom w:val="single" w:color="auto" w:sz="8" w:space="0"/>
              <w:right w:val="single" w:color="auto" w:sz="8" w:space="0"/>
            </w:tcBorders>
            <w:noWrap w:val="0"/>
            <w:vAlign w:val="center"/>
          </w:tcPr>
          <w:p w14:paraId="12264B19">
            <w:pPr>
              <w:jc w:val="left"/>
              <w:rPr>
                <w:rFonts w:hint="eastAsia" w:ascii="宋体" w:hAnsi="宋体" w:eastAsia="宋体" w:cs="宋体"/>
                <w:color w:val="auto"/>
                <w:kern w:val="0"/>
                <w:szCs w:val="21"/>
                <w:highlight w:val="none"/>
              </w:rPr>
            </w:pPr>
          </w:p>
        </w:tc>
        <w:tc>
          <w:tcPr>
            <w:tcW w:w="8040" w:type="dxa"/>
            <w:gridSpan w:val="7"/>
            <w:tcBorders>
              <w:top w:val="nil"/>
              <w:left w:val="nil"/>
              <w:bottom w:val="single" w:color="auto" w:sz="8" w:space="0"/>
              <w:right w:val="single" w:color="auto" w:sz="8" w:space="0"/>
            </w:tcBorders>
            <w:noWrap w:val="0"/>
            <w:vAlign w:val="center"/>
          </w:tcPr>
          <w:p w14:paraId="0E415EC7">
            <w:pPr>
              <w:spacing w:before="100" w:beforeAutospacing="1" w:after="100" w:afterAutospacing="1" w:line="320" w:lineRule="atLeast"/>
              <w:ind w:firstLine="9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有异议的意见和说明理由：</w:t>
            </w:r>
          </w:p>
          <w:p w14:paraId="322A6F18">
            <w:pPr>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签字：</w:t>
            </w:r>
          </w:p>
        </w:tc>
      </w:tr>
      <w:tr w14:paraId="15CBB2D0">
        <w:tblPrEx>
          <w:tblCellMar>
            <w:top w:w="0" w:type="dxa"/>
            <w:left w:w="0" w:type="dxa"/>
            <w:bottom w:w="0" w:type="dxa"/>
            <w:right w:w="0" w:type="dxa"/>
          </w:tblCellMar>
        </w:tblPrEx>
        <w:trPr>
          <w:trHeight w:val="507" w:hRule="atLeast"/>
          <w:jc w:val="center"/>
        </w:trPr>
        <w:tc>
          <w:tcPr>
            <w:tcW w:w="9371" w:type="dxa"/>
            <w:gridSpan w:val="8"/>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646B4D9B">
            <w:pPr>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验收小组成员签字：</w:t>
            </w:r>
          </w:p>
        </w:tc>
      </w:tr>
      <w:tr w14:paraId="176ED26D">
        <w:tblPrEx>
          <w:tblCellMar>
            <w:top w:w="0" w:type="dxa"/>
            <w:left w:w="0" w:type="dxa"/>
            <w:bottom w:w="0" w:type="dxa"/>
            <w:right w:w="0" w:type="dxa"/>
          </w:tblCellMar>
        </w:tblPrEx>
        <w:trPr>
          <w:trHeight w:val="736" w:hRule="atLeast"/>
          <w:jc w:val="center"/>
        </w:trPr>
        <w:tc>
          <w:tcPr>
            <w:tcW w:w="9371" w:type="dxa"/>
            <w:gridSpan w:val="8"/>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49F0EE9D">
            <w:pPr>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监督人员或者</w:t>
            </w:r>
            <w:r>
              <w:rPr>
                <w:rFonts w:hint="eastAsia" w:ascii="宋体" w:hAnsi="宋体" w:eastAsia="宋体" w:cs="宋体"/>
                <w:color w:val="auto"/>
                <w:kern w:val="0"/>
                <w:szCs w:val="21"/>
                <w:highlight w:val="none"/>
                <w:lang w:eastAsia="zh-CN"/>
              </w:rPr>
              <w:t>其他</w:t>
            </w:r>
            <w:r>
              <w:rPr>
                <w:rFonts w:hint="eastAsia" w:ascii="宋体" w:hAnsi="宋体" w:eastAsia="宋体" w:cs="宋体"/>
                <w:color w:val="auto"/>
                <w:kern w:val="0"/>
                <w:szCs w:val="21"/>
                <w:highlight w:val="none"/>
              </w:rPr>
              <w:t>相关人员签字：</w:t>
            </w:r>
          </w:p>
          <w:p w14:paraId="24380C16">
            <w:pPr>
              <w:spacing w:before="100" w:beforeAutospacing="1" w:after="100" w:afterAutospacing="1" w:line="320" w:lineRule="atLeast"/>
              <w:ind w:firstLine="74"/>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或者受邀机构的意见（盖章）：</w:t>
            </w:r>
          </w:p>
        </w:tc>
      </w:tr>
      <w:tr w14:paraId="7DEA42A4">
        <w:tblPrEx>
          <w:tblCellMar>
            <w:top w:w="0" w:type="dxa"/>
            <w:left w:w="0" w:type="dxa"/>
            <w:bottom w:w="0" w:type="dxa"/>
            <w:right w:w="0" w:type="dxa"/>
          </w:tblCellMar>
        </w:tblPrEx>
        <w:trPr>
          <w:trHeight w:val="758" w:hRule="atLeast"/>
          <w:jc w:val="center"/>
        </w:trPr>
        <w:tc>
          <w:tcPr>
            <w:tcW w:w="4152" w:type="dxa"/>
            <w:gridSpan w:val="4"/>
            <w:tcBorders>
              <w:top w:val="nil"/>
              <w:left w:val="single" w:color="auto" w:sz="8" w:space="0"/>
              <w:bottom w:val="single" w:color="auto" w:sz="8" w:space="0"/>
              <w:right w:val="single" w:color="auto" w:sz="4" w:space="0"/>
            </w:tcBorders>
            <w:noWrap w:val="0"/>
            <w:tcMar>
              <w:top w:w="0" w:type="dxa"/>
              <w:left w:w="108" w:type="dxa"/>
              <w:bottom w:w="0" w:type="dxa"/>
              <w:right w:w="108" w:type="dxa"/>
            </w:tcMar>
            <w:vAlign w:val="center"/>
          </w:tcPr>
          <w:p w14:paraId="2C4D48DA">
            <w:pPr>
              <w:spacing w:before="100" w:beforeAutospacing="1" w:after="100" w:afterAutospacing="1" w:line="320" w:lineRule="atLeast"/>
              <w:ind w:firstLine="74"/>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中标或者成交人负责人签字或者盖章：</w:t>
            </w:r>
          </w:p>
          <w:p w14:paraId="0A3ED6DE">
            <w:pPr>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联系电话： </w:t>
            </w:r>
          </w:p>
          <w:p w14:paraId="17D083D1">
            <w:pPr>
              <w:spacing w:before="100" w:beforeAutospacing="1" w:after="100" w:afterAutospacing="1" w:line="320" w:lineRule="atLeast"/>
              <w:ind w:firstLine="2730" w:firstLineChars="13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年 月 日</w:t>
            </w:r>
          </w:p>
        </w:tc>
        <w:tc>
          <w:tcPr>
            <w:tcW w:w="5219" w:type="dxa"/>
            <w:gridSpan w:val="4"/>
            <w:tcBorders>
              <w:top w:val="nil"/>
              <w:left w:val="single" w:color="auto" w:sz="4" w:space="0"/>
              <w:bottom w:val="single" w:color="auto" w:sz="8" w:space="0"/>
              <w:right w:val="single" w:color="auto" w:sz="8" w:space="0"/>
            </w:tcBorders>
            <w:noWrap w:val="0"/>
            <w:vAlign w:val="center"/>
          </w:tcPr>
          <w:p w14:paraId="630D1DEC">
            <w:pPr>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采购人或者受托机构的意见（盖章）：</w:t>
            </w:r>
          </w:p>
          <w:p w14:paraId="61741F0A">
            <w:pPr>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联系电话： </w:t>
            </w:r>
          </w:p>
          <w:p w14:paraId="3832C20E">
            <w:pPr>
              <w:spacing w:before="100" w:beforeAutospacing="1" w:after="100" w:afterAutospacing="1" w:line="320" w:lineRule="atLeast"/>
              <w:ind w:firstLine="2520" w:firstLineChars="1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年 月 日</w:t>
            </w:r>
          </w:p>
        </w:tc>
      </w:tr>
    </w:tbl>
    <w:p w14:paraId="7635CB6C">
      <w:pPr>
        <w:pStyle w:val="18"/>
        <w:numPr>
          <w:ilvl w:val="0"/>
          <w:numId w:val="0"/>
        </w:numPr>
        <w:rPr>
          <w:rFonts w:ascii="Times New Roman" w:hAnsi="Times New Roman" w:eastAsia="宋体" w:cs="Times New Roman"/>
          <w:b/>
          <w:color w:val="auto"/>
          <w:sz w:val="36"/>
          <w:highlight w:val="none"/>
        </w:rPr>
      </w:pPr>
      <w:r>
        <w:rPr>
          <w:rFonts w:hint="eastAsia" w:ascii="宋体" w:hAnsi="宋体" w:eastAsia="宋体" w:cs="宋体"/>
          <w:color w:val="auto"/>
          <w:highlight w:val="none"/>
        </w:rPr>
        <w:br w:type="page"/>
      </w:r>
    </w:p>
    <w:p w14:paraId="1D76B656">
      <w:pPr>
        <w:pStyle w:val="16"/>
        <w:tabs>
          <w:tab w:val="left" w:pos="2472"/>
        </w:tabs>
        <w:spacing w:line="460" w:lineRule="exact"/>
        <w:jc w:val="center"/>
        <w:rPr>
          <w:rFonts w:ascii="Times New Roman" w:hAnsi="Times New Roman" w:eastAsia="宋体" w:cs="Times New Roman"/>
          <w:b/>
          <w:color w:val="auto"/>
          <w:sz w:val="36"/>
          <w:highlight w:val="none"/>
        </w:rPr>
      </w:pPr>
    </w:p>
    <w:p w14:paraId="718D1754">
      <w:pPr>
        <w:pStyle w:val="16"/>
        <w:tabs>
          <w:tab w:val="left" w:pos="2472"/>
        </w:tabs>
        <w:spacing w:line="460" w:lineRule="exact"/>
        <w:jc w:val="center"/>
        <w:rPr>
          <w:rFonts w:ascii="Times New Roman" w:hAnsi="Times New Roman" w:eastAsia="宋体" w:cs="Times New Roman"/>
          <w:b/>
          <w:color w:val="auto"/>
          <w:sz w:val="36"/>
          <w:highlight w:val="none"/>
        </w:rPr>
      </w:pPr>
    </w:p>
    <w:p w14:paraId="1D1BE216">
      <w:pPr>
        <w:pStyle w:val="16"/>
        <w:tabs>
          <w:tab w:val="left" w:pos="2472"/>
        </w:tabs>
        <w:spacing w:line="460" w:lineRule="exact"/>
        <w:jc w:val="center"/>
        <w:rPr>
          <w:rFonts w:ascii="Times New Roman" w:hAnsi="Times New Roman" w:eastAsia="宋体" w:cs="Times New Roman"/>
          <w:b/>
          <w:color w:val="auto"/>
          <w:sz w:val="36"/>
          <w:highlight w:val="none"/>
        </w:rPr>
      </w:pPr>
    </w:p>
    <w:p w14:paraId="3FBA381C">
      <w:pPr>
        <w:pStyle w:val="16"/>
        <w:tabs>
          <w:tab w:val="left" w:pos="2472"/>
        </w:tabs>
        <w:spacing w:line="460" w:lineRule="exact"/>
        <w:jc w:val="center"/>
        <w:rPr>
          <w:rFonts w:ascii="Times New Roman" w:hAnsi="Times New Roman" w:eastAsia="宋体" w:cs="Times New Roman"/>
          <w:b/>
          <w:color w:val="auto"/>
          <w:sz w:val="36"/>
          <w:highlight w:val="none"/>
        </w:rPr>
      </w:pPr>
    </w:p>
    <w:p w14:paraId="2010F3EE">
      <w:pPr>
        <w:pStyle w:val="16"/>
        <w:tabs>
          <w:tab w:val="left" w:pos="2472"/>
        </w:tabs>
        <w:spacing w:line="460" w:lineRule="exact"/>
        <w:jc w:val="center"/>
        <w:rPr>
          <w:rFonts w:ascii="Times New Roman" w:hAnsi="Times New Roman" w:eastAsia="宋体" w:cs="Times New Roman"/>
          <w:b/>
          <w:color w:val="auto"/>
          <w:sz w:val="36"/>
          <w:highlight w:val="none"/>
        </w:rPr>
      </w:pPr>
    </w:p>
    <w:p w14:paraId="76652929">
      <w:pPr>
        <w:pStyle w:val="16"/>
        <w:tabs>
          <w:tab w:val="left" w:pos="2472"/>
        </w:tabs>
        <w:spacing w:line="460" w:lineRule="exact"/>
        <w:jc w:val="center"/>
        <w:rPr>
          <w:rFonts w:ascii="Times New Roman" w:hAnsi="Times New Roman" w:eastAsia="宋体" w:cs="Times New Roman"/>
          <w:b/>
          <w:color w:val="auto"/>
          <w:sz w:val="36"/>
          <w:highlight w:val="none"/>
        </w:rPr>
      </w:pPr>
    </w:p>
    <w:p w14:paraId="187C34AC">
      <w:pPr>
        <w:pStyle w:val="16"/>
        <w:tabs>
          <w:tab w:val="left" w:pos="2472"/>
        </w:tabs>
        <w:spacing w:line="460" w:lineRule="exact"/>
        <w:jc w:val="center"/>
        <w:rPr>
          <w:rFonts w:ascii="Times New Roman" w:hAnsi="Times New Roman" w:eastAsia="宋体" w:cs="Times New Roman"/>
          <w:b/>
          <w:color w:val="auto"/>
          <w:sz w:val="36"/>
          <w:highlight w:val="none"/>
        </w:rPr>
      </w:pPr>
    </w:p>
    <w:p w14:paraId="64C22219">
      <w:pPr>
        <w:pStyle w:val="16"/>
        <w:tabs>
          <w:tab w:val="left" w:pos="2472"/>
        </w:tabs>
        <w:spacing w:line="460" w:lineRule="exact"/>
        <w:jc w:val="center"/>
        <w:rPr>
          <w:rFonts w:ascii="Times New Roman" w:hAnsi="Times New Roman" w:eastAsia="宋体" w:cs="Times New Roman"/>
          <w:b/>
          <w:color w:val="auto"/>
          <w:sz w:val="36"/>
          <w:highlight w:val="none"/>
        </w:rPr>
      </w:pPr>
    </w:p>
    <w:p w14:paraId="5EADAA34">
      <w:pPr>
        <w:pStyle w:val="16"/>
        <w:tabs>
          <w:tab w:val="left" w:pos="2472"/>
        </w:tabs>
        <w:spacing w:line="460" w:lineRule="exact"/>
        <w:jc w:val="center"/>
        <w:outlineLvl w:val="0"/>
        <w:rPr>
          <w:rFonts w:ascii="Times New Roman" w:hAnsi="Times New Roman" w:eastAsia="宋体" w:cs="Times New Roman"/>
          <w:b/>
          <w:color w:val="auto"/>
          <w:sz w:val="36"/>
          <w:highlight w:val="none"/>
        </w:rPr>
      </w:pPr>
      <w:bookmarkStart w:id="392" w:name="_Toc31429"/>
      <w:bookmarkStart w:id="393" w:name="_Toc7244"/>
      <w:bookmarkStart w:id="394" w:name="_Toc21753"/>
      <w:bookmarkStart w:id="395" w:name="_Toc2211"/>
      <w:bookmarkStart w:id="396" w:name="_Toc32028"/>
      <w:bookmarkStart w:id="397" w:name="_Toc6635"/>
      <w:bookmarkStart w:id="398" w:name="_Toc17736"/>
      <w:bookmarkStart w:id="399" w:name="_Toc31310"/>
      <w:bookmarkStart w:id="400" w:name="_Toc7254"/>
      <w:bookmarkStart w:id="401" w:name="_Toc25113"/>
      <w:bookmarkStart w:id="402" w:name="_Toc11260"/>
      <w:bookmarkStart w:id="403" w:name="_Toc491"/>
      <w:bookmarkStart w:id="404" w:name="_Toc18173"/>
      <w:r>
        <w:rPr>
          <w:rFonts w:hint="eastAsia" w:ascii="Times New Roman" w:hAnsi="Times New Roman" w:eastAsia="宋体" w:cs="Times New Roman"/>
          <w:b/>
          <w:color w:val="auto"/>
          <w:sz w:val="36"/>
          <w:highlight w:val="none"/>
        </w:rPr>
        <w:t>第七章</w:t>
      </w:r>
      <w:r>
        <w:rPr>
          <w:rFonts w:ascii="Times New Roman" w:hAnsi="Times New Roman" w:eastAsia="宋体" w:cs="Times New Roman"/>
          <w:b/>
          <w:color w:val="auto"/>
          <w:sz w:val="36"/>
          <w:highlight w:val="none"/>
        </w:rPr>
        <w:t xml:space="preserve"> </w:t>
      </w:r>
      <w:r>
        <w:rPr>
          <w:rFonts w:hint="eastAsia" w:ascii="Times New Roman" w:hAnsi="Times New Roman" w:eastAsia="宋体" w:cs="Times New Roman"/>
          <w:b/>
          <w:color w:val="auto"/>
          <w:sz w:val="36"/>
          <w:highlight w:val="none"/>
        </w:rPr>
        <w:t>质疑、投诉材料格式</w:t>
      </w:r>
      <w:bookmarkEnd w:id="392"/>
      <w:bookmarkEnd w:id="393"/>
      <w:bookmarkEnd w:id="394"/>
      <w:bookmarkEnd w:id="395"/>
      <w:bookmarkEnd w:id="396"/>
      <w:bookmarkEnd w:id="397"/>
      <w:bookmarkEnd w:id="398"/>
      <w:bookmarkEnd w:id="399"/>
      <w:bookmarkEnd w:id="400"/>
      <w:bookmarkEnd w:id="401"/>
      <w:bookmarkEnd w:id="402"/>
      <w:bookmarkEnd w:id="403"/>
      <w:bookmarkEnd w:id="404"/>
    </w:p>
    <w:p w14:paraId="63E47B6D">
      <w:pPr>
        <w:widowControl/>
        <w:spacing w:line="360" w:lineRule="auto"/>
        <w:jc w:val="left"/>
        <w:rPr>
          <w:color w:val="auto"/>
          <w:sz w:val="20"/>
          <w:highlight w:val="none"/>
        </w:rPr>
        <w:sectPr>
          <w:pgSz w:w="11905" w:h="16838"/>
          <w:pgMar w:top="1134" w:right="1134" w:bottom="1134" w:left="1134" w:header="850" w:footer="850" w:gutter="0"/>
          <w:pgNumType w:fmt="decimal"/>
          <w:cols w:space="720" w:num="1"/>
          <w:titlePg/>
          <w:rtlGutter w:val="0"/>
          <w:docGrid w:linePitch="331" w:charSpace="0"/>
        </w:sectPr>
      </w:pPr>
    </w:p>
    <w:p w14:paraId="5530E330">
      <w:pPr>
        <w:pStyle w:val="3"/>
        <w:jc w:val="center"/>
        <w:rPr>
          <w:rFonts w:hint="eastAsia" w:ascii="宋体" w:hAnsi="宋体" w:cs="Times New Roman"/>
          <w:b w:val="0"/>
          <w:bCs w:val="0"/>
          <w:color w:val="auto"/>
          <w:highlight w:val="none"/>
        </w:rPr>
      </w:pPr>
      <w:bookmarkStart w:id="405" w:name="_Toc3458"/>
      <w:bookmarkStart w:id="406" w:name="_Toc22540"/>
      <w:bookmarkStart w:id="407" w:name="_Toc990"/>
      <w:bookmarkStart w:id="408" w:name="_Toc31800"/>
      <w:bookmarkStart w:id="409" w:name="_Toc12016"/>
      <w:bookmarkStart w:id="410" w:name="_Toc22595"/>
      <w:bookmarkStart w:id="411" w:name="_Toc25538"/>
      <w:bookmarkStart w:id="412" w:name="_Toc17610"/>
      <w:bookmarkStart w:id="413" w:name="_Toc10944"/>
      <w:bookmarkStart w:id="414" w:name="_Toc15096"/>
      <w:r>
        <w:rPr>
          <w:rFonts w:hint="eastAsia" w:ascii="宋体" w:hAnsi="宋体" w:cs="Times New Roman"/>
          <w:b w:val="0"/>
          <w:bCs w:val="0"/>
          <w:color w:val="auto"/>
          <w:highlight w:val="none"/>
        </w:rPr>
        <w:t>第一节 质疑函（格式）</w:t>
      </w:r>
      <w:bookmarkEnd w:id="405"/>
      <w:bookmarkEnd w:id="406"/>
      <w:bookmarkEnd w:id="407"/>
      <w:bookmarkEnd w:id="408"/>
      <w:bookmarkEnd w:id="409"/>
      <w:bookmarkEnd w:id="410"/>
      <w:bookmarkEnd w:id="411"/>
      <w:bookmarkEnd w:id="412"/>
      <w:bookmarkEnd w:id="413"/>
      <w:bookmarkEnd w:id="414"/>
    </w:p>
    <w:p w14:paraId="3785B0FF">
      <w:pPr>
        <w:adjustRightInd/>
        <w:snapToGrid/>
        <w:spacing w:before="0" w:beforeLines="0" w:line="240" w:lineRule="auto"/>
        <w:jc w:val="center"/>
        <w:rPr>
          <w:rFonts w:hint="eastAsia" w:ascii="黑体" w:hAnsi="黑体" w:eastAsia="黑体" w:cs="仿宋"/>
          <w:bCs/>
          <w:color w:val="auto"/>
          <w:sz w:val="32"/>
          <w:szCs w:val="32"/>
          <w:highlight w:val="none"/>
        </w:rPr>
      </w:pPr>
      <w:r>
        <w:rPr>
          <w:rFonts w:hint="eastAsia" w:ascii="仿宋" w:hAnsi="仿宋" w:eastAsia="仿宋" w:cs="仿宋"/>
          <w:b/>
          <w:bCs/>
          <w:color w:val="auto"/>
          <w:sz w:val="32"/>
          <w:szCs w:val="32"/>
          <w:highlight w:val="none"/>
        </w:rPr>
        <w:t>质疑函</w:t>
      </w:r>
    </w:p>
    <w:p w14:paraId="262FC838">
      <w:pPr>
        <w:adjustRightInd w:val="0"/>
        <w:snapToGrid w:val="0"/>
        <w:spacing w:before="331" w:beforeLines="100"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一、质疑供应商基本信息</w:t>
      </w:r>
    </w:p>
    <w:p w14:paraId="04717F00">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质疑供应商：</w:t>
      </w:r>
      <w:r>
        <w:rPr>
          <w:rFonts w:hint="eastAsia" w:ascii="宋体" w:hAnsi="宋体" w:eastAsia="宋体" w:cs="宋体"/>
          <w:color w:val="auto"/>
          <w:sz w:val="24"/>
          <w:szCs w:val="24"/>
          <w:highlight w:val="none"/>
          <w:u w:val="dotted"/>
        </w:rPr>
        <w:t xml:space="preserve">                                        </w:t>
      </w:r>
    </w:p>
    <w:p w14:paraId="0B31BF16">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p>
    <w:p w14:paraId="48A8B5A0">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p>
    <w:p w14:paraId="0F36810F">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授权代表：</w:t>
      </w:r>
      <w:r>
        <w:rPr>
          <w:rFonts w:hint="eastAsia" w:ascii="宋体" w:hAnsi="宋体" w:eastAsia="宋体" w:cs="宋体"/>
          <w:color w:val="auto"/>
          <w:sz w:val="24"/>
          <w:szCs w:val="24"/>
          <w:highlight w:val="none"/>
          <w:u w:val="dotted"/>
        </w:rPr>
        <w:t xml:space="preserve">                                          </w:t>
      </w:r>
    </w:p>
    <w:p w14:paraId="08236EB3">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 xml:space="preserve"> </w:t>
      </w:r>
    </w:p>
    <w:p w14:paraId="38358906">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地址： </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p>
    <w:p w14:paraId="66F2CE06">
      <w:pPr>
        <w:adjustRightInd w:val="0"/>
        <w:snapToGrid w:val="0"/>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二、质疑项目基本情况</w:t>
      </w:r>
    </w:p>
    <w:p w14:paraId="434A4BC3">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质疑项目的名称：</w:t>
      </w:r>
      <w:r>
        <w:rPr>
          <w:rFonts w:hint="eastAsia" w:ascii="宋体" w:hAnsi="宋体" w:eastAsia="宋体" w:cs="宋体"/>
          <w:color w:val="auto"/>
          <w:sz w:val="24"/>
          <w:szCs w:val="24"/>
          <w:highlight w:val="none"/>
          <w:u w:val="dotted"/>
        </w:rPr>
        <w:t xml:space="preserve">                           </w:t>
      </w:r>
    </w:p>
    <w:p w14:paraId="1A8FDF68">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质疑项目的编号：</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包号：</w:t>
      </w:r>
      <w:r>
        <w:rPr>
          <w:rFonts w:hint="eastAsia" w:ascii="宋体" w:hAnsi="宋体" w:eastAsia="宋体" w:cs="宋体"/>
          <w:color w:val="auto"/>
          <w:sz w:val="24"/>
          <w:szCs w:val="24"/>
          <w:highlight w:val="none"/>
          <w:u w:val="dotted"/>
        </w:rPr>
        <w:t xml:space="preserve">                 </w:t>
      </w:r>
    </w:p>
    <w:p w14:paraId="55FEA2D6">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采购人名称：</w:t>
      </w:r>
      <w:r>
        <w:rPr>
          <w:rFonts w:hint="eastAsia" w:ascii="宋体" w:hAnsi="宋体" w:eastAsia="宋体" w:cs="宋体"/>
          <w:color w:val="auto"/>
          <w:sz w:val="24"/>
          <w:szCs w:val="24"/>
          <w:highlight w:val="none"/>
          <w:u w:val="dotted"/>
        </w:rPr>
        <w:t xml:space="preserve">  </w:t>
      </w:r>
      <w:bookmarkStart w:id="415" w:name="PO_3000001867_PM026_5"/>
      <w:r>
        <w:rPr>
          <w:rFonts w:hint="eastAsia" w:ascii="宋体" w:hAnsi="宋体" w:eastAsia="宋体" w:cs="宋体"/>
          <w:color w:val="auto"/>
          <w:sz w:val="24"/>
          <w:szCs w:val="24"/>
          <w:highlight w:val="none"/>
          <w:u w:val="dotted"/>
        </w:rPr>
        <w:t xml:space="preserve">                        </w:t>
      </w:r>
      <w:bookmarkEnd w:id="415"/>
      <w:r>
        <w:rPr>
          <w:rFonts w:hint="eastAsia" w:ascii="宋体" w:hAnsi="宋体" w:eastAsia="宋体" w:cs="宋体"/>
          <w:color w:val="auto"/>
          <w:sz w:val="24"/>
          <w:szCs w:val="24"/>
          <w:highlight w:val="none"/>
          <w:u w:val="dotted"/>
        </w:rPr>
        <w:t xml:space="preserve">  </w:t>
      </w:r>
    </w:p>
    <w:p w14:paraId="70D0A5ED">
      <w:pPr>
        <w:adjustRightInd w:val="0"/>
        <w:snapToGrid w:val="0"/>
        <w:spacing w:line="360" w:lineRule="auto"/>
        <w:ind w:left="0" w:leftChars="0" w:firstLine="0" w:firstLineChars="0"/>
        <w:rPr>
          <w:rFonts w:hint="eastAsia" w:ascii="宋体" w:hAnsi="宋体" w:eastAsia="宋体" w:cs="宋体"/>
          <w:color w:val="auto"/>
          <w:kern w:val="2"/>
          <w:sz w:val="24"/>
          <w:szCs w:val="24"/>
          <w:highlight w:val="none"/>
          <w:lang w:val="zh-CN" w:eastAsia="zh-CN"/>
        </w:rPr>
      </w:pPr>
      <w:r>
        <w:rPr>
          <w:rFonts w:hint="eastAsia" w:ascii="宋体" w:hAnsi="宋体" w:eastAsia="宋体" w:cs="宋体"/>
          <w:color w:val="auto"/>
          <w:kern w:val="2"/>
          <w:sz w:val="24"/>
          <w:szCs w:val="24"/>
          <w:highlight w:val="none"/>
          <w:lang w:val="zh-CN" w:eastAsia="zh-CN"/>
        </w:rPr>
        <w:t>质疑事项：</w:t>
      </w:r>
    </w:p>
    <w:p w14:paraId="675417C4">
      <w:pPr>
        <w:adjustRightInd w:val="0"/>
        <w:snapToGrid w:val="0"/>
        <w:spacing w:line="360" w:lineRule="auto"/>
        <w:ind w:left="0" w:leftChars="0" w:firstLine="0" w:firstLineChars="0"/>
        <w:rPr>
          <w:rFonts w:hint="eastAsia" w:ascii="宋体" w:hAnsi="宋体" w:eastAsia="宋体" w:cs="宋体"/>
          <w:color w:val="auto"/>
          <w:kern w:val="2"/>
          <w:sz w:val="24"/>
          <w:szCs w:val="24"/>
          <w:highlight w:val="none"/>
          <w:lang w:val="zh-CN" w:eastAsia="zh-CN"/>
        </w:rPr>
      </w:pPr>
      <w:r>
        <w:rPr>
          <w:rFonts w:hint="eastAsia" w:ascii="宋体" w:hAnsi="宋体" w:eastAsia="宋体" w:cs="宋体"/>
          <w:color w:val="auto"/>
          <w:kern w:val="2"/>
          <w:sz w:val="24"/>
          <w:szCs w:val="24"/>
          <w:highlight w:val="none"/>
          <w:lang w:val="zh-CN" w:eastAsia="zh-CN"/>
        </w:rPr>
        <w:t>□采购文件   采购文件获取日期：</w:t>
      </w:r>
      <w:r>
        <w:rPr>
          <w:rFonts w:hint="eastAsia" w:ascii="宋体" w:hAnsi="宋体" w:eastAsia="宋体" w:cs="宋体"/>
          <w:color w:val="auto"/>
          <w:sz w:val="24"/>
          <w:szCs w:val="24"/>
          <w:highlight w:val="none"/>
          <w:u w:val="dotted"/>
        </w:rPr>
        <w:t xml:space="preserve">                         </w:t>
      </w:r>
      <w:r>
        <w:rPr>
          <w:rFonts w:hint="eastAsia" w:ascii="宋体" w:hAnsi="宋体" w:eastAsia="宋体" w:cs="宋体"/>
          <w:bCs w:val="0"/>
          <w:color w:val="auto"/>
          <w:kern w:val="2"/>
          <w:sz w:val="24"/>
          <w:szCs w:val="24"/>
          <w:highlight w:val="none"/>
          <w:u w:val="none"/>
          <w:lang w:val="zh-CN" w:eastAsia="zh-CN"/>
        </w:rPr>
        <w:t xml:space="preserve">  </w:t>
      </w:r>
    </w:p>
    <w:p w14:paraId="5C48C010">
      <w:pPr>
        <w:adjustRightInd w:val="0"/>
        <w:snapToGrid w:val="0"/>
        <w:spacing w:line="360" w:lineRule="auto"/>
        <w:ind w:left="0" w:leftChars="0" w:firstLine="0" w:firstLineChars="0"/>
        <w:rPr>
          <w:rFonts w:hint="eastAsia" w:ascii="宋体" w:hAnsi="宋体" w:eastAsia="宋体" w:cs="宋体"/>
          <w:color w:val="auto"/>
          <w:kern w:val="2"/>
          <w:sz w:val="24"/>
          <w:szCs w:val="24"/>
          <w:highlight w:val="none"/>
          <w:lang w:val="zh-CN" w:eastAsia="zh-CN"/>
        </w:rPr>
      </w:pPr>
      <w:r>
        <w:rPr>
          <w:rFonts w:hint="eastAsia" w:ascii="宋体" w:hAnsi="宋体" w:eastAsia="宋体" w:cs="宋体"/>
          <w:color w:val="auto"/>
          <w:kern w:val="2"/>
          <w:sz w:val="24"/>
          <w:szCs w:val="24"/>
          <w:highlight w:val="none"/>
          <w:lang w:val="zh-CN" w:eastAsia="zh-CN"/>
        </w:rPr>
        <w:t xml:space="preserve">□采购过程   </w:t>
      </w:r>
    </w:p>
    <w:p w14:paraId="743D08CA">
      <w:pPr>
        <w:adjustRightInd w:val="0"/>
        <w:snapToGrid w:val="0"/>
        <w:spacing w:line="360" w:lineRule="auto"/>
        <w:ind w:left="0" w:leftChars="0" w:firstLine="0" w:firstLineChars="0"/>
        <w:rPr>
          <w:rFonts w:hint="eastAsia" w:ascii="宋体" w:hAnsi="宋体" w:eastAsia="宋体" w:cs="宋体"/>
          <w:bCs w:val="0"/>
          <w:color w:val="auto"/>
          <w:kern w:val="2"/>
          <w:sz w:val="24"/>
          <w:szCs w:val="24"/>
          <w:highlight w:val="none"/>
          <w:u w:val="none"/>
          <w:lang w:val="zh-CN" w:eastAsia="zh-CN"/>
        </w:rPr>
      </w:pPr>
      <w:r>
        <w:rPr>
          <w:rFonts w:hint="eastAsia" w:ascii="宋体" w:hAnsi="宋体" w:eastAsia="宋体" w:cs="宋体"/>
          <w:color w:val="auto"/>
          <w:kern w:val="2"/>
          <w:sz w:val="24"/>
          <w:szCs w:val="24"/>
          <w:highlight w:val="none"/>
          <w:lang w:val="zh-CN" w:eastAsia="zh-CN"/>
        </w:rPr>
        <w:t xml:space="preserve">□中标结果   </w:t>
      </w:r>
    </w:p>
    <w:p w14:paraId="4B529BAE">
      <w:pPr>
        <w:adjustRightInd w:val="0"/>
        <w:snapToGrid w:val="0"/>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三、质疑事项具体内容</w:t>
      </w:r>
    </w:p>
    <w:p w14:paraId="3E08FAC1">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质疑事项1：</w:t>
      </w:r>
      <w:r>
        <w:rPr>
          <w:rFonts w:hint="eastAsia" w:ascii="宋体" w:hAnsi="宋体" w:eastAsia="宋体" w:cs="宋体"/>
          <w:color w:val="auto"/>
          <w:sz w:val="24"/>
          <w:szCs w:val="24"/>
          <w:highlight w:val="none"/>
          <w:u w:val="dotted"/>
        </w:rPr>
        <w:t xml:space="preserve">                                         </w:t>
      </w:r>
    </w:p>
    <w:p w14:paraId="7108D8D0">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事实依据：</w:t>
      </w:r>
      <w:r>
        <w:rPr>
          <w:rFonts w:hint="eastAsia" w:ascii="宋体" w:hAnsi="宋体" w:eastAsia="宋体" w:cs="宋体"/>
          <w:color w:val="auto"/>
          <w:sz w:val="24"/>
          <w:szCs w:val="24"/>
          <w:highlight w:val="none"/>
          <w:u w:val="dotted"/>
        </w:rPr>
        <w:t xml:space="preserve">                                          </w:t>
      </w:r>
    </w:p>
    <w:p w14:paraId="48B42377">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dotted"/>
        </w:rPr>
        <w:t xml:space="preserve">                                                       </w:t>
      </w:r>
    </w:p>
    <w:p w14:paraId="471A6454">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法律依据：</w:t>
      </w:r>
      <w:r>
        <w:rPr>
          <w:rFonts w:hint="eastAsia" w:ascii="宋体" w:hAnsi="宋体" w:eastAsia="宋体" w:cs="宋体"/>
          <w:color w:val="auto"/>
          <w:sz w:val="24"/>
          <w:szCs w:val="24"/>
          <w:highlight w:val="none"/>
          <w:u w:val="dotted"/>
        </w:rPr>
        <w:t xml:space="preserve">                                          </w:t>
      </w:r>
    </w:p>
    <w:p w14:paraId="14235D6D">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u w:val="dotted"/>
        </w:rPr>
        <w:t xml:space="preserve">                                                     </w:t>
      </w:r>
    </w:p>
    <w:p w14:paraId="6E20A20A">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质疑事项2</w:t>
      </w:r>
    </w:p>
    <w:p w14:paraId="4015B47C">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26621239">
      <w:pPr>
        <w:adjustRightInd w:val="0"/>
        <w:snapToGrid w:val="0"/>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四、与质疑事项相关的质疑请求</w:t>
      </w:r>
    </w:p>
    <w:p w14:paraId="5A24082F">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请求：</w:t>
      </w:r>
      <w:r>
        <w:rPr>
          <w:rFonts w:hint="eastAsia" w:ascii="宋体" w:hAnsi="宋体" w:eastAsia="宋体" w:cs="宋体"/>
          <w:color w:val="auto"/>
          <w:sz w:val="24"/>
          <w:szCs w:val="24"/>
          <w:highlight w:val="none"/>
          <w:u w:val="dotted"/>
        </w:rPr>
        <w:t xml:space="preserve">                                               </w:t>
      </w:r>
    </w:p>
    <w:p w14:paraId="7664831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签字(签章)：                   公章：                      </w:t>
      </w:r>
    </w:p>
    <w:p w14:paraId="10A2F21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日期：    </w:t>
      </w:r>
    </w:p>
    <w:p w14:paraId="30915A1F">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质疑函制作说明：</w:t>
      </w:r>
    </w:p>
    <w:p w14:paraId="1F88F8DA">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1.供应商提出质疑时，应提交质疑函和必要的证明材料。</w:t>
      </w:r>
    </w:p>
    <w:p w14:paraId="15DC1EE9">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szCs w:val="24"/>
          <w:highlight w:val="none"/>
        </w:rPr>
        <w:t>供应商签署的授权委托书。授权委托书应载明代理人的姓名或者名称、代理事项、具体权限、期限和相关事项。</w:t>
      </w:r>
    </w:p>
    <w:p w14:paraId="4C6C3554">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3.质疑供应商若对项目的某一分包进行质疑，质疑函中应列明具体分包号。</w:t>
      </w:r>
    </w:p>
    <w:p w14:paraId="221BC2F1">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4.质疑函的质疑事项应具体、明确，并有必要的事实依据和法律依据。</w:t>
      </w:r>
    </w:p>
    <w:p w14:paraId="675BB354">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5.质疑函的质疑请求应与质疑事项相关。</w:t>
      </w:r>
    </w:p>
    <w:p w14:paraId="7C2EAFB7">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6.质疑供应商为自然人的，质疑函应由本人签字；质疑供应商为法人或者其他组织的，质疑函应由法定代表人、主要负责人，或者其授权代表签字或者盖章，并加盖公章。</w:t>
      </w:r>
    </w:p>
    <w:p w14:paraId="3F3FB3D1">
      <w:pPr>
        <w:widowControl/>
        <w:spacing w:line="360" w:lineRule="auto"/>
        <w:ind w:firstLine="480" w:firstLineChars="200"/>
        <w:jc w:val="left"/>
        <w:rPr>
          <w:rFonts w:hint="eastAsia" w:ascii="宋体" w:hAnsi="宋体" w:eastAsia="宋体" w:cs="宋体"/>
          <w:color w:val="auto"/>
          <w:sz w:val="24"/>
          <w:szCs w:val="24"/>
          <w:highlight w:val="none"/>
        </w:rPr>
      </w:pPr>
    </w:p>
    <w:p w14:paraId="4BEC160F">
      <w:pPr>
        <w:widowControl/>
        <w:spacing w:line="360" w:lineRule="auto"/>
        <w:jc w:val="left"/>
        <w:rPr>
          <w:rFonts w:hint="eastAsia" w:ascii="宋体" w:hAnsi="宋体" w:eastAsia="宋体" w:cs="宋体"/>
          <w:color w:val="auto"/>
          <w:kern w:val="0"/>
          <w:sz w:val="24"/>
          <w:highlight w:val="none"/>
        </w:rPr>
        <w:sectPr>
          <w:pgSz w:w="11905" w:h="16838"/>
          <w:pgMar w:top="1134" w:right="1134" w:bottom="1134" w:left="1134" w:header="850" w:footer="850" w:gutter="0"/>
          <w:pgNumType w:fmt="decimal"/>
          <w:cols w:space="720" w:num="1"/>
          <w:titlePg/>
          <w:rtlGutter w:val="0"/>
          <w:docGrid w:linePitch="331" w:charSpace="0"/>
        </w:sectPr>
      </w:pPr>
    </w:p>
    <w:p w14:paraId="484B89B8">
      <w:pPr>
        <w:pStyle w:val="3"/>
        <w:jc w:val="center"/>
        <w:rPr>
          <w:rFonts w:hint="eastAsia" w:ascii="宋体" w:hAnsi="宋体" w:cs="Times New Roman"/>
          <w:b w:val="0"/>
          <w:bCs w:val="0"/>
          <w:color w:val="auto"/>
          <w:highlight w:val="none"/>
        </w:rPr>
      </w:pPr>
      <w:bookmarkStart w:id="416" w:name="_Toc24568"/>
      <w:bookmarkStart w:id="417" w:name="_Toc24894"/>
      <w:bookmarkStart w:id="418" w:name="_Toc11984"/>
      <w:bookmarkStart w:id="419" w:name="_Toc7549"/>
      <w:bookmarkStart w:id="420" w:name="_Toc8862"/>
      <w:bookmarkStart w:id="421" w:name="_Toc11428"/>
      <w:bookmarkStart w:id="422" w:name="_Toc6551"/>
      <w:bookmarkStart w:id="423" w:name="_Toc32540"/>
      <w:bookmarkStart w:id="424" w:name="_Toc1896"/>
      <w:bookmarkStart w:id="425" w:name="_Toc31203"/>
      <w:r>
        <w:rPr>
          <w:rFonts w:hint="eastAsia" w:ascii="宋体" w:hAnsi="宋体" w:cs="Times New Roman"/>
          <w:b w:val="0"/>
          <w:bCs w:val="0"/>
          <w:color w:val="auto"/>
          <w:highlight w:val="none"/>
        </w:rPr>
        <w:t>第二节 投诉书（格式）</w:t>
      </w:r>
      <w:bookmarkEnd w:id="416"/>
      <w:bookmarkEnd w:id="417"/>
      <w:bookmarkEnd w:id="418"/>
      <w:bookmarkEnd w:id="419"/>
      <w:bookmarkEnd w:id="420"/>
      <w:bookmarkEnd w:id="421"/>
      <w:bookmarkEnd w:id="422"/>
      <w:bookmarkEnd w:id="423"/>
      <w:bookmarkEnd w:id="424"/>
      <w:bookmarkEnd w:id="425"/>
    </w:p>
    <w:p w14:paraId="2FBA842D">
      <w:pPr>
        <w:jc w:val="center"/>
        <w:rPr>
          <w:rFonts w:hint="eastAsia" w:ascii="宋体" w:hAnsi="宋体" w:eastAsia="宋体" w:cs="Times New Roman"/>
          <w:b/>
          <w:color w:val="auto"/>
          <w:sz w:val="44"/>
          <w:szCs w:val="44"/>
          <w:highlight w:val="none"/>
        </w:rPr>
      </w:pPr>
      <w:r>
        <w:rPr>
          <w:rFonts w:hint="eastAsia" w:ascii="宋体" w:hAnsi="宋体" w:eastAsia="宋体" w:cs="Times New Roman"/>
          <w:b/>
          <w:color w:val="auto"/>
          <w:sz w:val="32"/>
          <w:szCs w:val="32"/>
          <w:highlight w:val="none"/>
        </w:rPr>
        <w:t>投诉书</w:t>
      </w:r>
    </w:p>
    <w:p w14:paraId="72D8077D">
      <w:pPr>
        <w:rPr>
          <w:rFonts w:hint="eastAsia" w:ascii="黑体" w:hAnsi="黑体" w:eastAsia="黑体" w:cs="Times New Roman"/>
          <w:color w:val="auto"/>
          <w:sz w:val="32"/>
          <w:szCs w:val="32"/>
          <w:highlight w:val="none"/>
        </w:rPr>
      </w:pPr>
    </w:p>
    <w:p w14:paraId="267E450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一、投诉相关主体基本情况</w:t>
      </w:r>
    </w:p>
    <w:p w14:paraId="52633B70">
      <w:pP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投诉人：</w:t>
      </w:r>
      <w:r>
        <w:rPr>
          <w:rFonts w:hint="eastAsia" w:ascii="宋体" w:hAnsi="宋体" w:eastAsia="宋体" w:cs="宋体"/>
          <w:color w:val="auto"/>
          <w:sz w:val="24"/>
          <w:szCs w:val="24"/>
          <w:highlight w:val="none"/>
          <w:u w:val="dotted"/>
        </w:rPr>
        <w:t xml:space="preserve">                                               </w:t>
      </w:r>
    </w:p>
    <w:p w14:paraId="15083E2C">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p>
    <w:p w14:paraId="0CDA6539">
      <w:pPr>
        <w:tabs>
          <w:tab w:val="left" w:pos="6510"/>
        </w:tabs>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法定代表人/主要负责人：</w:t>
      </w:r>
      <w:r>
        <w:rPr>
          <w:rFonts w:hint="eastAsia" w:ascii="宋体" w:hAnsi="宋体" w:eastAsia="宋体" w:cs="宋体"/>
          <w:color w:val="auto"/>
          <w:sz w:val="24"/>
          <w:szCs w:val="24"/>
          <w:highlight w:val="none"/>
          <w:u w:val="dotted"/>
        </w:rPr>
        <w:t xml:space="preserve">                                </w:t>
      </w:r>
    </w:p>
    <w:p w14:paraId="431FE546">
      <w:pPr>
        <w:tabs>
          <w:tab w:val="left" w:pos="6510"/>
        </w:tabs>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p>
    <w:p w14:paraId="13C6EA5B">
      <w:pP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授权代表：</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p>
    <w:p w14:paraId="35DE078F">
      <w:pP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p>
    <w:p w14:paraId="42563CDC">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被投诉人1：</w:t>
      </w:r>
      <w:r>
        <w:rPr>
          <w:rFonts w:hint="eastAsia" w:ascii="宋体" w:hAnsi="宋体" w:eastAsia="宋体" w:cs="宋体"/>
          <w:color w:val="auto"/>
          <w:sz w:val="24"/>
          <w:szCs w:val="24"/>
          <w:highlight w:val="none"/>
          <w:u w:val="dotted"/>
        </w:rPr>
        <w:t xml:space="preserve">                                          </w:t>
      </w:r>
    </w:p>
    <w:p w14:paraId="7ED9E7B6">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p>
    <w:p w14:paraId="783FC315">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p>
    <w:p w14:paraId="6128C8D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被投诉人2</w:t>
      </w:r>
    </w:p>
    <w:p w14:paraId="0921ACF7">
      <w:pP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w:t>
      </w:r>
    </w:p>
    <w:p w14:paraId="2CD5F90C">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相关供应商：</w:t>
      </w:r>
      <w:r>
        <w:rPr>
          <w:rFonts w:hint="eastAsia" w:ascii="宋体" w:hAnsi="宋体" w:eastAsia="宋体" w:cs="宋体"/>
          <w:color w:val="auto"/>
          <w:sz w:val="24"/>
          <w:szCs w:val="24"/>
          <w:highlight w:val="none"/>
          <w:u w:val="dotted"/>
        </w:rPr>
        <w:t xml:space="preserve">                                           </w:t>
      </w:r>
    </w:p>
    <w:p w14:paraId="5490988A">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p>
    <w:p w14:paraId="534FAB67">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p>
    <w:p w14:paraId="383BB75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二、投诉项目基本情况</w:t>
      </w:r>
    </w:p>
    <w:p w14:paraId="7122D4E7">
      <w:pP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采购项目名称：</w:t>
      </w:r>
      <w:r>
        <w:rPr>
          <w:rFonts w:hint="eastAsia" w:ascii="宋体" w:hAnsi="宋体" w:eastAsia="宋体" w:cs="宋体"/>
          <w:color w:val="auto"/>
          <w:sz w:val="24"/>
          <w:szCs w:val="24"/>
          <w:highlight w:val="none"/>
          <w:u w:val="dotted"/>
        </w:rPr>
        <w:t xml:space="preserve">  </w:t>
      </w:r>
      <w:bookmarkStart w:id="426" w:name="PO_3000001867_PM002_12"/>
      <w:r>
        <w:rPr>
          <w:rFonts w:hint="eastAsia" w:ascii="宋体" w:hAnsi="宋体" w:eastAsia="宋体" w:cs="宋体"/>
          <w:color w:val="auto"/>
          <w:sz w:val="24"/>
          <w:szCs w:val="24"/>
          <w:highlight w:val="none"/>
          <w:u w:val="dotted"/>
        </w:rPr>
        <w:t xml:space="preserve">                    </w:t>
      </w:r>
      <w:bookmarkEnd w:id="426"/>
      <w:r>
        <w:rPr>
          <w:rFonts w:hint="eastAsia" w:ascii="宋体" w:hAnsi="宋体" w:eastAsia="宋体" w:cs="宋体"/>
          <w:color w:val="auto"/>
          <w:sz w:val="24"/>
          <w:szCs w:val="24"/>
          <w:highlight w:val="none"/>
          <w:u w:val="dotted"/>
        </w:rPr>
        <w:t xml:space="preserve">  </w:t>
      </w:r>
    </w:p>
    <w:p w14:paraId="5F3CF5EE">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采购项目编号：</w:t>
      </w:r>
      <w:r>
        <w:rPr>
          <w:rFonts w:hint="eastAsia" w:ascii="宋体" w:hAnsi="宋体" w:eastAsia="宋体" w:cs="宋体"/>
          <w:color w:val="auto"/>
          <w:sz w:val="24"/>
          <w:szCs w:val="24"/>
          <w:highlight w:val="none"/>
          <w:u w:val="dotted"/>
        </w:rPr>
        <w:t xml:space="preserve">  </w:t>
      </w:r>
      <w:bookmarkStart w:id="427" w:name="PO_3000001867_PM001_9"/>
      <w:r>
        <w:rPr>
          <w:rFonts w:hint="eastAsia" w:ascii="宋体" w:hAnsi="宋体" w:eastAsia="宋体" w:cs="宋体"/>
          <w:color w:val="auto"/>
          <w:sz w:val="24"/>
          <w:szCs w:val="24"/>
          <w:highlight w:val="none"/>
          <w:u w:val="dotted"/>
        </w:rPr>
        <w:t xml:space="preserve">                    </w:t>
      </w:r>
      <w:bookmarkEnd w:id="427"/>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包号：</w:t>
      </w:r>
      <w:r>
        <w:rPr>
          <w:rFonts w:hint="eastAsia" w:ascii="宋体" w:hAnsi="宋体" w:eastAsia="宋体" w:cs="宋体"/>
          <w:color w:val="auto"/>
          <w:sz w:val="24"/>
          <w:szCs w:val="24"/>
          <w:highlight w:val="none"/>
          <w:u w:val="dotted"/>
        </w:rPr>
        <w:t xml:space="preserve">              </w:t>
      </w:r>
    </w:p>
    <w:p w14:paraId="78D9778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采购人名称：</w:t>
      </w:r>
      <w:r>
        <w:rPr>
          <w:rFonts w:hint="eastAsia" w:ascii="宋体" w:hAnsi="宋体" w:eastAsia="宋体" w:cs="宋体"/>
          <w:color w:val="auto"/>
          <w:sz w:val="24"/>
          <w:szCs w:val="24"/>
          <w:highlight w:val="none"/>
          <w:u w:val="dotted"/>
        </w:rPr>
        <w:t xml:space="preserve">  </w:t>
      </w:r>
      <w:bookmarkStart w:id="428" w:name="PO_3000001867_PM026_6"/>
      <w:r>
        <w:rPr>
          <w:rFonts w:hint="eastAsia" w:ascii="宋体" w:hAnsi="宋体" w:eastAsia="宋体" w:cs="宋体"/>
          <w:color w:val="auto"/>
          <w:sz w:val="24"/>
          <w:szCs w:val="24"/>
          <w:highlight w:val="none"/>
          <w:u w:val="dotted"/>
        </w:rPr>
        <w:t xml:space="preserve">                    </w:t>
      </w:r>
      <w:bookmarkEnd w:id="428"/>
      <w:r>
        <w:rPr>
          <w:rFonts w:hint="eastAsia" w:ascii="宋体" w:hAnsi="宋体" w:eastAsia="宋体" w:cs="宋体"/>
          <w:color w:val="auto"/>
          <w:sz w:val="24"/>
          <w:szCs w:val="24"/>
          <w:highlight w:val="none"/>
          <w:u w:val="dotted"/>
          <w:lang w:val="en-US" w:eastAsia="zh-CN"/>
        </w:rPr>
        <w:t xml:space="preserve">  </w:t>
      </w:r>
    </w:p>
    <w:p w14:paraId="42FE1745">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代理机构名称：</w:t>
      </w:r>
      <w:r>
        <w:rPr>
          <w:rFonts w:hint="eastAsia" w:ascii="宋体" w:hAnsi="宋体" w:eastAsia="宋体" w:cs="宋体"/>
          <w:color w:val="auto"/>
          <w:sz w:val="24"/>
          <w:szCs w:val="24"/>
          <w:highlight w:val="none"/>
          <w:u w:val="dotted"/>
        </w:rPr>
        <w:t xml:space="preserve">                                        </w:t>
      </w:r>
    </w:p>
    <w:p w14:paraId="4A87F712">
      <w:pP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采购文件公告:</w:t>
      </w:r>
      <w:r>
        <w:rPr>
          <w:rFonts w:hint="eastAsia" w:ascii="宋体" w:hAnsi="宋体" w:eastAsia="宋体" w:cs="宋体"/>
          <w:color w:val="auto"/>
          <w:sz w:val="24"/>
          <w:szCs w:val="24"/>
          <w:highlight w:val="none"/>
          <w:u w:val="dotted"/>
        </w:rPr>
        <w:t xml:space="preserve">是/否 </w:t>
      </w:r>
      <w:r>
        <w:rPr>
          <w:rFonts w:hint="eastAsia" w:ascii="宋体" w:hAnsi="宋体" w:eastAsia="宋体" w:cs="宋体"/>
          <w:color w:val="auto"/>
          <w:sz w:val="24"/>
          <w:szCs w:val="24"/>
          <w:highlight w:val="none"/>
        </w:rPr>
        <w:t>公告期限：</w:t>
      </w:r>
      <w:r>
        <w:rPr>
          <w:rFonts w:hint="eastAsia" w:ascii="宋体" w:hAnsi="宋体" w:eastAsia="宋体" w:cs="宋体"/>
          <w:color w:val="auto"/>
          <w:sz w:val="24"/>
          <w:szCs w:val="24"/>
          <w:highlight w:val="none"/>
          <w:u w:val="dotted"/>
        </w:rPr>
        <w:t xml:space="preserve">                        </w:t>
      </w:r>
    </w:p>
    <w:p w14:paraId="69D8BF19">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采购结果公告:</w:t>
      </w:r>
      <w:r>
        <w:rPr>
          <w:rFonts w:hint="eastAsia" w:ascii="宋体" w:hAnsi="宋体" w:eastAsia="宋体" w:cs="宋体"/>
          <w:color w:val="auto"/>
          <w:sz w:val="24"/>
          <w:szCs w:val="24"/>
          <w:highlight w:val="none"/>
          <w:u w:val="dotted"/>
        </w:rPr>
        <w:t xml:space="preserve">是/否 </w:t>
      </w:r>
      <w:r>
        <w:rPr>
          <w:rFonts w:hint="eastAsia" w:ascii="宋体" w:hAnsi="宋体" w:eastAsia="宋体" w:cs="宋体"/>
          <w:color w:val="auto"/>
          <w:sz w:val="24"/>
          <w:szCs w:val="24"/>
          <w:highlight w:val="none"/>
        </w:rPr>
        <w:t>公告期限：</w:t>
      </w:r>
      <w:r>
        <w:rPr>
          <w:rFonts w:hint="eastAsia" w:ascii="宋体" w:hAnsi="宋体" w:eastAsia="宋体" w:cs="宋体"/>
          <w:color w:val="auto"/>
          <w:sz w:val="24"/>
          <w:szCs w:val="24"/>
          <w:highlight w:val="none"/>
          <w:u w:val="dotted"/>
        </w:rPr>
        <w:t xml:space="preserve">                        </w:t>
      </w:r>
    </w:p>
    <w:p w14:paraId="21CBCC5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三、质疑基本情况</w:t>
      </w:r>
    </w:p>
    <w:p w14:paraId="30233613">
      <w:pPr>
        <w:spacing w:line="360" w:lineRule="auto"/>
        <w:ind w:firstLine="480" w:firstLineChars="200"/>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投诉人于</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日,向</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提出质疑，质疑事项为：</w:t>
      </w:r>
      <w:r>
        <w:rPr>
          <w:rFonts w:hint="eastAsia" w:ascii="宋体" w:hAnsi="宋体" w:eastAsia="宋体" w:cs="宋体"/>
          <w:color w:val="auto"/>
          <w:sz w:val="24"/>
          <w:szCs w:val="24"/>
          <w:highlight w:val="none"/>
          <w:u w:val="dotted"/>
        </w:rPr>
        <w:t xml:space="preserve">                                </w:t>
      </w:r>
    </w:p>
    <w:p w14:paraId="3D096A10">
      <w:pP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 xml:space="preserve">  </w:t>
      </w:r>
    </w:p>
    <w:p w14:paraId="66A50016">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dotted"/>
        </w:rPr>
        <w:t>采购人/</w:t>
      </w:r>
      <w:r>
        <w:rPr>
          <w:rFonts w:hint="eastAsia" w:ascii="宋体" w:hAnsi="宋体" w:cs="宋体"/>
          <w:color w:val="auto"/>
          <w:sz w:val="24"/>
          <w:szCs w:val="24"/>
          <w:highlight w:val="none"/>
          <w:u w:val="dotted"/>
          <w:lang w:eastAsia="zh-CN"/>
        </w:rPr>
        <w:t>采购</w:t>
      </w:r>
      <w:r>
        <w:rPr>
          <w:rFonts w:hint="eastAsia" w:ascii="宋体" w:hAnsi="宋体" w:eastAsia="宋体" w:cs="宋体"/>
          <w:color w:val="auto"/>
          <w:sz w:val="24"/>
          <w:szCs w:val="24"/>
          <w:highlight w:val="none"/>
          <w:u w:val="dotted"/>
        </w:rPr>
        <w:t>代理机构</w:t>
      </w:r>
      <w:r>
        <w:rPr>
          <w:rFonts w:hint="eastAsia" w:ascii="宋体" w:hAnsi="宋体" w:eastAsia="宋体" w:cs="宋体"/>
          <w:color w:val="auto"/>
          <w:sz w:val="24"/>
          <w:szCs w:val="24"/>
          <w:highlight w:val="none"/>
        </w:rPr>
        <w:t>于</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日,就质疑事项作出了答复/没有在法定期限内作出答复。</w:t>
      </w:r>
    </w:p>
    <w:p w14:paraId="4F8926E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四、投诉事项具体内容</w:t>
      </w:r>
    </w:p>
    <w:p w14:paraId="0AD6D779">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投诉事项 1：</w:t>
      </w:r>
      <w:r>
        <w:rPr>
          <w:rFonts w:hint="eastAsia" w:ascii="宋体" w:hAnsi="宋体" w:eastAsia="宋体" w:cs="宋体"/>
          <w:color w:val="auto"/>
          <w:sz w:val="24"/>
          <w:szCs w:val="24"/>
          <w:highlight w:val="none"/>
          <w:u w:val="dotted"/>
        </w:rPr>
        <w:t xml:space="preserve">                                       </w:t>
      </w:r>
    </w:p>
    <w:p w14:paraId="5703B5A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事实依据：</w:t>
      </w:r>
      <w:r>
        <w:rPr>
          <w:rFonts w:hint="eastAsia" w:ascii="宋体" w:hAnsi="宋体" w:eastAsia="宋体" w:cs="宋体"/>
          <w:color w:val="auto"/>
          <w:sz w:val="24"/>
          <w:szCs w:val="24"/>
          <w:highlight w:val="none"/>
          <w:u w:val="dotted"/>
        </w:rPr>
        <w:t xml:space="preserve">                                         </w:t>
      </w:r>
    </w:p>
    <w:p w14:paraId="606FC955">
      <w:pP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u w:val="dotted"/>
        </w:rPr>
        <w:t xml:space="preserve">                                                      </w:t>
      </w:r>
    </w:p>
    <w:p w14:paraId="0ACBC053">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法律依据：</w:t>
      </w:r>
      <w:r>
        <w:rPr>
          <w:rFonts w:hint="eastAsia" w:ascii="宋体" w:hAnsi="宋体" w:eastAsia="宋体" w:cs="宋体"/>
          <w:color w:val="auto"/>
          <w:sz w:val="24"/>
          <w:szCs w:val="24"/>
          <w:highlight w:val="none"/>
          <w:u w:val="dotted"/>
        </w:rPr>
        <w:t xml:space="preserve">                                          </w:t>
      </w:r>
    </w:p>
    <w:p w14:paraId="5EA35E94">
      <w:pP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u w:val="dotted"/>
        </w:rPr>
        <w:t xml:space="preserve">                                                      </w:t>
      </w:r>
    </w:p>
    <w:p w14:paraId="01B8D15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投诉事项2</w:t>
      </w:r>
    </w:p>
    <w:p w14:paraId="60C46C54">
      <w:pP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w:t>
      </w:r>
    </w:p>
    <w:p w14:paraId="3C986A0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五、与投诉事项相关的投诉请求</w:t>
      </w:r>
    </w:p>
    <w:p w14:paraId="172782EA">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请求：</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 xml:space="preserve"> </w:t>
      </w:r>
    </w:p>
    <w:p w14:paraId="686EF675">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w:t>
      </w:r>
    </w:p>
    <w:p w14:paraId="3906C19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签字(签章)：                   公章：                      </w:t>
      </w:r>
    </w:p>
    <w:p w14:paraId="1D9B42C7">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日期：    </w:t>
      </w:r>
    </w:p>
    <w:p w14:paraId="341601D0">
      <w:pPr>
        <w:spacing w:line="360" w:lineRule="auto"/>
        <w:rPr>
          <w:rFonts w:hint="eastAsia" w:ascii="宋体" w:hAnsi="宋体" w:eastAsia="宋体" w:cs="宋体"/>
          <w:b/>
          <w:color w:val="auto"/>
          <w:sz w:val="24"/>
          <w:szCs w:val="24"/>
          <w:highlight w:val="none"/>
        </w:rPr>
      </w:pPr>
    </w:p>
    <w:p w14:paraId="4B3A63C8">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投诉书制作说明：</w:t>
      </w:r>
    </w:p>
    <w:p w14:paraId="0817D746">
      <w:pPr>
        <w:widowControl/>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1.投诉人提起投诉时，应当提交投诉书和必要的证明材料，并按照被投诉人和与投诉事项有关的供应商数量提供投诉书副本。</w:t>
      </w:r>
    </w:p>
    <w:p w14:paraId="2C91CDBF">
      <w:pPr>
        <w:widowControl/>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szCs w:val="24"/>
          <w:highlight w:val="none"/>
        </w:rPr>
        <w:t>投诉人签署的授权委托书。授权委托书应当载明代理人的姓名或者名称、代理事项、具体权限、期限和相关事项。</w:t>
      </w:r>
    </w:p>
    <w:p w14:paraId="6D931206">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3.投诉人若对项目的某一分包进行投诉，投诉书应列明具体分包号。</w:t>
      </w:r>
    </w:p>
    <w:p w14:paraId="3BDE8B43">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4.投诉书应简要列明质疑事项，质疑函、质疑答复等作为附件材料提供。</w:t>
      </w:r>
    </w:p>
    <w:p w14:paraId="07E261C5">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5.投诉书的投诉事项应具体、明确，并有必要的事实依据和法律依据。</w:t>
      </w:r>
    </w:p>
    <w:p w14:paraId="72BDC3E8">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6.投诉书的投诉请求应与投诉事项相关。</w:t>
      </w:r>
    </w:p>
    <w:p w14:paraId="0753F624">
      <w:pPr>
        <w:widowControl/>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7.投诉人为自然人的，投诉书应当由本人签字；投诉人为法人或者其他组织的，投诉书应当由法定代表人、主要负责人，或者其授权代表签字或者盖章，并加盖公章。</w:t>
      </w:r>
    </w:p>
    <w:p w14:paraId="374D2AC1">
      <w:pPr>
        <w:rPr>
          <w:color w:val="auto"/>
          <w:highlight w:val="none"/>
        </w:rPr>
      </w:pPr>
    </w:p>
    <w:sectPr>
      <w:footerReference r:id="rId11" w:type="first"/>
      <w:headerReference r:id="rId8" w:type="default"/>
      <w:footerReference r:id="rId9" w:type="default"/>
      <w:footerReference r:id="rId10" w:type="even"/>
      <w:pgSz w:w="11905" w:h="16838"/>
      <w:pgMar w:top="1134" w:right="1134" w:bottom="1134" w:left="1134" w:header="850" w:footer="850" w:gutter="0"/>
      <w:pgNumType w:fmt="decimal"/>
      <w:cols w:space="720" w:num="1"/>
      <w:titlePg/>
      <w:rtlGutter w:val="0"/>
      <w:docGrid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376DE">
    <w:pPr>
      <w:pStyle w:val="18"/>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10E6D3F">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14:paraId="310E6D3F">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E87FC4">
    <w:pPr>
      <w:pStyle w:val="18"/>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E268658">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14:paraId="2E268658">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E3A59B">
    <w:pPr>
      <w:widowControl w:val="0"/>
      <w:snapToGrid w:val="0"/>
      <w:jc w:val="center"/>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5" name="文本框 5"/>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a:effectLst/>
                    </wps:spPr>
                    <wps:txbx>
                      <w:txbxContent>
                        <w:p w14:paraId="79B666A7">
                          <w:pPr>
                            <w:widowControl w:val="0"/>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18"/>
                              <w:szCs w:val="18"/>
                              <w:lang w:val="en-US" w:eastAsia="zh-CN" w:bidi="ar-SA"/>
                            </w:rPr>
                            <w:instrText xml:space="preserve"> PAGE  \* MERGEFORMAT </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t>9</w:t>
                          </w:r>
                          <w:r>
                            <w:rPr>
                              <w:rFonts w:ascii="Times New Roman" w:hAnsi="Times New Roman" w:eastAsia="宋体" w:cs="Times New Roman"/>
                              <w:kern w:val="2"/>
                              <w:sz w:val="18"/>
                              <w:szCs w:val="18"/>
                              <w:lang w:val="en-US" w:eastAsia="zh-CN" w:bidi="ar-SA"/>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D5X5J0AAAAAMBAAAPAAAAAAAA&#10;AAEAIAAAACIAAABkcnMvZG93bnJldi54bWxQSwECFAAUAAAACACHTuJAaaap/uEBAAC8AwAADgAA&#10;AAAAAAABACAAAAAfAQAAZHJzL2Uyb0RvYy54bWxQSwUGAAAAAAYABgBZAQAAcgUAAAAA&#10;">
              <v:fill on="f" focussize="0,0"/>
              <v:stroke on="f"/>
              <v:imagedata o:title=""/>
              <o:lock v:ext="edit" aspectratio="f"/>
              <v:textbox inset="0mm,0mm,0mm,0mm" style="mso-fit-shape-to-text:t;">
                <w:txbxContent>
                  <w:p w14:paraId="79B666A7">
                    <w:pPr>
                      <w:widowControl w:val="0"/>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18"/>
                        <w:szCs w:val="18"/>
                        <w:lang w:val="en-US" w:eastAsia="zh-CN" w:bidi="ar-SA"/>
                      </w:rPr>
                      <w:instrText xml:space="preserve"> PAGE  \* MERGEFORMAT </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t>9</w:t>
                    </w:r>
                    <w:r>
                      <w:rPr>
                        <w:rFonts w:ascii="Times New Roman" w:hAnsi="Times New Roman" w:eastAsia="宋体" w:cs="Times New Roman"/>
                        <w:kern w:val="2"/>
                        <w:sz w:val="18"/>
                        <w:szCs w:val="18"/>
                        <w:lang w:val="en-US" w:eastAsia="zh-CN" w:bidi="ar-SA"/>
                      </w:rPr>
                      <w:fldChar w:fldCharType="end"/>
                    </w:r>
                  </w:p>
                </w:txbxContent>
              </v:textbox>
            </v:shape>
          </w:pict>
        </mc:Fallback>
      </mc:AlternateContent>
    </w:r>
  </w:p>
  <w:p w14:paraId="07DDB66E">
    <w:pPr>
      <w:widowControl w:val="0"/>
      <w:snapToGrid w:val="0"/>
      <w:jc w:val="left"/>
      <w:rPr>
        <w:rFonts w:ascii="Times New Roman" w:hAnsi="Times New Roman" w:eastAsia="宋体" w:cs="Times New Roman"/>
        <w:kern w:val="2"/>
        <w:sz w:val="18"/>
        <w:szCs w:val="18"/>
        <w:lang w:val="en-US" w:eastAsia="zh-CN" w:bidi="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3E59F1">
    <w:pPr>
      <w:spacing w:line="172" w:lineRule="auto"/>
      <w:ind w:left="4731"/>
      <w:rPr>
        <w:rFonts w:ascii="宋体" w:hAnsi="宋体" w:eastAsia="宋体" w:cs="宋体"/>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A6704E1">
                          <w:pPr>
                            <w:pStyle w:val="18"/>
                          </w:pPr>
                          <w:r>
                            <w:fldChar w:fldCharType="begin"/>
                          </w:r>
                          <w:r>
                            <w:instrText xml:space="preserve"> PAGE  \* MERGEFORMAT </w:instrText>
                          </w:r>
                          <w:r>
                            <w:fldChar w:fldCharType="separate"/>
                          </w:r>
                          <w:r>
                            <w:t>13</w:t>
                          </w:r>
                          <w: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DGtYMTdAQAAvgMAAA4AAAAAAAAA&#10;AQAgAAAAHgEAAGRycy9lMm9Eb2MueG1sUEsFBgAAAAAGAAYAWQEAAG0FAAAAAA==&#10;">
              <v:fill on="f" focussize="0,0"/>
              <v:stroke on="f"/>
              <v:imagedata o:title=""/>
              <o:lock v:ext="edit" aspectratio="f"/>
              <v:textbox inset="0mm,0mm,0mm,0mm" style="mso-fit-shape-to-text:t;">
                <w:txbxContent>
                  <w:p w14:paraId="7A6704E1">
                    <w:pPr>
                      <w:pStyle w:val="18"/>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5117DF">
    <w:pPr>
      <w:pStyle w:val="18"/>
      <w:jc w:val="center"/>
      <w:rPr>
        <w:rFonts w:ascii="Times New Roman" w:hAnsi="Times New Roman" w:eastAsia="宋体" w:cs="Times New Roma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E0EDB55">
                          <w:pPr>
                            <w:pStyle w:val="18"/>
                            <w:jc w:val="center"/>
                          </w:pPr>
                          <w:r>
                            <w:rPr>
                              <w:rFonts w:ascii="Times New Roman" w:hAnsi="Times New Roman" w:eastAsia="宋体" w:cs="Times New Roman"/>
                            </w:rPr>
                            <w:fldChar w:fldCharType="begin"/>
                          </w:r>
                          <w:r>
                            <w:rPr>
                              <w:rFonts w:ascii="Times New Roman" w:hAnsi="Times New Roman" w:eastAsia="宋体" w:cs="Times New Roman"/>
                            </w:rPr>
                            <w:instrText xml:space="preserve"> PAGE   \* MERGEFORMAT </w:instrText>
                          </w:r>
                          <w:r>
                            <w:rPr>
                              <w:rFonts w:ascii="Times New Roman" w:hAnsi="Times New Roman" w:eastAsia="宋体" w:cs="Times New Roman"/>
                            </w:rPr>
                            <w:fldChar w:fldCharType="separate"/>
                          </w:r>
                          <w:r>
                            <w:rPr>
                              <w:rFonts w:ascii="Times New Roman" w:hAnsi="Times New Roman" w:eastAsia="宋体" w:cs="Times New Roman"/>
                              <w:lang w:val="zh-CN"/>
                            </w:rPr>
                            <w:t>104</w:t>
                          </w:r>
                          <w:r>
                            <w:rPr>
                              <w:rFonts w:ascii="Times New Roman" w:hAnsi="Times New Roman" w:eastAsia="宋体" w:cs="Times New Roma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1E0EDB55">
                    <w:pPr>
                      <w:pStyle w:val="18"/>
                      <w:jc w:val="center"/>
                    </w:pPr>
                    <w:r>
                      <w:rPr>
                        <w:rFonts w:ascii="Times New Roman" w:hAnsi="Times New Roman" w:eastAsia="宋体" w:cs="Times New Roman"/>
                      </w:rPr>
                      <w:fldChar w:fldCharType="begin"/>
                    </w:r>
                    <w:r>
                      <w:rPr>
                        <w:rFonts w:ascii="Times New Roman" w:hAnsi="Times New Roman" w:eastAsia="宋体" w:cs="Times New Roman"/>
                      </w:rPr>
                      <w:instrText xml:space="preserve"> PAGE   \* MERGEFORMAT </w:instrText>
                    </w:r>
                    <w:r>
                      <w:rPr>
                        <w:rFonts w:ascii="Times New Roman" w:hAnsi="Times New Roman" w:eastAsia="宋体" w:cs="Times New Roman"/>
                      </w:rPr>
                      <w:fldChar w:fldCharType="separate"/>
                    </w:r>
                    <w:r>
                      <w:rPr>
                        <w:rFonts w:ascii="Times New Roman" w:hAnsi="Times New Roman" w:eastAsia="宋体" w:cs="Times New Roman"/>
                        <w:lang w:val="zh-CN"/>
                      </w:rPr>
                      <w:t>104</w:t>
                    </w:r>
                    <w:r>
                      <w:rPr>
                        <w:rFonts w:ascii="Times New Roman" w:hAnsi="Times New Roman" w:eastAsia="宋体" w:cs="Times New Roman"/>
                      </w:rPr>
                      <w:fldChar w:fldCharType="end"/>
                    </w:r>
                  </w:p>
                </w:txbxContent>
              </v:textbox>
            </v:shape>
          </w:pict>
        </mc:Fallback>
      </mc:AlternateContent>
    </w:r>
  </w:p>
  <w:p w14:paraId="5559FAF6">
    <w:pPr>
      <w:pStyle w:val="18"/>
      <w:rPr>
        <w:rFonts w:ascii="Times New Roman" w:hAnsi="Times New Roman" w:eastAsia="宋体" w:cs="Times New Roma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A9FCDB">
    <w:pPr>
      <w:pStyle w:val="18"/>
      <w:framePr w:wrap="around" w:vAnchor="text" w:hAnchor="margin" w:xAlign="center" w:y="1"/>
      <w:rPr>
        <w:rStyle w:val="31"/>
        <w:rFonts w:ascii="Times New Roman" w:hAnsi="Times New Roman" w:eastAsia="宋体" w:cs="Times New Roman"/>
      </w:rPr>
    </w:pPr>
    <w:r>
      <w:rPr>
        <w:rFonts w:ascii="Times New Roman" w:hAnsi="Times New Roman" w:eastAsia="宋体" w:cs="Times New Roman"/>
      </w:rPr>
      <w:fldChar w:fldCharType="begin"/>
    </w:r>
    <w:r>
      <w:rPr>
        <w:rStyle w:val="31"/>
        <w:rFonts w:ascii="Times New Roman" w:hAnsi="Times New Roman" w:eastAsia="宋体" w:cs="Times New Roman"/>
      </w:rPr>
      <w:instrText xml:space="preserve">PAGE  </w:instrText>
    </w:r>
    <w:r>
      <w:rPr>
        <w:rFonts w:ascii="Times New Roman" w:hAnsi="Times New Roman" w:eastAsia="宋体" w:cs="Times New Roman"/>
      </w:rPr>
      <w:fldChar w:fldCharType="end"/>
    </w:r>
  </w:p>
  <w:p w14:paraId="1457774B">
    <w:pPr>
      <w:pStyle w:val="18"/>
      <w:rPr>
        <w:rFonts w:ascii="Times New Roman" w:hAnsi="Times New Roman" w:eastAsia="宋体" w:cs="Times New Roman"/>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DD210A">
    <w:pPr>
      <w:pStyle w:val="18"/>
      <w:ind w:right="360"/>
      <w:jc w:val="both"/>
      <w:rPr>
        <w:rFonts w:hint="eastAsia" w:ascii="Times New Roman" w:hAnsi="Times New Roman" w:eastAsia="宋体" w:cs="Times New Roma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99C78EE">
                          <w:pPr>
                            <w:pStyle w:val="18"/>
                            <w:rPr>
                              <w:rStyle w:val="31"/>
                              <w:rFonts w:ascii="Times New Roman" w:hAnsi="Times New Roman" w:eastAsia="宋体" w:cs="Times New Roman"/>
                            </w:rPr>
                          </w:pPr>
                          <w:r>
                            <w:rPr>
                              <w:rFonts w:ascii="Times New Roman" w:hAnsi="Times New Roman" w:eastAsia="宋体" w:cs="Times New Roman"/>
                            </w:rPr>
                            <w:fldChar w:fldCharType="begin"/>
                          </w:r>
                          <w:r>
                            <w:rPr>
                              <w:rStyle w:val="31"/>
                              <w:rFonts w:ascii="Times New Roman" w:hAnsi="Times New Roman" w:eastAsia="宋体" w:cs="Times New Roman"/>
                            </w:rPr>
                            <w:instrText xml:space="preserve">PAGE  </w:instrText>
                          </w:r>
                          <w:r>
                            <w:rPr>
                              <w:rFonts w:ascii="Times New Roman" w:hAnsi="Times New Roman" w:eastAsia="宋体" w:cs="Times New Roman"/>
                            </w:rPr>
                            <w:fldChar w:fldCharType="separate"/>
                          </w:r>
                          <w:r>
                            <w:rPr>
                              <w:rStyle w:val="31"/>
                              <w:rFonts w:ascii="Times New Roman" w:hAnsi="Times New Roman" w:eastAsia="宋体" w:cs="Times New Roman"/>
                            </w:rPr>
                            <w:t>122</w:t>
                          </w:r>
                          <w:r>
                            <w:rPr>
                              <w:rFonts w:ascii="Times New Roman" w:hAnsi="Times New Roman" w:eastAsia="宋体" w:cs="Times New Roman"/>
                            </w:rPr>
                            <w:fldChar w:fldCharType="end"/>
                          </w:r>
                        </w:p>
                        <w:p w14:paraId="4AC33C9D"/>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599C78EE">
                    <w:pPr>
                      <w:pStyle w:val="18"/>
                      <w:rPr>
                        <w:rStyle w:val="31"/>
                        <w:rFonts w:ascii="Times New Roman" w:hAnsi="Times New Roman" w:eastAsia="宋体" w:cs="Times New Roman"/>
                      </w:rPr>
                    </w:pPr>
                    <w:r>
                      <w:rPr>
                        <w:rFonts w:ascii="Times New Roman" w:hAnsi="Times New Roman" w:eastAsia="宋体" w:cs="Times New Roman"/>
                      </w:rPr>
                      <w:fldChar w:fldCharType="begin"/>
                    </w:r>
                    <w:r>
                      <w:rPr>
                        <w:rStyle w:val="31"/>
                        <w:rFonts w:ascii="Times New Roman" w:hAnsi="Times New Roman" w:eastAsia="宋体" w:cs="Times New Roman"/>
                      </w:rPr>
                      <w:instrText xml:space="preserve">PAGE  </w:instrText>
                    </w:r>
                    <w:r>
                      <w:rPr>
                        <w:rFonts w:ascii="Times New Roman" w:hAnsi="Times New Roman" w:eastAsia="宋体" w:cs="Times New Roman"/>
                      </w:rPr>
                      <w:fldChar w:fldCharType="separate"/>
                    </w:r>
                    <w:r>
                      <w:rPr>
                        <w:rStyle w:val="31"/>
                        <w:rFonts w:ascii="Times New Roman" w:hAnsi="Times New Roman" w:eastAsia="宋体" w:cs="Times New Roman"/>
                      </w:rPr>
                      <w:t>122</w:t>
                    </w:r>
                    <w:r>
                      <w:rPr>
                        <w:rFonts w:ascii="Times New Roman" w:hAnsi="Times New Roman" w:eastAsia="宋体" w:cs="Times New Roman"/>
                      </w:rPr>
                      <w:fldChar w:fldCharType="end"/>
                    </w:r>
                  </w:p>
                  <w:p w14:paraId="4AC33C9D"/>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685807">
    <w:pPr>
      <w:pStyle w:val="19"/>
      <w:rPr>
        <w:rFonts w:ascii="Times New Roman" w:hAnsi="Times New Roman" w:eastAsia="宋体"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38C476">
    <w:pPr>
      <w:pStyle w:val="19"/>
      <w:tabs>
        <w:tab w:val="center" w:pos="0"/>
        <w:tab w:val="clear" w:pos="4153"/>
      </w:tabs>
      <w:rPr>
        <w:rFonts w:ascii="Times New Roman" w:hAnsi="Times New Roman" w:eastAsia="宋体"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E93959"/>
    <w:multiLevelType w:val="singleLevel"/>
    <w:tmpl w:val="E9E93959"/>
    <w:lvl w:ilvl="0" w:tentative="0">
      <w:start w:val="2"/>
      <w:numFmt w:val="chineseCounting"/>
      <w:suff w:val="nothing"/>
      <w:lvlText w:val="%1、"/>
      <w:lvlJc w:val="left"/>
      <w:rPr>
        <w:rFonts w:hint="eastAsia"/>
      </w:rPr>
    </w:lvl>
  </w:abstractNum>
  <w:abstractNum w:abstractNumId="1">
    <w:nsid w:val="00000007"/>
    <w:multiLevelType w:val="multilevel"/>
    <w:tmpl w:val="00000007"/>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1362C511"/>
    <w:multiLevelType w:val="singleLevel"/>
    <w:tmpl w:val="1362C511"/>
    <w:lvl w:ilvl="0" w:tentative="0">
      <w:start w:val="1"/>
      <w:numFmt w:val="decimal"/>
      <w:suff w:val="nothing"/>
      <w:lvlText w:val="（%1）"/>
      <w:lvlJc w:val="left"/>
    </w:lvl>
  </w:abstractNum>
  <w:abstractNum w:abstractNumId="3">
    <w:nsid w:val="19529416"/>
    <w:multiLevelType w:val="singleLevel"/>
    <w:tmpl w:val="19529416"/>
    <w:lvl w:ilvl="0" w:tentative="0">
      <w:start w:val="1"/>
      <w:numFmt w:val="decimal"/>
      <w:suff w:val="nothing"/>
      <w:lvlText w:val="%1、"/>
      <w:lvlJc w:val="left"/>
    </w:lvl>
  </w:abstractNum>
  <w:abstractNum w:abstractNumId="4">
    <w:nsid w:val="34444808"/>
    <w:multiLevelType w:val="multilevel"/>
    <w:tmpl w:val="34444808"/>
    <w:lvl w:ilvl="0" w:tentative="0">
      <w:start w:val="1"/>
      <w:numFmt w:val="decimal"/>
      <w:lvlText w:val="%1、"/>
      <w:lvlJc w:val="left"/>
      <w:pPr>
        <w:ind w:left="660" w:hanging="360"/>
      </w:pPr>
      <w:rPr>
        <w:rFonts w:hint="default"/>
      </w:rPr>
    </w:lvl>
    <w:lvl w:ilvl="1" w:tentative="0">
      <w:start w:val="1"/>
      <w:numFmt w:val="lowerLetter"/>
      <w:lvlText w:val="%2)"/>
      <w:lvlJc w:val="left"/>
      <w:pPr>
        <w:ind w:left="1140" w:hanging="420"/>
      </w:pPr>
    </w:lvl>
    <w:lvl w:ilvl="2" w:tentative="0">
      <w:start w:val="1"/>
      <w:numFmt w:val="lowerRoman"/>
      <w:lvlText w:val="%3."/>
      <w:lvlJc w:val="right"/>
      <w:pPr>
        <w:ind w:left="1560" w:hanging="420"/>
      </w:pPr>
    </w:lvl>
    <w:lvl w:ilvl="3" w:tentative="0">
      <w:start w:val="1"/>
      <w:numFmt w:val="decimal"/>
      <w:lvlText w:val="%4."/>
      <w:lvlJc w:val="left"/>
      <w:pPr>
        <w:ind w:left="1980" w:hanging="420"/>
      </w:pPr>
    </w:lvl>
    <w:lvl w:ilvl="4" w:tentative="0">
      <w:start w:val="1"/>
      <w:numFmt w:val="lowerLetter"/>
      <w:lvlText w:val="%5)"/>
      <w:lvlJc w:val="left"/>
      <w:pPr>
        <w:ind w:left="2400" w:hanging="420"/>
      </w:pPr>
    </w:lvl>
    <w:lvl w:ilvl="5" w:tentative="0">
      <w:start w:val="1"/>
      <w:numFmt w:val="lowerRoman"/>
      <w:lvlText w:val="%6."/>
      <w:lvlJc w:val="right"/>
      <w:pPr>
        <w:ind w:left="2820" w:hanging="420"/>
      </w:pPr>
    </w:lvl>
    <w:lvl w:ilvl="6" w:tentative="0">
      <w:start w:val="1"/>
      <w:numFmt w:val="decimal"/>
      <w:lvlText w:val="%7."/>
      <w:lvlJc w:val="left"/>
      <w:pPr>
        <w:ind w:left="3240" w:hanging="420"/>
      </w:pPr>
    </w:lvl>
    <w:lvl w:ilvl="7" w:tentative="0">
      <w:start w:val="1"/>
      <w:numFmt w:val="lowerLetter"/>
      <w:lvlText w:val="%8)"/>
      <w:lvlJc w:val="left"/>
      <w:pPr>
        <w:ind w:left="3660" w:hanging="420"/>
      </w:pPr>
    </w:lvl>
    <w:lvl w:ilvl="8" w:tentative="0">
      <w:start w:val="1"/>
      <w:numFmt w:val="lowerRoman"/>
      <w:lvlText w:val="%9."/>
      <w:lvlJc w:val="right"/>
      <w:pPr>
        <w:ind w:left="4080" w:hanging="420"/>
      </w:pPr>
    </w:lvl>
  </w:abstractNum>
  <w:abstractNum w:abstractNumId="5">
    <w:nsid w:val="348E8DD0"/>
    <w:multiLevelType w:val="singleLevel"/>
    <w:tmpl w:val="348E8DD0"/>
    <w:lvl w:ilvl="0" w:tentative="0">
      <w:start w:val="2"/>
      <w:numFmt w:val="decimal"/>
      <w:suff w:val="space"/>
      <w:lvlText w:val="%1."/>
      <w:lvlJc w:val="left"/>
    </w:lvl>
  </w:abstractNum>
  <w:abstractNum w:abstractNumId="6">
    <w:nsid w:val="34F92C8C"/>
    <w:multiLevelType w:val="singleLevel"/>
    <w:tmpl w:val="34F92C8C"/>
    <w:lvl w:ilvl="0" w:tentative="0">
      <w:start w:val="2"/>
      <w:numFmt w:val="decimal"/>
      <w:suff w:val="nothing"/>
      <w:lvlText w:val="%1、"/>
      <w:lvlJc w:val="left"/>
    </w:lvl>
  </w:abstractNum>
  <w:num w:numId="1">
    <w:abstractNumId w:val="2"/>
  </w:num>
  <w:num w:numId="2">
    <w:abstractNumId w:val="0"/>
  </w:num>
  <w:num w:numId="3">
    <w:abstractNumId w:val="6"/>
  </w:num>
  <w:num w:numId="4">
    <w:abstractNumId w:val="3"/>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HorizontalSpacing w:val="210"/>
  <w:drawingGridVerticalSpacing w:val="-794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ZiNWRjNjA1OGEyOGJlMmU5ZWY3OTk1NmM3YWNkOTQifQ=="/>
  </w:docVars>
  <w:rsids>
    <w:rsidRoot w:val="00000000"/>
    <w:rsid w:val="00155E09"/>
    <w:rsid w:val="001F1B22"/>
    <w:rsid w:val="00C621D0"/>
    <w:rsid w:val="00D26508"/>
    <w:rsid w:val="00D47C35"/>
    <w:rsid w:val="00D95B39"/>
    <w:rsid w:val="00DB6B5A"/>
    <w:rsid w:val="00E13486"/>
    <w:rsid w:val="00E16FE2"/>
    <w:rsid w:val="00E54D24"/>
    <w:rsid w:val="01095920"/>
    <w:rsid w:val="011B02F9"/>
    <w:rsid w:val="01274D28"/>
    <w:rsid w:val="012A54D2"/>
    <w:rsid w:val="014275A5"/>
    <w:rsid w:val="014632E9"/>
    <w:rsid w:val="014A1B88"/>
    <w:rsid w:val="014E69AF"/>
    <w:rsid w:val="0167547F"/>
    <w:rsid w:val="017240DE"/>
    <w:rsid w:val="01A6276B"/>
    <w:rsid w:val="01A72EEF"/>
    <w:rsid w:val="01BE6222"/>
    <w:rsid w:val="01C73E98"/>
    <w:rsid w:val="01C92250"/>
    <w:rsid w:val="01FB7444"/>
    <w:rsid w:val="02055082"/>
    <w:rsid w:val="02076F1C"/>
    <w:rsid w:val="02777BFD"/>
    <w:rsid w:val="02974B2C"/>
    <w:rsid w:val="02C00251"/>
    <w:rsid w:val="02CC6E30"/>
    <w:rsid w:val="02D92142"/>
    <w:rsid w:val="0312526D"/>
    <w:rsid w:val="032338E1"/>
    <w:rsid w:val="03323B4D"/>
    <w:rsid w:val="035C3D6F"/>
    <w:rsid w:val="036A4118"/>
    <w:rsid w:val="037B5A38"/>
    <w:rsid w:val="038207AB"/>
    <w:rsid w:val="038F07B3"/>
    <w:rsid w:val="039F704C"/>
    <w:rsid w:val="03AD58A1"/>
    <w:rsid w:val="04054EA8"/>
    <w:rsid w:val="040F1BAA"/>
    <w:rsid w:val="04100994"/>
    <w:rsid w:val="041C7FB9"/>
    <w:rsid w:val="042C4A18"/>
    <w:rsid w:val="045C17AC"/>
    <w:rsid w:val="045D72C7"/>
    <w:rsid w:val="047475DC"/>
    <w:rsid w:val="047A5783"/>
    <w:rsid w:val="048E5308"/>
    <w:rsid w:val="04975296"/>
    <w:rsid w:val="049A7C20"/>
    <w:rsid w:val="04A171B4"/>
    <w:rsid w:val="04A57753"/>
    <w:rsid w:val="04C31FAE"/>
    <w:rsid w:val="04E34912"/>
    <w:rsid w:val="05213F26"/>
    <w:rsid w:val="054579FD"/>
    <w:rsid w:val="054D6CFB"/>
    <w:rsid w:val="054F5D32"/>
    <w:rsid w:val="05625598"/>
    <w:rsid w:val="056D44BF"/>
    <w:rsid w:val="05A71B3F"/>
    <w:rsid w:val="05BE24D8"/>
    <w:rsid w:val="05D43227"/>
    <w:rsid w:val="05EC04F9"/>
    <w:rsid w:val="05F34893"/>
    <w:rsid w:val="060A5367"/>
    <w:rsid w:val="061337D4"/>
    <w:rsid w:val="061760BE"/>
    <w:rsid w:val="066F5DC3"/>
    <w:rsid w:val="0676474C"/>
    <w:rsid w:val="068C4871"/>
    <w:rsid w:val="069602FF"/>
    <w:rsid w:val="06A42419"/>
    <w:rsid w:val="06A6640C"/>
    <w:rsid w:val="06D575E9"/>
    <w:rsid w:val="06F62551"/>
    <w:rsid w:val="07023983"/>
    <w:rsid w:val="072C4424"/>
    <w:rsid w:val="072D0157"/>
    <w:rsid w:val="0733430F"/>
    <w:rsid w:val="07591668"/>
    <w:rsid w:val="075D020D"/>
    <w:rsid w:val="075E0C24"/>
    <w:rsid w:val="07621280"/>
    <w:rsid w:val="07724E37"/>
    <w:rsid w:val="0790327A"/>
    <w:rsid w:val="07A428E3"/>
    <w:rsid w:val="07CB185D"/>
    <w:rsid w:val="07DA4E9C"/>
    <w:rsid w:val="08093A71"/>
    <w:rsid w:val="08986B20"/>
    <w:rsid w:val="08A76D34"/>
    <w:rsid w:val="08B82D1E"/>
    <w:rsid w:val="08D4588C"/>
    <w:rsid w:val="08F00221"/>
    <w:rsid w:val="08FB6F31"/>
    <w:rsid w:val="092A00E1"/>
    <w:rsid w:val="093C74AB"/>
    <w:rsid w:val="09410F65"/>
    <w:rsid w:val="09472164"/>
    <w:rsid w:val="09572877"/>
    <w:rsid w:val="0969226A"/>
    <w:rsid w:val="097529BD"/>
    <w:rsid w:val="097C1490"/>
    <w:rsid w:val="098A290C"/>
    <w:rsid w:val="09AB0983"/>
    <w:rsid w:val="09CD45A7"/>
    <w:rsid w:val="09CE1116"/>
    <w:rsid w:val="09E076C7"/>
    <w:rsid w:val="09F9091A"/>
    <w:rsid w:val="0A0B7FBA"/>
    <w:rsid w:val="0A1E7575"/>
    <w:rsid w:val="0A2013A9"/>
    <w:rsid w:val="0A435CEB"/>
    <w:rsid w:val="0A564057"/>
    <w:rsid w:val="0A765A8A"/>
    <w:rsid w:val="0A813285"/>
    <w:rsid w:val="0AA5655D"/>
    <w:rsid w:val="0AA809C6"/>
    <w:rsid w:val="0ACE705D"/>
    <w:rsid w:val="0AD3705F"/>
    <w:rsid w:val="0AF837E4"/>
    <w:rsid w:val="0B05035F"/>
    <w:rsid w:val="0B194B3F"/>
    <w:rsid w:val="0B2B22F5"/>
    <w:rsid w:val="0B5140BC"/>
    <w:rsid w:val="0B615CFF"/>
    <w:rsid w:val="0B831A63"/>
    <w:rsid w:val="0B8C6DD9"/>
    <w:rsid w:val="0B8F7AB0"/>
    <w:rsid w:val="0BA95626"/>
    <w:rsid w:val="0BC23C9A"/>
    <w:rsid w:val="0C01007F"/>
    <w:rsid w:val="0C463AE2"/>
    <w:rsid w:val="0C885547"/>
    <w:rsid w:val="0C8B2878"/>
    <w:rsid w:val="0C8C29DA"/>
    <w:rsid w:val="0C8E60F9"/>
    <w:rsid w:val="0CC062AD"/>
    <w:rsid w:val="0CDC043F"/>
    <w:rsid w:val="0CFD33F5"/>
    <w:rsid w:val="0D1B4908"/>
    <w:rsid w:val="0D543F47"/>
    <w:rsid w:val="0D59103F"/>
    <w:rsid w:val="0D6B4369"/>
    <w:rsid w:val="0D7B5D02"/>
    <w:rsid w:val="0D834F58"/>
    <w:rsid w:val="0D9269B0"/>
    <w:rsid w:val="0D984AB4"/>
    <w:rsid w:val="0D992AED"/>
    <w:rsid w:val="0DD5090C"/>
    <w:rsid w:val="0E03730E"/>
    <w:rsid w:val="0E0F21BC"/>
    <w:rsid w:val="0E1770D6"/>
    <w:rsid w:val="0E2844A2"/>
    <w:rsid w:val="0E2B18D5"/>
    <w:rsid w:val="0E3218E4"/>
    <w:rsid w:val="0E56100F"/>
    <w:rsid w:val="0E73260E"/>
    <w:rsid w:val="0E9C7C87"/>
    <w:rsid w:val="0EA91BC1"/>
    <w:rsid w:val="0EEE19BA"/>
    <w:rsid w:val="0EEF6AAD"/>
    <w:rsid w:val="0EFB7D6B"/>
    <w:rsid w:val="0F035F56"/>
    <w:rsid w:val="0F17197D"/>
    <w:rsid w:val="0F3410B2"/>
    <w:rsid w:val="0F524821"/>
    <w:rsid w:val="0F6A73F4"/>
    <w:rsid w:val="0F6B1F01"/>
    <w:rsid w:val="0FB74DC9"/>
    <w:rsid w:val="0FCC18B7"/>
    <w:rsid w:val="101A621B"/>
    <w:rsid w:val="101C3B92"/>
    <w:rsid w:val="102F0E28"/>
    <w:rsid w:val="10390118"/>
    <w:rsid w:val="10484987"/>
    <w:rsid w:val="10A25EDA"/>
    <w:rsid w:val="10D4339F"/>
    <w:rsid w:val="11652FD6"/>
    <w:rsid w:val="11D843F8"/>
    <w:rsid w:val="11EA0D7E"/>
    <w:rsid w:val="11F56084"/>
    <w:rsid w:val="120D6C92"/>
    <w:rsid w:val="123139A9"/>
    <w:rsid w:val="123E24E6"/>
    <w:rsid w:val="12443DC6"/>
    <w:rsid w:val="124B69B1"/>
    <w:rsid w:val="126A20FE"/>
    <w:rsid w:val="12DE2AB6"/>
    <w:rsid w:val="12E271C4"/>
    <w:rsid w:val="12E63C04"/>
    <w:rsid w:val="13004370"/>
    <w:rsid w:val="130E06F3"/>
    <w:rsid w:val="13545058"/>
    <w:rsid w:val="13901E21"/>
    <w:rsid w:val="13AF2F6F"/>
    <w:rsid w:val="13B2334B"/>
    <w:rsid w:val="13D773DA"/>
    <w:rsid w:val="13F9373F"/>
    <w:rsid w:val="143A4F2F"/>
    <w:rsid w:val="143D67CD"/>
    <w:rsid w:val="144C76BE"/>
    <w:rsid w:val="144E3925"/>
    <w:rsid w:val="14523C8E"/>
    <w:rsid w:val="14814229"/>
    <w:rsid w:val="1485642A"/>
    <w:rsid w:val="148C55F5"/>
    <w:rsid w:val="1493579A"/>
    <w:rsid w:val="14A02656"/>
    <w:rsid w:val="14A66118"/>
    <w:rsid w:val="14D25167"/>
    <w:rsid w:val="14EF2214"/>
    <w:rsid w:val="15112FB3"/>
    <w:rsid w:val="1517629B"/>
    <w:rsid w:val="153512AC"/>
    <w:rsid w:val="154F4C01"/>
    <w:rsid w:val="15681628"/>
    <w:rsid w:val="15715C29"/>
    <w:rsid w:val="15A71FCF"/>
    <w:rsid w:val="15A85EC8"/>
    <w:rsid w:val="15CE73E7"/>
    <w:rsid w:val="15DA5588"/>
    <w:rsid w:val="15DA6861"/>
    <w:rsid w:val="15E924A8"/>
    <w:rsid w:val="15F7039E"/>
    <w:rsid w:val="1643588D"/>
    <w:rsid w:val="16521360"/>
    <w:rsid w:val="169D6CED"/>
    <w:rsid w:val="16AF39B2"/>
    <w:rsid w:val="16B56AEF"/>
    <w:rsid w:val="16CC463A"/>
    <w:rsid w:val="172A6452"/>
    <w:rsid w:val="17526FA4"/>
    <w:rsid w:val="178A5D34"/>
    <w:rsid w:val="1795379C"/>
    <w:rsid w:val="179C52D8"/>
    <w:rsid w:val="17BD4B94"/>
    <w:rsid w:val="18063809"/>
    <w:rsid w:val="184620F4"/>
    <w:rsid w:val="18602A8A"/>
    <w:rsid w:val="18817186"/>
    <w:rsid w:val="18A53C2D"/>
    <w:rsid w:val="18BB05AE"/>
    <w:rsid w:val="18D9668C"/>
    <w:rsid w:val="18E66AB2"/>
    <w:rsid w:val="18EB48B6"/>
    <w:rsid w:val="19097C61"/>
    <w:rsid w:val="19155678"/>
    <w:rsid w:val="19157D18"/>
    <w:rsid w:val="193B777F"/>
    <w:rsid w:val="194F7902"/>
    <w:rsid w:val="19687E48"/>
    <w:rsid w:val="1975123A"/>
    <w:rsid w:val="1998697F"/>
    <w:rsid w:val="19B81747"/>
    <w:rsid w:val="19CA16E4"/>
    <w:rsid w:val="19DC1C4E"/>
    <w:rsid w:val="19FE1BFA"/>
    <w:rsid w:val="19FF33EE"/>
    <w:rsid w:val="1A224809"/>
    <w:rsid w:val="1A3D7527"/>
    <w:rsid w:val="1A4F1CCF"/>
    <w:rsid w:val="1A70567B"/>
    <w:rsid w:val="1A774458"/>
    <w:rsid w:val="1A846A93"/>
    <w:rsid w:val="1A9D646E"/>
    <w:rsid w:val="1AA22304"/>
    <w:rsid w:val="1ABD34B5"/>
    <w:rsid w:val="1B1A3D35"/>
    <w:rsid w:val="1B6E0DE4"/>
    <w:rsid w:val="1B894BCA"/>
    <w:rsid w:val="1B8B4540"/>
    <w:rsid w:val="1B980981"/>
    <w:rsid w:val="1BBE01F3"/>
    <w:rsid w:val="1BC83144"/>
    <w:rsid w:val="1C2420C1"/>
    <w:rsid w:val="1C5C23DC"/>
    <w:rsid w:val="1C6A4C3A"/>
    <w:rsid w:val="1C915908"/>
    <w:rsid w:val="1C9E7D2D"/>
    <w:rsid w:val="1CA43733"/>
    <w:rsid w:val="1CC05E1A"/>
    <w:rsid w:val="1CCA5C25"/>
    <w:rsid w:val="1CE33425"/>
    <w:rsid w:val="1D1C4D64"/>
    <w:rsid w:val="1D4437F8"/>
    <w:rsid w:val="1D556DBC"/>
    <w:rsid w:val="1D646CC1"/>
    <w:rsid w:val="1DA14320"/>
    <w:rsid w:val="1DA63635"/>
    <w:rsid w:val="1DC5245A"/>
    <w:rsid w:val="1DE101C9"/>
    <w:rsid w:val="1DE303E5"/>
    <w:rsid w:val="1DF1639C"/>
    <w:rsid w:val="1E037DAC"/>
    <w:rsid w:val="1E3C63B3"/>
    <w:rsid w:val="1E55723C"/>
    <w:rsid w:val="1E8E65A3"/>
    <w:rsid w:val="1E984D2C"/>
    <w:rsid w:val="1EA4279A"/>
    <w:rsid w:val="1EA700B7"/>
    <w:rsid w:val="1EDC6602"/>
    <w:rsid w:val="1F152A17"/>
    <w:rsid w:val="1F4E3E9E"/>
    <w:rsid w:val="1F6210D9"/>
    <w:rsid w:val="1F63002C"/>
    <w:rsid w:val="1F640C4B"/>
    <w:rsid w:val="1F7C3BBA"/>
    <w:rsid w:val="1FC2394D"/>
    <w:rsid w:val="1FCF2A25"/>
    <w:rsid w:val="1FDE2C12"/>
    <w:rsid w:val="20070F3F"/>
    <w:rsid w:val="200E75A1"/>
    <w:rsid w:val="202A5D19"/>
    <w:rsid w:val="204E1CEC"/>
    <w:rsid w:val="208D2FA3"/>
    <w:rsid w:val="20910DC7"/>
    <w:rsid w:val="209640CD"/>
    <w:rsid w:val="20967EE2"/>
    <w:rsid w:val="20A841D2"/>
    <w:rsid w:val="20D3473E"/>
    <w:rsid w:val="20DD79A8"/>
    <w:rsid w:val="20E233A0"/>
    <w:rsid w:val="21170006"/>
    <w:rsid w:val="213D7796"/>
    <w:rsid w:val="213F59DE"/>
    <w:rsid w:val="215E6B36"/>
    <w:rsid w:val="21660D84"/>
    <w:rsid w:val="217D1569"/>
    <w:rsid w:val="218121A5"/>
    <w:rsid w:val="21A22F73"/>
    <w:rsid w:val="21AB6CB3"/>
    <w:rsid w:val="21BD0EBB"/>
    <w:rsid w:val="21C5251E"/>
    <w:rsid w:val="21D54BE8"/>
    <w:rsid w:val="21DA28C2"/>
    <w:rsid w:val="21E169EA"/>
    <w:rsid w:val="21E92535"/>
    <w:rsid w:val="21EA67DF"/>
    <w:rsid w:val="21ED1832"/>
    <w:rsid w:val="22494C50"/>
    <w:rsid w:val="22551944"/>
    <w:rsid w:val="225718E5"/>
    <w:rsid w:val="225B4C47"/>
    <w:rsid w:val="2279283A"/>
    <w:rsid w:val="227A5108"/>
    <w:rsid w:val="227E2AE6"/>
    <w:rsid w:val="22AB5DF9"/>
    <w:rsid w:val="22B3482A"/>
    <w:rsid w:val="22C87A6E"/>
    <w:rsid w:val="22CE4F93"/>
    <w:rsid w:val="22DA3051"/>
    <w:rsid w:val="22DC4C58"/>
    <w:rsid w:val="22F369D5"/>
    <w:rsid w:val="23236BC0"/>
    <w:rsid w:val="237F36A3"/>
    <w:rsid w:val="23AA7D02"/>
    <w:rsid w:val="23AD68F9"/>
    <w:rsid w:val="23C31EAF"/>
    <w:rsid w:val="23C46C9C"/>
    <w:rsid w:val="23C57B8C"/>
    <w:rsid w:val="23CB24FC"/>
    <w:rsid w:val="23CD5BEA"/>
    <w:rsid w:val="23D46646"/>
    <w:rsid w:val="23D85877"/>
    <w:rsid w:val="23E16DB3"/>
    <w:rsid w:val="23EF07BD"/>
    <w:rsid w:val="23F724F4"/>
    <w:rsid w:val="240B21ED"/>
    <w:rsid w:val="242D3833"/>
    <w:rsid w:val="243C084F"/>
    <w:rsid w:val="245F1806"/>
    <w:rsid w:val="24816B05"/>
    <w:rsid w:val="24941690"/>
    <w:rsid w:val="24973317"/>
    <w:rsid w:val="249917FE"/>
    <w:rsid w:val="24CF590E"/>
    <w:rsid w:val="24FD473D"/>
    <w:rsid w:val="25072C0B"/>
    <w:rsid w:val="25276E09"/>
    <w:rsid w:val="252B2680"/>
    <w:rsid w:val="25581FF1"/>
    <w:rsid w:val="25665875"/>
    <w:rsid w:val="256C491B"/>
    <w:rsid w:val="25726C4A"/>
    <w:rsid w:val="258F5A73"/>
    <w:rsid w:val="25E2566C"/>
    <w:rsid w:val="26024071"/>
    <w:rsid w:val="26455EAA"/>
    <w:rsid w:val="265633DA"/>
    <w:rsid w:val="26797B53"/>
    <w:rsid w:val="267C14B4"/>
    <w:rsid w:val="267E6EFD"/>
    <w:rsid w:val="2685028B"/>
    <w:rsid w:val="268564DD"/>
    <w:rsid w:val="26A742E8"/>
    <w:rsid w:val="26CF1553"/>
    <w:rsid w:val="26DA0542"/>
    <w:rsid w:val="26E2748C"/>
    <w:rsid w:val="26F63284"/>
    <w:rsid w:val="273259A9"/>
    <w:rsid w:val="27380A7A"/>
    <w:rsid w:val="27503865"/>
    <w:rsid w:val="275A5F00"/>
    <w:rsid w:val="276258F6"/>
    <w:rsid w:val="279A2560"/>
    <w:rsid w:val="27D10647"/>
    <w:rsid w:val="27DA7DAA"/>
    <w:rsid w:val="27F23143"/>
    <w:rsid w:val="28063E8E"/>
    <w:rsid w:val="28150C75"/>
    <w:rsid w:val="28375750"/>
    <w:rsid w:val="28790670"/>
    <w:rsid w:val="289636FF"/>
    <w:rsid w:val="29095C9F"/>
    <w:rsid w:val="291B1976"/>
    <w:rsid w:val="292145DB"/>
    <w:rsid w:val="2929132D"/>
    <w:rsid w:val="292D12B6"/>
    <w:rsid w:val="29943785"/>
    <w:rsid w:val="29A93A9D"/>
    <w:rsid w:val="29AB0C3B"/>
    <w:rsid w:val="29AC6221"/>
    <w:rsid w:val="29BB4910"/>
    <w:rsid w:val="29DB234D"/>
    <w:rsid w:val="29DD3939"/>
    <w:rsid w:val="2A1F36F3"/>
    <w:rsid w:val="2A2D2BBB"/>
    <w:rsid w:val="2A636FF6"/>
    <w:rsid w:val="2A77438F"/>
    <w:rsid w:val="2AC271EA"/>
    <w:rsid w:val="2AF05C30"/>
    <w:rsid w:val="2AF61758"/>
    <w:rsid w:val="2B073965"/>
    <w:rsid w:val="2B3109E2"/>
    <w:rsid w:val="2B3B1E66"/>
    <w:rsid w:val="2B65068C"/>
    <w:rsid w:val="2B770163"/>
    <w:rsid w:val="2B960D99"/>
    <w:rsid w:val="2B9E3F4D"/>
    <w:rsid w:val="2B9E7E17"/>
    <w:rsid w:val="2BB629A0"/>
    <w:rsid w:val="2BC453B2"/>
    <w:rsid w:val="2BCB247B"/>
    <w:rsid w:val="2C65470E"/>
    <w:rsid w:val="2C7D12B4"/>
    <w:rsid w:val="2CB84B4A"/>
    <w:rsid w:val="2CBA4A07"/>
    <w:rsid w:val="2CC97502"/>
    <w:rsid w:val="2CCA7EB6"/>
    <w:rsid w:val="2CDC497D"/>
    <w:rsid w:val="2CED73A5"/>
    <w:rsid w:val="2CF72413"/>
    <w:rsid w:val="2D0A14EA"/>
    <w:rsid w:val="2D3347E7"/>
    <w:rsid w:val="2D393907"/>
    <w:rsid w:val="2D4F38E3"/>
    <w:rsid w:val="2D6045A9"/>
    <w:rsid w:val="2D9617F6"/>
    <w:rsid w:val="2DBE7E6A"/>
    <w:rsid w:val="2DCB0FE4"/>
    <w:rsid w:val="2DD83397"/>
    <w:rsid w:val="2DEC5B1F"/>
    <w:rsid w:val="2DF313E6"/>
    <w:rsid w:val="2E21726B"/>
    <w:rsid w:val="2EB86F16"/>
    <w:rsid w:val="2F423753"/>
    <w:rsid w:val="2F4F1437"/>
    <w:rsid w:val="2F575FD4"/>
    <w:rsid w:val="2F5E167A"/>
    <w:rsid w:val="2F94153F"/>
    <w:rsid w:val="2FB87BD1"/>
    <w:rsid w:val="2FD758A9"/>
    <w:rsid w:val="2FF80F0E"/>
    <w:rsid w:val="301D0D9B"/>
    <w:rsid w:val="30347DBD"/>
    <w:rsid w:val="304108B1"/>
    <w:rsid w:val="305807BF"/>
    <w:rsid w:val="306B5FE8"/>
    <w:rsid w:val="30760C45"/>
    <w:rsid w:val="307E46AF"/>
    <w:rsid w:val="30AE4883"/>
    <w:rsid w:val="30B8612A"/>
    <w:rsid w:val="30D81EF7"/>
    <w:rsid w:val="30D93356"/>
    <w:rsid w:val="30DA1DD9"/>
    <w:rsid w:val="316A69FC"/>
    <w:rsid w:val="31884247"/>
    <w:rsid w:val="318D2CFD"/>
    <w:rsid w:val="31A86297"/>
    <w:rsid w:val="31B94B01"/>
    <w:rsid w:val="31EF7B28"/>
    <w:rsid w:val="31FE5396"/>
    <w:rsid w:val="32015993"/>
    <w:rsid w:val="321863DA"/>
    <w:rsid w:val="321F203B"/>
    <w:rsid w:val="322118FB"/>
    <w:rsid w:val="322476CF"/>
    <w:rsid w:val="322B55AE"/>
    <w:rsid w:val="32390A38"/>
    <w:rsid w:val="32450F67"/>
    <w:rsid w:val="32513718"/>
    <w:rsid w:val="32521B1D"/>
    <w:rsid w:val="326C65A7"/>
    <w:rsid w:val="326D5167"/>
    <w:rsid w:val="326E6C1E"/>
    <w:rsid w:val="329F5F4A"/>
    <w:rsid w:val="32AD00E0"/>
    <w:rsid w:val="32BB403E"/>
    <w:rsid w:val="32DD681E"/>
    <w:rsid w:val="32E3590E"/>
    <w:rsid w:val="32FC3D25"/>
    <w:rsid w:val="330B38C7"/>
    <w:rsid w:val="33136037"/>
    <w:rsid w:val="3316675F"/>
    <w:rsid w:val="33431DAC"/>
    <w:rsid w:val="33492641"/>
    <w:rsid w:val="33800A0F"/>
    <w:rsid w:val="338E424C"/>
    <w:rsid w:val="3394775A"/>
    <w:rsid w:val="339B377C"/>
    <w:rsid w:val="33D1368F"/>
    <w:rsid w:val="34086568"/>
    <w:rsid w:val="341519F5"/>
    <w:rsid w:val="34420B22"/>
    <w:rsid w:val="34424714"/>
    <w:rsid w:val="345631E3"/>
    <w:rsid w:val="34572A71"/>
    <w:rsid w:val="348222AE"/>
    <w:rsid w:val="34995678"/>
    <w:rsid w:val="349D7A9E"/>
    <w:rsid w:val="34B87A7E"/>
    <w:rsid w:val="34BB41E0"/>
    <w:rsid w:val="34BC4B4B"/>
    <w:rsid w:val="34F718FA"/>
    <w:rsid w:val="3507717E"/>
    <w:rsid w:val="350C2D09"/>
    <w:rsid w:val="351E5210"/>
    <w:rsid w:val="3592350F"/>
    <w:rsid w:val="35A67A5F"/>
    <w:rsid w:val="35C46C07"/>
    <w:rsid w:val="35D61BDE"/>
    <w:rsid w:val="35F40F8A"/>
    <w:rsid w:val="3615435C"/>
    <w:rsid w:val="361C37F0"/>
    <w:rsid w:val="361E362C"/>
    <w:rsid w:val="3635774B"/>
    <w:rsid w:val="3642105E"/>
    <w:rsid w:val="3652180C"/>
    <w:rsid w:val="36631C6B"/>
    <w:rsid w:val="366E1C81"/>
    <w:rsid w:val="366E4460"/>
    <w:rsid w:val="36773E5D"/>
    <w:rsid w:val="36801F8F"/>
    <w:rsid w:val="36965B9D"/>
    <w:rsid w:val="36AF573D"/>
    <w:rsid w:val="36B44275"/>
    <w:rsid w:val="36BB169B"/>
    <w:rsid w:val="36CF23CE"/>
    <w:rsid w:val="36D3565B"/>
    <w:rsid w:val="36E0622F"/>
    <w:rsid w:val="36ED3DEE"/>
    <w:rsid w:val="37123C1D"/>
    <w:rsid w:val="3720584E"/>
    <w:rsid w:val="373048CB"/>
    <w:rsid w:val="375D21A8"/>
    <w:rsid w:val="3779039B"/>
    <w:rsid w:val="379C735C"/>
    <w:rsid w:val="37D50947"/>
    <w:rsid w:val="37FB3273"/>
    <w:rsid w:val="383967AA"/>
    <w:rsid w:val="38681113"/>
    <w:rsid w:val="387F5AF8"/>
    <w:rsid w:val="38B93DC5"/>
    <w:rsid w:val="38BE762D"/>
    <w:rsid w:val="38C904AC"/>
    <w:rsid w:val="38E50D89"/>
    <w:rsid w:val="38E53346"/>
    <w:rsid w:val="39455184"/>
    <w:rsid w:val="39726B7C"/>
    <w:rsid w:val="397315B2"/>
    <w:rsid w:val="397A5F51"/>
    <w:rsid w:val="399B6E57"/>
    <w:rsid w:val="39A7115D"/>
    <w:rsid w:val="39D1783B"/>
    <w:rsid w:val="39EA3076"/>
    <w:rsid w:val="39F71049"/>
    <w:rsid w:val="3A2C1123"/>
    <w:rsid w:val="3A395E36"/>
    <w:rsid w:val="3A443C96"/>
    <w:rsid w:val="3A5E70A9"/>
    <w:rsid w:val="3A605AF2"/>
    <w:rsid w:val="3A6A7A6C"/>
    <w:rsid w:val="3A7F0484"/>
    <w:rsid w:val="3AA80482"/>
    <w:rsid w:val="3AAA1C17"/>
    <w:rsid w:val="3ADE1AAE"/>
    <w:rsid w:val="3ADE7B13"/>
    <w:rsid w:val="3B1B0D67"/>
    <w:rsid w:val="3B1D2D56"/>
    <w:rsid w:val="3B2220F5"/>
    <w:rsid w:val="3B297CC7"/>
    <w:rsid w:val="3B457F98"/>
    <w:rsid w:val="3B6C49BC"/>
    <w:rsid w:val="3B776CDF"/>
    <w:rsid w:val="3B8F2A37"/>
    <w:rsid w:val="3BA30382"/>
    <w:rsid w:val="3BAA39EE"/>
    <w:rsid w:val="3BB30F9F"/>
    <w:rsid w:val="3BC875BB"/>
    <w:rsid w:val="3C0359A7"/>
    <w:rsid w:val="3C457F4A"/>
    <w:rsid w:val="3CA77CC7"/>
    <w:rsid w:val="3CAD1E92"/>
    <w:rsid w:val="3CE80F46"/>
    <w:rsid w:val="3D237900"/>
    <w:rsid w:val="3D734AB6"/>
    <w:rsid w:val="3D766728"/>
    <w:rsid w:val="3DBD339D"/>
    <w:rsid w:val="3DE14882"/>
    <w:rsid w:val="3E3A55DD"/>
    <w:rsid w:val="3E4F3CEB"/>
    <w:rsid w:val="3E622809"/>
    <w:rsid w:val="3E7569E0"/>
    <w:rsid w:val="3E8B7A4C"/>
    <w:rsid w:val="3EC16151"/>
    <w:rsid w:val="3EE14075"/>
    <w:rsid w:val="3EE80F60"/>
    <w:rsid w:val="3EF54968"/>
    <w:rsid w:val="3F1B0FC1"/>
    <w:rsid w:val="3F246DEE"/>
    <w:rsid w:val="3F320B28"/>
    <w:rsid w:val="3F375A43"/>
    <w:rsid w:val="3F4A0470"/>
    <w:rsid w:val="3F52287D"/>
    <w:rsid w:val="3F5512BA"/>
    <w:rsid w:val="3F7A0EF4"/>
    <w:rsid w:val="3F7F1679"/>
    <w:rsid w:val="3FA44983"/>
    <w:rsid w:val="3FC27A03"/>
    <w:rsid w:val="3FD602BE"/>
    <w:rsid w:val="3FFF138F"/>
    <w:rsid w:val="400468BA"/>
    <w:rsid w:val="40297A82"/>
    <w:rsid w:val="40632F94"/>
    <w:rsid w:val="40D60483"/>
    <w:rsid w:val="40DC3B03"/>
    <w:rsid w:val="40EF446D"/>
    <w:rsid w:val="40FD0A5D"/>
    <w:rsid w:val="413167B5"/>
    <w:rsid w:val="41366D43"/>
    <w:rsid w:val="4152018A"/>
    <w:rsid w:val="415E250E"/>
    <w:rsid w:val="41675186"/>
    <w:rsid w:val="416C7DBD"/>
    <w:rsid w:val="41A27AEC"/>
    <w:rsid w:val="41AF4D3C"/>
    <w:rsid w:val="41B415CD"/>
    <w:rsid w:val="41EC520B"/>
    <w:rsid w:val="41F122DB"/>
    <w:rsid w:val="41FB7658"/>
    <w:rsid w:val="4234381E"/>
    <w:rsid w:val="42415557"/>
    <w:rsid w:val="42954201"/>
    <w:rsid w:val="429823CB"/>
    <w:rsid w:val="42A178EE"/>
    <w:rsid w:val="42AC04F6"/>
    <w:rsid w:val="42CC18D7"/>
    <w:rsid w:val="42D307D5"/>
    <w:rsid w:val="43050FCE"/>
    <w:rsid w:val="43283C1D"/>
    <w:rsid w:val="433831AE"/>
    <w:rsid w:val="433B256A"/>
    <w:rsid w:val="43460D6B"/>
    <w:rsid w:val="436416C1"/>
    <w:rsid w:val="438F614D"/>
    <w:rsid w:val="439416B6"/>
    <w:rsid w:val="43B044EE"/>
    <w:rsid w:val="43EB38BE"/>
    <w:rsid w:val="43F31EC1"/>
    <w:rsid w:val="43FB1131"/>
    <w:rsid w:val="441A2345"/>
    <w:rsid w:val="44385910"/>
    <w:rsid w:val="443F0DB6"/>
    <w:rsid w:val="445E4478"/>
    <w:rsid w:val="447E4A26"/>
    <w:rsid w:val="449F1233"/>
    <w:rsid w:val="44E471D7"/>
    <w:rsid w:val="44E65F41"/>
    <w:rsid w:val="45435142"/>
    <w:rsid w:val="455F6E02"/>
    <w:rsid w:val="4572004B"/>
    <w:rsid w:val="458F40E0"/>
    <w:rsid w:val="45921C25"/>
    <w:rsid w:val="45987D1F"/>
    <w:rsid w:val="45B63B66"/>
    <w:rsid w:val="45D4622A"/>
    <w:rsid w:val="45FB3C6E"/>
    <w:rsid w:val="462E0726"/>
    <w:rsid w:val="46537762"/>
    <w:rsid w:val="4683709C"/>
    <w:rsid w:val="469F4E1D"/>
    <w:rsid w:val="46A165C4"/>
    <w:rsid w:val="46AF2877"/>
    <w:rsid w:val="46B93B56"/>
    <w:rsid w:val="46C91677"/>
    <w:rsid w:val="46E504F1"/>
    <w:rsid w:val="46E74C51"/>
    <w:rsid w:val="47044DA5"/>
    <w:rsid w:val="471760F8"/>
    <w:rsid w:val="47435B56"/>
    <w:rsid w:val="476123B9"/>
    <w:rsid w:val="47720309"/>
    <w:rsid w:val="478009AC"/>
    <w:rsid w:val="47A42B87"/>
    <w:rsid w:val="47B03B4D"/>
    <w:rsid w:val="47CB0330"/>
    <w:rsid w:val="47EA0098"/>
    <w:rsid w:val="47F00E85"/>
    <w:rsid w:val="481446FD"/>
    <w:rsid w:val="484A0F00"/>
    <w:rsid w:val="484E4048"/>
    <w:rsid w:val="48563082"/>
    <w:rsid w:val="48787FAC"/>
    <w:rsid w:val="4893018E"/>
    <w:rsid w:val="489B2F4B"/>
    <w:rsid w:val="48C0305C"/>
    <w:rsid w:val="48C91B33"/>
    <w:rsid w:val="48CF07C1"/>
    <w:rsid w:val="48D1046F"/>
    <w:rsid w:val="49180694"/>
    <w:rsid w:val="49360D0C"/>
    <w:rsid w:val="493865B5"/>
    <w:rsid w:val="496C7C8D"/>
    <w:rsid w:val="498469FF"/>
    <w:rsid w:val="49DF5A21"/>
    <w:rsid w:val="4A01737A"/>
    <w:rsid w:val="4A0B1589"/>
    <w:rsid w:val="4A187D2D"/>
    <w:rsid w:val="4A2C081E"/>
    <w:rsid w:val="4AC5484B"/>
    <w:rsid w:val="4AC863B5"/>
    <w:rsid w:val="4ADD6C7C"/>
    <w:rsid w:val="4B125EF2"/>
    <w:rsid w:val="4B410C16"/>
    <w:rsid w:val="4B44380D"/>
    <w:rsid w:val="4B4E2A92"/>
    <w:rsid w:val="4B7F5BCC"/>
    <w:rsid w:val="4B887D52"/>
    <w:rsid w:val="4BA94BA1"/>
    <w:rsid w:val="4BB30F42"/>
    <w:rsid w:val="4BC17ABD"/>
    <w:rsid w:val="4BEE18C0"/>
    <w:rsid w:val="4BF33563"/>
    <w:rsid w:val="4BF50CB2"/>
    <w:rsid w:val="4C392DFB"/>
    <w:rsid w:val="4C6E15BF"/>
    <w:rsid w:val="4C737E6D"/>
    <w:rsid w:val="4CAF6EB5"/>
    <w:rsid w:val="4CB2054A"/>
    <w:rsid w:val="4CC44C05"/>
    <w:rsid w:val="4CC65386"/>
    <w:rsid w:val="4CDF679D"/>
    <w:rsid w:val="4CFE0910"/>
    <w:rsid w:val="4D165162"/>
    <w:rsid w:val="4D170BB5"/>
    <w:rsid w:val="4D574D34"/>
    <w:rsid w:val="4D640565"/>
    <w:rsid w:val="4D7213D6"/>
    <w:rsid w:val="4D950D72"/>
    <w:rsid w:val="4DA1334D"/>
    <w:rsid w:val="4DB67C3F"/>
    <w:rsid w:val="4DB93C1C"/>
    <w:rsid w:val="4DDC3463"/>
    <w:rsid w:val="4DEE1DC4"/>
    <w:rsid w:val="4E01203E"/>
    <w:rsid w:val="4E050942"/>
    <w:rsid w:val="4E083356"/>
    <w:rsid w:val="4E247E95"/>
    <w:rsid w:val="4E274294"/>
    <w:rsid w:val="4E4207B2"/>
    <w:rsid w:val="4E5649B8"/>
    <w:rsid w:val="4E5E0262"/>
    <w:rsid w:val="4E994025"/>
    <w:rsid w:val="4E9C3B15"/>
    <w:rsid w:val="4EA7534F"/>
    <w:rsid w:val="4EB600E6"/>
    <w:rsid w:val="4EC84766"/>
    <w:rsid w:val="4ED133E0"/>
    <w:rsid w:val="4EE1639C"/>
    <w:rsid w:val="4EF94B51"/>
    <w:rsid w:val="4F075432"/>
    <w:rsid w:val="4F155DA1"/>
    <w:rsid w:val="4F2E463F"/>
    <w:rsid w:val="4F4F2ACB"/>
    <w:rsid w:val="4F7A5C1F"/>
    <w:rsid w:val="4F8F33DB"/>
    <w:rsid w:val="4F940DFD"/>
    <w:rsid w:val="4F9D2D1D"/>
    <w:rsid w:val="4FA72771"/>
    <w:rsid w:val="4FBC2E9C"/>
    <w:rsid w:val="4FF8744B"/>
    <w:rsid w:val="4FFB507E"/>
    <w:rsid w:val="501C5568"/>
    <w:rsid w:val="503F1F7D"/>
    <w:rsid w:val="50815D87"/>
    <w:rsid w:val="50875DDA"/>
    <w:rsid w:val="50A03A61"/>
    <w:rsid w:val="50A67405"/>
    <w:rsid w:val="50B52C6C"/>
    <w:rsid w:val="50BF7A86"/>
    <w:rsid w:val="50E37143"/>
    <w:rsid w:val="50EF2622"/>
    <w:rsid w:val="50F419E6"/>
    <w:rsid w:val="50F7462E"/>
    <w:rsid w:val="50FC2C3C"/>
    <w:rsid w:val="5165451C"/>
    <w:rsid w:val="518F7337"/>
    <w:rsid w:val="51CA2B07"/>
    <w:rsid w:val="51D574B6"/>
    <w:rsid w:val="51D97625"/>
    <w:rsid w:val="520D40AC"/>
    <w:rsid w:val="521749F7"/>
    <w:rsid w:val="52237D21"/>
    <w:rsid w:val="524B5983"/>
    <w:rsid w:val="527777E7"/>
    <w:rsid w:val="528D3D0D"/>
    <w:rsid w:val="528E2E9A"/>
    <w:rsid w:val="52A248C9"/>
    <w:rsid w:val="533E54DE"/>
    <w:rsid w:val="53532AF5"/>
    <w:rsid w:val="5363174A"/>
    <w:rsid w:val="53781CD0"/>
    <w:rsid w:val="53BE66B0"/>
    <w:rsid w:val="53D272B4"/>
    <w:rsid w:val="53E429F3"/>
    <w:rsid w:val="53F1045F"/>
    <w:rsid w:val="53FC7D3D"/>
    <w:rsid w:val="542F40F3"/>
    <w:rsid w:val="543547EF"/>
    <w:rsid w:val="544F4B17"/>
    <w:rsid w:val="54690E06"/>
    <w:rsid w:val="547D1B69"/>
    <w:rsid w:val="547D3CA1"/>
    <w:rsid w:val="54896A8E"/>
    <w:rsid w:val="549A78FD"/>
    <w:rsid w:val="54A71544"/>
    <w:rsid w:val="54B95421"/>
    <w:rsid w:val="54BA3B57"/>
    <w:rsid w:val="54C47921"/>
    <w:rsid w:val="54D9517B"/>
    <w:rsid w:val="54E03240"/>
    <w:rsid w:val="54E161E6"/>
    <w:rsid w:val="55393602"/>
    <w:rsid w:val="55546EF7"/>
    <w:rsid w:val="55717EF0"/>
    <w:rsid w:val="5599343D"/>
    <w:rsid w:val="55A051B3"/>
    <w:rsid w:val="55B57333"/>
    <w:rsid w:val="55B83796"/>
    <w:rsid w:val="55BD62FC"/>
    <w:rsid w:val="55CF4789"/>
    <w:rsid w:val="55E24205"/>
    <w:rsid w:val="55FF3119"/>
    <w:rsid w:val="56290606"/>
    <w:rsid w:val="56794E67"/>
    <w:rsid w:val="56960007"/>
    <w:rsid w:val="569C33FD"/>
    <w:rsid w:val="56A67268"/>
    <w:rsid w:val="56AD53E1"/>
    <w:rsid w:val="56D95906"/>
    <w:rsid w:val="56E17E4B"/>
    <w:rsid w:val="571177FA"/>
    <w:rsid w:val="571A4D54"/>
    <w:rsid w:val="57285324"/>
    <w:rsid w:val="572C50A1"/>
    <w:rsid w:val="574A79DE"/>
    <w:rsid w:val="574E744D"/>
    <w:rsid w:val="57544F8D"/>
    <w:rsid w:val="576C0528"/>
    <w:rsid w:val="57862A77"/>
    <w:rsid w:val="57B47CCE"/>
    <w:rsid w:val="57D26EB7"/>
    <w:rsid w:val="580653FD"/>
    <w:rsid w:val="580F63AE"/>
    <w:rsid w:val="58474AF1"/>
    <w:rsid w:val="586B7753"/>
    <w:rsid w:val="58AA581E"/>
    <w:rsid w:val="58C67691"/>
    <w:rsid w:val="58D5070A"/>
    <w:rsid w:val="59043E01"/>
    <w:rsid w:val="590649AC"/>
    <w:rsid w:val="594D25DB"/>
    <w:rsid w:val="59A20BAC"/>
    <w:rsid w:val="59BB60CF"/>
    <w:rsid w:val="59C075F7"/>
    <w:rsid w:val="59D34D02"/>
    <w:rsid w:val="59D800F7"/>
    <w:rsid w:val="5A4E4EC1"/>
    <w:rsid w:val="5A4E7262"/>
    <w:rsid w:val="5A791DEA"/>
    <w:rsid w:val="5A7C75A7"/>
    <w:rsid w:val="5A831B3A"/>
    <w:rsid w:val="5AEE72F1"/>
    <w:rsid w:val="5AF06681"/>
    <w:rsid w:val="5AFA22EF"/>
    <w:rsid w:val="5B196121"/>
    <w:rsid w:val="5B397407"/>
    <w:rsid w:val="5B6E0955"/>
    <w:rsid w:val="5BC24B08"/>
    <w:rsid w:val="5BD6055D"/>
    <w:rsid w:val="5BE34185"/>
    <w:rsid w:val="5BF6728A"/>
    <w:rsid w:val="5C0056E3"/>
    <w:rsid w:val="5C083ADA"/>
    <w:rsid w:val="5C0B5200"/>
    <w:rsid w:val="5C237623"/>
    <w:rsid w:val="5C245875"/>
    <w:rsid w:val="5C3A57D3"/>
    <w:rsid w:val="5C5679F9"/>
    <w:rsid w:val="5C766F57"/>
    <w:rsid w:val="5C7865A7"/>
    <w:rsid w:val="5C7B745F"/>
    <w:rsid w:val="5C817592"/>
    <w:rsid w:val="5C8A1451"/>
    <w:rsid w:val="5C9F3A65"/>
    <w:rsid w:val="5CB11B30"/>
    <w:rsid w:val="5CB81E3A"/>
    <w:rsid w:val="5CB93F9B"/>
    <w:rsid w:val="5CBF10FA"/>
    <w:rsid w:val="5D10309F"/>
    <w:rsid w:val="5D150FFE"/>
    <w:rsid w:val="5D2B4B79"/>
    <w:rsid w:val="5D3D543E"/>
    <w:rsid w:val="5D425978"/>
    <w:rsid w:val="5D6F03B3"/>
    <w:rsid w:val="5D82741C"/>
    <w:rsid w:val="5D8F57D0"/>
    <w:rsid w:val="5D9500AD"/>
    <w:rsid w:val="5D9E6F62"/>
    <w:rsid w:val="5DB43D5B"/>
    <w:rsid w:val="5DC90AF1"/>
    <w:rsid w:val="5DCA5FA9"/>
    <w:rsid w:val="5DD40BD5"/>
    <w:rsid w:val="5DF83527"/>
    <w:rsid w:val="5E1F3CF6"/>
    <w:rsid w:val="5E2F529D"/>
    <w:rsid w:val="5E565CA2"/>
    <w:rsid w:val="5E7B08D1"/>
    <w:rsid w:val="5E826CA8"/>
    <w:rsid w:val="5E847D30"/>
    <w:rsid w:val="5EAA4AD8"/>
    <w:rsid w:val="5EAB0D2C"/>
    <w:rsid w:val="5EF52342"/>
    <w:rsid w:val="5F2B1805"/>
    <w:rsid w:val="5F2C34B6"/>
    <w:rsid w:val="5F476193"/>
    <w:rsid w:val="5F4D6DA2"/>
    <w:rsid w:val="5F922248"/>
    <w:rsid w:val="5FA17662"/>
    <w:rsid w:val="5FAE1170"/>
    <w:rsid w:val="5FB76261"/>
    <w:rsid w:val="5FC20536"/>
    <w:rsid w:val="5FF15091"/>
    <w:rsid w:val="603F26D9"/>
    <w:rsid w:val="604231D2"/>
    <w:rsid w:val="60573113"/>
    <w:rsid w:val="605B55DE"/>
    <w:rsid w:val="60D56C76"/>
    <w:rsid w:val="60E342E4"/>
    <w:rsid w:val="61001CE1"/>
    <w:rsid w:val="61151723"/>
    <w:rsid w:val="61181721"/>
    <w:rsid w:val="613432FE"/>
    <w:rsid w:val="61406582"/>
    <w:rsid w:val="614528AC"/>
    <w:rsid w:val="615A50E8"/>
    <w:rsid w:val="617701B4"/>
    <w:rsid w:val="617B565A"/>
    <w:rsid w:val="619D6B85"/>
    <w:rsid w:val="61B363CD"/>
    <w:rsid w:val="61D36046"/>
    <w:rsid w:val="61E15FB7"/>
    <w:rsid w:val="61E55ABD"/>
    <w:rsid w:val="61FB170E"/>
    <w:rsid w:val="62142D61"/>
    <w:rsid w:val="625978FB"/>
    <w:rsid w:val="625F34E7"/>
    <w:rsid w:val="62A00E16"/>
    <w:rsid w:val="62BC1CA7"/>
    <w:rsid w:val="62CD6428"/>
    <w:rsid w:val="62D14C9E"/>
    <w:rsid w:val="62F1737F"/>
    <w:rsid w:val="63302D52"/>
    <w:rsid w:val="6339488B"/>
    <w:rsid w:val="633F463B"/>
    <w:rsid w:val="638B03CA"/>
    <w:rsid w:val="639F7DC1"/>
    <w:rsid w:val="63EE313D"/>
    <w:rsid w:val="63F30435"/>
    <w:rsid w:val="640502D6"/>
    <w:rsid w:val="64050ABF"/>
    <w:rsid w:val="64054920"/>
    <w:rsid w:val="64061D04"/>
    <w:rsid w:val="64176ECE"/>
    <w:rsid w:val="642D1CFD"/>
    <w:rsid w:val="64363468"/>
    <w:rsid w:val="645239A3"/>
    <w:rsid w:val="64B32E2F"/>
    <w:rsid w:val="64B4350F"/>
    <w:rsid w:val="64B6667E"/>
    <w:rsid w:val="64C157D9"/>
    <w:rsid w:val="64CA7FBA"/>
    <w:rsid w:val="64E250F2"/>
    <w:rsid w:val="64E90C98"/>
    <w:rsid w:val="6500469F"/>
    <w:rsid w:val="6511202E"/>
    <w:rsid w:val="652F21DF"/>
    <w:rsid w:val="65356B3A"/>
    <w:rsid w:val="6541036B"/>
    <w:rsid w:val="65592F5C"/>
    <w:rsid w:val="659F6081"/>
    <w:rsid w:val="65A70C8A"/>
    <w:rsid w:val="65A76324"/>
    <w:rsid w:val="65A823F2"/>
    <w:rsid w:val="65B460C5"/>
    <w:rsid w:val="65D017BC"/>
    <w:rsid w:val="65ED414E"/>
    <w:rsid w:val="65EF4D81"/>
    <w:rsid w:val="65FD598B"/>
    <w:rsid w:val="66620E80"/>
    <w:rsid w:val="66996205"/>
    <w:rsid w:val="669E4476"/>
    <w:rsid w:val="66A82BFF"/>
    <w:rsid w:val="66B5420B"/>
    <w:rsid w:val="66E83943"/>
    <w:rsid w:val="67073DC9"/>
    <w:rsid w:val="670F7889"/>
    <w:rsid w:val="67126567"/>
    <w:rsid w:val="67194A17"/>
    <w:rsid w:val="67211260"/>
    <w:rsid w:val="67460997"/>
    <w:rsid w:val="676557D9"/>
    <w:rsid w:val="67672ABA"/>
    <w:rsid w:val="676D705E"/>
    <w:rsid w:val="6780592A"/>
    <w:rsid w:val="67A05B2A"/>
    <w:rsid w:val="67DE2C50"/>
    <w:rsid w:val="67DE7084"/>
    <w:rsid w:val="67F7300E"/>
    <w:rsid w:val="681308CA"/>
    <w:rsid w:val="68150768"/>
    <w:rsid w:val="68342E8F"/>
    <w:rsid w:val="68483D18"/>
    <w:rsid w:val="685A43CD"/>
    <w:rsid w:val="687D4BDD"/>
    <w:rsid w:val="68911028"/>
    <w:rsid w:val="68952F54"/>
    <w:rsid w:val="68CF0917"/>
    <w:rsid w:val="68DC3EFE"/>
    <w:rsid w:val="68F8398F"/>
    <w:rsid w:val="690E688D"/>
    <w:rsid w:val="69125ADB"/>
    <w:rsid w:val="692674DB"/>
    <w:rsid w:val="694A4441"/>
    <w:rsid w:val="69507B39"/>
    <w:rsid w:val="696F208D"/>
    <w:rsid w:val="698E0FEB"/>
    <w:rsid w:val="698E3009"/>
    <w:rsid w:val="6998799E"/>
    <w:rsid w:val="69D75B2A"/>
    <w:rsid w:val="6A3E6267"/>
    <w:rsid w:val="6A5979DE"/>
    <w:rsid w:val="6A854BA1"/>
    <w:rsid w:val="6A8923D3"/>
    <w:rsid w:val="6AA33E09"/>
    <w:rsid w:val="6AB9187F"/>
    <w:rsid w:val="6AC326FD"/>
    <w:rsid w:val="6ADB3525"/>
    <w:rsid w:val="6AE8250B"/>
    <w:rsid w:val="6AF23718"/>
    <w:rsid w:val="6B4078AA"/>
    <w:rsid w:val="6B5604CD"/>
    <w:rsid w:val="6B5845EB"/>
    <w:rsid w:val="6B672A86"/>
    <w:rsid w:val="6B6F7D91"/>
    <w:rsid w:val="6B8723B0"/>
    <w:rsid w:val="6B8B2B72"/>
    <w:rsid w:val="6BFD39ED"/>
    <w:rsid w:val="6C3170F0"/>
    <w:rsid w:val="6C3A254B"/>
    <w:rsid w:val="6C9C3C49"/>
    <w:rsid w:val="6CA8352E"/>
    <w:rsid w:val="6CB97733"/>
    <w:rsid w:val="6CD725ED"/>
    <w:rsid w:val="6CEA4165"/>
    <w:rsid w:val="6D376AFE"/>
    <w:rsid w:val="6D3B35C4"/>
    <w:rsid w:val="6D546223"/>
    <w:rsid w:val="6DC24FDF"/>
    <w:rsid w:val="6DE02D2B"/>
    <w:rsid w:val="6E141A2A"/>
    <w:rsid w:val="6E5509CC"/>
    <w:rsid w:val="6EA05AE1"/>
    <w:rsid w:val="6EAB20CD"/>
    <w:rsid w:val="6EB9403B"/>
    <w:rsid w:val="6EC06DD2"/>
    <w:rsid w:val="6EE06FEB"/>
    <w:rsid w:val="6EF74287"/>
    <w:rsid w:val="6F153218"/>
    <w:rsid w:val="6F1F0ECB"/>
    <w:rsid w:val="6F23376B"/>
    <w:rsid w:val="6F6A1A0A"/>
    <w:rsid w:val="6F76486B"/>
    <w:rsid w:val="6F8D6E36"/>
    <w:rsid w:val="6F924A6F"/>
    <w:rsid w:val="6FBF4019"/>
    <w:rsid w:val="6FC47F71"/>
    <w:rsid w:val="6FDE3B35"/>
    <w:rsid w:val="6FE55BBD"/>
    <w:rsid w:val="70457711"/>
    <w:rsid w:val="706E3F88"/>
    <w:rsid w:val="707B47C4"/>
    <w:rsid w:val="708E73B5"/>
    <w:rsid w:val="70981F36"/>
    <w:rsid w:val="70986C75"/>
    <w:rsid w:val="709B4B83"/>
    <w:rsid w:val="70B64C12"/>
    <w:rsid w:val="70C11755"/>
    <w:rsid w:val="70DD1B3A"/>
    <w:rsid w:val="70DD2618"/>
    <w:rsid w:val="70E21A93"/>
    <w:rsid w:val="70E6544B"/>
    <w:rsid w:val="70ED0986"/>
    <w:rsid w:val="71175551"/>
    <w:rsid w:val="71881060"/>
    <w:rsid w:val="719E17CE"/>
    <w:rsid w:val="71CF0D35"/>
    <w:rsid w:val="71D728C9"/>
    <w:rsid w:val="71E003DD"/>
    <w:rsid w:val="71E864AE"/>
    <w:rsid w:val="71F41383"/>
    <w:rsid w:val="71F87E6D"/>
    <w:rsid w:val="71FA02D5"/>
    <w:rsid w:val="72021250"/>
    <w:rsid w:val="72097843"/>
    <w:rsid w:val="720F6D7D"/>
    <w:rsid w:val="72472963"/>
    <w:rsid w:val="72485076"/>
    <w:rsid w:val="726532FB"/>
    <w:rsid w:val="72670F93"/>
    <w:rsid w:val="72950198"/>
    <w:rsid w:val="72A03324"/>
    <w:rsid w:val="72E32A52"/>
    <w:rsid w:val="72EA4658"/>
    <w:rsid w:val="7320375D"/>
    <w:rsid w:val="7329039E"/>
    <w:rsid w:val="73661E78"/>
    <w:rsid w:val="736C23ED"/>
    <w:rsid w:val="738D743F"/>
    <w:rsid w:val="73B442F7"/>
    <w:rsid w:val="73F53DA6"/>
    <w:rsid w:val="7404235A"/>
    <w:rsid w:val="742B4973"/>
    <w:rsid w:val="74444F9D"/>
    <w:rsid w:val="745D11FC"/>
    <w:rsid w:val="74790B66"/>
    <w:rsid w:val="748725BD"/>
    <w:rsid w:val="748C6453"/>
    <w:rsid w:val="749173C8"/>
    <w:rsid w:val="74982BB3"/>
    <w:rsid w:val="74A01DFE"/>
    <w:rsid w:val="74AA2238"/>
    <w:rsid w:val="74B00652"/>
    <w:rsid w:val="74C6075E"/>
    <w:rsid w:val="74D26E14"/>
    <w:rsid w:val="74EC53FB"/>
    <w:rsid w:val="74F109DD"/>
    <w:rsid w:val="74F33BDF"/>
    <w:rsid w:val="7509716F"/>
    <w:rsid w:val="753442AC"/>
    <w:rsid w:val="755A26D4"/>
    <w:rsid w:val="75667239"/>
    <w:rsid w:val="756B594D"/>
    <w:rsid w:val="756B5A18"/>
    <w:rsid w:val="756D0B1E"/>
    <w:rsid w:val="757F60E4"/>
    <w:rsid w:val="75B053AE"/>
    <w:rsid w:val="75E57090"/>
    <w:rsid w:val="760A7432"/>
    <w:rsid w:val="761B4B26"/>
    <w:rsid w:val="762F10DD"/>
    <w:rsid w:val="765526C4"/>
    <w:rsid w:val="76945580"/>
    <w:rsid w:val="769B575F"/>
    <w:rsid w:val="76A8062A"/>
    <w:rsid w:val="76B64EC4"/>
    <w:rsid w:val="76BE180F"/>
    <w:rsid w:val="76CD67DA"/>
    <w:rsid w:val="76E17EFC"/>
    <w:rsid w:val="77011CD0"/>
    <w:rsid w:val="770E2F52"/>
    <w:rsid w:val="771C6DDB"/>
    <w:rsid w:val="77246628"/>
    <w:rsid w:val="774C11E5"/>
    <w:rsid w:val="774E70C6"/>
    <w:rsid w:val="77563BDF"/>
    <w:rsid w:val="776F2C65"/>
    <w:rsid w:val="77970501"/>
    <w:rsid w:val="77CE4E49"/>
    <w:rsid w:val="77DD1955"/>
    <w:rsid w:val="78106856"/>
    <w:rsid w:val="78492BFF"/>
    <w:rsid w:val="784A2834"/>
    <w:rsid w:val="78986C8F"/>
    <w:rsid w:val="78E85ACC"/>
    <w:rsid w:val="78F53EF1"/>
    <w:rsid w:val="78F87A16"/>
    <w:rsid w:val="79064ACA"/>
    <w:rsid w:val="79200D68"/>
    <w:rsid w:val="79404045"/>
    <w:rsid w:val="794744F9"/>
    <w:rsid w:val="794B1CCF"/>
    <w:rsid w:val="794C17A8"/>
    <w:rsid w:val="794E1F75"/>
    <w:rsid w:val="798A6292"/>
    <w:rsid w:val="799737F5"/>
    <w:rsid w:val="799E4EDF"/>
    <w:rsid w:val="79A34B6D"/>
    <w:rsid w:val="79A454A8"/>
    <w:rsid w:val="79C26628"/>
    <w:rsid w:val="79C40791"/>
    <w:rsid w:val="79E70363"/>
    <w:rsid w:val="79FD67C2"/>
    <w:rsid w:val="7A0F790A"/>
    <w:rsid w:val="7A1C5986"/>
    <w:rsid w:val="7A3D73C1"/>
    <w:rsid w:val="7A4D6843"/>
    <w:rsid w:val="7A721263"/>
    <w:rsid w:val="7A894883"/>
    <w:rsid w:val="7A98300E"/>
    <w:rsid w:val="7AA812CD"/>
    <w:rsid w:val="7AF67F85"/>
    <w:rsid w:val="7B2241A0"/>
    <w:rsid w:val="7B3D3B4B"/>
    <w:rsid w:val="7B4E5F74"/>
    <w:rsid w:val="7B5B590C"/>
    <w:rsid w:val="7BB5399C"/>
    <w:rsid w:val="7BC21276"/>
    <w:rsid w:val="7BD81D81"/>
    <w:rsid w:val="7BF232D8"/>
    <w:rsid w:val="7C0861C2"/>
    <w:rsid w:val="7C0A10B0"/>
    <w:rsid w:val="7C1705D5"/>
    <w:rsid w:val="7C2521C4"/>
    <w:rsid w:val="7C266A5E"/>
    <w:rsid w:val="7C4D471D"/>
    <w:rsid w:val="7C620CEE"/>
    <w:rsid w:val="7C712482"/>
    <w:rsid w:val="7CAD0762"/>
    <w:rsid w:val="7CC43F8D"/>
    <w:rsid w:val="7CC81220"/>
    <w:rsid w:val="7CD3033B"/>
    <w:rsid w:val="7CD4773D"/>
    <w:rsid w:val="7CDD2498"/>
    <w:rsid w:val="7CE10687"/>
    <w:rsid w:val="7D1428F3"/>
    <w:rsid w:val="7D1C52E3"/>
    <w:rsid w:val="7D2E060E"/>
    <w:rsid w:val="7D3605C3"/>
    <w:rsid w:val="7D3714E0"/>
    <w:rsid w:val="7D3A2618"/>
    <w:rsid w:val="7D405FDE"/>
    <w:rsid w:val="7D494CE4"/>
    <w:rsid w:val="7D5278E9"/>
    <w:rsid w:val="7D53229B"/>
    <w:rsid w:val="7D621902"/>
    <w:rsid w:val="7D9F232A"/>
    <w:rsid w:val="7DA71A0B"/>
    <w:rsid w:val="7DAC2E61"/>
    <w:rsid w:val="7DB84B7D"/>
    <w:rsid w:val="7DC03F63"/>
    <w:rsid w:val="7DDB16B4"/>
    <w:rsid w:val="7E221091"/>
    <w:rsid w:val="7E2719D2"/>
    <w:rsid w:val="7E301C88"/>
    <w:rsid w:val="7E5706C0"/>
    <w:rsid w:val="7E730C2B"/>
    <w:rsid w:val="7E797FB0"/>
    <w:rsid w:val="7EA1239A"/>
    <w:rsid w:val="7EC81A6C"/>
    <w:rsid w:val="7ED9582D"/>
    <w:rsid w:val="7EE66563"/>
    <w:rsid w:val="7F21731A"/>
    <w:rsid w:val="7F431EC6"/>
    <w:rsid w:val="7F46457A"/>
    <w:rsid w:val="7F655F2B"/>
    <w:rsid w:val="7F66149A"/>
    <w:rsid w:val="7FE07536"/>
    <w:rsid w:val="7FF03A5B"/>
    <w:rsid w:val="7FF155E8"/>
    <w:rsid w:val="7FF802F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paragraph" w:styleId="3">
    <w:name w:val="heading 2"/>
    <w:basedOn w:val="1"/>
    <w:next w:val="1"/>
    <w:unhideWhenUsed/>
    <w:qFormat/>
    <w:uiPriority w:val="0"/>
    <w:pPr>
      <w:keepNext/>
      <w:keepLines/>
      <w:widowControl w:val="0"/>
      <w:spacing w:before="260" w:beforeLines="0" w:after="260" w:afterLines="0" w:line="413" w:lineRule="auto"/>
      <w:jc w:val="both"/>
      <w:outlineLvl w:val="1"/>
    </w:pPr>
    <w:rPr>
      <w:rFonts w:ascii="Arial" w:hAnsi="Arial" w:eastAsia="黑体" w:cs="Times New Roman"/>
      <w:b/>
      <w:bCs/>
      <w:kern w:val="2"/>
      <w:sz w:val="32"/>
      <w:szCs w:val="32"/>
      <w:lang w:val="en-US" w:eastAsia="zh-CN" w:bidi="ar-SA"/>
    </w:rPr>
  </w:style>
  <w:style w:type="paragraph" w:styleId="4">
    <w:name w:val="heading 3"/>
    <w:basedOn w:val="1"/>
    <w:next w:val="1"/>
    <w:unhideWhenUsed/>
    <w:qFormat/>
    <w:uiPriority w:val="0"/>
    <w:pPr>
      <w:keepNext/>
      <w:keepLines/>
      <w:widowControl w:val="0"/>
      <w:spacing w:line="600" w:lineRule="exact"/>
      <w:ind w:firstLine="643" w:firstLineChars="200"/>
      <w:jc w:val="both"/>
      <w:outlineLvl w:val="2"/>
    </w:pPr>
    <w:rPr>
      <w:rFonts w:ascii="Times New Roman" w:hAnsi="Times New Roman" w:eastAsia="宋体" w:cs="Times New Roman"/>
      <w:b/>
      <w:bCs/>
      <w:kern w:val="2"/>
      <w:sz w:val="32"/>
      <w:szCs w:val="32"/>
      <w:lang w:val="en-US" w:eastAsia="zh-CN" w:bidi="ar-SA"/>
    </w:rPr>
  </w:style>
  <w:style w:type="paragraph" w:styleId="5">
    <w:name w:val="heading 4"/>
    <w:basedOn w:val="1"/>
    <w:next w:val="1"/>
    <w:qFormat/>
    <w:uiPriority w:val="0"/>
    <w:pPr>
      <w:tabs>
        <w:tab w:val="left" w:pos="2155"/>
      </w:tabs>
      <w:adjustRightInd w:val="0"/>
      <w:spacing w:before="120" w:line="360" w:lineRule="auto"/>
      <w:ind w:left="2155" w:hanging="1078"/>
      <w:outlineLvl w:val="3"/>
    </w:pPr>
    <w:rPr>
      <w:rFonts w:ascii="Arial" w:hAnsi="Times New Roman" w:eastAsia="黑体"/>
      <w:kern w:val="0"/>
      <w:sz w:val="28"/>
      <w:szCs w:val="20"/>
    </w:rPr>
  </w:style>
  <w:style w:type="paragraph" w:styleId="6">
    <w:name w:val="heading 5"/>
    <w:basedOn w:val="1"/>
    <w:next w:val="7"/>
    <w:unhideWhenUsed/>
    <w:qFormat/>
    <w:uiPriority w:val="0"/>
    <w:pPr>
      <w:keepNext/>
      <w:keepLines/>
      <w:widowControl w:val="0"/>
      <w:spacing w:before="280" w:after="290" w:line="376" w:lineRule="auto"/>
      <w:jc w:val="both"/>
      <w:outlineLvl w:val="4"/>
    </w:pPr>
    <w:rPr>
      <w:rFonts w:ascii="Times New Roman" w:hAnsi="Times New Roman" w:eastAsia="宋体" w:cs="Times New Roman"/>
      <w:b/>
      <w:bCs/>
      <w:kern w:val="2"/>
      <w:sz w:val="28"/>
      <w:szCs w:val="28"/>
      <w:lang w:val="en-US" w:eastAsia="zh-CN" w:bidi="ar-SA"/>
    </w:rPr>
  </w:style>
  <w:style w:type="character" w:default="1" w:styleId="29">
    <w:name w:val="Default Paragraph Font"/>
    <w:semiHidden/>
    <w:qFormat/>
    <w:uiPriority w:val="0"/>
  </w:style>
  <w:style w:type="table" w:default="1" w:styleId="27">
    <w:name w:val="Normal Table"/>
    <w:semiHidden/>
    <w:qFormat/>
    <w:uiPriority w:val="0"/>
    <w:tblPr>
      <w:tblCellMar>
        <w:top w:w="0" w:type="dxa"/>
        <w:left w:w="108" w:type="dxa"/>
        <w:bottom w:w="0" w:type="dxa"/>
        <w:right w:w="108" w:type="dxa"/>
      </w:tblCellMar>
    </w:tblPr>
  </w:style>
  <w:style w:type="paragraph" w:styleId="7">
    <w:name w:val="Normal Indent"/>
    <w:basedOn w:val="1"/>
    <w:qFormat/>
    <w:uiPriority w:val="0"/>
    <w:pPr>
      <w:widowControl w:val="0"/>
      <w:ind w:firstLine="420"/>
      <w:jc w:val="both"/>
    </w:pPr>
    <w:rPr>
      <w:rFonts w:ascii="Times New Roman" w:hAnsi="Times New Roman" w:eastAsia="宋体" w:cs="Times New Roman"/>
      <w:kern w:val="2"/>
      <w:sz w:val="21"/>
      <w:szCs w:val="20"/>
      <w:lang w:val="en-US" w:eastAsia="zh-CN" w:bidi="ar-SA"/>
    </w:rPr>
  </w:style>
  <w:style w:type="paragraph" w:styleId="8">
    <w:name w:val="index 8"/>
    <w:basedOn w:val="1"/>
    <w:next w:val="1"/>
    <w:qFormat/>
    <w:uiPriority w:val="0"/>
    <w:pPr>
      <w:widowControl w:val="0"/>
      <w:ind w:left="2940"/>
      <w:jc w:val="both"/>
    </w:pPr>
    <w:rPr>
      <w:rFonts w:ascii="Times New Roman" w:hAnsi="Times New Roman" w:eastAsia="宋体" w:cs="Times New Roman"/>
      <w:kern w:val="2"/>
      <w:sz w:val="21"/>
      <w:szCs w:val="24"/>
      <w:lang w:val="en-US" w:eastAsia="zh-CN" w:bidi="ar-SA"/>
    </w:rPr>
  </w:style>
  <w:style w:type="paragraph" w:styleId="9">
    <w:name w:val="toa heading"/>
    <w:basedOn w:val="1"/>
    <w:next w:val="1"/>
    <w:semiHidden/>
    <w:qFormat/>
    <w:uiPriority w:val="0"/>
    <w:pPr>
      <w:spacing w:before="120"/>
    </w:pPr>
    <w:rPr>
      <w:rFonts w:ascii="Arial" w:hAnsi="Arial" w:cs="Arial"/>
      <w:sz w:val="24"/>
    </w:rPr>
  </w:style>
  <w:style w:type="paragraph" w:styleId="10">
    <w:name w:val="annotation text"/>
    <w:basedOn w:val="1"/>
    <w:qFormat/>
    <w:uiPriority w:val="0"/>
    <w:pPr>
      <w:widowControl w:val="0"/>
      <w:jc w:val="left"/>
    </w:pPr>
    <w:rPr>
      <w:rFonts w:ascii="Times New Roman" w:hAnsi="Times New Roman" w:eastAsia="宋体" w:cs="Times New Roman"/>
      <w:kern w:val="2"/>
      <w:sz w:val="21"/>
      <w:szCs w:val="24"/>
      <w:lang w:val="en-US" w:eastAsia="zh-CN" w:bidi="ar-SA"/>
    </w:rPr>
  </w:style>
  <w:style w:type="paragraph" w:styleId="11">
    <w:name w:val="Body Text"/>
    <w:basedOn w:val="1"/>
    <w:next w:val="1"/>
    <w:qFormat/>
    <w:uiPriority w:val="0"/>
    <w:pPr>
      <w:widowControl w:val="0"/>
      <w:spacing w:after="120"/>
      <w:jc w:val="both"/>
    </w:pPr>
    <w:rPr>
      <w:rFonts w:ascii="Times New Roman" w:hAnsi="Times New Roman" w:eastAsia="宋体" w:cs="Times New Roman"/>
      <w:kern w:val="2"/>
      <w:sz w:val="21"/>
      <w:szCs w:val="24"/>
      <w:lang w:val="en-US" w:eastAsia="zh-CN" w:bidi="ar-SA"/>
    </w:rPr>
  </w:style>
  <w:style w:type="paragraph" w:styleId="12">
    <w:name w:val="Body Text Indent"/>
    <w:basedOn w:val="1"/>
    <w:next w:val="13"/>
    <w:qFormat/>
    <w:uiPriority w:val="0"/>
    <w:pPr>
      <w:widowControl w:val="0"/>
      <w:spacing w:line="200" w:lineRule="exact"/>
      <w:ind w:firstLine="301"/>
      <w:jc w:val="both"/>
    </w:pPr>
    <w:rPr>
      <w:rFonts w:ascii="宋体" w:hAnsi="Courier New" w:eastAsia="宋体" w:cs="Times New Roman"/>
      <w:spacing w:val="-4"/>
      <w:kern w:val="2"/>
      <w:sz w:val="18"/>
      <w:szCs w:val="20"/>
      <w:lang w:val="en-US" w:eastAsia="zh-CN" w:bidi="ar-SA"/>
    </w:rPr>
  </w:style>
  <w:style w:type="paragraph" w:styleId="13">
    <w:name w:val="envelope return"/>
    <w:basedOn w:val="1"/>
    <w:qFormat/>
    <w:uiPriority w:val="0"/>
    <w:pPr>
      <w:snapToGrid w:val="0"/>
    </w:pPr>
    <w:rPr>
      <w:rFonts w:ascii="Arial" w:hAnsi="Arial"/>
    </w:rPr>
  </w:style>
  <w:style w:type="paragraph" w:styleId="14">
    <w:name w:val="toc 5"/>
    <w:basedOn w:val="1"/>
    <w:next w:val="1"/>
    <w:unhideWhenUsed/>
    <w:qFormat/>
    <w:uiPriority w:val="39"/>
    <w:pPr>
      <w:widowControl w:val="0"/>
      <w:adjustRightInd/>
      <w:snapToGrid/>
      <w:spacing w:after="0"/>
      <w:ind w:left="1680" w:leftChars="800"/>
      <w:jc w:val="both"/>
    </w:pPr>
    <w:rPr>
      <w:rFonts w:ascii="Calibri" w:hAnsi="Calibri" w:eastAsia="宋体" w:cs="Times New Roman"/>
      <w:kern w:val="2"/>
      <w:sz w:val="21"/>
    </w:rPr>
  </w:style>
  <w:style w:type="paragraph" w:styleId="15">
    <w:name w:val="toc 3"/>
    <w:basedOn w:val="1"/>
    <w:next w:val="1"/>
    <w:qFormat/>
    <w:uiPriority w:val="0"/>
    <w:pPr>
      <w:widowControl w:val="0"/>
      <w:jc w:val="left"/>
    </w:pPr>
    <w:rPr>
      <w:rFonts w:ascii="Calibri" w:hAnsi="Calibri" w:eastAsia="宋体" w:cs="Times New Roman"/>
      <w:smallCaps/>
      <w:kern w:val="2"/>
      <w:sz w:val="22"/>
      <w:szCs w:val="22"/>
      <w:lang w:val="en-US" w:eastAsia="zh-CN" w:bidi="ar-SA"/>
    </w:rPr>
  </w:style>
  <w:style w:type="paragraph" w:styleId="16">
    <w:name w:val="Plain Text"/>
    <w:basedOn w:val="1"/>
    <w:qFormat/>
    <w:uiPriority w:val="0"/>
    <w:pPr>
      <w:widowControl w:val="0"/>
      <w:jc w:val="both"/>
    </w:pPr>
    <w:rPr>
      <w:rFonts w:ascii="宋体" w:hAnsi="Courier New" w:eastAsia="宋体" w:cs="Times New Roman"/>
      <w:kern w:val="2"/>
      <w:sz w:val="21"/>
      <w:szCs w:val="20"/>
      <w:lang w:val="en-US" w:eastAsia="zh-CN" w:bidi="ar-SA"/>
    </w:rPr>
  </w:style>
  <w:style w:type="paragraph" w:styleId="17">
    <w:name w:val="Body Text Indent 2"/>
    <w:basedOn w:val="1"/>
    <w:qFormat/>
    <w:uiPriority w:val="0"/>
    <w:pPr>
      <w:ind w:firstLine="630"/>
    </w:pPr>
    <w:rPr>
      <w:kern w:val="0"/>
      <w:sz w:val="32"/>
      <w:szCs w:val="20"/>
    </w:rPr>
  </w:style>
  <w:style w:type="paragraph" w:styleId="18">
    <w:name w:val="footer"/>
    <w:basedOn w:val="1"/>
    <w:next w:val="1"/>
    <w:qFormat/>
    <w:uiPriority w:val="0"/>
    <w:pPr>
      <w:widowControl w:val="0"/>
      <w:tabs>
        <w:tab w:val="center" w:pos="4153"/>
        <w:tab w:val="right" w:pos="8306"/>
      </w:tabs>
      <w:snapToGrid w:val="0"/>
      <w:jc w:val="left"/>
    </w:pPr>
    <w:rPr>
      <w:rFonts w:ascii="Times New Roman" w:hAnsi="Times New Roman" w:eastAsia="宋体" w:cs="Times New Roman"/>
      <w:kern w:val="2"/>
      <w:sz w:val="18"/>
      <w:szCs w:val="18"/>
      <w:lang w:val="en-US" w:eastAsia="zh-CN" w:bidi="ar-SA"/>
    </w:rPr>
  </w:style>
  <w:style w:type="paragraph" w:styleId="19">
    <w:name w:val="header"/>
    <w:qFormat/>
    <w:uiPriority w:val="0"/>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 w:type="paragraph" w:styleId="20">
    <w:name w:val="toc 1"/>
    <w:next w:val="1"/>
    <w:qFormat/>
    <w:uiPriority w:val="0"/>
    <w:pPr>
      <w:widowControl w:val="0"/>
      <w:spacing w:before="360" w:after="360"/>
      <w:jc w:val="left"/>
    </w:pPr>
    <w:rPr>
      <w:rFonts w:ascii="Calibri" w:hAnsi="Calibri" w:eastAsia="宋体" w:cs="Times New Roman"/>
      <w:b/>
      <w:bCs/>
      <w:caps/>
      <w:kern w:val="2"/>
      <w:sz w:val="22"/>
      <w:szCs w:val="22"/>
      <w:u w:val="single"/>
      <w:lang w:val="en-US" w:eastAsia="zh-CN" w:bidi="ar-SA"/>
    </w:rPr>
  </w:style>
  <w:style w:type="paragraph" w:styleId="21">
    <w:name w:val="Subtitle"/>
    <w:basedOn w:val="1"/>
    <w:next w:val="1"/>
    <w:qFormat/>
    <w:uiPriority w:val="99"/>
    <w:pPr>
      <w:spacing w:before="240" w:after="60" w:line="312" w:lineRule="auto"/>
      <w:jc w:val="center"/>
      <w:outlineLvl w:val="1"/>
    </w:pPr>
    <w:rPr>
      <w:rFonts w:ascii="Cambria" w:hAnsi="Cambria" w:cs="Cambria"/>
      <w:b/>
      <w:bCs/>
      <w:kern w:val="28"/>
      <w:sz w:val="32"/>
      <w:szCs w:val="32"/>
    </w:rPr>
  </w:style>
  <w:style w:type="paragraph" w:styleId="22">
    <w:name w:val="List"/>
    <w:basedOn w:val="1"/>
    <w:qFormat/>
    <w:uiPriority w:val="0"/>
    <w:pPr>
      <w:widowControl w:val="0"/>
      <w:ind w:left="200" w:hanging="200" w:hangingChars="200"/>
      <w:jc w:val="both"/>
    </w:pPr>
    <w:rPr>
      <w:rFonts w:ascii="Times New Roman" w:hAnsi="Times New Roman" w:eastAsia="宋体" w:cs="Times New Roman"/>
      <w:kern w:val="2"/>
      <w:sz w:val="28"/>
      <w:szCs w:val="24"/>
      <w:lang w:val="en-US" w:eastAsia="zh-CN" w:bidi="ar-SA"/>
    </w:rPr>
  </w:style>
  <w:style w:type="paragraph" w:styleId="23">
    <w:name w:val="toc 2"/>
    <w:next w:val="1"/>
    <w:qFormat/>
    <w:uiPriority w:val="0"/>
    <w:pPr>
      <w:widowControl w:val="0"/>
      <w:jc w:val="left"/>
    </w:pPr>
    <w:rPr>
      <w:rFonts w:ascii="Calibri" w:hAnsi="Calibri" w:eastAsia="宋体" w:cs="Times New Roman"/>
      <w:b/>
      <w:bCs/>
      <w:smallCaps/>
      <w:kern w:val="2"/>
      <w:sz w:val="22"/>
      <w:szCs w:val="22"/>
      <w:lang w:val="en-US" w:eastAsia="zh-CN" w:bidi="ar-SA"/>
    </w:rPr>
  </w:style>
  <w:style w:type="paragraph" w:styleId="24">
    <w:name w:val="index 1"/>
    <w:next w:val="1"/>
    <w:qFormat/>
    <w:uiPriority w:val="0"/>
    <w:pPr>
      <w:widowControl w:val="0"/>
      <w:spacing w:line="400" w:lineRule="exact"/>
      <w:ind w:firstLine="420" w:firstLineChars="200"/>
      <w:jc w:val="both"/>
    </w:pPr>
    <w:rPr>
      <w:rFonts w:ascii="宋体" w:hAnsi="Courier New" w:eastAsia="宋体" w:cs="Times New Roman"/>
      <w:b/>
      <w:kern w:val="2"/>
      <w:sz w:val="21"/>
      <w:szCs w:val="20"/>
      <w:lang w:val="en-US" w:eastAsia="zh-CN" w:bidi="ar-SA"/>
    </w:rPr>
  </w:style>
  <w:style w:type="paragraph" w:styleId="25">
    <w:name w:val="Body Text First Indent"/>
    <w:basedOn w:val="11"/>
    <w:next w:val="26"/>
    <w:qFormat/>
    <w:uiPriority w:val="0"/>
    <w:pPr>
      <w:adjustRightInd/>
      <w:snapToGrid/>
      <w:spacing w:line="240" w:lineRule="auto"/>
      <w:ind w:firstLine="420" w:firstLineChars="100"/>
      <w:jc w:val="both"/>
    </w:pPr>
    <w:rPr>
      <w:rFonts w:ascii="Times New Roman" w:hAnsi="Times New Roman"/>
      <w:color w:val="auto"/>
      <w:szCs w:val="24"/>
    </w:rPr>
  </w:style>
  <w:style w:type="paragraph" w:customStyle="1" w:styleId="26">
    <w:name w:val="样式 正文首行缩进 + 首行缩进:  1 字符1"/>
    <w:basedOn w:val="1"/>
    <w:next w:val="1"/>
    <w:qFormat/>
    <w:uiPriority w:val="0"/>
    <w:pPr>
      <w:spacing w:line="360" w:lineRule="auto"/>
      <w:ind w:firstLine="480" w:firstLineChars="200"/>
      <w:jc w:val="left"/>
    </w:pPr>
    <w:rPr>
      <w:rFonts w:hint="eastAsia" w:ascii="宋体" w:hAnsi="宋体" w:cs="宋体"/>
      <w:sz w:val="24"/>
      <w:szCs w:val="20"/>
    </w:rPr>
  </w:style>
  <w:style w:type="table" w:styleId="28">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qFormat/>
    <w:uiPriority w:val="0"/>
    <w:rPr>
      <w:b/>
    </w:rPr>
  </w:style>
  <w:style w:type="character" w:styleId="31">
    <w:name w:val="page number"/>
    <w:qFormat/>
    <w:uiPriority w:val="0"/>
  </w:style>
  <w:style w:type="character" w:styleId="32">
    <w:name w:val="FollowedHyperlink"/>
    <w:basedOn w:val="29"/>
    <w:qFormat/>
    <w:uiPriority w:val="0"/>
    <w:rPr>
      <w:rFonts w:hint="eastAsia" w:ascii="微软雅黑" w:hAnsi="微软雅黑" w:eastAsia="微软雅黑" w:cs="微软雅黑"/>
      <w:color w:val="02396F"/>
      <w:u w:val="single"/>
    </w:rPr>
  </w:style>
  <w:style w:type="character" w:styleId="33">
    <w:name w:val="Hyperlink"/>
    <w:qFormat/>
    <w:uiPriority w:val="0"/>
    <w:rPr>
      <w:color w:val="0000FF"/>
      <w:u w:val="single"/>
    </w:rPr>
  </w:style>
  <w:style w:type="character" w:styleId="34">
    <w:name w:val="annotation reference"/>
    <w:qFormat/>
    <w:uiPriority w:val="0"/>
    <w:rPr>
      <w:sz w:val="21"/>
      <w:szCs w:val="21"/>
    </w:rPr>
  </w:style>
  <w:style w:type="paragraph" w:customStyle="1" w:styleId="35">
    <w:name w:val="正文-2字符首行缩进"/>
    <w:basedOn w:val="1"/>
    <w:qFormat/>
    <w:uiPriority w:val="99"/>
    <w:pPr>
      <w:ind w:firstLine="200"/>
    </w:pPr>
  </w:style>
  <w:style w:type="paragraph" w:customStyle="1" w:styleId="36">
    <w:name w:val="Default"/>
    <w:basedOn w:val="37"/>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7">
    <w:name w:val="纯文本1"/>
    <w:basedOn w:val="1"/>
    <w:qFormat/>
    <w:uiPriority w:val="0"/>
    <w:pPr>
      <w:textAlignment w:val="baseline"/>
    </w:pPr>
    <w:rPr>
      <w:rFonts w:ascii="宋体" w:hAnsi="Courier New" w:cs="宋体"/>
    </w:rPr>
  </w:style>
  <w:style w:type="paragraph" w:customStyle="1" w:styleId="38">
    <w:name w:val="表格文字"/>
    <w:qFormat/>
    <w:uiPriority w:val="0"/>
    <w:pPr>
      <w:widowControl w:val="0"/>
      <w:adjustRightInd w:val="0"/>
      <w:spacing w:line="420" w:lineRule="atLeast"/>
      <w:jc w:val="left"/>
      <w:textAlignment w:val="baseline"/>
    </w:pPr>
    <w:rPr>
      <w:rFonts w:ascii="Times New Roman" w:hAnsi="Times New Roman" w:eastAsia="宋体" w:cs="Times New Roman"/>
      <w:kern w:val="0"/>
      <w:sz w:val="21"/>
      <w:szCs w:val="24"/>
      <w:lang w:val="en-US" w:eastAsia="zh-CN" w:bidi="ar-SA"/>
    </w:rPr>
  </w:style>
  <w:style w:type="paragraph" w:customStyle="1" w:styleId="39">
    <w:name w:val="Table Text"/>
    <w:basedOn w:val="1"/>
    <w:semiHidden/>
    <w:qFormat/>
    <w:uiPriority w:val="0"/>
    <w:rPr>
      <w:rFonts w:ascii="宋体" w:hAnsi="宋体" w:eastAsia="宋体" w:cs="宋体"/>
      <w:sz w:val="24"/>
      <w:szCs w:val="24"/>
      <w:lang w:val="en-US" w:eastAsia="en-US" w:bidi="ar-SA"/>
    </w:rPr>
  </w:style>
  <w:style w:type="paragraph" w:customStyle="1" w:styleId="40">
    <w:name w:val="正文2"/>
    <w:qFormat/>
    <w:uiPriority w:val="0"/>
    <w:pPr>
      <w:widowControl w:val="0"/>
      <w:adjustRightInd w:val="0"/>
      <w:spacing w:before="156" w:line="360" w:lineRule="auto"/>
      <w:ind w:firstLine="510" w:firstLineChars="200"/>
      <w:jc w:val="both"/>
    </w:pPr>
    <w:rPr>
      <w:rFonts w:ascii="Times New Roman" w:hAnsi="Times New Roman" w:eastAsia="宋体" w:cs="Times New Roman"/>
      <w:kern w:val="2"/>
      <w:sz w:val="24"/>
      <w:szCs w:val="20"/>
      <w:lang w:val="en-US" w:eastAsia="zh-CN" w:bidi="ar-SA"/>
    </w:rPr>
  </w:style>
  <w:style w:type="paragraph" w:customStyle="1" w:styleId="41">
    <w:name w:val="样式5"/>
    <w:qFormat/>
    <w:uiPriority w:val="0"/>
    <w:pPr>
      <w:widowControl w:val="0"/>
      <w:adjustRightInd w:val="0"/>
      <w:spacing w:line="440" w:lineRule="exact"/>
      <w:ind w:left="2" w:firstLine="480" w:firstLineChars="200"/>
      <w:jc w:val="both"/>
    </w:pPr>
    <w:rPr>
      <w:rFonts w:ascii="仿宋_GB2312" w:hAnsi="仿宋" w:eastAsia="仿宋_GB2312" w:cs="Times New Roman"/>
      <w:kern w:val="2"/>
      <w:sz w:val="24"/>
      <w:szCs w:val="24"/>
      <w:lang w:val="en-US" w:eastAsia="zh-CN" w:bidi="ar-SA"/>
    </w:rPr>
  </w:style>
  <w:style w:type="paragraph" w:customStyle="1" w:styleId="42">
    <w:name w:val="正文缩进1"/>
    <w:next w:val="12"/>
    <w:qFormat/>
    <w:uiPriority w:val="0"/>
    <w:pPr>
      <w:widowControl w:val="0"/>
      <w:autoSpaceDE w:val="0"/>
      <w:autoSpaceDN w:val="0"/>
      <w:adjustRightInd w:val="0"/>
      <w:snapToGrid w:val="0"/>
      <w:spacing w:after="120" w:line="360" w:lineRule="auto"/>
      <w:ind w:left="420" w:leftChars="200" w:firstLine="480" w:firstLineChars="200"/>
      <w:jc w:val="both"/>
    </w:pPr>
    <w:rPr>
      <w:rFonts w:ascii="Times New Roman" w:hAnsi="Times New Roman" w:eastAsia="宋体" w:cs="Times New Roman"/>
      <w:kern w:val="2"/>
      <w:sz w:val="24"/>
      <w:szCs w:val="21"/>
      <w:lang w:val="en-US" w:eastAsia="zh-CN" w:bidi="ar-SA"/>
    </w:rPr>
  </w:style>
  <w:style w:type="paragraph" w:styleId="43">
    <w:name w:val="List Paragraph"/>
    <w:basedOn w:val="1"/>
    <w:qFormat/>
    <w:uiPriority w:val="34"/>
    <w:pPr>
      <w:widowControl w:val="0"/>
      <w:ind w:firstLine="420" w:firstLineChars="200"/>
      <w:jc w:val="both"/>
    </w:pPr>
    <w:rPr>
      <w:rFonts w:ascii="Times New Roman" w:hAnsi="Times New Roman" w:eastAsia="宋体" w:cs="Times New Roman"/>
      <w:kern w:val="2"/>
      <w:sz w:val="21"/>
      <w:szCs w:val="24"/>
      <w:lang w:val="en-US" w:eastAsia="zh-CN" w:bidi="ar-SA"/>
    </w:rPr>
  </w:style>
  <w:style w:type="paragraph" w:customStyle="1" w:styleId="44">
    <w:name w:val="Table Paragraph"/>
    <w:basedOn w:val="1"/>
    <w:qFormat/>
    <w:uiPriority w:val="1"/>
    <w:pPr>
      <w:autoSpaceDE w:val="0"/>
      <w:autoSpaceDN w:val="0"/>
      <w:adjustRightInd w:val="0"/>
      <w:jc w:val="left"/>
    </w:pPr>
    <w:rPr>
      <w:rFonts w:ascii="Times New Roman" w:hAnsi="Times New Roman"/>
      <w:kern w:val="0"/>
      <w:sz w:val="24"/>
    </w:rPr>
  </w:style>
  <w:style w:type="character" w:customStyle="1" w:styleId="45">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table" w:customStyle="1" w:styleId="46">
    <w:name w:val="Table Normal"/>
    <w:unhideWhenUsed/>
    <w:qFormat/>
    <w:uiPriority w:val="2"/>
    <w:pPr>
      <w:widowControl w:val="0"/>
      <w:autoSpaceDE w:val="0"/>
      <w:autoSpaceDN w:val="0"/>
    </w:pPr>
    <w:rPr>
      <w:rFonts w:ascii="等线" w:hAnsi="等线" w:eastAsia="等线"/>
      <w:sz w:val="22"/>
      <w:szCs w:val="22"/>
      <w:lang w:val="en-US" w:eastAsia="en-US" w:bidi="ar-SA"/>
    </w:rPr>
    <w:tblPr>
      <w:tblCellMar>
        <w:top w:w="0" w:type="dxa"/>
        <w:left w:w="0" w:type="dxa"/>
        <w:bottom w:w="0" w:type="dxa"/>
        <w:right w:w="0" w:type="dxa"/>
      </w:tblCellMar>
    </w:tblPr>
  </w:style>
  <w:style w:type="paragraph" w:customStyle="1" w:styleId="47">
    <w:name w:val="toc 12"/>
    <w:next w:val="1"/>
    <w:qFormat/>
    <w:uiPriority w:val="0"/>
    <w:pPr>
      <w:wordWrap w:val="0"/>
      <w:jc w:val="both"/>
    </w:pPr>
    <w:rPr>
      <w:rFonts w:ascii="宋体" w:hAnsi="宋体" w:eastAsia="宋体" w:cs="Times New Roman"/>
      <w:sz w:val="21"/>
      <w:lang w:val="en-US" w:eastAsia="zh-CN" w:bidi="ar-SA"/>
    </w:rPr>
  </w:style>
  <w:style w:type="paragraph" w:customStyle="1" w:styleId="48">
    <w:name w:val="无间隔1"/>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99</Pages>
  <Words>11420</Words>
  <Characters>12145</Characters>
  <Lines>0</Lines>
  <Paragraphs>0</Paragraphs>
  <TotalTime>292</TotalTime>
  <ScaleCrop>false</ScaleCrop>
  <LinksUpToDate>false</LinksUpToDate>
  <CharactersWithSpaces>12267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2022-09-15T01:14:00Z</dcterms:created>
  <dc:creator>Administrator</dc:creator>
  <cp:lastModifiedBy>/</cp:lastModifiedBy>
  <cp:lastPrinted>2024-08-07T03:53:00Z</cp:lastPrinted>
  <dcterms:modified xsi:type="dcterms:W3CDTF">2025-04-15T01:14:48Z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68A8348B9D684084BB3EE26BD6820B53_13</vt:lpwstr>
  </property>
  <property fmtid="{D5CDD505-2E9C-101B-9397-08002B2CF9AE}" pid="4" name="KSOTemplateDocerSaveRecord">
    <vt:lpwstr>eyJoZGlkIjoiNDZhMDIyNmU4ZTg3YTRlNjI0YTAzNjQwYjBlMDVmMzkiLCJ1c2VySWQiOiIyOTc2OTEyMjcifQ==</vt:lpwstr>
  </property>
</Properties>
</file>