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71D610">
      <w:pPr>
        <w:widowControl/>
        <w:spacing w:line="360" w:lineRule="auto"/>
        <w:rPr>
          <w:rFonts w:ascii="宋体" w:hAnsi="宋体"/>
          <w:color w:val="auto"/>
          <w:kern w:val="0"/>
          <w:szCs w:val="21"/>
          <w:highlight w:val="none"/>
        </w:rPr>
      </w:pPr>
      <w:r>
        <w:rPr>
          <w:rFonts w:ascii="宋体" w:hAnsi="宋体"/>
          <w:color w:val="auto"/>
          <w:kern w:val="0"/>
          <w:szCs w:val="21"/>
          <w:highlight w:val="none"/>
        </w:rPr>
        <w:drawing>
          <wp:anchor distT="0" distB="0" distL="114300" distR="114300" simplePos="0" relativeHeight="251661312" behindDoc="0" locked="0" layoutInCell="1" allowOverlap="1">
            <wp:simplePos x="0" y="0"/>
            <wp:positionH relativeFrom="column">
              <wp:posOffset>243205</wp:posOffset>
            </wp:positionH>
            <wp:positionV relativeFrom="paragraph">
              <wp:posOffset>81280</wp:posOffset>
            </wp:positionV>
            <wp:extent cx="5414010" cy="1203325"/>
            <wp:effectExtent l="0" t="0" r="0" b="0"/>
            <wp:wrapNone/>
            <wp:docPr id="3"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03★工作★（硬盘）\2018年项目-2022年项目-招标\5、2022年项目\（2.28投标入库）南宁轨道地产集团有限责任公司2022-2025年招标代理服务\招标公司-名称.png"/>
                    <pic:cNvPicPr>
                      <a:picLocks noChangeAspect="1"/>
                    </pic:cNvPicPr>
                  </pic:nvPicPr>
                  <pic:blipFill>
                    <a:blip r:embed="rId16"/>
                    <a:srcRect r="6451"/>
                    <a:stretch>
                      <a:fillRect/>
                    </a:stretch>
                  </pic:blipFill>
                  <pic:spPr>
                    <a:xfrm>
                      <a:off x="0" y="0"/>
                      <a:ext cx="5414010" cy="1203325"/>
                    </a:xfrm>
                    <a:prstGeom prst="rect">
                      <a:avLst/>
                    </a:prstGeom>
                    <a:noFill/>
                    <a:ln>
                      <a:noFill/>
                    </a:ln>
                  </pic:spPr>
                </pic:pic>
              </a:graphicData>
            </a:graphic>
          </wp:anchor>
        </w:drawing>
      </w:r>
    </w:p>
    <w:p w14:paraId="18E815F9">
      <w:pPr>
        <w:spacing w:line="360" w:lineRule="auto"/>
        <w:jc w:val="center"/>
        <w:rPr>
          <w:rFonts w:ascii="宋体" w:hAnsi="宋体"/>
          <w:b/>
          <w:color w:val="auto"/>
          <w:kern w:val="0"/>
          <w:sz w:val="44"/>
          <w:szCs w:val="44"/>
          <w:highlight w:val="none"/>
        </w:rPr>
      </w:pPr>
    </w:p>
    <w:p w14:paraId="0A0DCBD9">
      <w:pPr>
        <w:spacing w:line="360" w:lineRule="auto"/>
        <w:jc w:val="center"/>
        <w:rPr>
          <w:rFonts w:ascii="宋体" w:hAnsi="宋体"/>
          <w:b/>
          <w:color w:val="auto"/>
          <w:kern w:val="0"/>
          <w:sz w:val="44"/>
          <w:szCs w:val="44"/>
          <w:highlight w:val="none"/>
        </w:rPr>
      </w:pPr>
    </w:p>
    <w:p w14:paraId="69A8B0B6">
      <w:pPr>
        <w:spacing w:line="360" w:lineRule="auto"/>
        <w:jc w:val="center"/>
        <w:rPr>
          <w:rFonts w:ascii="宋体" w:hAnsi="宋体"/>
          <w:b/>
          <w:color w:val="auto"/>
          <w:kern w:val="0"/>
          <w:sz w:val="44"/>
          <w:szCs w:val="44"/>
          <w:highlight w:val="none"/>
        </w:rPr>
      </w:pPr>
      <w:r>
        <w:rPr>
          <w:rFonts w:ascii="宋体" w:hAnsi="宋体"/>
          <w:color w:val="auto"/>
          <w:kern w:val="0"/>
          <w:sz w:val="20"/>
          <w:szCs w:val="21"/>
          <w:highlight w:val="none"/>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518795</wp:posOffset>
                </wp:positionV>
                <wp:extent cx="520954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_x0000_s1026" o:spid="_x0000_s1026" o:spt="32" type="#_x0000_t32" style="position:absolute;left:0pt;margin-left:27pt;margin-top:40.85pt;height:0pt;width:410.2pt;z-index:251660288;mso-width-relative:page;mso-height-relative:page;" filled="f" stroked="t" coordsize="21600,21600" o:gfxdata="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zg0f1AAAAAgBAAAPAAAAAAAAAAEAIAAAACIAAABkcnMvZG93&#10;bnJldi54bWxQSwECFAAUAAAACACHTuJAmDr3wwQCAADeAwAADgAAAAAAAAABACAAAAAjAQAAZHJz&#10;L2Uyb0RvYy54bWxQSwUGAAAAAAYABgBZAQAAmQUAAAAA&#10;">
                <v:fill on="f" focussize="0,0"/>
                <v:stroke weight="4.5pt" color="#000000" linestyle="thinThick" joinstyle="round"/>
                <v:imagedata o:title=""/>
                <o:lock v:ext="edit" aspectratio="f"/>
              </v:shape>
            </w:pict>
          </mc:Fallback>
        </mc:AlternateContent>
      </w:r>
      <w:r>
        <w:rPr>
          <w:rFonts w:hint="eastAsia" w:ascii="宋体" w:hAnsi="宋体"/>
          <w:b/>
          <w:color w:val="auto"/>
          <w:kern w:val="0"/>
          <w:sz w:val="44"/>
          <w:szCs w:val="44"/>
          <w:highlight w:val="none"/>
        </w:rPr>
        <w:t>广西壮族自治区政府采购</w:t>
      </w:r>
    </w:p>
    <w:p w14:paraId="193AB223">
      <w:pPr>
        <w:widowControl/>
        <w:spacing w:before="120" w:line="360" w:lineRule="auto"/>
        <w:jc w:val="center"/>
        <w:rPr>
          <w:rFonts w:ascii="宋体" w:hAnsi="宋体"/>
          <w:b/>
          <w:color w:val="auto"/>
          <w:spacing w:val="20"/>
          <w:kern w:val="0"/>
          <w:sz w:val="72"/>
          <w:szCs w:val="72"/>
          <w:highlight w:val="none"/>
        </w:rPr>
      </w:pPr>
    </w:p>
    <w:p w14:paraId="5E48EF2D">
      <w:pPr>
        <w:rPr>
          <w:color w:val="auto"/>
          <w:highlight w:val="none"/>
        </w:rPr>
      </w:pPr>
    </w:p>
    <w:p w14:paraId="512B02A5">
      <w:pPr>
        <w:pStyle w:val="2"/>
        <w:rPr>
          <w:color w:val="auto"/>
          <w:highlight w:val="none"/>
        </w:rPr>
      </w:pPr>
    </w:p>
    <w:p w14:paraId="47310B2B">
      <w:pPr>
        <w:pStyle w:val="2"/>
        <w:rPr>
          <w:color w:val="auto"/>
          <w:highlight w:val="none"/>
        </w:rPr>
      </w:pPr>
    </w:p>
    <w:p w14:paraId="19448DC8">
      <w:pPr>
        <w:widowControl/>
        <w:spacing w:before="120" w:line="360" w:lineRule="auto"/>
        <w:jc w:val="center"/>
        <w:rPr>
          <w:rFonts w:ascii="宋体" w:hAnsi="宋体"/>
          <w:b/>
          <w:color w:val="auto"/>
          <w:spacing w:val="20"/>
          <w:kern w:val="0"/>
          <w:sz w:val="72"/>
          <w:szCs w:val="72"/>
          <w:highlight w:val="none"/>
        </w:rPr>
      </w:pPr>
      <w:r>
        <w:rPr>
          <w:rFonts w:hint="eastAsia" w:ascii="宋体" w:hAnsi="宋体"/>
          <w:b/>
          <w:color w:val="auto"/>
          <w:spacing w:val="20"/>
          <w:kern w:val="0"/>
          <w:sz w:val="84"/>
          <w:szCs w:val="84"/>
          <w:highlight w:val="none"/>
        </w:rPr>
        <w:t>公开招标采购文件</w:t>
      </w:r>
    </w:p>
    <w:p w14:paraId="7A862F15">
      <w:pPr>
        <w:snapToGrid w:val="0"/>
        <w:spacing w:before="165" w:beforeLines="50" w:line="360" w:lineRule="auto"/>
        <w:ind w:firstLine="3012" w:firstLineChars="1000"/>
        <w:rPr>
          <w:rFonts w:ascii="仿宋_GB2312" w:hAnsi="宋体" w:eastAsia="仿宋_GB2312"/>
          <w:b/>
          <w:bCs/>
          <w:color w:val="auto"/>
          <w:sz w:val="30"/>
          <w:szCs w:val="72"/>
          <w:highlight w:val="none"/>
        </w:rPr>
      </w:pPr>
      <w:r>
        <w:rPr>
          <w:rFonts w:hint="eastAsia" w:ascii="仿宋_GB2312" w:hAnsi="宋体" w:eastAsia="仿宋_GB2312"/>
          <w:b/>
          <w:bCs/>
          <w:color w:val="auto"/>
          <w:sz w:val="30"/>
          <w:szCs w:val="72"/>
          <w:highlight w:val="none"/>
        </w:rPr>
        <w:t>（全流程电子化评标）</w:t>
      </w:r>
    </w:p>
    <w:p w14:paraId="47189981">
      <w:pPr>
        <w:snapToGrid w:val="0"/>
        <w:spacing w:before="165" w:beforeLines="50" w:line="360" w:lineRule="auto"/>
        <w:rPr>
          <w:rFonts w:ascii="仿宋_GB2312" w:hAnsi="宋体" w:eastAsia="仿宋_GB2312"/>
          <w:color w:val="auto"/>
          <w:sz w:val="30"/>
          <w:szCs w:val="72"/>
          <w:highlight w:val="none"/>
        </w:rPr>
      </w:pPr>
    </w:p>
    <w:p w14:paraId="57EF13A2">
      <w:pPr>
        <w:pStyle w:val="2"/>
        <w:rPr>
          <w:rFonts w:ascii="仿宋_GB2312" w:hAnsi="宋体" w:eastAsia="仿宋_GB2312"/>
          <w:color w:val="auto"/>
          <w:sz w:val="30"/>
          <w:szCs w:val="72"/>
          <w:highlight w:val="none"/>
        </w:rPr>
      </w:pPr>
    </w:p>
    <w:p w14:paraId="602B28A6">
      <w:pPr>
        <w:rPr>
          <w:color w:val="auto"/>
          <w:highlight w:val="none"/>
        </w:rPr>
      </w:pPr>
    </w:p>
    <w:p w14:paraId="336813A8">
      <w:pPr>
        <w:rPr>
          <w:color w:val="auto"/>
          <w:highlight w:val="none"/>
        </w:rPr>
      </w:pPr>
    </w:p>
    <w:p w14:paraId="3B64ACF3">
      <w:pPr>
        <w:pStyle w:val="19"/>
        <w:snapToGrid w:val="0"/>
        <w:spacing w:before="50" w:after="120" w:line="360" w:lineRule="auto"/>
        <w:ind w:firstLine="1272" w:firstLineChars="396"/>
        <w:jc w:val="left"/>
        <w:rPr>
          <w:rFonts w:hint="eastAsia" w:ascii="仿宋_GB2312" w:hAnsi="宋体" w:eastAsia="仿宋_GB2312"/>
          <w:b/>
          <w:bCs/>
          <w:color w:val="auto"/>
          <w:sz w:val="32"/>
          <w:szCs w:val="32"/>
          <w:highlight w:val="none"/>
          <w:lang w:eastAsia="zh-CN"/>
        </w:rPr>
      </w:pPr>
      <w:r>
        <w:rPr>
          <w:rFonts w:hint="eastAsia" w:ascii="仿宋_GB2312" w:hAnsi="宋体" w:eastAsia="仿宋_GB2312"/>
          <w:b/>
          <w:bCs/>
          <w:color w:val="auto"/>
          <w:sz w:val="32"/>
          <w:szCs w:val="32"/>
          <w:highlight w:val="none"/>
        </w:rPr>
        <w:t>项目</w:t>
      </w:r>
      <w:r>
        <w:rPr>
          <w:rFonts w:hint="eastAsia" w:ascii="仿宋_GB2312" w:hAnsi="宋体" w:eastAsia="仿宋_GB2312" w:cs="Courier New"/>
          <w:b/>
          <w:bCs/>
          <w:color w:val="auto"/>
          <w:w w:val="95"/>
          <w:sz w:val="32"/>
          <w:szCs w:val="32"/>
          <w:highlight w:val="none"/>
        </w:rPr>
        <w:t>名称</w:t>
      </w:r>
      <w:r>
        <w:rPr>
          <w:rFonts w:hint="eastAsia" w:ascii="仿宋_GB2312" w:hAnsi="宋体" w:eastAsia="仿宋_GB2312"/>
          <w:b/>
          <w:bCs/>
          <w:color w:val="auto"/>
          <w:sz w:val="32"/>
          <w:szCs w:val="32"/>
          <w:highlight w:val="none"/>
        </w:rPr>
        <w:t>：</w:t>
      </w:r>
      <w:r>
        <w:rPr>
          <w:rFonts w:hint="eastAsia" w:ascii="仿宋_GB2312" w:hAnsi="宋体" w:eastAsia="仿宋_GB2312"/>
          <w:b/>
          <w:bCs/>
          <w:color w:val="auto"/>
          <w:sz w:val="32"/>
          <w:szCs w:val="32"/>
          <w:highlight w:val="none"/>
          <w:lang w:eastAsia="zh-CN"/>
        </w:rPr>
        <w:t>平南县镇隆镇第一初级中学学校学生食堂食材配送服务项目</w:t>
      </w:r>
    </w:p>
    <w:p w14:paraId="0C884826">
      <w:pPr>
        <w:snapToGrid w:val="0"/>
        <w:spacing w:before="165" w:beforeLines="50" w:line="360" w:lineRule="auto"/>
        <w:ind w:firstLine="1221" w:firstLineChars="400"/>
        <w:rPr>
          <w:rFonts w:hint="eastAsia" w:ascii="仿宋_GB2312" w:hAnsi="宋体" w:eastAsia="仿宋_GB2312"/>
          <w:b/>
          <w:bCs/>
          <w:color w:val="auto"/>
          <w:sz w:val="32"/>
          <w:szCs w:val="32"/>
          <w:highlight w:val="none"/>
          <w:lang w:eastAsia="zh-CN"/>
        </w:rPr>
      </w:pPr>
      <w:r>
        <w:rPr>
          <w:rFonts w:hint="eastAsia" w:ascii="仿宋_GB2312" w:hAnsi="宋体" w:eastAsia="仿宋_GB2312" w:cs="Courier New"/>
          <w:b/>
          <w:bCs/>
          <w:color w:val="auto"/>
          <w:w w:val="95"/>
          <w:sz w:val="32"/>
          <w:szCs w:val="32"/>
          <w:highlight w:val="none"/>
        </w:rPr>
        <w:t>项目</w:t>
      </w:r>
      <w:r>
        <w:rPr>
          <w:rFonts w:hint="eastAsia" w:ascii="仿宋_GB2312" w:hAnsi="宋体" w:eastAsia="仿宋_GB2312"/>
          <w:b/>
          <w:bCs/>
          <w:color w:val="auto"/>
          <w:sz w:val="32"/>
          <w:szCs w:val="32"/>
          <w:highlight w:val="none"/>
        </w:rPr>
        <w:t>编号</w:t>
      </w:r>
      <w:r>
        <w:rPr>
          <w:rFonts w:hint="eastAsia" w:ascii="仿宋_GB2312" w:hAnsi="宋体" w:eastAsia="仿宋_GB2312" w:cs="Courier New"/>
          <w:b/>
          <w:bCs/>
          <w:color w:val="auto"/>
          <w:w w:val="95"/>
          <w:sz w:val="32"/>
          <w:szCs w:val="32"/>
          <w:highlight w:val="none"/>
        </w:rPr>
        <w:t>：</w:t>
      </w:r>
      <w:r>
        <w:rPr>
          <w:rFonts w:hint="eastAsia" w:ascii="仿宋_GB2312" w:hAnsi="宋体" w:eastAsia="仿宋_GB2312"/>
          <w:b/>
          <w:bCs/>
          <w:color w:val="auto"/>
          <w:sz w:val="32"/>
          <w:szCs w:val="32"/>
          <w:highlight w:val="none"/>
          <w:lang w:eastAsia="zh-CN"/>
        </w:rPr>
        <w:t>GGZC2024-G3-210515-JGJD</w:t>
      </w:r>
    </w:p>
    <w:p w14:paraId="6A50354C">
      <w:pPr>
        <w:pStyle w:val="52"/>
        <w:rPr>
          <w:rFonts w:hint="default" w:eastAsia="仿宋_GB2312"/>
          <w:color w:val="auto"/>
          <w:highlight w:val="none"/>
          <w:lang w:val="en-US" w:eastAsia="zh-CN"/>
        </w:rPr>
      </w:pPr>
      <w:r>
        <w:rPr>
          <w:rFonts w:hint="eastAsia" w:ascii="仿宋_GB2312" w:hAnsi="宋体" w:eastAsia="仿宋_GB2312"/>
          <w:b/>
          <w:bCs/>
          <w:color w:val="auto"/>
          <w:kern w:val="2"/>
          <w:sz w:val="32"/>
          <w:szCs w:val="32"/>
          <w:highlight w:val="none"/>
        </w:rPr>
        <w:t xml:space="preserve">        </w:t>
      </w:r>
    </w:p>
    <w:p w14:paraId="18F89696">
      <w:pPr>
        <w:pStyle w:val="19"/>
        <w:snapToGrid w:val="0"/>
        <w:spacing w:before="50" w:after="120" w:line="360" w:lineRule="auto"/>
        <w:ind w:firstLine="1200" w:firstLineChars="393"/>
        <w:rPr>
          <w:rFonts w:hint="eastAsia" w:ascii="仿宋_GB2312" w:hAnsi="宋体" w:eastAsia="仿宋_GB2312"/>
          <w:b/>
          <w:bCs/>
          <w:color w:val="auto"/>
          <w:w w:val="95"/>
          <w:sz w:val="32"/>
          <w:szCs w:val="32"/>
          <w:highlight w:val="none"/>
          <w:lang w:eastAsia="zh-CN"/>
        </w:rPr>
      </w:pPr>
      <w:r>
        <w:rPr>
          <w:rFonts w:hint="eastAsia" w:ascii="仿宋_GB2312" w:hAnsi="宋体" w:eastAsia="仿宋_GB2312"/>
          <w:b/>
          <w:bCs/>
          <w:color w:val="auto"/>
          <w:w w:val="95"/>
          <w:sz w:val="32"/>
          <w:szCs w:val="32"/>
          <w:highlight w:val="none"/>
        </w:rPr>
        <w:t>采 购 人：</w:t>
      </w:r>
      <w:r>
        <w:rPr>
          <w:rFonts w:hint="eastAsia" w:ascii="仿宋_GB2312" w:hAnsi="宋体" w:eastAsia="仿宋_GB2312"/>
          <w:b/>
          <w:bCs/>
          <w:color w:val="auto"/>
          <w:w w:val="95"/>
          <w:sz w:val="32"/>
          <w:szCs w:val="32"/>
          <w:highlight w:val="none"/>
          <w:lang w:eastAsia="zh-CN"/>
        </w:rPr>
        <w:t>平南县镇隆镇第一初级中学</w:t>
      </w:r>
    </w:p>
    <w:p w14:paraId="365AD846">
      <w:pPr>
        <w:pStyle w:val="19"/>
        <w:snapToGrid w:val="0"/>
        <w:spacing w:before="50" w:after="120" w:line="360" w:lineRule="auto"/>
        <w:ind w:firstLine="1200" w:firstLineChars="393"/>
        <w:rPr>
          <w:rFonts w:ascii="仿宋_GB2312" w:hAnsi="宋体" w:eastAsia="仿宋_GB2312"/>
          <w:b/>
          <w:bCs/>
          <w:color w:val="auto"/>
          <w:w w:val="95"/>
          <w:sz w:val="32"/>
          <w:szCs w:val="32"/>
          <w:highlight w:val="none"/>
        </w:rPr>
      </w:pPr>
      <w:r>
        <w:rPr>
          <w:rFonts w:hint="eastAsia" w:ascii="仿宋_GB2312" w:hAnsi="宋体" w:eastAsia="仿宋_GB2312"/>
          <w:b/>
          <w:bCs/>
          <w:color w:val="auto"/>
          <w:w w:val="95"/>
          <w:sz w:val="32"/>
          <w:szCs w:val="32"/>
          <w:highlight w:val="none"/>
        </w:rPr>
        <w:t>采购代理机构：</w:t>
      </w:r>
      <w:bookmarkStart w:id="0" w:name="PO_3000001866_PM031"/>
      <w:r>
        <w:rPr>
          <w:rFonts w:hint="eastAsia" w:ascii="仿宋_GB2312" w:hAnsi="宋体" w:eastAsia="仿宋_GB2312"/>
          <w:b/>
          <w:bCs/>
          <w:color w:val="auto"/>
          <w:w w:val="95"/>
          <w:sz w:val="32"/>
          <w:szCs w:val="32"/>
          <w:highlight w:val="none"/>
        </w:rPr>
        <w:t>广西建设工程机电设备招标中心有限公司</w:t>
      </w:r>
      <w:bookmarkEnd w:id="0"/>
    </w:p>
    <w:p w14:paraId="28C9C118">
      <w:pPr>
        <w:pStyle w:val="19"/>
        <w:snapToGrid w:val="0"/>
        <w:spacing w:before="50" w:after="120" w:line="360" w:lineRule="auto"/>
        <w:ind w:firstLine="897" w:firstLineChars="294"/>
        <w:rPr>
          <w:rFonts w:ascii="仿宋_GB2312" w:hAnsi="宋体" w:eastAsia="仿宋_GB2312"/>
          <w:b/>
          <w:bCs/>
          <w:color w:val="auto"/>
          <w:w w:val="95"/>
          <w:sz w:val="32"/>
          <w:szCs w:val="32"/>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auto"/>
          <w:w w:val="95"/>
          <w:sz w:val="32"/>
          <w:szCs w:val="32"/>
          <w:highlight w:val="none"/>
        </w:rPr>
        <w:t xml:space="preserve">                     202</w:t>
      </w:r>
      <w:r>
        <w:rPr>
          <w:rFonts w:hint="eastAsia" w:ascii="仿宋_GB2312" w:hAnsi="宋体" w:eastAsia="仿宋_GB2312"/>
          <w:b/>
          <w:bCs/>
          <w:color w:val="auto"/>
          <w:w w:val="95"/>
          <w:sz w:val="32"/>
          <w:szCs w:val="32"/>
          <w:highlight w:val="none"/>
          <w:lang w:val="en-US" w:eastAsia="zh-CN"/>
        </w:rPr>
        <w:t>5</w:t>
      </w:r>
      <w:r>
        <w:rPr>
          <w:rFonts w:hint="eastAsia" w:ascii="仿宋_GB2312" w:hAnsi="宋体" w:eastAsia="仿宋_GB2312"/>
          <w:b/>
          <w:bCs/>
          <w:color w:val="auto"/>
          <w:w w:val="95"/>
          <w:sz w:val="32"/>
          <w:szCs w:val="32"/>
          <w:highlight w:val="none"/>
        </w:rPr>
        <w:t>年</w:t>
      </w:r>
      <w:r>
        <w:rPr>
          <w:rFonts w:hint="eastAsia" w:ascii="仿宋_GB2312" w:hAnsi="宋体" w:eastAsia="仿宋_GB2312"/>
          <w:b/>
          <w:bCs/>
          <w:color w:val="auto"/>
          <w:w w:val="95"/>
          <w:sz w:val="32"/>
          <w:szCs w:val="32"/>
          <w:highlight w:val="none"/>
          <w:lang w:val="en-US" w:eastAsia="zh-CN"/>
        </w:rPr>
        <w:t>1</w:t>
      </w:r>
      <w:r>
        <w:rPr>
          <w:rFonts w:hint="eastAsia" w:ascii="仿宋_GB2312" w:hAnsi="宋体" w:eastAsia="仿宋_GB2312"/>
          <w:b/>
          <w:bCs/>
          <w:color w:val="auto"/>
          <w:w w:val="95"/>
          <w:sz w:val="32"/>
          <w:szCs w:val="32"/>
          <w:highlight w:val="none"/>
        </w:rPr>
        <w:t>月</w:t>
      </w:r>
      <w:r>
        <w:rPr>
          <w:rFonts w:hint="eastAsia" w:ascii="仿宋_GB2312" w:hAnsi="宋体" w:eastAsia="仿宋_GB2312"/>
          <w:b/>
          <w:bCs/>
          <w:color w:val="auto"/>
          <w:w w:val="95"/>
          <w:sz w:val="32"/>
          <w:szCs w:val="32"/>
          <w:highlight w:val="none"/>
          <w:lang w:val="en-US" w:eastAsia="zh-CN"/>
        </w:rPr>
        <w:t>8</w:t>
      </w:r>
      <w:r>
        <w:rPr>
          <w:rFonts w:hint="eastAsia" w:ascii="仿宋_GB2312" w:hAnsi="宋体" w:eastAsia="仿宋_GB2312"/>
          <w:b/>
          <w:bCs/>
          <w:color w:val="auto"/>
          <w:w w:val="95"/>
          <w:sz w:val="32"/>
          <w:szCs w:val="32"/>
          <w:highlight w:val="none"/>
        </w:rPr>
        <w:t>日</w:t>
      </w:r>
    </w:p>
    <w:p w14:paraId="04397AB4">
      <w:pPr>
        <w:pStyle w:val="19"/>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54CFEAF8">
      <w:pPr>
        <w:pStyle w:val="27"/>
        <w:tabs>
          <w:tab w:val="right" w:leader="dot" w:pos="9628"/>
        </w:tabs>
        <w:rPr>
          <w:b w:val="0"/>
          <w:bCs w:val="0"/>
          <w:caps w:val="0"/>
          <w:color w:val="auto"/>
          <w:sz w:val="21"/>
          <w:highlight w:val="none"/>
          <w:u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46"/>
          <w:rFonts w:hint="eastAsia" w:ascii="Times New Roman" w:hAnsi="Times New Roman"/>
          <w:color w:val="auto"/>
          <w:highlight w:val="none"/>
        </w:rPr>
        <w:t>第一章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_Toc80092990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19978F9">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46"/>
          <w:rFonts w:hint="eastAsia" w:ascii="Times New Roman" w:hAnsi="Times New Roman"/>
          <w:color w:val="auto"/>
          <w:highlight w:val="none"/>
        </w:rPr>
        <w:t>第二章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_Toc80092991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18CF3DF">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46"/>
          <w:rFonts w:hint="eastAsia" w:ascii="Times New Roman" w:hAnsi="Times New Roman"/>
          <w:color w:val="auto"/>
          <w:highlight w:val="none"/>
        </w:rPr>
        <w:t>第三章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_Toc80092992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0E649EB">
      <w:pPr>
        <w:pStyle w:val="27"/>
        <w:tabs>
          <w:tab w:val="right" w:leader="dot" w:pos="9628"/>
        </w:tabs>
        <w:rPr>
          <w:b w:val="0"/>
          <w:bCs w:val="0"/>
          <w:color w:val="auto"/>
          <w:sz w:val="21"/>
          <w:highlight w:val="none"/>
        </w:rPr>
      </w:pPr>
      <w:r>
        <w:rPr>
          <w:color w:val="auto"/>
          <w:highlight w:val="none"/>
        </w:rPr>
        <w:fldChar w:fldCharType="begin"/>
      </w:r>
      <w:r>
        <w:rPr>
          <w:color w:val="auto"/>
          <w:highlight w:val="none"/>
        </w:rPr>
        <w:instrText xml:space="preserve"> HYPERLINK \l "_Toc80093003" </w:instrText>
      </w:r>
      <w:r>
        <w:rPr>
          <w:color w:val="auto"/>
          <w:highlight w:val="none"/>
        </w:rPr>
        <w:fldChar w:fldCharType="separate"/>
      </w:r>
      <w:r>
        <w:rPr>
          <w:rStyle w:val="46"/>
          <w:rFonts w:hint="eastAsia" w:ascii="Times New Roman" w:hAnsi="Times New Roman"/>
          <w:color w:val="auto"/>
          <w:highlight w:val="none"/>
        </w:rPr>
        <w:t>第四章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评标方法</w:t>
      </w:r>
      <w:bookmarkStart w:id="1" w:name="_Hlt80698806"/>
      <w:r>
        <w:rPr>
          <w:rStyle w:val="46"/>
          <w:rFonts w:hint="eastAsia" w:ascii="Times New Roman" w:hAnsi="Times New Roman"/>
          <w:color w:val="auto"/>
          <w:highlight w:val="none"/>
        </w:rPr>
        <w:t>及</w:t>
      </w:r>
      <w:bookmarkEnd w:id="1"/>
      <w:r>
        <w:rPr>
          <w:rStyle w:val="46"/>
          <w:rFonts w:hint="eastAsia" w:ascii="Times New Roman" w:hAnsi="Times New Roman"/>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_Toc80093003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BBD3698">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46"/>
          <w:rFonts w:hint="eastAsia" w:ascii="Times New Roman" w:hAnsi="Times New Roman"/>
          <w:color w:val="auto"/>
          <w:highlight w:val="none"/>
        </w:rPr>
        <w:t>第五章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_Toc80093009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4B852034">
      <w:pPr>
        <w:pStyle w:val="27"/>
        <w:tabs>
          <w:tab w:val="right" w:leader="dot" w:pos="9628"/>
        </w:tabs>
        <w:rPr>
          <w:b w:val="0"/>
          <w:bCs w:val="0"/>
          <w:color w:val="auto"/>
          <w:sz w:val="21"/>
          <w:highlight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46"/>
          <w:rFonts w:hint="eastAsia" w:ascii="Times New Roman" w:hAnsi="Times New Roman"/>
          <w:color w:val="auto"/>
          <w:highlight w:val="none"/>
        </w:rPr>
        <w:t>第六章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_Toc80093010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7FBB2F2">
      <w:pPr>
        <w:pStyle w:val="27"/>
        <w:tabs>
          <w:tab w:val="right" w:leader="dot" w:pos="9628"/>
        </w:tabs>
        <w:rPr>
          <w:b w:val="0"/>
          <w:bCs w:val="0"/>
          <w:caps w:val="0"/>
          <w:color w:val="auto"/>
          <w:sz w:val="21"/>
          <w:highlight w:val="none"/>
          <w:u w:val="none"/>
        </w:rPr>
      </w:pPr>
      <w:r>
        <w:rPr>
          <w:color w:val="auto"/>
          <w:highlight w:val="none"/>
        </w:rPr>
        <w:fldChar w:fldCharType="begin"/>
      </w:r>
      <w:r>
        <w:rPr>
          <w:color w:val="auto"/>
          <w:highlight w:val="none"/>
        </w:rPr>
        <w:instrText xml:space="preserve"> HYPERLINK \l "_Toc80093017" </w:instrText>
      </w:r>
      <w:r>
        <w:rPr>
          <w:color w:val="auto"/>
          <w:highlight w:val="none"/>
        </w:rPr>
        <w:fldChar w:fldCharType="separate"/>
      </w:r>
      <w:r>
        <w:rPr>
          <w:rStyle w:val="46"/>
          <w:rFonts w:hint="eastAsia" w:ascii="Times New Roman" w:hAnsi="Times New Roman"/>
          <w:color w:val="auto"/>
          <w:highlight w:val="none"/>
        </w:rPr>
        <w:t>第七章</w:t>
      </w:r>
      <w:r>
        <w:rPr>
          <w:rStyle w:val="46"/>
          <w:rFonts w:ascii="Times New Roman" w:hAnsi="Times New Roman"/>
          <w:color w:val="auto"/>
          <w:highlight w:val="none"/>
        </w:rPr>
        <w:t xml:space="preserve"> </w:t>
      </w:r>
      <w:r>
        <w:rPr>
          <w:rStyle w:val="46"/>
          <w:rFonts w:hint="eastAsia" w:ascii="Times New Roman" w:hAnsi="Times New Roman"/>
          <w:color w:val="auto"/>
          <w:highlight w:val="none"/>
        </w:rPr>
        <w:t>质疑、投诉证明材料格式</w:t>
      </w:r>
      <w:r>
        <w:rPr>
          <w:color w:val="auto"/>
          <w:highlight w:val="none"/>
        </w:rPr>
        <w:tab/>
      </w:r>
      <w:r>
        <w:rPr>
          <w:rFonts w:hint="eastAsia"/>
          <w:color w:val="auto"/>
          <w:highlight w:val="none"/>
        </w:rPr>
        <w:t>7</w:t>
      </w:r>
      <w:r>
        <w:rPr>
          <w:rFonts w:hint="eastAsia"/>
          <w:color w:val="auto"/>
          <w:highlight w:val="none"/>
        </w:rPr>
        <w:fldChar w:fldCharType="end"/>
      </w:r>
      <w:r>
        <w:rPr>
          <w:rFonts w:hint="eastAsia"/>
          <w:color w:val="auto"/>
          <w:highlight w:val="none"/>
        </w:rPr>
        <w:t>2</w:t>
      </w:r>
    </w:p>
    <w:p w14:paraId="39821B9C">
      <w:pPr>
        <w:pStyle w:val="19"/>
        <w:jc w:val="center"/>
        <w:rPr>
          <w:rFonts w:ascii="Calibri" w:hAnsi="宋体"/>
          <w:b/>
          <w:bCs/>
          <w:caps/>
          <w:color w:val="auto"/>
          <w:sz w:val="28"/>
          <w:szCs w:val="28"/>
          <w:highlight w:val="none"/>
          <w:u w:val="single"/>
        </w:rPr>
      </w:pPr>
    </w:p>
    <w:p w14:paraId="27C0077F">
      <w:pPr>
        <w:pStyle w:val="19"/>
        <w:jc w:val="center"/>
        <w:rPr>
          <w:rFonts w:ascii="Calibri" w:hAnsi="宋体"/>
          <w:b/>
          <w:bCs/>
          <w:caps/>
          <w:color w:val="auto"/>
          <w:sz w:val="28"/>
          <w:szCs w:val="28"/>
          <w:highlight w:val="none"/>
          <w:u w:val="single"/>
        </w:rPr>
      </w:pPr>
      <w:r>
        <w:rPr>
          <w:rFonts w:ascii="Calibri" w:hAnsi="宋体"/>
          <w:b/>
          <w:bCs/>
          <w:caps/>
          <w:color w:val="auto"/>
          <w:sz w:val="28"/>
          <w:szCs w:val="28"/>
          <w:highlight w:val="none"/>
          <w:u w:val="single"/>
        </w:rPr>
        <w:fldChar w:fldCharType="end"/>
      </w:r>
    </w:p>
    <w:p w14:paraId="5238DFED">
      <w:pPr>
        <w:pStyle w:val="19"/>
        <w:jc w:val="center"/>
        <w:rPr>
          <w:rFonts w:ascii="Calibri" w:hAnsi="宋体"/>
          <w:b/>
          <w:bCs/>
          <w:caps/>
          <w:color w:val="auto"/>
          <w:sz w:val="28"/>
          <w:szCs w:val="28"/>
          <w:highlight w:val="none"/>
          <w:u w:val="single"/>
        </w:rPr>
      </w:pPr>
    </w:p>
    <w:p w14:paraId="71B9C627">
      <w:pPr>
        <w:pStyle w:val="19"/>
        <w:jc w:val="center"/>
        <w:rPr>
          <w:rFonts w:ascii="Calibri" w:hAnsi="宋体"/>
          <w:b/>
          <w:bCs/>
          <w:caps/>
          <w:color w:val="auto"/>
          <w:sz w:val="28"/>
          <w:szCs w:val="28"/>
          <w:highlight w:val="none"/>
          <w:u w:val="single"/>
        </w:rPr>
      </w:pPr>
    </w:p>
    <w:p w14:paraId="01093391">
      <w:pPr>
        <w:pStyle w:val="19"/>
        <w:jc w:val="center"/>
        <w:rPr>
          <w:rFonts w:ascii="Calibri" w:hAnsi="宋体"/>
          <w:b/>
          <w:bCs/>
          <w:caps/>
          <w:color w:val="auto"/>
          <w:sz w:val="28"/>
          <w:szCs w:val="28"/>
          <w:highlight w:val="none"/>
          <w:u w:val="single"/>
        </w:rPr>
      </w:pPr>
    </w:p>
    <w:p w14:paraId="27837A7A">
      <w:pPr>
        <w:pStyle w:val="19"/>
        <w:jc w:val="center"/>
        <w:rPr>
          <w:rFonts w:ascii="Calibri" w:hAnsi="宋体"/>
          <w:b/>
          <w:bCs/>
          <w:caps/>
          <w:color w:val="auto"/>
          <w:sz w:val="28"/>
          <w:szCs w:val="28"/>
          <w:highlight w:val="none"/>
          <w:u w:val="single"/>
        </w:rPr>
      </w:pPr>
    </w:p>
    <w:p w14:paraId="5D1FF517">
      <w:pPr>
        <w:pStyle w:val="19"/>
        <w:jc w:val="center"/>
        <w:rPr>
          <w:rFonts w:ascii="Calibri" w:hAnsi="宋体"/>
          <w:b/>
          <w:bCs/>
          <w:caps/>
          <w:color w:val="auto"/>
          <w:sz w:val="28"/>
          <w:szCs w:val="28"/>
          <w:highlight w:val="none"/>
          <w:u w:val="single"/>
        </w:rPr>
      </w:pPr>
    </w:p>
    <w:p w14:paraId="672E5D3F">
      <w:pPr>
        <w:pStyle w:val="19"/>
        <w:jc w:val="center"/>
        <w:rPr>
          <w:rFonts w:ascii="Calibri" w:hAnsi="宋体"/>
          <w:b/>
          <w:bCs/>
          <w:caps/>
          <w:color w:val="auto"/>
          <w:sz w:val="28"/>
          <w:szCs w:val="28"/>
          <w:highlight w:val="none"/>
          <w:u w:val="single"/>
        </w:rPr>
      </w:pPr>
    </w:p>
    <w:p w14:paraId="655CCA1E">
      <w:pPr>
        <w:pStyle w:val="19"/>
        <w:jc w:val="center"/>
        <w:rPr>
          <w:rFonts w:ascii="Calibri" w:hAnsi="宋体"/>
          <w:b/>
          <w:bCs/>
          <w:caps/>
          <w:color w:val="auto"/>
          <w:sz w:val="28"/>
          <w:szCs w:val="28"/>
          <w:highlight w:val="none"/>
          <w:u w:val="single"/>
        </w:rPr>
      </w:pPr>
    </w:p>
    <w:p w14:paraId="6DDF6226">
      <w:pPr>
        <w:pStyle w:val="19"/>
        <w:jc w:val="center"/>
        <w:rPr>
          <w:rFonts w:ascii="Calibri" w:hAnsi="宋体"/>
          <w:b/>
          <w:bCs/>
          <w:caps/>
          <w:color w:val="auto"/>
          <w:sz w:val="28"/>
          <w:szCs w:val="28"/>
          <w:highlight w:val="none"/>
          <w:u w:val="single"/>
        </w:rPr>
      </w:pPr>
    </w:p>
    <w:p w14:paraId="436E7EB1">
      <w:pPr>
        <w:pStyle w:val="19"/>
        <w:jc w:val="center"/>
        <w:rPr>
          <w:rFonts w:ascii="Calibri" w:hAnsi="宋体"/>
          <w:b/>
          <w:bCs/>
          <w:caps/>
          <w:color w:val="auto"/>
          <w:sz w:val="28"/>
          <w:szCs w:val="28"/>
          <w:highlight w:val="none"/>
          <w:u w:val="single"/>
        </w:rPr>
      </w:pPr>
    </w:p>
    <w:p w14:paraId="415C676C">
      <w:pPr>
        <w:pStyle w:val="19"/>
        <w:jc w:val="center"/>
        <w:rPr>
          <w:rFonts w:ascii="Calibri" w:hAnsi="宋体"/>
          <w:b/>
          <w:bCs/>
          <w:caps/>
          <w:color w:val="auto"/>
          <w:sz w:val="28"/>
          <w:szCs w:val="28"/>
          <w:highlight w:val="none"/>
          <w:u w:val="single"/>
        </w:rPr>
      </w:pPr>
    </w:p>
    <w:p w14:paraId="751B3A04">
      <w:pPr>
        <w:pStyle w:val="19"/>
        <w:jc w:val="center"/>
        <w:rPr>
          <w:rFonts w:ascii="Calibri" w:hAnsi="宋体"/>
          <w:b/>
          <w:bCs/>
          <w:caps/>
          <w:color w:val="auto"/>
          <w:sz w:val="28"/>
          <w:szCs w:val="28"/>
          <w:highlight w:val="none"/>
          <w:u w:val="single"/>
        </w:rPr>
      </w:pPr>
    </w:p>
    <w:p w14:paraId="3CC579CE">
      <w:pPr>
        <w:pStyle w:val="19"/>
        <w:jc w:val="center"/>
        <w:rPr>
          <w:rFonts w:hAnsi="宋体"/>
          <w:b/>
          <w:color w:val="auto"/>
          <w:sz w:val="36"/>
          <w:szCs w:val="36"/>
          <w:highlight w:val="none"/>
        </w:rPr>
      </w:pPr>
      <w:bookmarkStart w:id="2" w:name="_Toc532545041"/>
      <w:bookmarkStart w:id="3" w:name="_Toc80092990"/>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2"/>
      <w:bookmarkEnd w:id="3"/>
    </w:p>
    <w:p w14:paraId="36A8352F">
      <w:pPr>
        <w:pStyle w:val="19"/>
        <w:jc w:val="center"/>
        <w:rPr>
          <w:rFonts w:hint="eastAsia" w:ascii="Times New Roman" w:hAnsi="Times New Roman" w:eastAsia="宋体"/>
          <w:b/>
          <w:color w:val="auto"/>
          <w:sz w:val="44"/>
          <w:szCs w:val="44"/>
          <w:highlight w:val="none"/>
          <w:lang w:eastAsia="zh-CN"/>
        </w:rPr>
      </w:pPr>
      <w:r>
        <w:rPr>
          <w:rFonts w:hint="eastAsia" w:ascii="Times New Roman" w:hAnsi="Times New Roman"/>
          <w:b/>
          <w:color w:val="auto"/>
          <w:sz w:val="44"/>
          <w:szCs w:val="44"/>
          <w:highlight w:val="none"/>
        </w:rPr>
        <w:t>公开招标公告</w:t>
      </w:r>
    </w:p>
    <w:p w14:paraId="6D91732B">
      <w:pPr>
        <w:pBdr>
          <w:top w:val="single" w:color="auto" w:sz="4" w:space="1"/>
          <w:left w:val="single" w:color="auto" w:sz="4" w:space="4"/>
          <w:bottom w:val="single" w:color="auto" w:sz="4" w:space="1"/>
          <w:right w:val="single" w:color="auto" w:sz="4" w:space="4"/>
        </w:pBd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5E8D6101">
      <w:pPr>
        <w:pBdr>
          <w:top w:val="single" w:color="auto" w:sz="4" w:space="1"/>
          <w:left w:val="single" w:color="auto" w:sz="4" w:space="4"/>
          <w:bottom w:val="single" w:color="auto" w:sz="4" w:space="1"/>
          <w:right w:val="single" w:color="auto" w:sz="4" w:space="4"/>
        </w:pBdr>
        <w:spacing w:line="400" w:lineRule="exact"/>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平南县镇隆镇第一初级中学</w:t>
      </w:r>
      <w:r>
        <w:rPr>
          <w:rFonts w:hint="eastAsia" w:ascii="宋体" w:hAnsi="宋体" w:eastAsia="宋体" w:cs="宋体"/>
          <w:b/>
          <w:bCs/>
          <w:color w:val="auto"/>
          <w:sz w:val="21"/>
          <w:szCs w:val="21"/>
          <w:highlight w:val="none"/>
          <w:u w:val="single"/>
          <w:lang w:eastAsia="zh-CN"/>
        </w:rPr>
        <w:t>学校学生食堂食材配送服务项目</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招标项目的潜在供应商应在</w:t>
      </w:r>
      <w:r>
        <w:rPr>
          <w:rFonts w:hint="eastAsia" w:ascii="宋体" w:hAnsi="宋体" w:eastAsia="宋体" w:cs="宋体"/>
          <w:color w:val="auto"/>
          <w:sz w:val="21"/>
          <w:szCs w:val="21"/>
          <w:highlight w:val="none"/>
          <w:u w:val="single"/>
        </w:rPr>
        <w:t>广西政府采购云平台（https://www.gcy.zfcg.gxzf.gov.cn/）</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"https://www.zcygov.cn/）获取（下载）招标文件，并于%202023-5-8%20%209"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获取（下载）招标文件，并于202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日9点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1CF18330">
      <w:pPr>
        <w:spacing w:line="400" w:lineRule="exact"/>
        <w:rPr>
          <w:rFonts w:hint="eastAsia" w:ascii="宋体" w:hAnsi="宋体" w:eastAsia="宋体" w:cs="宋体"/>
          <w:b/>
          <w:bCs/>
          <w:color w:val="auto"/>
          <w:sz w:val="21"/>
          <w:szCs w:val="21"/>
          <w:highlight w:val="none"/>
        </w:rPr>
      </w:pPr>
      <w:bookmarkStart w:id="4" w:name="_Toc35393621"/>
      <w:bookmarkStart w:id="5" w:name="_Toc28359079"/>
      <w:bookmarkStart w:id="6" w:name="_Toc28359002"/>
      <w:bookmarkStart w:id="7" w:name="_Toc35393790"/>
      <w:bookmarkStart w:id="8" w:name="_Hlk24379207"/>
      <w:r>
        <w:rPr>
          <w:rFonts w:hint="eastAsia" w:ascii="宋体" w:hAnsi="宋体" w:eastAsia="宋体" w:cs="宋体"/>
          <w:b/>
          <w:bCs/>
          <w:color w:val="auto"/>
          <w:sz w:val="21"/>
          <w:szCs w:val="21"/>
          <w:highlight w:val="none"/>
        </w:rPr>
        <w:t>一、项目基本情况</w:t>
      </w:r>
      <w:bookmarkEnd w:id="4"/>
      <w:bookmarkEnd w:id="5"/>
      <w:bookmarkEnd w:id="6"/>
      <w:bookmarkEnd w:id="7"/>
    </w:p>
    <w:p w14:paraId="33966F3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GGZC2024-G3-210515-JGJD</w:t>
      </w:r>
      <w:r>
        <w:rPr>
          <w:rFonts w:hint="eastAsia" w:ascii="宋体" w:hAnsi="宋体" w:eastAsia="宋体" w:cs="宋体"/>
          <w:color w:val="auto"/>
          <w:sz w:val="21"/>
          <w:szCs w:val="21"/>
          <w:highlight w:val="none"/>
        </w:rPr>
        <w:t xml:space="preserve">                </w:t>
      </w:r>
    </w:p>
    <w:p w14:paraId="55B550B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采购计划文号：PNZC2024-G3-02882</w:t>
      </w:r>
    </w:p>
    <w:p w14:paraId="66621C46">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平南县镇隆镇第一初级中学</w:t>
      </w:r>
      <w:r>
        <w:rPr>
          <w:rFonts w:hint="eastAsia" w:ascii="宋体" w:hAnsi="宋体" w:eastAsia="宋体" w:cs="宋体"/>
          <w:color w:val="auto"/>
          <w:sz w:val="21"/>
          <w:szCs w:val="21"/>
          <w:highlight w:val="none"/>
          <w:lang w:eastAsia="zh-CN"/>
        </w:rPr>
        <w:t>学校学生食堂食材配送服务项目</w:t>
      </w:r>
    </w:p>
    <w:bookmarkEnd w:id="8"/>
    <w:p w14:paraId="656C8D3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14:paraId="00ACD89B">
      <w:pPr>
        <w:spacing w:line="44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预算金额：</w:t>
      </w:r>
      <w:r>
        <w:rPr>
          <w:rFonts w:hint="eastAsia" w:ascii="宋体" w:hAnsi="宋体" w:cs="宋体"/>
          <w:b w:val="0"/>
          <w:bCs w:val="0"/>
          <w:color w:val="auto"/>
          <w:sz w:val="21"/>
          <w:szCs w:val="21"/>
          <w:highlight w:val="none"/>
          <w:lang w:eastAsia="zh-CN"/>
        </w:rPr>
        <w:t>9800000.00</w:t>
      </w:r>
      <w:r>
        <w:rPr>
          <w:rFonts w:hint="eastAsia" w:ascii="宋体" w:hAnsi="宋体" w:eastAsia="宋体" w:cs="宋体"/>
          <w:b w:val="0"/>
          <w:bCs w:val="0"/>
          <w:color w:val="auto"/>
          <w:sz w:val="21"/>
          <w:szCs w:val="21"/>
          <w:highlight w:val="none"/>
          <w:lang w:val="en-US" w:eastAsia="zh-CN"/>
        </w:rPr>
        <w:t>元</w:t>
      </w:r>
    </w:p>
    <w:p w14:paraId="25182A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eastAsia="zh-CN"/>
        </w:rPr>
        <w:t>9800000.00</w:t>
      </w:r>
      <w:r>
        <w:rPr>
          <w:rFonts w:hint="eastAsia" w:ascii="宋体" w:hAnsi="宋体" w:eastAsia="宋体" w:cs="宋体"/>
          <w:color w:val="auto"/>
          <w:sz w:val="21"/>
          <w:szCs w:val="21"/>
          <w:highlight w:val="none"/>
        </w:rPr>
        <w:t>元</w:t>
      </w:r>
    </w:p>
    <w:p w14:paraId="4F48D26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bookmarkStart w:id="9" w:name="PO_3000001866_PM004"/>
      <w:r>
        <w:rPr>
          <w:rFonts w:hint="eastAsia" w:ascii="宋体" w:hAnsi="宋体" w:eastAsia="宋体" w:cs="宋体"/>
          <w:color w:val="auto"/>
          <w:sz w:val="21"/>
          <w:szCs w:val="21"/>
          <w:highlight w:val="none"/>
        </w:rPr>
        <w:t xml:space="preserve"> </w:t>
      </w:r>
      <w:bookmarkEnd w:id="9"/>
    </w:p>
    <w:p w14:paraId="7843818A">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标项一</w:t>
      </w:r>
    </w:p>
    <w:p w14:paraId="23462FFB">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lang w:eastAsia="zh-CN"/>
        </w:rPr>
        <w:t>平南县镇隆镇第一初级中学</w:t>
      </w:r>
      <w:r>
        <w:rPr>
          <w:rFonts w:hint="eastAsia" w:ascii="宋体" w:hAnsi="宋体" w:eastAsia="宋体" w:cs="宋体"/>
          <w:color w:val="auto"/>
          <w:sz w:val="21"/>
          <w:szCs w:val="21"/>
          <w:highlight w:val="none"/>
          <w:lang w:eastAsia="zh-CN"/>
        </w:rPr>
        <w:t>学校学生食堂食材配送服务项目</w:t>
      </w:r>
    </w:p>
    <w:p w14:paraId="41CAF856">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数量:1</w:t>
      </w:r>
    </w:p>
    <w:p w14:paraId="1D44B0AA">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eastAsia="zh-CN"/>
        </w:rPr>
        <w:t>9800000.00</w:t>
      </w:r>
    </w:p>
    <w:p w14:paraId="4B5A815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eastAsia="zh-CN"/>
        </w:rPr>
        <w:t>包含：大米，花生油，猪肉、牛肉等，调味品、干杂货食品等，鸡鸭肉、活鱼等，豆制品、奶制品等，蔬菜类，糕点类、粉类等。如需进一步了解详细内容，详见招标文件。</w:t>
      </w:r>
    </w:p>
    <w:p w14:paraId="2DDB6C6C">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最高限价（如有）：</w:t>
      </w:r>
      <w:r>
        <w:rPr>
          <w:rFonts w:hint="eastAsia" w:ascii="宋体" w:hAnsi="宋体" w:cs="宋体"/>
          <w:color w:val="auto"/>
          <w:sz w:val="21"/>
          <w:szCs w:val="21"/>
          <w:highlight w:val="none"/>
          <w:lang w:eastAsia="zh-CN"/>
        </w:rPr>
        <w:t>9800000.00</w:t>
      </w:r>
    </w:p>
    <w:p w14:paraId="0D894B1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月至2026年8月（具体起止时间以签订合同为准）</w:t>
      </w:r>
      <w:r>
        <w:rPr>
          <w:rFonts w:hint="eastAsia" w:ascii="宋体" w:hAnsi="宋体" w:eastAsia="宋体" w:cs="宋体"/>
          <w:color w:val="auto"/>
          <w:sz w:val="21"/>
          <w:szCs w:val="21"/>
          <w:highlight w:val="none"/>
        </w:rPr>
        <w:t>。</w:t>
      </w:r>
    </w:p>
    <w:p w14:paraId="5AC84A9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0067FB45">
      <w:pPr>
        <w:spacing w:line="400" w:lineRule="exact"/>
        <w:rPr>
          <w:rFonts w:hint="eastAsia" w:ascii="宋体" w:hAnsi="宋体" w:eastAsia="宋体" w:cs="宋体"/>
          <w:b/>
          <w:bCs/>
          <w:color w:val="auto"/>
          <w:sz w:val="21"/>
          <w:szCs w:val="21"/>
          <w:highlight w:val="none"/>
        </w:rPr>
      </w:pPr>
      <w:bookmarkStart w:id="10" w:name="_Toc28359003"/>
      <w:bookmarkStart w:id="11" w:name="_Toc28359080"/>
      <w:bookmarkStart w:id="12" w:name="_Toc35393622"/>
      <w:bookmarkStart w:id="13" w:name="_Toc35393791"/>
      <w:r>
        <w:rPr>
          <w:rFonts w:hint="eastAsia" w:ascii="宋体" w:hAnsi="宋体" w:eastAsia="宋体" w:cs="宋体"/>
          <w:b/>
          <w:bCs/>
          <w:color w:val="auto"/>
          <w:sz w:val="21"/>
          <w:szCs w:val="21"/>
          <w:highlight w:val="none"/>
        </w:rPr>
        <w:t>二、供应商的资格要求：</w:t>
      </w:r>
      <w:bookmarkEnd w:id="10"/>
      <w:bookmarkEnd w:id="11"/>
      <w:bookmarkEnd w:id="12"/>
      <w:bookmarkEnd w:id="13"/>
    </w:p>
    <w:p w14:paraId="3C433BB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518488FD">
      <w:pPr>
        <w:spacing w:line="400" w:lineRule="exact"/>
        <w:ind w:firstLine="420" w:firstLineChars="200"/>
        <w:rPr>
          <w:rFonts w:hint="eastAsia" w:ascii="宋体" w:hAnsi="宋体" w:eastAsia="宋体" w:cs="宋体"/>
          <w:color w:val="auto"/>
          <w:sz w:val="21"/>
          <w:szCs w:val="21"/>
          <w:highlight w:val="none"/>
        </w:rPr>
      </w:pPr>
      <w:bookmarkStart w:id="14" w:name="_Toc28359004"/>
      <w:bookmarkStart w:id="15" w:name="_Toc28359081"/>
      <w:r>
        <w:rPr>
          <w:rFonts w:hint="eastAsia" w:ascii="宋体" w:hAnsi="宋体" w:eastAsia="宋体" w:cs="宋体"/>
          <w:color w:val="auto"/>
          <w:sz w:val="21"/>
          <w:szCs w:val="21"/>
          <w:highlight w:val="none"/>
        </w:rPr>
        <w:t>2.落实政府采购政策需满足的资格要求：</w:t>
      </w:r>
    </w:p>
    <w:p w14:paraId="09E3233A">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专门面向中小企业采购的项目（供应商应为中小微企业</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监狱企业</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残疾人福利性单位)</w:t>
      </w:r>
    </w:p>
    <w:p w14:paraId="6F9518CC">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非专门面向中小企业采购的项目</w:t>
      </w:r>
    </w:p>
    <w:p w14:paraId="1BECBB2A">
      <w:pPr>
        <w:spacing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3.本项目的特定资格要求：</w:t>
      </w:r>
      <w:r>
        <w:rPr>
          <w:rFonts w:hint="eastAsia" w:ascii="宋体" w:hAnsi="宋体" w:eastAsia="宋体" w:cs="宋体"/>
          <w:color w:val="auto"/>
          <w:sz w:val="21"/>
          <w:szCs w:val="21"/>
          <w:highlight w:val="none"/>
          <w:lang w:eastAsia="zh-CN"/>
        </w:rPr>
        <w:t>具有有效的《食品经营许可证》</w:t>
      </w:r>
      <w:r>
        <w:rPr>
          <w:rFonts w:hint="eastAsia" w:ascii="宋体" w:hAnsi="宋体" w:eastAsia="宋体" w:cs="宋体"/>
          <w:color w:val="auto"/>
          <w:sz w:val="21"/>
          <w:szCs w:val="21"/>
          <w:highlight w:val="none"/>
        </w:rPr>
        <w:t>。</w:t>
      </w:r>
    </w:p>
    <w:p w14:paraId="500F12C1">
      <w:pPr>
        <w:spacing w:line="400" w:lineRule="exact"/>
        <w:rPr>
          <w:rFonts w:hint="eastAsia" w:ascii="宋体" w:hAnsi="宋体" w:eastAsia="宋体" w:cs="宋体"/>
          <w:b/>
          <w:bCs/>
          <w:color w:val="auto"/>
          <w:sz w:val="21"/>
          <w:szCs w:val="21"/>
          <w:highlight w:val="none"/>
        </w:rPr>
      </w:pPr>
      <w:bookmarkStart w:id="16" w:name="_Toc35393623"/>
      <w:bookmarkStart w:id="17" w:name="_Toc35393792"/>
      <w:r>
        <w:rPr>
          <w:rFonts w:hint="eastAsia" w:ascii="宋体" w:hAnsi="宋体" w:eastAsia="宋体" w:cs="宋体"/>
          <w:b/>
          <w:bCs/>
          <w:color w:val="auto"/>
          <w:sz w:val="21"/>
          <w:szCs w:val="21"/>
          <w:highlight w:val="none"/>
        </w:rPr>
        <w:t>三、获取招标文件</w:t>
      </w:r>
      <w:bookmarkEnd w:id="14"/>
      <w:bookmarkEnd w:id="15"/>
      <w:bookmarkEnd w:id="16"/>
      <w:bookmarkEnd w:id="17"/>
    </w:p>
    <w:p w14:paraId="0ECB3F00">
      <w:pPr>
        <w:snapToGrid w:val="0"/>
        <w:spacing w:line="400" w:lineRule="exact"/>
        <w:ind w:firstLine="420" w:firstLineChars="200"/>
        <w:rPr>
          <w:rFonts w:hint="eastAsia" w:ascii="宋体" w:hAnsi="宋体" w:eastAsia="宋体" w:cs="宋体"/>
          <w:color w:val="auto"/>
          <w:sz w:val="21"/>
          <w:szCs w:val="21"/>
          <w:highlight w:val="none"/>
        </w:rPr>
      </w:pPr>
      <w:bookmarkStart w:id="18" w:name="_Toc28359082"/>
      <w:bookmarkStart w:id="19" w:name="_Toc28359005"/>
      <w:bookmarkStart w:id="20" w:name="_Toc35393624"/>
      <w:bookmarkStart w:id="21" w:name="_Toc35393793"/>
      <w:r>
        <w:rPr>
          <w:rFonts w:hint="eastAsia" w:ascii="宋体" w:hAnsi="宋体" w:eastAsia="宋体" w:cs="宋体"/>
          <w:color w:val="auto"/>
          <w:sz w:val="21"/>
          <w:szCs w:val="21"/>
          <w:highlight w:val="none"/>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日，每天上午00:00至11:59，下午12:00至23:59（北京时间，法定节假日除外）</w:t>
      </w:r>
    </w:p>
    <w:p w14:paraId="528EF2E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地点（网站）：广西政府采购云平台线上获取</w:t>
      </w:r>
    </w:p>
    <w:p w14:paraId="39619A3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方式：供应商登录广西政府采购云平台https://www.gcy.zfcg.gxzf.gov.cn/在线申请获取采购文件（进入“项目采购”应用，在获取采购文件菜单中选择项目，申请获取采购文件）。 </w:t>
      </w:r>
    </w:p>
    <w:p w14:paraId="1182306E">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14:paraId="329CDFC1">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w:t>
      </w:r>
      <w:bookmarkEnd w:id="18"/>
      <w:bookmarkEnd w:id="19"/>
      <w:r>
        <w:rPr>
          <w:rFonts w:hint="eastAsia" w:ascii="宋体" w:hAnsi="宋体" w:eastAsia="宋体" w:cs="宋体"/>
          <w:b/>
          <w:bCs/>
          <w:color w:val="auto"/>
          <w:sz w:val="21"/>
          <w:szCs w:val="21"/>
          <w:highlight w:val="none"/>
        </w:rPr>
        <w:t>截止时间、开标时间和地点</w:t>
      </w:r>
      <w:bookmarkEnd w:id="20"/>
      <w:bookmarkEnd w:id="21"/>
    </w:p>
    <w:p w14:paraId="5524ABE7">
      <w:pPr>
        <w:pStyle w:val="33"/>
        <w:widowControl/>
        <w:spacing w:before="0"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 09:00（北京时间）</w:t>
      </w:r>
    </w:p>
    <w:p w14:paraId="35C99D35">
      <w:pPr>
        <w:pStyle w:val="33"/>
        <w:widowControl/>
        <w:spacing w:before="0"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投标地点（网址）：请登录广西政府采购云平台投标客户端投标 </w:t>
      </w:r>
    </w:p>
    <w:p w14:paraId="423D8A28">
      <w:pPr>
        <w:pStyle w:val="33"/>
        <w:widowControl/>
        <w:spacing w:before="0"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开标时间：202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 xml:space="preserve">日 09:00 </w:t>
      </w:r>
    </w:p>
    <w:p w14:paraId="2CCF15C0">
      <w:pPr>
        <w:pStyle w:val="33"/>
        <w:widowControl/>
        <w:spacing w:before="0" w:after="0"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xml:space="preserve">    开标地点：通过广西政府采购云平台（https://www.gcy.zfcg.gxzf.gov.cn/）实行在线投标响应</w:t>
      </w:r>
      <w:r>
        <w:rPr>
          <w:rFonts w:hint="eastAsia" w:ascii="宋体" w:hAnsi="宋体" w:eastAsia="宋体" w:cs="宋体"/>
          <w:color w:val="auto"/>
          <w:kern w:val="2"/>
          <w:sz w:val="21"/>
          <w:szCs w:val="21"/>
          <w:highlight w:val="none"/>
        </w:rPr>
        <w:t>。</w:t>
      </w:r>
    </w:p>
    <w:p w14:paraId="2C24FA49">
      <w:pPr>
        <w:widowControl/>
        <w:spacing w:line="4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提示：</w:t>
      </w:r>
      <w:r>
        <w:rPr>
          <w:rFonts w:hint="eastAsia" w:ascii="宋体" w:hAnsi="宋体" w:eastAsia="宋体" w:cs="宋体"/>
          <w:color w:val="auto"/>
          <w:sz w:val="21"/>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3C01F60E">
      <w:pPr>
        <w:spacing w:line="400" w:lineRule="exact"/>
        <w:rPr>
          <w:rFonts w:hint="eastAsia" w:ascii="宋体" w:hAnsi="宋体" w:eastAsia="宋体" w:cs="宋体"/>
          <w:b/>
          <w:bCs/>
          <w:color w:val="auto"/>
          <w:sz w:val="21"/>
          <w:szCs w:val="21"/>
          <w:highlight w:val="none"/>
        </w:rPr>
      </w:pPr>
      <w:bookmarkStart w:id="22" w:name="_Toc35393794"/>
      <w:bookmarkStart w:id="23" w:name="_Toc28359007"/>
      <w:bookmarkStart w:id="24" w:name="_Toc35393625"/>
      <w:bookmarkStart w:id="25" w:name="_Toc28359084"/>
      <w:r>
        <w:rPr>
          <w:rFonts w:hint="eastAsia" w:ascii="宋体" w:hAnsi="宋体" w:eastAsia="宋体" w:cs="宋体"/>
          <w:b/>
          <w:bCs/>
          <w:color w:val="auto"/>
          <w:sz w:val="21"/>
          <w:szCs w:val="21"/>
          <w:highlight w:val="none"/>
        </w:rPr>
        <w:t>五、公告期限</w:t>
      </w:r>
      <w:bookmarkEnd w:id="22"/>
      <w:bookmarkEnd w:id="23"/>
      <w:bookmarkEnd w:id="24"/>
      <w:bookmarkEnd w:id="25"/>
    </w:p>
    <w:p w14:paraId="74697ED7">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1AD9EF57">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14:paraId="59E413F4">
      <w:pPr>
        <w:spacing w:line="400" w:lineRule="exact"/>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投标保证金：本项目不收取投标保证金</w:t>
      </w:r>
    </w:p>
    <w:p w14:paraId="415ED847">
      <w:pPr>
        <w:spacing w:line="400" w:lineRule="exact"/>
        <w:ind w:firstLine="315" w:firstLineChars="150"/>
        <w:rPr>
          <w:rFonts w:hint="eastAsia" w:ascii="宋体" w:hAnsi="宋体" w:eastAsia="宋体" w:cs="宋体"/>
          <w:color w:val="auto"/>
          <w:kern w:val="0"/>
          <w:sz w:val="21"/>
          <w:szCs w:val="21"/>
          <w:highlight w:val="none"/>
        </w:rPr>
      </w:pPr>
      <w:bookmarkStart w:id="26" w:name="_Hlk37429595"/>
      <w:bookmarkStart w:id="27" w:name="_Hlk37429585"/>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网上查询地址</w:t>
      </w:r>
      <w:bookmarkEnd w:id="26"/>
      <w:bookmarkEnd w:id="27"/>
      <w:bookmarkStart w:id="28" w:name="_Hlk37429674"/>
      <w:r>
        <w:rPr>
          <w:rFonts w:hint="eastAsia" w:ascii="宋体" w:hAnsi="宋体" w:eastAsia="宋体" w:cs="宋体"/>
          <w:color w:val="auto"/>
          <w:kern w:val="0"/>
          <w:sz w:val="21"/>
          <w:szCs w:val="21"/>
          <w:highlight w:val="none"/>
        </w:rPr>
        <w:t>：中国政府采购网（http://www.ccgp.gov.cn）、广西壮族自治区政府采购网（http://www.ccgp-guangxi.gov.cn/）、贵港市政府采购网（http://zfcg.czj.gxgg.gov.cn/）、全国公共资源交易平台（广西•贵港）（http://ggzy.jgswj.gxzf.gov.cn/ggggzy/）。</w:t>
      </w:r>
    </w:p>
    <w:p w14:paraId="507F1FEC">
      <w:pPr>
        <w:spacing w:line="400" w:lineRule="exact"/>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3、本项目需要落实的政府采购政策：</w:t>
      </w:r>
    </w:p>
    <w:p w14:paraId="70AD795E">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（1）政府采购促进中小企业发展。</w:t>
      </w:r>
    </w:p>
    <w:p w14:paraId="5624540C">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（2）政府采购支持采用本国产品的政策。</w:t>
      </w:r>
    </w:p>
    <w:p w14:paraId="15E3772C">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（3）强制采购节能产品；优先采购节能产品、环境标志产品。</w:t>
      </w:r>
    </w:p>
    <w:p w14:paraId="6C4C6290">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（4）政府采购促进残疾人就业政策。</w:t>
      </w:r>
    </w:p>
    <w:p w14:paraId="1EF7FE23">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（5）政府采购支持监狱企业发展。</w:t>
      </w:r>
    </w:p>
    <w:p w14:paraId="4965B559">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（6）扶持不发达地区和少数民族地区政策。</w:t>
      </w:r>
    </w:p>
    <w:bookmarkEnd w:id="28"/>
    <w:p w14:paraId="7CE5F9ED">
      <w:pPr>
        <w:snapToGrid w:val="0"/>
        <w:spacing w:line="40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sz w:val="21"/>
          <w:szCs w:val="21"/>
          <w:highlight w:val="none"/>
        </w:rPr>
        <w:t>根据《〈政府采购法实施条例〉释义》，银行、保险、石油石化、电力、电信等有行业特殊情况的，取得营业执照的分支机构可以分公司名义参与投标，采购文件中涉及的“法定代表人”在前述特殊行业中即对应为“分支机构负责人”。</w:t>
      </w:r>
    </w:p>
    <w:p w14:paraId="6B7E0B7E">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4CA2C9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A550D78">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AE095F1">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b/>
          <w:bCs/>
          <w:color w:val="auto"/>
          <w:kern w:val="0"/>
          <w:sz w:val="21"/>
          <w:szCs w:val="21"/>
          <w:highlight w:val="none"/>
        </w:rPr>
        <w:t>供应商</w:t>
      </w:r>
      <w:r>
        <w:rPr>
          <w:rFonts w:hint="eastAsia" w:ascii="宋体" w:hAnsi="宋体" w:eastAsia="宋体" w:cs="宋体"/>
          <w:b/>
          <w:bCs/>
          <w:color w:val="auto"/>
          <w:sz w:val="21"/>
          <w:szCs w:val="21"/>
          <w:highlight w:val="none"/>
        </w:rPr>
        <w:t>投标注意事项</w:t>
      </w:r>
    </w:p>
    <w:p w14:paraId="22B0FC78">
      <w:pPr>
        <w:snapToGrid w:val="0"/>
        <w:spacing w:line="400" w:lineRule="exact"/>
        <w:ind w:firstLine="42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bookmarkStart w:id="29" w:name="_Toc28359008"/>
      <w:bookmarkStart w:id="30" w:name="_Toc35393627"/>
      <w:bookmarkStart w:id="31" w:name="_Toc35393796"/>
      <w:bookmarkStart w:id="32" w:name="_Toc28359085"/>
      <w:r>
        <w:rPr>
          <w:rFonts w:hint="eastAsia" w:ascii="宋体" w:hAnsi="宋体" w:eastAsia="宋体" w:cs="宋体"/>
          <w:color w:val="auto"/>
          <w:kern w:val="0"/>
          <w:sz w:val="21"/>
          <w:szCs w:val="21"/>
          <w:highlight w:val="none"/>
        </w:rPr>
        <w:t>本项目实行电子投标，供应商应按照本项目招标文件和广西政府采购云平台的要求编制、加密并提交投标文件。供应商在使用系统参与投标过程中遇到涉及平台使用的任何问题，可登录广西政府采购云平台（https://www.gcy.zfcg.gxzf.gov.cn/），点击右侧咨询小采，获取采小蜜智能服务管家帮助，或拨打广西政府采购云平台服务热线95763获取热线服务帮助。供应商在广西政府采购云平台提交电子投标文件时，请正确填写参加远程开标活动经办人联系方式。</w:t>
      </w:r>
    </w:p>
    <w:p w14:paraId="307F4645">
      <w:pPr>
        <w:snapToGrid w:val="0"/>
        <w:spacing w:line="400" w:lineRule="exact"/>
        <w:ind w:firstLine="42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（2）供应商应及时熟悉掌握电子标系统操作指南（见广西政府采购云电子卖场首页右上角—服务中心—帮助文档—项目采购）：https://service.zcygov.cn/#/knowledges/tree?tag=AG1DtGwBFdiHxlNdhY0r。</w:t>
      </w:r>
    </w:p>
    <w:p w14:paraId="2F708FCA">
      <w:pPr>
        <w:snapToGrid w:val="0"/>
        <w:spacing w:line="400" w:lineRule="exact"/>
        <w:ind w:firstLine="42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（3）供应商应及时完成CA申领和绑定（见广西壮族自治区政府采购网—办事服务—下载专区－政采云CA证书办理操作指南）。</w:t>
      </w:r>
    </w:p>
    <w:p w14:paraId="1A88E475">
      <w:pPr>
        <w:snapToGrid w:val="0"/>
        <w:spacing w:line="400" w:lineRule="exact"/>
        <w:ind w:firstLine="42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）因未注册入库、未办理CA数字证书、CA证书故障、操作不当等原因造成无法投标或投标失败等后果由供应商自行承担。</w:t>
      </w:r>
    </w:p>
    <w:p w14:paraId="0679BD7C">
      <w:pPr>
        <w:snapToGrid w:val="0"/>
        <w:spacing w:line="40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）投标文件网上提交截止后，</w:t>
      </w:r>
      <w:r>
        <w:rPr>
          <w:rFonts w:hint="eastAsia" w:ascii="宋体" w:hAnsi="宋体" w:cs="宋体"/>
          <w:color w:val="auto"/>
          <w:kern w:val="0"/>
          <w:sz w:val="21"/>
          <w:szCs w:val="21"/>
          <w:highlight w:val="none"/>
          <w:lang w:val="en-US" w:eastAsia="zh-CN"/>
        </w:rPr>
        <w:t>广西政府采购云平台</w:t>
      </w:r>
      <w:r>
        <w:rPr>
          <w:rFonts w:hint="eastAsia" w:ascii="宋体" w:hAnsi="宋体" w:eastAsia="宋体" w:cs="宋体"/>
          <w:color w:val="auto"/>
          <w:kern w:val="0"/>
          <w:sz w:val="21"/>
          <w:szCs w:val="21"/>
          <w:highlight w:val="none"/>
        </w:rPr>
        <w:t>（电子标系统）自动提取所有投标文件，各供应商须在开标开始后30分钟内对上传</w:t>
      </w:r>
      <w:r>
        <w:rPr>
          <w:rFonts w:hint="eastAsia" w:ascii="宋体" w:hAnsi="宋体" w:cs="宋体"/>
          <w:color w:val="auto"/>
          <w:kern w:val="0"/>
          <w:sz w:val="21"/>
          <w:szCs w:val="21"/>
          <w:highlight w:val="none"/>
          <w:lang w:val="en-US" w:eastAsia="zh-CN"/>
        </w:rPr>
        <w:t>广西政府采购云平台</w:t>
      </w:r>
      <w:r>
        <w:rPr>
          <w:rFonts w:hint="eastAsia" w:ascii="宋体" w:hAnsi="宋体" w:eastAsia="宋体" w:cs="宋体"/>
          <w:color w:val="auto"/>
          <w:kern w:val="0"/>
          <w:sz w:val="21"/>
          <w:szCs w:val="21"/>
          <w:highlight w:val="none"/>
        </w:rPr>
        <w:t>的投标文件进行解密，所有供应商在规定的解密时限内解密完成或解密时限结束后，采购人或采购代理机构将开启投标文件；供应商超过解密时限的，系统默认自动放弃。</w:t>
      </w:r>
    </w:p>
    <w:p w14:paraId="1BABD0DD">
      <w:pPr>
        <w:snapToGrid w:val="0"/>
        <w:spacing w:line="400" w:lineRule="exact"/>
        <w:ind w:firstLine="4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（6）各供应商通过新平台参与政府采购项目投标需下载使用新版客户端，新版客户端下载路径：广西政府采购网（访问地址http：／／zfcg．gxzf．gov．cn／）—办事服务—下载专区。原在</w:t>
      </w:r>
      <w:r>
        <w:rPr>
          <w:rFonts w:hint="eastAsia" w:ascii="宋体" w:hAnsi="宋体" w:cs="宋体"/>
          <w:color w:val="auto"/>
          <w:kern w:val="0"/>
          <w:sz w:val="21"/>
          <w:szCs w:val="21"/>
          <w:highlight w:val="none"/>
          <w:lang w:val="en-US" w:eastAsia="zh-CN"/>
        </w:rPr>
        <w:t>广西政府采购云平台</w:t>
      </w:r>
      <w:r>
        <w:rPr>
          <w:rFonts w:hint="eastAsia" w:ascii="宋体" w:hAnsi="宋体" w:eastAsia="宋体" w:cs="宋体"/>
          <w:color w:val="auto"/>
          <w:kern w:val="0"/>
          <w:sz w:val="21"/>
          <w:szCs w:val="21"/>
          <w:highlight w:val="none"/>
          <w:lang w:val="en-US" w:eastAsia="zh-CN"/>
        </w:rPr>
        <w:t>注册的临时供应商需在新平台启用后重新注册登记。</w:t>
      </w:r>
    </w:p>
    <w:p w14:paraId="3DA85E3B">
      <w:pPr>
        <w:snapToGrid w:val="0"/>
        <w:spacing w:line="400" w:lineRule="exact"/>
        <w:ind w:firstLine="4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注：为确保网上操作合法、有效和安全，请供应商确保在电子投标过程中能够对相关数据电文进行加密和使用电子签章，妥善保管CA数字证书并使用有效的CA数字证书参与整个招标活动</w:t>
      </w:r>
      <w:r>
        <w:rPr>
          <w:rFonts w:hint="eastAsia" w:ascii="宋体" w:hAnsi="宋体" w:eastAsia="宋体" w:cs="宋体"/>
          <w:color w:val="auto"/>
          <w:kern w:val="0"/>
          <w:sz w:val="21"/>
          <w:szCs w:val="21"/>
          <w:highlight w:val="none"/>
          <w:lang w:val="en-US" w:eastAsia="zh-CN"/>
        </w:rPr>
        <w:t>。</w:t>
      </w:r>
    </w:p>
    <w:p w14:paraId="25603314">
      <w:pPr>
        <w:snapToGrid w:val="0"/>
        <w:spacing w:line="400" w:lineRule="exact"/>
        <w:ind w:firstLine="420"/>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监督部门：平南县财政局政府采购监督管理股，电话：0775-7820666</w:t>
      </w:r>
      <w:r>
        <w:rPr>
          <w:rFonts w:hint="eastAsia" w:ascii="宋体" w:hAnsi="宋体" w:cs="宋体"/>
          <w:color w:val="auto"/>
          <w:kern w:val="0"/>
          <w:sz w:val="21"/>
          <w:szCs w:val="21"/>
          <w:highlight w:val="none"/>
          <w:lang w:val="en-US" w:eastAsia="zh-CN"/>
        </w:rPr>
        <w:t>。</w:t>
      </w:r>
    </w:p>
    <w:p w14:paraId="1BF5621A">
      <w:pPr>
        <w:snapToGrid w:val="0"/>
        <w:spacing w:line="40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本项目采用远程异地评标</w:t>
      </w:r>
      <w:r>
        <w:rPr>
          <w:rFonts w:hint="eastAsia" w:ascii="宋体" w:hAnsi="宋体" w:cs="宋体"/>
          <w:color w:val="auto"/>
          <w:kern w:val="0"/>
          <w:sz w:val="21"/>
          <w:szCs w:val="21"/>
          <w:highlight w:val="none"/>
          <w:lang w:val="en-US" w:eastAsia="zh-CN"/>
        </w:rPr>
        <w:t>。</w:t>
      </w:r>
    </w:p>
    <w:p w14:paraId="7DE22DDE">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bookmarkEnd w:id="29"/>
      <w:bookmarkEnd w:id="30"/>
      <w:bookmarkEnd w:id="31"/>
      <w:bookmarkEnd w:id="32"/>
    </w:p>
    <w:p w14:paraId="0ECFBCC9">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33" w:name="_Toc35393806"/>
      <w:bookmarkStart w:id="34" w:name="_Toc28359019"/>
      <w:bookmarkStart w:id="35" w:name="_Toc32446"/>
      <w:bookmarkStart w:id="36" w:name="_Toc28359096"/>
      <w:bookmarkStart w:id="37" w:name="_Toc35393637"/>
      <w:r>
        <w:rPr>
          <w:rFonts w:hint="eastAsia" w:ascii="宋体" w:hAnsi="宋体" w:eastAsia="宋体" w:cs="宋体"/>
          <w:color w:val="auto"/>
          <w:sz w:val="21"/>
          <w:szCs w:val="21"/>
          <w:highlight w:val="none"/>
        </w:rPr>
        <w:t>1.采购人信息</w:t>
      </w:r>
      <w:bookmarkEnd w:id="33"/>
      <w:bookmarkEnd w:id="34"/>
      <w:bookmarkEnd w:id="35"/>
      <w:bookmarkEnd w:id="36"/>
      <w:bookmarkEnd w:id="37"/>
    </w:p>
    <w:p w14:paraId="3196AD18">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平南县镇隆镇第一初级中学</w:t>
      </w:r>
    </w:p>
    <w:p w14:paraId="13E9A822">
      <w:pPr>
        <w:spacing w:line="4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平南县</w:t>
      </w:r>
      <w:r>
        <w:rPr>
          <w:rFonts w:hint="eastAsia" w:ascii="宋体" w:hAnsi="宋体" w:cs="宋体"/>
          <w:color w:val="auto"/>
          <w:sz w:val="21"/>
          <w:szCs w:val="21"/>
          <w:highlight w:val="none"/>
          <w:lang w:val="en-US" w:eastAsia="zh-CN"/>
        </w:rPr>
        <w:t>镇隆镇</w:t>
      </w:r>
    </w:p>
    <w:p w14:paraId="5DA0D6B1">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张老师</w:t>
      </w:r>
    </w:p>
    <w:p w14:paraId="2BE13E38">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项目联系方式：0775-7692051</w:t>
      </w:r>
    </w:p>
    <w:p w14:paraId="73752E3A">
      <w:pPr>
        <w:spacing w:line="440" w:lineRule="exact"/>
        <w:rPr>
          <w:rFonts w:hint="eastAsia" w:ascii="宋体" w:hAnsi="宋体" w:eastAsia="宋体" w:cs="宋体"/>
          <w:color w:val="auto"/>
          <w:sz w:val="21"/>
          <w:szCs w:val="21"/>
          <w:highlight w:val="none"/>
        </w:rPr>
      </w:pPr>
      <w:bookmarkStart w:id="38" w:name="_Toc28359020"/>
      <w:bookmarkStart w:id="39" w:name="_Toc35393638"/>
      <w:bookmarkStart w:id="40" w:name="_Toc28359097"/>
      <w:bookmarkStart w:id="41" w:name="_Toc35393807"/>
      <w:bookmarkStart w:id="42" w:name="_Toc10194"/>
      <w:r>
        <w:rPr>
          <w:rFonts w:hint="eastAsia" w:ascii="宋体" w:hAnsi="宋体" w:eastAsia="宋体" w:cs="宋体"/>
          <w:color w:val="auto"/>
          <w:sz w:val="21"/>
          <w:szCs w:val="21"/>
          <w:highlight w:val="none"/>
        </w:rPr>
        <w:t>2.采购代理机构信息</w:t>
      </w:r>
      <w:bookmarkEnd w:id="38"/>
      <w:bookmarkEnd w:id="39"/>
      <w:bookmarkEnd w:id="40"/>
      <w:bookmarkEnd w:id="41"/>
      <w:bookmarkEnd w:id="42"/>
    </w:p>
    <w:p w14:paraId="1D1AF4C3">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广西建设工程机电设备招标中心有限公司</w:t>
      </w:r>
    </w:p>
    <w:p w14:paraId="499CC534">
      <w:pPr>
        <w:spacing w:line="4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南宁市</w:t>
      </w:r>
      <w:r>
        <w:rPr>
          <w:rFonts w:hint="eastAsia" w:ascii="宋体" w:hAnsi="宋体" w:eastAsia="宋体" w:cs="宋体"/>
          <w:color w:val="auto"/>
          <w:sz w:val="21"/>
          <w:szCs w:val="21"/>
          <w:highlight w:val="none"/>
          <w:lang w:val="en-US" w:eastAsia="zh-CN"/>
        </w:rPr>
        <w:t>青秀区枫林路18号宏桂大厦裙楼3楼</w:t>
      </w:r>
    </w:p>
    <w:p w14:paraId="58FB85EF">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谭琦辉、</w:t>
      </w:r>
      <w:r>
        <w:rPr>
          <w:rFonts w:hint="eastAsia" w:ascii="宋体" w:hAnsi="宋体" w:cs="宋体"/>
          <w:color w:val="auto"/>
          <w:sz w:val="21"/>
          <w:szCs w:val="21"/>
          <w:highlight w:val="none"/>
          <w:lang w:val="en-US" w:eastAsia="zh-CN"/>
        </w:rPr>
        <w:t>廖东有</w:t>
      </w:r>
      <w:r>
        <w:rPr>
          <w:rFonts w:hint="eastAsia" w:ascii="宋体" w:hAnsi="宋体" w:eastAsia="宋体" w:cs="宋体"/>
          <w:color w:val="auto"/>
          <w:sz w:val="21"/>
          <w:szCs w:val="21"/>
          <w:highlight w:val="none"/>
        </w:rPr>
        <w:t xml:space="preserve"> </w:t>
      </w:r>
    </w:p>
    <w:p w14:paraId="0A5756C5">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项目联系方式：</w:t>
      </w:r>
      <w:r>
        <w:rPr>
          <w:rFonts w:hint="eastAsia" w:ascii="宋体" w:hAnsi="宋体" w:eastAsia="宋体" w:cs="宋体"/>
          <w:color w:val="auto"/>
          <w:sz w:val="21"/>
          <w:szCs w:val="21"/>
          <w:highlight w:val="none"/>
          <w:lang w:eastAsia="zh-CN"/>
        </w:rPr>
        <w:t>0771-2821389</w:t>
      </w:r>
    </w:p>
    <w:p w14:paraId="2748843E">
      <w:pPr>
        <w:snapToGrid w:val="0"/>
        <w:spacing w:line="440" w:lineRule="exact"/>
        <w:jc w:val="right"/>
        <w:rPr>
          <w:rFonts w:hint="eastAsia" w:ascii="宋体" w:hAnsi="宋体" w:eastAsia="宋体" w:cs="宋体"/>
          <w:color w:val="auto"/>
          <w:sz w:val="21"/>
          <w:szCs w:val="21"/>
          <w:highlight w:val="none"/>
        </w:rPr>
      </w:pPr>
    </w:p>
    <w:p w14:paraId="0F4270C6">
      <w:pPr>
        <w:snapToGrid w:val="0"/>
        <w:spacing w:line="440" w:lineRule="exac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广西建设工程机电设备招标中心有限公司</w:t>
      </w:r>
    </w:p>
    <w:p w14:paraId="4EF68DAD">
      <w:pPr>
        <w:spacing w:line="400" w:lineRule="exact"/>
        <w:ind w:firstLine="210" w:firstLineChars="1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日</w:t>
      </w:r>
    </w:p>
    <w:p w14:paraId="2059F184">
      <w:pPr>
        <w:snapToGrid w:val="0"/>
        <w:spacing w:line="400" w:lineRule="exact"/>
        <w:ind w:firstLine="420"/>
        <w:rPr>
          <w:rFonts w:ascii="宋体" w:hAnsi="宋体" w:cs="宋体"/>
          <w:color w:val="auto"/>
          <w:sz w:val="21"/>
          <w:szCs w:val="21"/>
          <w:highlight w:val="none"/>
          <w:lang w:val="zh-CN"/>
        </w:rPr>
        <w:sectPr>
          <w:footerReference r:id="rId6" w:type="default"/>
          <w:pgSz w:w="11906" w:h="16838"/>
          <w:pgMar w:top="1134" w:right="1134" w:bottom="1134" w:left="1134" w:header="720" w:footer="720" w:gutter="0"/>
          <w:pgNumType w:start="1"/>
          <w:cols w:space="720" w:num="1"/>
          <w:docGrid w:type="lines" w:linePitch="331" w:charSpace="0"/>
        </w:sectPr>
      </w:pPr>
    </w:p>
    <w:p w14:paraId="70DA490E">
      <w:pPr>
        <w:pStyle w:val="19"/>
        <w:jc w:val="center"/>
        <w:outlineLvl w:val="0"/>
        <w:rPr>
          <w:rFonts w:ascii="Times New Roman" w:hAnsi="Times New Roman"/>
          <w:b/>
          <w:color w:val="auto"/>
          <w:sz w:val="36"/>
          <w:highlight w:val="none"/>
        </w:rPr>
      </w:pPr>
      <w:bookmarkStart w:id="43" w:name="_Toc532545042"/>
      <w:bookmarkStart w:id="44" w:name="_Toc80092991"/>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43"/>
      <w:r>
        <w:rPr>
          <w:rFonts w:hint="eastAsia" w:ascii="Times New Roman" w:hAnsi="Times New Roman"/>
          <w:b/>
          <w:color w:val="auto"/>
          <w:sz w:val="36"/>
          <w:highlight w:val="none"/>
        </w:rPr>
        <w:t>采购需求</w:t>
      </w:r>
      <w:bookmarkEnd w:id="44"/>
    </w:p>
    <w:p w14:paraId="3A2EFE5F">
      <w:pPr>
        <w:adjustRightInd w:val="0"/>
        <w:spacing w:line="340" w:lineRule="exact"/>
        <w:rPr>
          <w:rFonts w:ascii="Times New Roman" w:hAnsi="宋体" w:eastAsia="宋体" w:cs="Times New Roman"/>
          <w:b/>
          <w:color w:val="auto"/>
          <w:szCs w:val="21"/>
          <w:highlight w:val="none"/>
        </w:rPr>
      </w:pPr>
      <w:bookmarkStart w:id="45" w:name="_Toc254970490"/>
      <w:bookmarkStart w:id="46" w:name="_Toc254970631"/>
      <w:bookmarkStart w:id="47" w:name="PO_TDCUS_ITEM_PB_REQ_FILE_1_1"/>
      <w:r>
        <w:rPr>
          <w:rFonts w:hint="eastAsia" w:ascii="Times New Roman" w:hAnsi="宋体" w:eastAsia="宋体" w:cs="Times New Roman"/>
          <w:b/>
          <w:color w:val="auto"/>
          <w:szCs w:val="21"/>
          <w:highlight w:val="none"/>
        </w:rPr>
        <w:t>说明：</w:t>
      </w:r>
    </w:p>
    <w:p w14:paraId="7ABCB72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1.为落实政府采购政策需满足的要求。本招标文件所称中小企业必须符合《政府采购促进中小企业发展管理办法》（财库〔2020〕46 号）的规定。</w:t>
      </w:r>
    </w:p>
    <w:p w14:paraId="7E610EC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2.“实质性要求”是指招标文件中已经指明不满足则投标无效的条款，或者不能负偏离的条款，或者采购需求中带“▲”的条款。本项目凡标注“▲”的条款或要求不响应或不满足的，投标文件即作无效处理。</w:t>
      </w:r>
    </w:p>
    <w:p w14:paraId="5A8CB1A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3.投标人必须自行为其投标产品侵犯他人的知识产权或者专利成果的行为承担相应法律责任。</w:t>
      </w:r>
    </w:p>
    <w:p w14:paraId="7F46678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4.所属行业依照《中小企业划型标准规定》（工信部联企业〔2011〕300 号）及《国民经济行业分类》（GB/T4754-2017）的有关规定执行。</w:t>
      </w:r>
    </w:p>
    <w:p w14:paraId="74F6311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采购内容所属行业： 批发业 。</w:t>
      </w:r>
    </w:p>
    <w:p w14:paraId="03ECCC57">
      <w:pPr>
        <w:spacing w:line="360" w:lineRule="auto"/>
        <w:ind w:firstLine="420" w:firstLineChars="200"/>
        <w:jc w:val="left"/>
        <w:rPr>
          <w:rFonts w:hint="eastAsia" w:ascii="宋体" w:hAnsi="宋体" w:eastAsia="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51FCB291">
      <w:pPr>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（一）采购内容（包括但不限于以下品种）： 大米，花生油，猪肉、牛肉等，调味品、干杂货食品等，鸡鸭肉、活鱼等，豆制品、奶制品等，蔬菜类，糕点类、粉类等。严禁配送预制菜。所有预包装食品类的产品必须保证生产日期新近，不超过保质期的 1/2 期限。</w:t>
      </w:r>
    </w:p>
    <w:p w14:paraId="73FEB72B">
      <w:pPr>
        <w:numPr>
          <w:ilvl w:val="0"/>
          <w:numId w:val="2"/>
        </w:numPr>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采购预算金额：人民币</w:t>
      </w:r>
      <w:r>
        <w:rPr>
          <w:rFonts w:hint="eastAsia" w:ascii="宋体" w:hAnsi="宋体" w:cs="宋体"/>
          <w:b/>
          <w:bCs/>
          <w:color w:val="auto"/>
          <w:highlight w:val="none"/>
          <w:lang w:val="en-US" w:eastAsia="zh-CN"/>
        </w:rPr>
        <w:t>玖佰捌拾万元整</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9800000.00）</w:t>
      </w:r>
      <w:r>
        <w:rPr>
          <w:rFonts w:hint="eastAsia" w:ascii="宋体" w:hAnsi="宋体" w:eastAsia="宋体" w:cs="宋体"/>
          <w:b/>
          <w:bCs/>
          <w:color w:val="auto"/>
          <w:highlight w:val="none"/>
        </w:rPr>
        <w:t>，本项目预算金额仅供参考，以实际结算额为准。</w:t>
      </w:r>
    </w:p>
    <w:p w14:paraId="06A478CB">
      <w:pPr>
        <w:spacing w:line="360" w:lineRule="auto"/>
        <w:ind w:firstLine="422" w:firstLineChars="200"/>
        <w:jc w:val="left"/>
        <w:rPr>
          <w:rFonts w:hint="eastAsia" w:ascii="宋体" w:hAnsi="宋体" w:cs="宋体"/>
          <w:b/>
          <w:bCs/>
          <w:color w:val="auto"/>
          <w:highlight w:val="none"/>
          <w:lang w:val="en-US" w:eastAsia="zh-CN"/>
        </w:rPr>
      </w:pPr>
      <w:r>
        <w:rPr>
          <w:rFonts w:hint="eastAsia" w:ascii="宋体" w:hAnsi="宋体" w:eastAsia="宋体" w:cs="宋体"/>
          <w:b/>
          <w:bCs/>
          <w:color w:val="auto"/>
          <w:highlight w:val="none"/>
        </w:rPr>
        <w:t>（三）大宗食材主要</w:t>
      </w:r>
      <w:r>
        <w:rPr>
          <w:rFonts w:hint="eastAsia" w:ascii="宋体" w:hAnsi="宋体" w:cs="宋体"/>
          <w:b/>
          <w:bCs/>
          <w:color w:val="auto"/>
          <w:highlight w:val="none"/>
          <w:lang w:val="en-US" w:eastAsia="zh-CN"/>
        </w:rPr>
        <w:t>技术指标</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592B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5" w:type="dxa"/>
            <w:gridSpan w:val="2"/>
            <w:shd w:val="clear" w:color="auto" w:fill="auto"/>
            <w:noWrap w:val="0"/>
            <w:vAlign w:val="center"/>
          </w:tcPr>
          <w:p w14:paraId="35113AF2">
            <w:pPr>
              <w:pageBreakBefore w:val="0"/>
              <w:widowControl w:val="0"/>
              <w:kinsoku/>
              <w:wordWrap/>
              <w:overflowPunct/>
              <w:topLinePunct w:val="0"/>
              <w:bidi w:val="0"/>
              <w:adjustRightInd/>
              <w:spacing w:line="500" w:lineRule="exact"/>
              <w:ind w:right="165"/>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 w:val="24"/>
                <w:szCs w:val="24"/>
                <w:highlight w:val="none"/>
                <w:lang w:val="en-US" w:eastAsia="zh-CN"/>
              </w:rPr>
              <w:t>技术需求表</w:t>
            </w:r>
          </w:p>
        </w:tc>
      </w:tr>
      <w:tr w14:paraId="534E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2AB20178">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食品名称</w:t>
            </w:r>
          </w:p>
        </w:tc>
        <w:tc>
          <w:tcPr>
            <w:tcW w:w="7906" w:type="dxa"/>
            <w:shd w:val="clear" w:color="auto" w:fill="auto"/>
            <w:noWrap w:val="0"/>
            <w:vAlign w:val="center"/>
          </w:tcPr>
          <w:p w14:paraId="3D105748">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执行标准</w:t>
            </w:r>
          </w:p>
        </w:tc>
      </w:tr>
      <w:tr w14:paraId="5962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389" w:type="dxa"/>
            <w:shd w:val="clear" w:color="auto" w:fill="auto"/>
            <w:noWrap w:val="0"/>
            <w:vAlign w:val="center"/>
          </w:tcPr>
          <w:p w14:paraId="3E9289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shd w:val="clear" w:color="auto" w:fill="auto"/>
            <w:noWrap w:val="0"/>
            <w:vAlign w:val="center"/>
          </w:tcPr>
          <w:p w14:paraId="6F35DD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2D8B50E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0EC9ECAE">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6D045053">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43939F3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（1）每批次产品交货时必须提供检验报告。</w:t>
            </w:r>
          </w:p>
          <w:p w14:paraId="666B96A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（2）质量指标：必须符合 GB/T1354-2018 标准，产品等级要求是一级或二级米，呈清白色或精白色，具有光泽呈半透明状，大小均匀，颗粒饱满，表面光滑、完整，无虫，不含杂物（如沙石、色素等异物）。</w:t>
            </w:r>
          </w:p>
          <w:p w14:paraId="0633A54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包装、运输和储存必须符合保质、保量、运输安全和分类、分等储存的要求，严防污染；标明产品名称、净含量、生产者名称和地址、生产日期、保质期、产品标准号、质量等级、生产许可证号、产品批号等内容，外包装必须符合《食品安全法》的相关规定，提供营业执照、食品生产许可证、食品经营许可证。</w:t>
            </w:r>
          </w:p>
          <w:p w14:paraId="15AF0633">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（4）保质期：达到国家规定要求，剩余保存期时间不得少于保质期的二分之一。保证生产日期新鲜且符合食品安全国家标准和食品安全法要求。</w:t>
            </w:r>
          </w:p>
        </w:tc>
      </w:tr>
      <w:tr w14:paraId="0756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48549C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花生油、调和油</w:t>
            </w:r>
          </w:p>
        </w:tc>
        <w:tc>
          <w:tcPr>
            <w:tcW w:w="7906" w:type="dxa"/>
            <w:shd w:val="clear" w:color="auto" w:fill="auto"/>
            <w:noWrap w:val="0"/>
            <w:vAlign w:val="center"/>
          </w:tcPr>
          <w:p w14:paraId="447A744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1920DED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11F69D7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4F0EEF3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37833B7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（1）每批次产品交货时必须提供检验报告。</w:t>
            </w:r>
          </w:p>
          <w:p w14:paraId="527AC0F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（2）食用油必须取得食品生产许可证和产品合格证、外包装标明保质期及生产日期。产品原料必须为非转基因原料。</w:t>
            </w:r>
          </w:p>
          <w:p w14:paraId="3CB3E41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（3）有“SC”食品生产许可证标志，符合（GB/T1354-2018）标准要求。</w:t>
            </w:r>
          </w:p>
          <w:p w14:paraId="777C0054">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（4）食用油必须符合 GB/T1534-2017 标准，为花生油或调和油，压榨花生油产品等级要求是一级，产品包装要求机械封装，外包装必须符合《食品安全法》的相关规定。</w:t>
            </w:r>
          </w:p>
          <w:p w14:paraId="7D008E3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E46F22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（5）保质期：达到国家规定要求，剩余保存期时间不得少于保质期的二分之一。保证生产日期新鲜且符合食品安全国家标准和食品安全法要求。</w:t>
            </w:r>
          </w:p>
        </w:tc>
      </w:tr>
      <w:tr w14:paraId="6476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52054E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猪肉、牛肉等生鲜肉</w:t>
            </w:r>
          </w:p>
        </w:tc>
        <w:tc>
          <w:tcPr>
            <w:tcW w:w="7906" w:type="dxa"/>
            <w:shd w:val="clear" w:color="auto" w:fill="auto"/>
            <w:noWrap w:val="0"/>
            <w:vAlign w:val="center"/>
          </w:tcPr>
          <w:p w14:paraId="53A3447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9FE0B61">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F36D3D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009B89F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88578B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宰杀至交货时间不得超过9小时，肉质新鲜，色泽好，有弹性，无变质无异味、无冰冻，无注水或注入其他物质；无传染病和致人中毒的毒素、无危害人体健康的各种有害激素以及大肠杆菌不超标；严禁病死禽畜肉及瘦肉精等禁用物质。    </w:t>
            </w:r>
          </w:p>
          <w:p w14:paraId="06E806A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w:t>
            </w:r>
          </w:p>
          <w:p w14:paraId="1567537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3D6540A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743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369407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调味品、干杂货食品等</w:t>
            </w:r>
          </w:p>
        </w:tc>
        <w:tc>
          <w:tcPr>
            <w:tcW w:w="7906" w:type="dxa"/>
            <w:shd w:val="clear" w:color="auto" w:fill="auto"/>
            <w:noWrap w:val="0"/>
            <w:vAlign w:val="center"/>
          </w:tcPr>
          <w:p w14:paraId="54C07B8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4E78939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543C1CF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47782D6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513416C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w:t>
            </w:r>
            <w:r>
              <w:rPr>
                <w:rFonts w:hint="eastAsia" w:ascii="宋体" w:hAnsi="宋体" w:cs="宋体"/>
                <w:color w:val="auto"/>
                <w:kern w:val="2"/>
                <w:sz w:val="21"/>
                <w:szCs w:val="21"/>
                <w:highlight w:val="none"/>
                <w:lang w:val="en-US" w:eastAsia="zh-CN" w:bidi="ar-SA"/>
              </w:rPr>
              <w:t>SC</w:t>
            </w:r>
            <w:r>
              <w:rPr>
                <w:rFonts w:hint="eastAsia" w:ascii="宋体" w:hAnsi="宋体" w:eastAsia="宋体" w:cs="宋体"/>
                <w:color w:val="auto"/>
                <w:kern w:val="2"/>
                <w:sz w:val="21"/>
                <w:szCs w:val="21"/>
                <w:highlight w:val="none"/>
                <w:lang w:val="en-US" w:eastAsia="zh-CN" w:bidi="ar-SA"/>
              </w:rPr>
              <w:t>”食品质量认证标志。</w:t>
            </w:r>
          </w:p>
          <w:p w14:paraId="1D28058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产品必须是合格厂家制作，定型包装、有明显的标签、生产日期、生产厂家、保质期、产品合格证、贮存条件、执行产品标准号等，每次供货必须提供相应的检验合格证明。</w:t>
            </w:r>
          </w:p>
          <w:p w14:paraId="4E81B06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w:t>
            </w:r>
            <w:r>
              <w:rPr>
                <w:rFonts w:hint="eastAsia" w:ascii="宋体" w:hAnsi="宋体" w:cs="宋体"/>
                <w:color w:val="auto"/>
                <w:szCs w:val="21"/>
                <w:highlight w:val="none"/>
                <w:lang w:val="en-US" w:eastAsia="zh-CN"/>
              </w:rPr>
              <w:t>二分之一</w:t>
            </w:r>
            <w:r>
              <w:rPr>
                <w:rFonts w:hint="eastAsia" w:ascii="宋体" w:hAnsi="宋体" w:eastAsia="宋体" w:cs="宋体"/>
                <w:color w:val="auto"/>
                <w:kern w:val="2"/>
                <w:sz w:val="21"/>
                <w:szCs w:val="21"/>
                <w:highlight w:val="none"/>
                <w:lang w:val="en-US" w:eastAsia="zh-CN" w:bidi="ar-SA"/>
              </w:rPr>
              <w:t>。保证生产日期新鲜且符合食品安全国家标准和食品安全法要求。严禁供应假冒伪劣过期产品。</w:t>
            </w:r>
          </w:p>
        </w:tc>
      </w:tr>
      <w:tr w14:paraId="5867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72CECF1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鸡鸭肉、活鱼等</w:t>
            </w:r>
          </w:p>
        </w:tc>
        <w:tc>
          <w:tcPr>
            <w:tcW w:w="7906" w:type="dxa"/>
            <w:shd w:val="clear" w:color="auto" w:fill="auto"/>
            <w:noWrap w:val="0"/>
            <w:vAlign w:val="center"/>
          </w:tcPr>
          <w:p w14:paraId="52EB60A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2DB809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4BD37EF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169AD32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3701D58">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等禁用物质；严禁病死禽畜肉等。</w:t>
            </w:r>
          </w:p>
          <w:p w14:paraId="27184E9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鲜活鱼：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无异味。</w:t>
            </w:r>
          </w:p>
          <w:p w14:paraId="093BC56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（3）产品必须符合食品卫生生产标准和食品卫生安全要求，必须符合《食品安全法》相关的要求。肉类必须经防疫部门检验合格。每次供货必须提供《动物检疫合格证明》等检验检疫证明。</w:t>
            </w:r>
          </w:p>
          <w:p w14:paraId="75B6CBDE">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（4）按照学校需要进行响应加工，每日按时配送。如需剖杀的鱼，要做到鱼鳞刮除干净，去内脏、鱼腮、腹内黑膜。</w:t>
            </w:r>
          </w:p>
        </w:tc>
      </w:tr>
      <w:tr w14:paraId="31EA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838BC9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豆制品，奶制品等</w:t>
            </w:r>
          </w:p>
        </w:tc>
        <w:tc>
          <w:tcPr>
            <w:tcW w:w="7906" w:type="dxa"/>
            <w:shd w:val="clear" w:color="auto" w:fill="auto"/>
            <w:noWrap w:val="0"/>
            <w:vAlign w:val="center"/>
          </w:tcPr>
          <w:p w14:paraId="107811E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4376214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46E6BBA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B2D502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CC78DC0">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豆制品必须符合《食品安全法》要求,必须是当前市场上正在流通的产品。提供食品生产许可证、批次检验合格证。</w:t>
            </w:r>
          </w:p>
          <w:p w14:paraId="15E3F00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豆腐呈均匀的乳白色或淡黄色，稍有光泽，块形完整，软硬适度，富有一定的弹性，质地细嫩，结构均匀，无杂质，具有豆腐特有的香味，取样品品尝时口感细腻鲜嫩，味道纯正清香。</w:t>
            </w:r>
          </w:p>
          <w:p w14:paraId="4288939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奶制品必须定型包装、有明显的标签、生产日期、生产厂家、保质期、产品合格证、贮存条件、执行产品标准号等，是当前市场上正在流通的产品，且必须符合《食品安全法》的相关规定。提供食品生产许可证、批次检验合格证，</w:t>
            </w:r>
          </w:p>
          <w:p w14:paraId="30244F4F">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（4）保质期：达到国家规定要求，剩余保存期时间不得少于保质期的</w:t>
            </w:r>
            <w:r>
              <w:rPr>
                <w:rFonts w:hint="eastAsia" w:ascii="宋体" w:hAnsi="宋体" w:cs="宋体"/>
                <w:color w:val="auto"/>
                <w:szCs w:val="21"/>
                <w:highlight w:val="none"/>
                <w:lang w:val="en-US" w:eastAsia="zh-CN"/>
              </w:rPr>
              <w:t>二分之一</w:t>
            </w:r>
            <w:r>
              <w:rPr>
                <w:rFonts w:hint="eastAsia" w:ascii="宋体" w:hAnsi="宋体" w:eastAsia="宋体" w:cs="宋体"/>
                <w:color w:val="auto"/>
                <w:szCs w:val="21"/>
                <w:highlight w:val="none"/>
                <w:lang w:val="en-US" w:eastAsia="zh-CN"/>
              </w:rPr>
              <w:t>。</w:t>
            </w:r>
          </w:p>
        </w:tc>
      </w:tr>
      <w:tr w14:paraId="657C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35C977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shd w:val="clear" w:color="auto" w:fill="auto"/>
            <w:noWrap w:val="0"/>
            <w:vAlign w:val="center"/>
          </w:tcPr>
          <w:p w14:paraId="736F9E62">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4710BD3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7977DEE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30FAF92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E08887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369FFC6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农产品安全质量无公害蔬菜安全要求》（GB18406.1-2001）的要求，每批次有专人负责每天检测并记录。采购单位每天对每批次蔬菜进行农药残留检测，如含量超标将要求中标人无条件退货或换货。</w:t>
            </w:r>
          </w:p>
          <w:p w14:paraId="4F4752EC">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（3）有相对固定的供货渠道，有完善的货物来源记录。</w:t>
            </w:r>
          </w:p>
        </w:tc>
      </w:tr>
      <w:tr w14:paraId="120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00B42F4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kern w:val="2"/>
                <w:sz w:val="21"/>
                <w:szCs w:val="21"/>
                <w:highlight w:val="none"/>
                <w:lang w:val="en-US" w:eastAsia="zh-CN" w:bidi="ar-SA"/>
              </w:rPr>
              <w:t>糕点类、粉类</w:t>
            </w:r>
          </w:p>
        </w:tc>
        <w:tc>
          <w:tcPr>
            <w:tcW w:w="7906" w:type="dxa"/>
            <w:shd w:val="clear" w:color="auto" w:fill="auto"/>
            <w:noWrap w:val="0"/>
            <w:vAlign w:val="center"/>
          </w:tcPr>
          <w:p w14:paraId="4F3696C9">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5C78A3CB">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3A664335">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3254D8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56998A">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（1）保证生产日期新鲜且符合食品安全国家标准和《食品安全法》要求，具有生产许可证编号或具有“SC”食品生产许可认证。</w:t>
            </w:r>
          </w:p>
          <w:p w14:paraId="6CC6C44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（2）包装用机械封装、无毒、无害塑料袋（直接接触食品的包装必须为食品级），包装的正面需印有产品名称及生产日期</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和保质期，外包装必须符合《食品安全法》的相关规定，产品要求为即产即销。</w:t>
            </w:r>
          </w:p>
          <w:p w14:paraId="15380933">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（3）保质期：达到国家规定要求，供货时的剩余保存期时间不得少于保质期的</w:t>
            </w:r>
            <w:r>
              <w:rPr>
                <w:rFonts w:hint="eastAsia" w:ascii="宋体" w:hAnsi="宋体" w:cs="宋体"/>
                <w:color w:val="auto"/>
                <w:szCs w:val="21"/>
                <w:highlight w:val="none"/>
                <w:lang w:val="en-US" w:eastAsia="zh-CN"/>
              </w:rPr>
              <w:t>二分之一</w:t>
            </w:r>
            <w:r>
              <w:rPr>
                <w:rFonts w:hint="eastAsia" w:ascii="宋体" w:hAnsi="宋体" w:eastAsia="宋体" w:cs="宋体"/>
                <w:color w:val="auto"/>
                <w:szCs w:val="21"/>
                <w:highlight w:val="none"/>
                <w:lang w:val="en-US" w:eastAsia="zh-CN"/>
              </w:rPr>
              <w:t>。</w:t>
            </w:r>
          </w:p>
        </w:tc>
      </w:tr>
    </w:tbl>
    <w:p w14:paraId="6EFA7DF6">
      <w:pPr>
        <w:pStyle w:val="2"/>
        <w:rPr>
          <w:rFonts w:hint="default"/>
          <w:lang w:val="en-US" w:eastAsia="zh-CN"/>
        </w:rPr>
      </w:pPr>
    </w:p>
    <w:p w14:paraId="4AF05A7B">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auto"/>
          <w:sz w:val="32"/>
          <w:szCs w:val="40"/>
          <w:highlight w:val="none"/>
          <w:lang w:val="en-US" w:eastAsia="zh-CN"/>
        </w:rPr>
      </w:pPr>
      <w:bookmarkStart w:id="48" w:name="_Toc16050"/>
    </w:p>
    <w:p w14:paraId="1AF0D6AE">
      <w:pPr>
        <w:rPr>
          <w:rFonts w:hint="eastAsia" w:ascii="宋体" w:hAnsi="宋体" w:eastAsia="宋体" w:cs="宋体"/>
          <w:color w:val="auto"/>
          <w:highlight w:val="none"/>
          <w:lang w:val="en-US" w:eastAsia="zh-CN"/>
        </w:rPr>
      </w:pPr>
      <w:r>
        <w:rPr>
          <w:rFonts w:hint="eastAsia" w:ascii="宋体" w:hAnsi="宋体" w:eastAsia="宋体" w:cs="宋体"/>
          <w:b/>
          <w:bCs/>
          <w:color w:val="auto"/>
          <w:sz w:val="32"/>
          <w:szCs w:val="40"/>
          <w:highlight w:val="none"/>
          <w:lang w:val="en-US" w:eastAsia="zh-CN"/>
        </w:rPr>
        <w:br w:type="page"/>
      </w:r>
      <w:bookmarkEnd w:id="45"/>
      <w:bookmarkEnd w:id="46"/>
      <w:bookmarkEnd w:id="48"/>
    </w:p>
    <w:p w14:paraId="0198DAAF">
      <w:pPr>
        <w:pStyle w:val="4"/>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32"/>
          <w:szCs w:val="40"/>
          <w:highlight w:val="none"/>
          <w:lang w:val="en-US" w:eastAsia="zh-CN"/>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253"/>
      </w:tblGrid>
      <w:tr w14:paraId="362C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544" w:type="dxa"/>
            <w:vAlign w:val="center"/>
          </w:tcPr>
          <w:p w14:paraId="302A6F55">
            <w:pPr>
              <w:pStyle w:val="6"/>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lang w:val="en-US" w:eastAsia="zh-CN"/>
              </w:rPr>
              <w:t>（一）服务总体要求</w:t>
            </w:r>
          </w:p>
        </w:tc>
        <w:tc>
          <w:tcPr>
            <w:tcW w:w="8253" w:type="dxa"/>
          </w:tcPr>
          <w:p w14:paraId="3FFABFB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供应商要配置可全程电子监控的“配送厢式冷藏专用车”，凭专用通行证进出学校。蔬菜、肉类、面包、糕点等鲜活食品必须当日配送，其余食品原材料可视学校实际需求配送，确保学校食品新鲜、优质、安全可靠。供应商要全程监控配送车辆送货情况，严禁途中调货换货现象发生。</w:t>
            </w:r>
          </w:p>
          <w:p w14:paraId="70ED353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食品价格严格执行成交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8D611A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（三）对不按时、不按质、不按量配送到位的，学校有启动应急预案的权利（遇不可抗拒力除外），实行临时自行采购，由此产生的一切费用，由供应商负责。</w:t>
            </w:r>
          </w:p>
          <w:p w14:paraId="7FC2FA0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（四）严禁配送预制菜，中标后建设统一配送中心和全链条可溯源信息化监管系统。</w:t>
            </w:r>
          </w:p>
          <w:p w14:paraId="0749E6F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1.物资来源透明。</w:t>
            </w:r>
          </w:p>
          <w:p w14:paraId="6ED0AF9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2.配送车间透明。所有供应商必须建设固定配送车间，建立完备的冷藏、分割、分拣、包装、检测、留样、工作间及配送管理系统。</w:t>
            </w:r>
          </w:p>
          <w:p w14:paraId="1939028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3.配送过程透明。有统一标识专用厢式冷藏配送车辆、专用司机，采取点对点、固定路线、全程定位配送。</w:t>
            </w:r>
          </w:p>
          <w:p w14:paraId="1CBAEB9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Cs w:val="21"/>
                <w:highlight w:val="none"/>
                <w:lang w:val="en-US" w:eastAsia="zh-CN"/>
              </w:rPr>
              <w:t>4.对于质量有问题的食品要保证退货，并及时更换符合质量标准的食品。要努力提高中标的服务水平，不得强制向学校配送不符合质量标准的食品，对出现有关质量问题的按合同相关约定处理。</w:t>
            </w:r>
          </w:p>
        </w:tc>
      </w:tr>
      <w:tr w14:paraId="0DBD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C2C53C4">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（二）报价要求</w:t>
            </w:r>
          </w:p>
          <w:p w14:paraId="44F06A0A">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253" w:type="dxa"/>
          </w:tcPr>
          <w:p w14:paraId="0E9334E2">
            <w:pPr>
              <w:pageBreakBefore w:val="0"/>
              <w:widowControl w:val="0"/>
              <w:numPr>
                <w:ilvl w:val="0"/>
                <w:numId w:val="3"/>
              </w:numPr>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本项目采用价格折扣率报价。（以%表示，折扣率报价精确到个位数）。投标报价范围：≤93%（如：供货产品打八折即价格折扣率为 80%，以此类推），否则，作无效报价处理。</w:t>
            </w:r>
          </w:p>
          <w:p w14:paraId="19E98CF0">
            <w:pPr>
              <w:pageBreakBefore w:val="0"/>
              <w:widowControl w:val="0"/>
              <w:numPr>
                <w:ilvl w:val="0"/>
                <w:numId w:val="3"/>
              </w:numPr>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报价必须含以下部分，包括：</w:t>
            </w:r>
          </w:p>
          <w:p w14:paraId="61BC4D9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①货物、服务的价格；</w:t>
            </w:r>
          </w:p>
          <w:p w14:paraId="79A985E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②必要的保险费用和各项税金；</w:t>
            </w:r>
          </w:p>
          <w:p w14:paraId="14D8811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③包装、运输、搬运、深加工、检验检测、售后服务等相关费用。</w:t>
            </w:r>
          </w:p>
        </w:tc>
      </w:tr>
      <w:tr w14:paraId="2039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B0C2172">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（三）服务期限</w:t>
            </w:r>
          </w:p>
        </w:tc>
        <w:tc>
          <w:tcPr>
            <w:tcW w:w="8253" w:type="dxa"/>
          </w:tcPr>
          <w:p w14:paraId="461433D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2025 年 2 月至 2026 年 8 月（具体起止时间以签订合同为准）。</w:t>
            </w:r>
          </w:p>
        </w:tc>
      </w:tr>
      <w:tr w14:paraId="7898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514FB6DE">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（四）交货地点</w:t>
            </w:r>
          </w:p>
        </w:tc>
        <w:tc>
          <w:tcPr>
            <w:tcW w:w="8253" w:type="dxa"/>
          </w:tcPr>
          <w:p w14:paraId="63F29B1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平南县镇隆镇第一初级中学（中标供应商指派专人、专车于每天将食品原材料送到采购人指定地点。）</w:t>
            </w:r>
          </w:p>
        </w:tc>
      </w:tr>
      <w:tr w14:paraId="36C2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2A217265">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lang w:val="en-US" w:eastAsia="zh-CN"/>
              </w:rPr>
              <w:t>（五）合同签订时间</w:t>
            </w:r>
          </w:p>
        </w:tc>
        <w:tc>
          <w:tcPr>
            <w:tcW w:w="8253" w:type="dxa"/>
          </w:tcPr>
          <w:p w14:paraId="0D969CC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自中标通知书发出之日起 20 日内与采购人签订合同。</w:t>
            </w:r>
          </w:p>
        </w:tc>
      </w:tr>
      <w:tr w14:paraId="3B1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607E10E3">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（六）付款方式</w:t>
            </w:r>
          </w:p>
          <w:p w14:paraId="06A659B8">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253" w:type="dxa"/>
          </w:tcPr>
          <w:p w14:paraId="1F70A8F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中标供应商供货结算价格要随着市场的价格变化而变化。供应商配送食品原材料价格不高于当月当地物价部门提供的同类产品市场价格 93%，如在物价部门物价报表中没有价格的商品，必须是在当月县城两大超市同类产品平均价格 93%以下（由教育局、供应</w:t>
            </w:r>
          </w:p>
          <w:p w14:paraId="5483ED4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商和学校代表每月联合询价确认），特价及促销价除外。</w:t>
            </w:r>
          </w:p>
          <w:p w14:paraId="57BBABC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2、单个供货合同价以实际数量为准。结算金额计算方式：采购时最高限价＝采购时市场实时价格×响应所报价格折扣率×该食材或货物实际采购量。由中标供应商根据供货清单与采购单位确认结算。</w:t>
            </w:r>
          </w:p>
          <w:p w14:paraId="2967987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3.双方约定货款按月进行结算，在双方结算确认后，中标供应商向采购单位开具增值税的普通发票，采购单位再根据发票金额将货款由学校账户转入中标供应商账户。</w:t>
            </w:r>
          </w:p>
          <w:p w14:paraId="078B961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4.双方确认的结算款包括中标供应商食品原材料的成本、生产、检验检测、包装、运输、仓储、配送、服务、利润、税金、政策性规费、保险、劳保等一切相关费用。</w:t>
            </w:r>
          </w:p>
        </w:tc>
      </w:tr>
      <w:tr w14:paraId="0C5F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1F0C441">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（七）服务要求</w:t>
            </w:r>
          </w:p>
          <w:p w14:paraId="3ED952F7">
            <w:pPr>
              <w:pStyle w:val="6"/>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auto"/>
                <w:sz w:val="28"/>
                <w:szCs w:val="28"/>
                <w:highlight w:val="none"/>
                <w:vertAlign w:val="baseline"/>
                <w:lang w:val="en-US" w:eastAsia="zh-CN"/>
              </w:rPr>
            </w:pPr>
          </w:p>
        </w:tc>
        <w:tc>
          <w:tcPr>
            <w:tcW w:w="8253" w:type="dxa"/>
          </w:tcPr>
          <w:p w14:paraId="1F48D4C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1.处理问题响应时间：接到采购单位处理问题通知后 30 分钟内到达采购单位指定现场。</w:t>
            </w:r>
          </w:p>
          <w:p w14:paraId="1F4A5E1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2.配送人员必须持有健康证。</w:t>
            </w:r>
          </w:p>
          <w:p w14:paraId="7D695FA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中标供应商应有良好的配送能力，固定车间出仓，按时配送到采购单位指定位置。</w:t>
            </w:r>
          </w:p>
          <w:p w14:paraId="0CF6BB6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一般供货要求：学校提前三个工作日向供应商预订货物的品种和数量，供应商接受配送任务后，向学校提供优质、新鲜的货物，食品原材料必须根据学校食堂的需要提前到位。配送的食品原材料应取得食品生产许可证、质量检验报告，未列入生产许可目录的应符合国家有关标准要求。供应商最迟在每日凌晨 5：00 前提供当日使用鲜肉类、糕点、</w:t>
            </w:r>
          </w:p>
          <w:p w14:paraId="3099898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面包、湿粉、蔬果类等食材。其余食品原材料可视学校实际需求配送，确保学校食品新鲜、优质、安全可靠。紧急供货要求：在收到采购人发出紧急供货通知后，供应商最迟 30 分钟内完成当次现场供货。订货方式可以是书面方式或是电子方式（微信、邮件、手机APP 等），如果是电子方式订货，供应商在送货时有权要求订货学校负责人或学校授权经办人以书面方式予以确认。</w:t>
            </w:r>
          </w:p>
          <w:p w14:paraId="51BECAC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 中标供应商必须按照学校食堂采购人员通知的时间、数量、品种、品质要求及协定的价格准时送货，经验收合格后签字确认，除不可抗拒因素外，不能以任何理由推托，一旦影响到学校食堂的正常运转，视为延迟交货，中标供应商按本合同约定承担相应的违约责任。</w:t>
            </w:r>
          </w:p>
          <w:p w14:paraId="48371F1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为确保食品卫生，配送的牛奶、糕点、水果等无法进行二次加工烹煮的食物与鲜肉类食材分开配送，不得混装在同一箱体内。否则采购方有权拒收该批次食材，造成的一切损失由中标供应商承担。</w:t>
            </w:r>
          </w:p>
          <w:p w14:paraId="2344107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7.对于外观无异常，但采购人在食材加工制作过程中发现质量问题的，中标供应商也需在采购人提出退换时间起 30 分钟内完成退换，若供应商不能及时退换，导致采购人在校学生不能按时进餐，每期达到 2 次（含 2 次），采购人可提出终止合同。</w:t>
            </w:r>
          </w:p>
        </w:tc>
      </w:tr>
      <w:tr w14:paraId="182B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9326C67">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default" w:ascii="宋体" w:hAnsi="宋体" w:eastAsia="宋体" w:cs="宋体"/>
                <w:color w:val="auto"/>
                <w:sz w:val="28"/>
                <w:szCs w:val="28"/>
                <w:highlight w:val="none"/>
                <w:vertAlign w:val="baseline"/>
                <w:lang w:val="en-US" w:eastAsia="zh-CN"/>
              </w:rPr>
            </w:pPr>
            <w:bookmarkStart w:id="49" w:name="_Toc28194"/>
            <w:r>
              <w:rPr>
                <w:rFonts w:hint="eastAsia" w:ascii="宋体" w:hAnsi="宋体" w:eastAsia="宋体" w:cs="宋体"/>
                <w:b/>
                <w:bCs/>
                <w:color w:val="auto"/>
                <w:sz w:val="28"/>
                <w:szCs w:val="28"/>
                <w:highlight w:val="none"/>
                <w:lang w:val="en-US" w:eastAsia="zh-CN"/>
              </w:rPr>
              <w:t>（八）</w:t>
            </w:r>
            <w:bookmarkEnd w:id="49"/>
            <w:r>
              <w:rPr>
                <w:rFonts w:hint="eastAsia" w:ascii="宋体" w:hAnsi="宋体" w:eastAsia="宋体" w:cs="宋体"/>
                <w:b/>
                <w:bCs/>
                <w:color w:val="auto"/>
                <w:sz w:val="28"/>
                <w:szCs w:val="28"/>
                <w:highlight w:val="none"/>
                <w:lang w:val="en-US" w:eastAsia="zh-CN"/>
              </w:rPr>
              <w:t>验收标准</w:t>
            </w:r>
          </w:p>
        </w:tc>
        <w:tc>
          <w:tcPr>
            <w:tcW w:w="8253" w:type="dxa"/>
          </w:tcPr>
          <w:p w14:paraId="72A943A1">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一）物料验收</w:t>
            </w:r>
          </w:p>
          <w:p w14:paraId="4B8916D5">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凡是《食品安全法》禁止经营的食品一律不得采购和使用，严禁配送“三无"食品、有毒、有害、过期、变质、假冒伪劣等不合格食品。禁止提供冷荦熟食制品，禁止提供三高食品、禁止提供野生蘑菇、发芽马铃薯、四季豆等高风险食材给学校加工食用。</w:t>
            </w:r>
          </w:p>
          <w:p w14:paraId="75EB4EE8">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物料的验收工作由采购单位和中标供应商共同进行。中标供应商提供的产品须经过采购单位验收人员的感官检验、外观检验和试用检验，须提供相关票据及溯源渠道，若产品外观、包装、形式不符合要求、感官检验不能达到食品卫生要求，当即拒收；中标供应商不能满足食品的质量及售后服务要求时，采购单位有权采取退出机制。</w:t>
            </w:r>
          </w:p>
          <w:p w14:paraId="6A9CE622">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验收工作的一般程序为：根据食品认购清单的具体要求，对所购物料进行清点、外观检查以及对物料的各项指标和性能进行实测，并逐项记录。检测结束后，验收人员在验收单上签字。对未能通过验收的，一律退货、更换直至验收合格。</w:t>
            </w:r>
          </w:p>
          <w:p w14:paraId="6F772392">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（二）安全责任</w:t>
            </w:r>
          </w:p>
          <w:p w14:paraId="28766721">
            <w:pPr>
              <w:pageBreakBefore w:val="0"/>
              <w:widowControl w:val="0"/>
              <w:kinsoku/>
              <w:wordWrap/>
              <w:overflowPunct/>
              <w:topLinePunct w:val="0"/>
              <w:bidi w:val="0"/>
              <w:adjustRightInd/>
              <w:spacing w:line="5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配送到学校食堂的原材料食材必须符合新的《食品安全法》中的规定。不得采购转基因食品或利用转基因食品原料加工的成品。食品原料新鲜、清洁卫生，同时对每批次食品原料进行检测，具有质量技术监督部门颁发的质量检验报告（同批次）。</w:t>
            </w:r>
          </w:p>
          <w:p w14:paraId="76FDB60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 中标供应商提供的蔬菜必须保证每日新鲜，并符合食品卫生安全法要求并出具有效的《农产品检验报告》。</w:t>
            </w:r>
          </w:p>
        </w:tc>
      </w:tr>
      <w:tr w14:paraId="4683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596D9D5">
            <w:pPr>
              <w:pStyle w:val="6"/>
              <w:pageBreakBefore w:val="0"/>
              <w:widowControl w:val="0"/>
              <w:kinsoku/>
              <w:wordWrap/>
              <w:overflowPunct/>
              <w:topLinePunct w:val="0"/>
              <w:bidi w:val="0"/>
              <w:adjustRightInd/>
              <w:spacing w:line="500" w:lineRule="exact"/>
              <w:ind w:left="0" w:leftChars="0" w:firstLine="0" w:firstLineChars="0"/>
              <w:jc w:val="center"/>
              <w:textAlignment w:val="auto"/>
              <w:rPr>
                <w:rFonts w:hint="default" w:ascii="宋体" w:hAnsi="宋体" w:eastAsia="宋体" w:cs="宋体"/>
                <w:color w:val="auto"/>
                <w:sz w:val="28"/>
                <w:szCs w:val="28"/>
                <w:highlight w:val="none"/>
                <w:vertAlign w:val="baseline"/>
                <w:lang w:val="en-US" w:eastAsia="zh-CN"/>
              </w:rPr>
            </w:pPr>
            <w:bookmarkStart w:id="50" w:name="_Toc30184"/>
            <w:r>
              <w:rPr>
                <w:rFonts w:hint="eastAsia" w:ascii="宋体" w:hAnsi="宋体" w:eastAsia="宋体" w:cs="宋体"/>
                <w:b/>
                <w:bCs/>
                <w:color w:val="auto"/>
                <w:sz w:val="28"/>
                <w:szCs w:val="28"/>
                <w:highlight w:val="none"/>
                <w:lang w:val="en-US" w:eastAsia="zh-CN"/>
              </w:rPr>
              <w:t>（九）</w:t>
            </w:r>
            <w:bookmarkEnd w:id="50"/>
            <w:r>
              <w:rPr>
                <w:rFonts w:hint="eastAsia" w:ascii="宋体" w:hAnsi="宋体" w:eastAsia="宋体" w:cs="宋体"/>
                <w:b/>
                <w:bCs/>
                <w:color w:val="auto"/>
                <w:sz w:val="28"/>
                <w:szCs w:val="28"/>
                <w:highlight w:val="none"/>
                <w:lang w:val="en-US" w:eastAsia="zh-CN"/>
              </w:rPr>
              <w:t>保证措施</w:t>
            </w:r>
          </w:p>
        </w:tc>
        <w:tc>
          <w:tcPr>
            <w:tcW w:w="8253" w:type="dxa"/>
          </w:tcPr>
          <w:p w14:paraId="008525D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（一）建立组织，加强领导</w:t>
            </w:r>
          </w:p>
          <w:p w14:paraId="2908D71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为做好学校食堂食品原材料统一配送工作，加强对配送工作的领导，学校决定成立相应的工作领导小组，分工明确，职责到人，做好食堂食品原材料配送工作。</w:t>
            </w:r>
          </w:p>
          <w:p w14:paraId="797BD57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（二）明确职责，严格管理</w:t>
            </w:r>
          </w:p>
          <w:p w14:paraId="35CF296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学校要成立学生食堂管理机构，确定一名领导专门负责学生食堂管理工作。</w:t>
            </w:r>
          </w:p>
          <w:p w14:paraId="6BFD1FA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建立并完善学校学生食堂食品原材料进、出货台账，严格遵守学校学生食堂食品原材料统一配送规定，严禁私自采购；建立健全学校学生食堂财务管理制度，实行收、支两条线，设立收、支台账；凡学校学生食堂报销的食品原材料进购票据，必须是有中标供应商送货人、学校学生食堂经手人、验收 2 人及校长共同签字的正规发票，学校财务才能予以报销。</w:t>
            </w:r>
          </w:p>
          <w:p w14:paraId="20FFFB6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2.加强学校门卫管理，严禁无专用通行证和非“学校食品配送专用车辆”送食品原材料进入校园，要教育师生注意校园内配送车辆的交通安全。</w:t>
            </w:r>
          </w:p>
          <w:p w14:paraId="58E9CED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3.加强食材采购的质量审核，对于不符合质量要求的食品原材料要拒绝签收；对配送工作中出现的产品质量问题要及时向中标供应商反映，第一时间沟通解决，无法解决的要及时向领导小组办公室汇报。</w:t>
            </w:r>
          </w:p>
          <w:p w14:paraId="2C0BB44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4.学校每天要向中标供应商索证索票，且妥善保管中标供应商提交的产品合格证和检验检疫报 告等材料，建立好台账。</w:t>
            </w:r>
          </w:p>
          <w:p w14:paraId="0E5423F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5.制定学校学生食堂食品原材料应急预案，出现突发情况时启动预案。</w:t>
            </w:r>
          </w:p>
          <w:p w14:paraId="1A3D964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（三）健全制度，加大监管</w:t>
            </w:r>
          </w:p>
          <w:p w14:paraId="0AD2926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1.落实配送服务质量评议制度。每学期学校对采购食品的的质量、价格、服务质量、合同执行情况、承诺兑现等方面进行综合评议，并把评议结果报送县教育局。</w:t>
            </w:r>
          </w:p>
          <w:p w14:paraId="7A89C97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责任追究制度。学校学生食堂食品采购工作领导小组要定期或不定期地深入学校食堂和中标供应商，对食堂食品原材料配送工作进行督查。对学校违规进货、食堂管理不严，造成责任事故或违反财经纪律问题的，将严格追究学校相关负责人的责任。对中标供应商提供不合格产品或不按要求配送，影响学生正常就餐的，将按合同约定扣除食品安全质保金；情节严重的取消配送资格，没收食品安全质保金，造成责任事故的将追究其法律责任。</w:t>
            </w:r>
          </w:p>
        </w:tc>
      </w:tr>
      <w:tr w14:paraId="634A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76340E6C">
            <w:pPr>
              <w:pStyle w:val="6"/>
              <w:spacing w:line="500" w:lineRule="exact"/>
              <w:ind w:firstLine="0" w:firstLineChars="0"/>
              <w:jc w:val="center"/>
              <w:outlineLvl w:val="2"/>
              <w:rPr>
                <w:rFonts w:hint="default" w:ascii="宋体" w:hAnsi="宋体" w:eastAsia="宋体" w:cs="宋体"/>
                <w:b/>
                <w:bCs/>
                <w:color w:val="auto"/>
                <w:sz w:val="28"/>
                <w:szCs w:val="28"/>
                <w:highlight w:val="none"/>
                <w:lang w:val="en-US" w:eastAsia="zh-CN"/>
              </w:rPr>
            </w:pPr>
            <w:r>
              <w:rPr>
                <w:rFonts w:hint="eastAsia" w:ascii="宋体" w:hAnsi="宋体" w:cs="宋体"/>
                <w:sz w:val="28"/>
                <w:szCs w:val="28"/>
              </w:rPr>
              <w:t>（十）</w:t>
            </w:r>
            <w:r>
              <w:rPr>
                <w:rFonts w:hint="eastAsia" w:ascii="宋体" w:hAnsi="宋体" w:cs="宋体"/>
                <w:sz w:val="28"/>
                <w:szCs w:val="28"/>
                <w:lang w:val="en-US" w:eastAsia="zh-CN"/>
              </w:rPr>
              <w:t>建立退出机制</w:t>
            </w:r>
          </w:p>
        </w:tc>
        <w:tc>
          <w:tcPr>
            <w:tcW w:w="8253" w:type="dxa"/>
            <w:vAlign w:val="top"/>
          </w:tcPr>
          <w:p w14:paraId="4FF1D6EB">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中标供应商有下列情况之一的，经核查属实，学校约谈成交供应商，责令整改，整改不到位或一个学期同一问题发生达二次（含二次）以上的，学校有权单方面解除与中标供应商签订的采购协议并由中标供应商承担由此造成一切损失，学校启动应急预案。</w:t>
            </w:r>
          </w:p>
          <w:p w14:paraId="23785751">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中标供应商食品价格不执行成交时约定的折扣。</w:t>
            </w:r>
          </w:p>
          <w:p w14:paraId="479F0C7D">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中标供应商配送的食材不经教育局同意就上架向学校销售，或不服从教育局、市监局等相关部门常规管理，影响学校食材采购工作的。</w:t>
            </w:r>
          </w:p>
          <w:p w14:paraId="39D84910">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中标供应商配送超过保质期、腐败变质、不经检验检疫的食品。</w:t>
            </w:r>
          </w:p>
          <w:p w14:paraId="76D01F6D">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中标供应商存在严重食品安全隐患，被相关管理部门责令整改。5. 中标供应商不按时按质按量配送或拒绝配送，以次充好，短斤缺两，服务态度恶劣。</w:t>
            </w:r>
          </w:p>
          <w:p w14:paraId="7EB20BB9">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中标供应商不经学校同意，擅自改变学校采购清单的种类、品牌、质量和数量。</w:t>
            </w:r>
          </w:p>
          <w:p w14:paraId="4984D20F">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（二）每学期学校对中标供应商进行测评，主要是食材质量、服务水平、价格、协议执行情况、承诺兑现等方面，测评分低于 95 分的，学校对中标供应商进行约谈整改，测评分低于 90 分的，中标供应商暂停供货一个月，测评分低于 85 分的，学校有权单方面解除与中标供应商签订的采购协议。</w:t>
            </w:r>
          </w:p>
          <w:p w14:paraId="641D5862">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（三）中标供应商利用不正当手段拉拢学校管理人员、采购人员、或验收人员的，发现一次，当月学校货款按 50%结算，发现两次的，扣除当月学校货款并终止合同。</w:t>
            </w:r>
          </w:p>
          <w:p w14:paraId="034C099F">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（四）中标供应商如有下列问题，终止协议，情节严重的，没收质保金，同时拉黑名单，5 年内不能参与我县学校食品类经营活动，造成责任事故的将追究其法律责任。</w:t>
            </w:r>
          </w:p>
          <w:p w14:paraId="213F03F3">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1.配送食品质量不合格引发重大食品安全事故的。</w:t>
            </w:r>
          </w:p>
          <w:p w14:paraId="4C735765">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2.被管理部门吊销或注销食品经营许可证的。</w:t>
            </w:r>
          </w:p>
          <w:p w14:paraId="3FDD294F">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3.有转标分标行为的。</w:t>
            </w:r>
          </w:p>
          <w:p w14:paraId="0D648EB6">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中标供应商在履约期间，中标供应商及其法人，被相关部门列入失信被执行人、列为重大税收违法案件当事人名单和政府采购严重违法失信行为记录名单，学校有权单方面解除与中标供应商签订的采购协议。</w:t>
            </w:r>
          </w:p>
          <w:p w14:paraId="6F94DD8F">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（六）合同期间，如遇到政策不允，或不可抗力原因，则合同自动终止。</w:t>
            </w:r>
          </w:p>
        </w:tc>
      </w:tr>
      <w:tr w14:paraId="52B7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EFF5BAD">
            <w:pPr>
              <w:pStyle w:val="6"/>
              <w:spacing w:line="500" w:lineRule="exact"/>
              <w:ind w:firstLine="0" w:firstLineChars="0"/>
              <w:jc w:val="center"/>
              <w:outlineLvl w:val="2"/>
              <w:rPr>
                <w:rFonts w:hint="eastAsia" w:ascii="宋体" w:hAnsi="宋体" w:cs="宋体"/>
                <w:sz w:val="28"/>
                <w:szCs w:val="28"/>
                <w:lang w:val="en-US" w:eastAsia="zh-CN"/>
              </w:rPr>
            </w:pPr>
            <w:r>
              <w:rPr>
                <w:rFonts w:hint="eastAsia" w:ascii="宋体" w:hAnsi="宋体" w:cs="宋体"/>
                <w:sz w:val="28"/>
                <w:szCs w:val="28"/>
              </w:rPr>
              <w:t>（十</w:t>
            </w:r>
            <w:r>
              <w:rPr>
                <w:rFonts w:hint="eastAsia" w:ascii="宋体" w:hAnsi="宋体" w:cs="宋体"/>
                <w:sz w:val="28"/>
                <w:szCs w:val="28"/>
                <w:lang w:val="en-US" w:eastAsia="zh-CN"/>
              </w:rPr>
              <w:t>一</w:t>
            </w:r>
            <w:r>
              <w:rPr>
                <w:rFonts w:hint="eastAsia" w:ascii="宋体" w:hAnsi="宋体" w:cs="宋体"/>
                <w:sz w:val="28"/>
                <w:szCs w:val="28"/>
              </w:rPr>
              <w:t>）</w:t>
            </w:r>
            <w:r>
              <w:rPr>
                <w:rFonts w:hint="eastAsia" w:ascii="宋体" w:hAnsi="宋体" w:cs="宋体"/>
                <w:sz w:val="28"/>
                <w:szCs w:val="28"/>
                <w:lang w:val="en-US" w:eastAsia="zh-CN"/>
              </w:rPr>
              <w:t>质量管理、企业信用要</w:t>
            </w:r>
          </w:p>
          <w:p w14:paraId="599E80FD">
            <w:pPr>
              <w:pStyle w:val="6"/>
              <w:spacing w:line="500" w:lineRule="exact"/>
              <w:ind w:firstLine="0" w:firstLineChars="0"/>
              <w:jc w:val="center"/>
              <w:outlineLvl w:val="2"/>
              <w:rPr>
                <w:rFonts w:hint="eastAsia" w:ascii="宋体" w:hAnsi="宋体" w:cs="宋体"/>
                <w:sz w:val="28"/>
                <w:szCs w:val="28"/>
              </w:rPr>
            </w:pPr>
            <w:r>
              <w:rPr>
                <w:rFonts w:hint="eastAsia" w:ascii="宋体" w:hAnsi="宋体" w:cs="宋体"/>
                <w:sz w:val="28"/>
                <w:szCs w:val="28"/>
                <w:lang w:val="en-US" w:eastAsia="zh-CN"/>
              </w:rPr>
              <w:t>求</w:t>
            </w:r>
          </w:p>
        </w:tc>
        <w:tc>
          <w:tcPr>
            <w:tcW w:w="8253" w:type="dxa"/>
            <w:vAlign w:val="top"/>
          </w:tcPr>
          <w:p w14:paraId="1E48671E">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1、中标供应商在最近三年内的生产、经营中无违法违纪行为，不存在不良记录及安全、质量问题。</w:t>
            </w:r>
          </w:p>
          <w:p w14:paraId="5A9AA760">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2、中标供应商须具有良好的商业信誉和健全的财务会计制度，依法缴纳税收和社会保障资金记录良好。</w:t>
            </w:r>
          </w:p>
          <w:p w14:paraId="7549DD86">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3、中标供应商须具备健全的配送网络，有专用冷藏厢式配送车和大型冷链仓储分拣中心及其它履行合同的能力，能确保将食材配送到采购人指定地点。</w:t>
            </w:r>
          </w:p>
        </w:tc>
      </w:tr>
      <w:tr w14:paraId="5979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4BB2A89">
            <w:pPr>
              <w:pStyle w:val="6"/>
              <w:spacing w:line="500" w:lineRule="exact"/>
              <w:ind w:firstLine="0" w:firstLineChars="0"/>
              <w:jc w:val="center"/>
              <w:outlineLvl w:val="2"/>
              <w:rPr>
                <w:rFonts w:hint="eastAsia" w:ascii="宋体" w:hAnsi="宋体" w:cs="宋体"/>
                <w:sz w:val="28"/>
                <w:szCs w:val="28"/>
              </w:rPr>
            </w:pPr>
            <w:r>
              <w:rPr>
                <w:rFonts w:hint="eastAsia" w:ascii="宋体" w:hAnsi="宋体" w:cs="宋体"/>
                <w:sz w:val="28"/>
                <w:szCs w:val="28"/>
              </w:rPr>
              <w:t>（十</w:t>
            </w:r>
            <w:r>
              <w:rPr>
                <w:rFonts w:hint="eastAsia" w:ascii="宋体" w:hAnsi="宋体" w:cs="宋体"/>
                <w:sz w:val="28"/>
                <w:szCs w:val="28"/>
                <w:lang w:val="en-US" w:eastAsia="zh-CN"/>
              </w:rPr>
              <w:t>二</w:t>
            </w:r>
            <w:r>
              <w:rPr>
                <w:rFonts w:hint="eastAsia" w:ascii="宋体" w:hAnsi="宋体" w:cs="宋体"/>
                <w:sz w:val="28"/>
                <w:szCs w:val="28"/>
              </w:rPr>
              <w:t>）</w:t>
            </w:r>
            <w:r>
              <w:rPr>
                <w:rFonts w:hint="eastAsia" w:ascii="宋体" w:hAnsi="宋体" w:cs="宋体"/>
                <w:sz w:val="28"/>
                <w:szCs w:val="28"/>
                <w:lang w:val="en-US" w:eastAsia="zh-CN"/>
              </w:rPr>
              <w:t>实地考察</w:t>
            </w:r>
          </w:p>
        </w:tc>
        <w:tc>
          <w:tcPr>
            <w:tcW w:w="8253" w:type="dxa"/>
            <w:vAlign w:val="top"/>
          </w:tcPr>
          <w:p w14:paraId="56686FC5">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1、为保证项目质量，采购单位</w:t>
            </w:r>
            <w:r>
              <w:rPr>
                <w:rFonts w:hint="eastAsia" w:ascii="宋体" w:hAnsi="宋体" w:cs="宋体"/>
                <w:color w:val="auto"/>
                <w:szCs w:val="21"/>
                <w:highlight w:val="none"/>
                <w:lang w:val="en-US" w:eastAsia="zh-CN"/>
              </w:rPr>
              <w:t>有权</w:t>
            </w:r>
            <w:r>
              <w:rPr>
                <w:rFonts w:hint="eastAsia" w:ascii="宋体" w:hAnsi="宋体" w:eastAsia="宋体" w:cs="宋体"/>
                <w:color w:val="auto"/>
                <w:szCs w:val="21"/>
                <w:highlight w:val="none"/>
                <w:lang w:val="en-US" w:eastAsia="zh-CN"/>
              </w:rPr>
              <w:t>对中标供应商的经营场所、办公场所、仓库、冷藏室、快检室、配备车辆、工作人员等进行实地考察。若该中标供应商在响应文件中提供的上述材料与实际情况不符的，采购单位</w:t>
            </w:r>
            <w:r>
              <w:rPr>
                <w:rFonts w:hint="eastAsia" w:ascii="宋体" w:hAnsi="宋体" w:cs="宋体"/>
                <w:color w:val="auto"/>
                <w:szCs w:val="21"/>
                <w:highlight w:val="none"/>
                <w:lang w:val="en-US" w:eastAsia="zh-CN"/>
              </w:rPr>
              <w:t>将</w:t>
            </w:r>
            <w:r>
              <w:rPr>
                <w:rFonts w:hint="eastAsia" w:ascii="宋体" w:hAnsi="宋体" w:eastAsia="宋体" w:cs="宋体"/>
                <w:color w:val="auto"/>
                <w:szCs w:val="21"/>
                <w:highlight w:val="none"/>
                <w:lang w:val="en-US" w:eastAsia="zh-CN"/>
              </w:rPr>
              <w:t>上报监督管理部门处理。</w:t>
            </w:r>
          </w:p>
          <w:p w14:paraId="69891DE7">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2、中标供应商需出示在响应文件中所提供的业绩证明材料原件核查。（材料为：中标（成交）通知书或签订的合同，及正式的含税发票），提供的上述材料与实际情况不符的，采购单位</w:t>
            </w:r>
            <w:r>
              <w:rPr>
                <w:rFonts w:hint="eastAsia" w:ascii="宋体" w:hAnsi="宋体" w:cs="宋体"/>
                <w:color w:val="auto"/>
                <w:szCs w:val="21"/>
                <w:highlight w:val="none"/>
                <w:lang w:val="en-US" w:eastAsia="zh-CN"/>
              </w:rPr>
              <w:t>将</w:t>
            </w:r>
            <w:r>
              <w:rPr>
                <w:rFonts w:hint="eastAsia" w:ascii="宋体" w:hAnsi="宋体" w:eastAsia="宋体" w:cs="宋体"/>
                <w:color w:val="auto"/>
                <w:szCs w:val="21"/>
                <w:highlight w:val="none"/>
                <w:lang w:val="en-US" w:eastAsia="zh-CN"/>
              </w:rPr>
              <w:t>上报监督管理部门处理。</w:t>
            </w:r>
          </w:p>
        </w:tc>
      </w:tr>
      <w:tr w14:paraId="3012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2BBE1095">
            <w:pPr>
              <w:pStyle w:val="6"/>
              <w:spacing w:line="500" w:lineRule="exact"/>
              <w:ind w:firstLine="0" w:firstLineChars="0"/>
              <w:jc w:val="center"/>
              <w:outlineLvl w:val="2"/>
              <w:rPr>
                <w:rFonts w:hint="default" w:ascii="宋体" w:hAnsi="宋体" w:cs="宋体"/>
                <w:sz w:val="28"/>
                <w:szCs w:val="28"/>
                <w:lang w:val="en-US"/>
              </w:rPr>
            </w:pPr>
            <w:r>
              <w:rPr>
                <w:rFonts w:hint="eastAsia" w:ascii="宋体" w:hAnsi="宋体" w:cs="宋体"/>
                <w:sz w:val="28"/>
                <w:szCs w:val="28"/>
              </w:rPr>
              <w:t>（十</w:t>
            </w:r>
            <w:r>
              <w:rPr>
                <w:rFonts w:hint="eastAsia" w:ascii="宋体" w:hAnsi="宋体" w:cs="宋体"/>
                <w:sz w:val="28"/>
                <w:szCs w:val="28"/>
                <w:lang w:val="en-US" w:eastAsia="zh-CN"/>
              </w:rPr>
              <w:t>三</w:t>
            </w:r>
            <w:r>
              <w:rPr>
                <w:rFonts w:hint="eastAsia" w:ascii="宋体" w:hAnsi="宋体" w:cs="宋体"/>
                <w:sz w:val="28"/>
                <w:szCs w:val="28"/>
              </w:rPr>
              <w:t>）</w:t>
            </w:r>
            <w:r>
              <w:rPr>
                <w:rFonts w:hint="eastAsia" w:ascii="宋体" w:hAnsi="宋体" w:cs="宋体"/>
                <w:sz w:val="28"/>
                <w:szCs w:val="28"/>
                <w:lang w:val="en-US" w:eastAsia="zh-CN"/>
              </w:rPr>
              <w:t>采购人的特殊要求</w:t>
            </w:r>
          </w:p>
        </w:tc>
        <w:tc>
          <w:tcPr>
            <w:tcW w:w="8253" w:type="dxa"/>
            <w:vAlign w:val="top"/>
          </w:tcPr>
          <w:p w14:paraId="0ED1952D">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标供应商在合同签订前必须向采购单位缴纳履约保证金人民币壹拾万元(¥100000.00）,期间发生食品卫生安全事故，采购单位可将此笔履约保证金用于应急处置工作，合同期满后按实际结余额退还成交供应商(不计利息)；如无安全事故，合同期满采购单位全额退还履约保证金给中标供应商（不计利息）；如果中标供应商合同期间单方面终止合同，采购单位无需退还履约保证金，需双方协商达成一致，方可解除合同，采购单位按实际结余额退还履约保证金(不计利息)。</w:t>
            </w:r>
          </w:p>
          <w:p w14:paraId="5D7D1037">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2、中标供应商必须保证在合同有效期内，不得以市场价格变化等理由拒绝供货或擅自提高价格，否则采购单位有权按履约条款执行，所产生的一切责任由中标供应商承担。</w:t>
            </w:r>
          </w:p>
          <w:p w14:paraId="2D46CE8B">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3、中标供应商须每周五前向学校提供下周产品供货基准价。</w:t>
            </w:r>
          </w:p>
          <w:p w14:paraId="2DEDFA50">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4、投标人必须承诺中标</w:t>
            </w:r>
            <w:r>
              <w:rPr>
                <w:rFonts w:hint="eastAsia" w:ascii="宋体" w:hAnsi="宋体" w:cs="宋体"/>
                <w:color w:val="auto"/>
                <w:szCs w:val="21"/>
                <w:highlight w:val="none"/>
                <w:lang w:val="en-US" w:eastAsia="zh-CN"/>
              </w:rPr>
              <w:t>后</w:t>
            </w:r>
            <w:r>
              <w:rPr>
                <w:rFonts w:hint="eastAsia" w:ascii="宋体" w:hAnsi="宋体" w:eastAsia="宋体" w:cs="宋体"/>
                <w:color w:val="auto"/>
                <w:szCs w:val="21"/>
                <w:highlight w:val="none"/>
                <w:lang w:val="en-US" w:eastAsia="zh-CN"/>
              </w:rPr>
              <w:t>签订合同时，建立或租赁能满足本项目配送要求的固定经营场所并与其评标标准得分的内容一致(包含但不限于车辆、员工、场地、保险、设备设施等)。若投标文件中提供或承诺材料与实际情况不符、未在规定时内建立或租赁符合标准经营场所、设备设施达不到要求等导致采购单位无法现场核验或现场核验不达标的，采购人将上报监督管理部门处理。</w:t>
            </w:r>
          </w:p>
          <w:p w14:paraId="4D26974A">
            <w:pPr>
              <w:spacing w:line="5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5、供应商在中标前未购买食品安全责任保险的，签订合同后一个月内必须到相关的保险公司进行投保，投保险种为食品安全责任保险，否则采购人有权终止合同。</w:t>
            </w:r>
          </w:p>
        </w:tc>
      </w:tr>
    </w:tbl>
    <w:p w14:paraId="1AF500AB">
      <w:pPr>
        <w:rPr>
          <w:rFonts w:hAnsi="宋体"/>
          <w:color w:val="auto"/>
          <w:highlight w:val="none"/>
        </w:rPr>
      </w:pPr>
    </w:p>
    <w:p w14:paraId="5911D714">
      <w:pPr>
        <w:rPr>
          <w:rFonts w:ascii="Arial Unicode MS" w:hAnsi="Arial Unicode MS" w:eastAsia="Arial Unicode MS" w:cs="Arial Unicode MS"/>
          <w:color w:val="auto"/>
          <w:sz w:val="28"/>
          <w:szCs w:val="28"/>
          <w:highlight w:val="none"/>
        </w:rPr>
      </w:pPr>
      <w:r>
        <w:rPr>
          <w:rFonts w:ascii="Arial Unicode MS" w:hAnsi="Arial Unicode MS" w:eastAsia="Arial Unicode MS" w:cs="Arial Unicode MS"/>
          <w:color w:val="auto"/>
          <w:sz w:val="28"/>
          <w:szCs w:val="28"/>
          <w:highlight w:val="none"/>
        </w:rPr>
        <w:br w:type="page"/>
      </w:r>
    </w:p>
    <w:p w14:paraId="01B622A9">
      <w:pPr>
        <w:spacing w:line="528" w:lineRule="exact"/>
        <w:jc w:val="left"/>
        <w:rPr>
          <w:rFonts w:ascii="Arial Unicode MS" w:hAnsi="Arial Unicode MS" w:eastAsia="Arial Unicode MS" w:cs="Arial Unicode MS"/>
          <w:color w:val="auto"/>
          <w:sz w:val="28"/>
          <w:szCs w:val="28"/>
          <w:highlight w:val="none"/>
        </w:rPr>
      </w:pPr>
      <w:r>
        <w:rPr>
          <w:rFonts w:hint="eastAsia" w:ascii="Arial Unicode MS" w:hAnsi="Arial Unicode MS" w:eastAsia="Arial Unicode MS" w:cs="Arial Unicode MS"/>
          <w:color w:val="auto"/>
          <w:sz w:val="28"/>
          <w:szCs w:val="28"/>
          <w:highlight w:val="none"/>
          <w:lang w:val="en-US" w:eastAsia="zh-CN"/>
        </w:rPr>
        <w:t>附件2</w:t>
      </w:r>
      <w:r>
        <w:rPr>
          <w:rFonts w:hint="eastAsia" w:ascii="Arial Unicode MS" w:hAnsi="Arial Unicode MS" w:eastAsia="Arial Unicode MS" w:cs="Arial Unicode MS"/>
          <w:color w:val="auto"/>
          <w:sz w:val="28"/>
          <w:szCs w:val="28"/>
          <w:highlight w:val="none"/>
        </w:rPr>
        <w:t>：</w:t>
      </w:r>
    </w:p>
    <w:p w14:paraId="013A4238">
      <w:pPr>
        <w:spacing w:line="528" w:lineRule="exact"/>
        <w:jc w:val="center"/>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36"/>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5527C71E">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1F98A8FB">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ign w:val="center"/>
          </w:tcPr>
          <w:p w14:paraId="6AC74C4D">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66556C25">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ign w:val="center"/>
          </w:tcPr>
          <w:p w14:paraId="45B3F4B7">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ign w:val="center"/>
          </w:tcPr>
          <w:p w14:paraId="0069411C">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1CDC7F3D">
            <w:pPr>
              <w:widowControl/>
              <w:jc w:val="center"/>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EEA7A3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40A810C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ign w:val="center"/>
          </w:tcPr>
          <w:p w14:paraId="7A1ACF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F8ED6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E36BC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0CD903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ign w:val="center"/>
          </w:tcPr>
          <w:p w14:paraId="3C1C6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FD24C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184363E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ign w:val="center"/>
          </w:tcPr>
          <w:p w14:paraId="1F89D8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30BF4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58697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6B08C0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2981C3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11919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07CEF1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7A709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E20C7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D5E7F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ign w:val="center"/>
          </w:tcPr>
          <w:p w14:paraId="518649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ign w:val="center"/>
          </w:tcPr>
          <w:p w14:paraId="2EE902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0D10F4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C2F593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ign w:val="center"/>
          </w:tcPr>
          <w:p w14:paraId="39D592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759E0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A03AD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ign w:val="center"/>
          </w:tcPr>
          <w:p w14:paraId="5CF5F2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ign w:val="center"/>
          </w:tcPr>
          <w:p w14:paraId="1626A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97973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9F8F1E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5BA33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1F837F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241C8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ign w:val="center"/>
          </w:tcPr>
          <w:p w14:paraId="5B8D49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ign w:val="center"/>
          </w:tcPr>
          <w:p w14:paraId="62BE83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7CB2389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1C50E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ign w:val="center"/>
          </w:tcPr>
          <w:p w14:paraId="363133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305B64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EA8BC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ign w:val="center"/>
          </w:tcPr>
          <w:p w14:paraId="7D6AB6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ign w:val="center"/>
          </w:tcPr>
          <w:p w14:paraId="4FC81A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A5440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D45C5E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0CF85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6D47C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ED4FC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ign w:val="center"/>
          </w:tcPr>
          <w:p w14:paraId="62D8DA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ign w:val="center"/>
          </w:tcPr>
          <w:p w14:paraId="691212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718CB7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A0FA21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ign w:val="center"/>
          </w:tcPr>
          <w:p w14:paraId="1A8E23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A6B3E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873C8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ign w:val="center"/>
          </w:tcPr>
          <w:p w14:paraId="73381E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ign w:val="center"/>
          </w:tcPr>
          <w:p w14:paraId="1B061F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010D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5C91E3A">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7A991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0D454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259A1D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02B1A1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ign w:val="center"/>
          </w:tcPr>
          <w:p w14:paraId="6C715F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57C02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2914D2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ign w:val="center"/>
          </w:tcPr>
          <w:p w14:paraId="55C06C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79AA3A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2E743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4B5227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27F0EC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4D181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9AF008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5C213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32A30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5B6EE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ign w:val="center"/>
          </w:tcPr>
          <w:p w14:paraId="1B53A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ign w:val="center"/>
          </w:tcPr>
          <w:p w14:paraId="7C1E71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423B5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7A2390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ign w:val="center"/>
          </w:tcPr>
          <w:p w14:paraId="296163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26DB1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45032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ign w:val="center"/>
          </w:tcPr>
          <w:p w14:paraId="5C1B09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ign w:val="center"/>
          </w:tcPr>
          <w:p w14:paraId="4C5A9D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57A3C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7F4A15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AA280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BCFA9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9C5EC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ign w:val="center"/>
          </w:tcPr>
          <w:p w14:paraId="3CCF93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7D04EB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62021B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3860C7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ign w:val="center"/>
          </w:tcPr>
          <w:p w14:paraId="234BFD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C9968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2B83D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277776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4B7A8C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79A1B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A462B3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3F64DC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80055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E0601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ign w:val="center"/>
          </w:tcPr>
          <w:p w14:paraId="0534AE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33592E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1D82C2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E3E3C4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ign w:val="center"/>
          </w:tcPr>
          <w:p w14:paraId="1890B6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0970F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309C8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714BFA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59C2B3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64AE2E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017A62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3793B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D47EA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63406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4594C7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31010D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D396D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285023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ign w:val="center"/>
          </w:tcPr>
          <w:p w14:paraId="5820A2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D4EAA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B0748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30E09D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3FEA6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DA240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C8F214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4D926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C5BF7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6C92F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31C5C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442245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61BB4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806CA4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ign w:val="center"/>
          </w:tcPr>
          <w:p w14:paraId="41EE0C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C227D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0C10E5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ign w:val="center"/>
          </w:tcPr>
          <w:p w14:paraId="010840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AE59D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232B0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C04128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2495B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A97D9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F193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ign w:val="center"/>
          </w:tcPr>
          <w:p w14:paraId="447A96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2D309C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2D70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538634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ign w:val="center"/>
          </w:tcPr>
          <w:p w14:paraId="34E7C4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9B7C5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C7044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3E2C71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80D52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DB2A9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FE786A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013822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F2111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87BD5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ign w:val="center"/>
          </w:tcPr>
          <w:p w14:paraId="104550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ign w:val="center"/>
          </w:tcPr>
          <w:p w14:paraId="382984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D58713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68EF75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ign w:val="center"/>
          </w:tcPr>
          <w:p w14:paraId="51BE54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DB4FD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4F87B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ign w:val="center"/>
          </w:tcPr>
          <w:p w14:paraId="0E00A0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ign w:val="center"/>
          </w:tcPr>
          <w:p w14:paraId="0376D7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410BA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16FDFC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F4789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2EA67D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30E08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ign w:val="center"/>
          </w:tcPr>
          <w:p w14:paraId="5BCAA4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ign w:val="center"/>
          </w:tcPr>
          <w:p w14:paraId="736E9B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9DC15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82A48F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ign w:val="center"/>
          </w:tcPr>
          <w:p w14:paraId="648C04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A01DC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56E9B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42D1C9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ign w:val="center"/>
          </w:tcPr>
          <w:p w14:paraId="686A5F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6295AD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76EAAC5">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8562A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81B2E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18986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ign w:val="center"/>
          </w:tcPr>
          <w:p w14:paraId="667791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ign w:val="center"/>
          </w:tcPr>
          <w:p w14:paraId="77AB5D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D8F101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2717DD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ign w:val="center"/>
          </w:tcPr>
          <w:p w14:paraId="198D75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C3A83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0D2A7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646AB2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703CAD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C3B94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958DDE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36D78F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0ED62F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AEE42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ign w:val="center"/>
          </w:tcPr>
          <w:p w14:paraId="6FB287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ign w:val="center"/>
          </w:tcPr>
          <w:p w14:paraId="3F14CB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8FBE6F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38B8C95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ign w:val="center"/>
          </w:tcPr>
          <w:p w14:paraId="0CC316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9A10F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20E46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2BC167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6BBC38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79A465A">
      <w:pPr>
        <w:spacing w:line="560" w:lineRule="exact"/>
        <w:rPr>
          <w:rFonts w:hAnsi="宋体"/>
          <w:color w:val="auto"/>
          <w:highlight w:val="none"/>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47"/>
    <w:p w14:paraId="38713F0E">
      <w:pPr>
        <w:pStyle w:val="19"/>
        <w:jc w:val="center"/>
        <w:outlineLvl w:val="0"/>
        <w:rPr>
          <w:rFonts w:hAnsi="宋体"/>
          <w:b/>
          <w:color w:val="auto"/>
          <w:sz w:val="36"/>
          <w:szCs w:val="36"/>
          <w:highlight w:val="none"/>
        </w:rPr>
      </w:pPr>
      <w:bookmarkStart w:id="51" w:name="_Toc532545044"/>
      <w:bookmarkStart w:id="52" w:name="_Toc80092992"/>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供应商须知</w:t>
      </w:r>
      <w:bookmarkEnd w:id="51"/>
      <w:bookmarkEnd w:id="52"/>
    </w:p>
    <w:p w14:paraId="2FDA2726">
      <w:pPr>
        <w:pStyle w:val="19"/>
        <w:spacing w:line="720" w:lineRule="auto"/>
        <w:jc w:val="center"/>
        <w:outlineLvl w:val="1"/>
        <w:rPr>
          <w:rFonts w:ascii="Times New Roman" w:hAnsi="Times New Roman"/>
          <w:b/>
          <w:color w:val="auto"/>
          <w:sz w:val="30"/>
          <w:szCs w:val="30"/>
          <w:highlight w:val="none"/>
        </w:rPr>
      </w:pPr>
      <w:bookmarkStart w:id="53" w:name="_Toc80092993"/>
      <w:r>
        <w:rPr>
          <w:rFonts w:hint="eastAsia" w:ascii="Times New Roman" w:hAnsi="Times New Roman"/>
          <w:b/>
          <w:color w:val="auto"/>
          <w:sz w:val="30"/>
          <w:szCs w:val="30"/>
          <w:highlight w:val="none"/>
        </w:rPr>
        <w:t>第一节 供应商须知前附表</w:t>
      </w:r>
      <w:bookmarkEnd w:id="53"/>
    </w:p>
    <w:tbl>
      <w:tblPr>
        <w:tblStyle w:val="36"/>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972"/>
        <w:gridCol w:w="7297"/>
      </w:tblGrid>
      <w:tr w14:paraId="1552E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A20A49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1972" w:type="dxa"/>
            <w:tcBorders>
              <w:top w:val="single" w:color="auto" w:sz="4" w:space="0"/>
              <w:left w:val="single" w:color="auto" w:sz="4" w:space="0"/>
              <w:bottom w:val="single" w:color="auto" w:sz="4" w:space="0"/>
              <w:right w:val="single" w:color="auto" w:sz="4" w:space="0"/>
            </w:tcBorders>
            <w:vAlign w:val="center"/>
          </w:tcPr>
          <w:p w14:paraId="2E0CACC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4B8C277D">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531B7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D1A9DD0">
            <w:pPr>
              <w:spacing w:line="400" w:lineRule="exact"/>
              <w:rPr>
                <w:rFonts w:ascii="宋体" w:hAnsi="宋体" w:cs="宋体"/>
                <w:color w:val="auto"/>
                <w:szCs w:val="21"/>
                <w:highlight w:val="none"/>
              </w:rPr>
            </w:pPr>
            <w:r>
              <w:rPr>
                <w:rFonts w:hint="eastAsia" w:ascii="宋体" w:hAnsi="宋体" w:cs="宋体"/>
                <w:color w:val="auto"/>
                <w:szCs w:val="21"/>
                <w:highlight w:val="none"/>
              </w:rPr>
              <w:t>3</w:t>
            </w:r>
          </w:p>
        </w:tc>
        <w:tc>
          <w:tcPr>
            <w:tcW w:w="1972" w:type="dxa"/>
            <w:tcBorders>
              <w:top w:val="single" w:color="auto" w:sz="4" w:space="0"/>
              <w:left w:val="single" w:color="auto" w:sz="4" w:space="0"/>
              <w:bottom w:val="single" w:color="auto" w:sz="4" w:space="0"/>
              <w:right w:val="single" w:color="auto" w:sz="4" w:space="0"/>
            </w:tcBorders>
            <w:vAlign w:val="center"/>
          </w:tcPr>
          <w:p w14:paraId="7D8AF091">
            <w:pPr>
              <w:spacing w:line="400" w:lineRule="exact"/>
              <w:rPr>
                <w:rFonts w:ascii="宋体" w:hAnsi="宋体" w:cs="宋体"/>
                <w:color w:val="auto"/>
                <w:szCs w:val="21"/>
                <w:highlight w:val="none"/>
              </w:rPr>
            </w:pPr>
            <w:r>
              <w:rPr>
                <w:rFonts w:hint="eastAsia" w:ascii="宋体" w:hAnsi="宋体"/>
                <w:color w:val="auto"/>
                <w:szCs w:val="21"/>
                <w:highlight w:val="none"/>
              </w:rPr>
              <w:t>供应商的资格要求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49D52B8B">
            <w:pPr>
              <w:pStyle w:val="14"/>
              <w:spacing w:line="400" w:lineRule="exact"/>
              <w:rPr>
                <w:rFonts w:ascii="宋体" w:hAnsi="宋体" w:cs="宋体"/>
                <w:color w:val="auto"/>
                <w:szCs w:val="21"/>
                <w:highlight w:val="none"/>
              </w:rPr>
            </w:pPr>
            <w:r>
              <w:rPr>
                <w:rFonts w:hint="eastAsia" w:ascii="宋体" w:hAnsi="宋体"/>
                <w:color w:val="auto"/>
                <w:szCs w:val="21"/>
                <w:highlight w:val="none"/>
              </w:rPr>
              <w:t>详见“招标公告”</w:t>
            </w:r>
          </w:p>
        </w:tc>
      </w:tr>
      <w:tr w14:paraId="00DCB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D73879B">
            <w:pPr>
              <w:spacing w:line="400" w:lineRule="exact"/>
              <w:rPr>
                <w:rFonts w:ascii="宋体" w:hAnsi="宋体" w:cs="宋体"/>
                <w:color w:val="auto"/>
                <w:szCs w:val="21"/>
                <w:highlight w:val="none"/>
              </w:rPr>
            </w:pPr>
            <w:r>
              <w:rPr>
                <w:rFonts w:hint="eastAsia" w:ascii="宋体" w:hAnsi="宋体" w:cs="宋体"/>
                <w:color w:val="auto"/>
                <w:szCs w:val="21"/>
                <w:highlight w:val="none"/>
              </w:rPr>
              <w:t>6.1</w:t>
            </w:r>
          </w:p>
        </w:tc>
        <w:tc>
          <w:tcPr>
            <w:tcW w:w="1972" w:type="dxa"/>
            <w:tcBorders>
              <w:top w:val="single" w:color="auto" w:sz="4" w:space="0"/>
              <w:left w:val="single" w:color="auto" w:sz="4" w:space="0"/>
              <w:bottom w:val="single" w:color="auto" w:sz="4" w:space="0"/>
              <w:right w:val="single" w:color="auto" w:sz="4" w:space="0"/>
            </w:tcBorders>
            <w:vAlign w:val="center"/>
          </w:tcPr>
          <w:p w14:paraId="07AFDBB1">
            <w:pPr>
              <w:spacing w:line="400" w:lineRule="exact"/>
              <w:rPr>
                <w:rFonts w:ascii="宋体" w:hAnsi="宋体" w:cs="宋体"/>
                <w:color w:val="auto"/>
                <w:szCs w:val="21"/>
                <w:highlight w:val="none"/>
              </w:rPr>
            </w:pPr>
            <w:bookmarkStart w:id="54" w:name="_9.2"/>
            <w:bookmarkEnd w:id="54"/>
            <w:bookmarkStart w:id="55" w:name="_8.1"/>
            <w:bookmarkEnd w:id="55"/>
            <w:bookmarkStart w:id="56" w:name="_5"/>
            <w:bookmarkEnd w:id="5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DD7998B">
            <w:pPr>
              <w:pStyle w:val="14"/>
              <w:spacing w:line="400" w:lineRule="exact"/>
              <w:rPr>
                <w:rFonts w:ascii="宋体" w:hAnsi="宋体" w:cs="宋体"/>
                <w:color w:val="auto"/>
                <w:szCs w:val="21"/>
                <w:highlight w:val="none"/>
              </w:rPr>
            </w:pPr>
            <w:r>
              <w:rPr>
                <w:rFonts w:hint="eastAsia" w:ascii="宋体" w:hAnsi="宋体"/>
                <w:color w:val="auto"/>
                <w:szCs w:val="21"/>
                <w:highlight w:val="none"/>
              </w:rPr>
              <w:t>详见“招标公告”</w:t>
            </w:r>
            <w:r>
              <w:rPr>
                <w:rFonts w:hint="eastAsia" w:ascii="宋体" w:hAnsi="宋体" w:cs="宋体"/>
                <w:color w:val="auto"/>
                <w:szCs w:val="21"/>
                <w:highlight w:val="none"/>
              </w:rPr>
              <w:t>。</w:t>
            </w:r>
          </w:p>
        </w:tc>
      </w:tr>
      <w:tr w14:paraId="74371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E7BCB16">
            <w:pPr>
              <w:spacing w:line="400" w:lineRule="exact"/>
              <w:rPr>
                <w:rFonts w:ascii="宋体" w:hAnsi="宋体" w:cs="宋体"/>
                <w:color w:val="auto"/>
                <w:szCs w:val="21"/>
                <w:highlight w:val="none"/>
              </w:rPr>
            </w:pPr>
            <w:r>
              <w:rPr>
                <w:rFonts w:hint="eastAsia" w:ascii="宋体" w:hAnsi="宋体" w:cs="宋体"/>
                <w:color w:val="auto"/>
                <w:szCs w:val="21"/>
                <w:highlight w:val="none"/>
              </w:rPr>
              <w:t>6.2</w:t>
            </w:r>
          </w:p>
        </w:tc>
        <w:tc>
          <w:tcPr>
            <w:tcW w:w="1972" w:type="dxa"/>
            <w:tcBorders>
              <w:top w:val="single" w:color="auto" w:sz="4" w:space="0"/>
              <w:left w:val="single" w:color="auto" w:sz="4" w:space="0"/>
              <w:bottom w:val="single" w:color="auto" w:sz="4" w:space="0"/>
              <w:right w:val="single" w:color="auto" w:sz="4" w:space="0"/>
            </w:tcBorders>
            <w:vAlign w:val="center"/>
          </w:tcPr>
          <w:p w14:paraId="4FBF2FE7">
            <w:pPr>
              <w:spacing w:line="40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26069F3C">
            <w:pPr>
              <w:pStyle w:val="14"/>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不接受</w:t>
            </w:r>
            <w:r>
              <w:rPr>
                <w:rFonts w:hint="eastAsia" w:ascii="宋体" w:hAnsi="宋体" w:cs="宋体"/>
                <w:color w:val="auto"/>
                <w:szCs w:val="21"/>
                <w:highlight w:val="none"/>
              </w:rPr>
              <w:t>联合体投标</w:t>
            </w:r>
            <w:r>
              <w:rPr>
                <w:rFonts w:hint="eastAsia" w:ascii="宋体" w:hAnsi="宋体"/>
                <w:color w:val="auto"/>
                <w:szCs w:val="21"/>
                <w:highlight w:val="none"/>
              </w:rPr>
              <w:t>。</w:t>
            </w:r>
          </w:p>
        </w:tc>
      </w:tr>
      <w:tr w14:paraId="1BA5B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1FE8E28">
            <w:pPr>
              <w:spacing w:line="400" w:lineRule="exact"/>
              <w:rPr>
                <w:rFonts w:ascii="宋体" w:hAnsi="宋体" w:cs="宋体"/>
                <w:color w:val="auto"/>
                <w:szCs w:val="21"/>
                <w:highlight w:val="none"/>
              </w:rPr>
            </w:pPr>
            <w:r>
              <w:rPr>
                <w:rFonts w:hint="eastAsia" w:ascii="宋体" w:hAnsi="宋体" w:cs="宋体"/>
                <w:color w:val="auto"/>
                <w:szCs w:val="21"/>
                <w:highlight w:val="none"/>
              </w:rPr>
              <w:t>7.2</w:t>
            </w:r>
          </w:p>
        </w:tc>
        <w:tc>
          <w:tcPr>
            <w:tcW w:w="1972" w:type="dxa"/>
            <w:tcBorders>
              <w:top w:val="single" w:color="auto" w:sz="4" w:space="0"/>
              <w:left w:val="single" w:color="auto" w:sz="4" w:space="0"/>
              <w:bottom w:val="single" w:color="auto" w:sz="4" w:space="0"/>
              <w:right w:val="single" w:color="auto" w:sz="4" w:space="0"/>
            </w:tcBorders>
            <w:vAlign w:val="center"/>
          </w:tcPr>
          <w:p w14:paraId="44BD9414">
            <w:pPr>
              <w:spacing w:line="40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4051BC9">
            <w:pPr>
              <w:pStyle w:val="14"/>
              <w:spacing w:line="400" w:lineRule="exact"/>
              <w:rPr>
                <w:rFonts w:ascii="宋体" w:hAnsi="宋体" w:cs="宋体"/>
                <w:color w:val="auto"/>
                <w:szCs w:val="21"/>
                <w:highlight w:val="none"/>
              </w:rPr>
            </w:pPr>
            <w:bookmarkStart w:id="57" w:name="PO_3000001866_PM044"/>
            <w:r>
              <w:rPr>
                <w:rFonts w:hint="eastAsia" w:ascii="宋体" w:hAnsi="宋体" w:cs="宋体"/>
                <w:color w:val="auto"/>
                <w:szCs w:val="21"/>
                <w:highlight w:val="none"/>
              </w:rPr>
              <w:t>不允许分包</w:t>
            </w:r>
            <w:bookmarkEnd w:id="57"/>
            <w:r>
              <w:rPr>
                <w:rFonts w:hint="eastAsia" w:ascii="宋体" w:hAnsi="宋体" w:cs="宋体"/>
                <w:color w:val="auto"/>
                <w:szCs w:val="21"/>
                <w:highlight w:val="none"/>
                <w:lang w:val="en-US" w:eastAsia="zh-CN"/>
              </w:rPr>
              <w:t>/转包</w:t>
            </w:r>
          </w:p>
        </w:tc>
      </w:tr>
      <w:tr w14:paraId="2CBE5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9EEF3F5">
            <w:pPr>
              <w:spacing w:line="400" w:lineRule="exact"/>
              <w:rPr>
                <w:rFonts w:ascii="宋体" w:hAnsi="宋体" w:cs="宋体"/>
                <w:color w:val="auto"/>
                <w:szCs w:val="21"/>
                <w:highlight w:val="none"/>
              </w:rPr>
            </w:pPr>
            <w:r>
              <w:rPr>
                <w:rFonts w:hint="eastAsia" w:ascii="宋体" w:hAnsi="宋体" w:cs="宋体"/>
                <w:color w:val="auto"/>
                <w:szCs w:val="21"/>
                <w:highlight w:val="none"/>
              </w:rPr>
              <w:t>11.3</w:t>
            </w:r>
          </w:p>
        </w:tc>
        <w:tc>
          <w:tcPr>
            <w:tcW w:w="1972" w:type="dxa"/>
            <w:tcBorders>
              <w:top w:val="single" w:color="auto" w:sz="4" w:space="0"/>
              <w:left w:val="single" w:color="auto" w:sz="4" w:space="0"/>
              <w:bottom w:val="single" w:color="auto" w:sz="4" w:space="0"/>
              <w:right w:val="single" w:color="auto" w:sz="4" w:space="0"/>
            </w:tcBorders>
            <w:vAlign w:val="center"/>
          </w:tcPr>
          <w:p w14:paraId="16BFDC12">
            <w:pPr>
              <w:spacing w:line="40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49C203F4">
            <w:pPr>
              <w:spacing w:line="40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6804F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776BFEC">
            <w:pPr>
              <w:spacing w:line="40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1972" w:type="dxa"/>
            <w:tcBorders>
              <w:top w:val="single" w:color="auto" w:sz="4" w:space="0"/>
              <w:left w:val="single" w:color="auto" w:sz="4" w:space="0"/>
              <w:bottom w:val="single" w:color="auto" w:sz="4" w:space="0"/>
              <w:right w:val="single" w:color="auto" w:sz="4" w:space="0"/>
            </w:tcBorders>
            <w:vAlign w:val="center"/>
          </w:tcPr>
          <w:p w14:paraId="2E25035B">
            <w:pPr>
              <w:spacing w:line="40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002CDE04">
            <w:pPr>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☑不组织召开开标前答疑会</w:t>
            </w:r>
          </w:p>
          <w:p w14:paraId="7460203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18A7F8F3">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6AE5D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restart"/>
            <w:tcBorders>
              <w:left w:val="single" w:color="auto" w:sz="4" w:space="0"/>
              <w:right w:val="single" w:color="auto" w:sz="4" w:space="0"/>
            </w:tcBorders>
            <w:vAlign w:val="center"/>
          </w:tcPr>
          <w:p w14:paraId="5C96892B">
            <w:pPr>
              <w:spacing w:line="40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1972" w:type="dxa"/>
            <w:tcBorders>
              <w:top w:val="single" w:color="auto" w:sz="4" w:space="0"/>
              <w:left w:val="single" w:color="auto" w:sz="4" w:space="0"/>
              <w:bottom w:val="single" w:color="auto" w:sz="4" w:space="0"/>
              <w:right w:val="single" w:color="auto" w:sz="4" w:space="0"/>
            </w:tcBorders>
            <w:vAlign w:val="center"/>
          </w:tcPr>
          <w:p w14:paraId="3AD5D543">
            <w:pPr>
              <w:snapToGrid w:val="0"/>
              <w:spacing w:line="400" w:lineRule="exact"/>
              <w:jc w:val="left"/>
              <w:rPr>
                <w:rFonts w:ascii="宋体" w:hAnsi="宋体" w:cs="宋体"/>
                <w:color w:val="auto"/>
                <w:szCs w:val="21"/>
                <w:highlight w:val="none"/>
              </w:rPr>
            </w:pPr>
            <w:bookmarkStart w:id="58" w:name="_13.2"/>
            <w:bookmarkEnd w:id="5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9C1BE88">
            <w:pPr>
              <w:snapToGrid w:val="0"/>
              <w:spacing w:line="400" w:lineRule="exact"/>
              <w:jc w:val="left"/>
              <w:rPr>
                <w:rFonts w:ascii="宋体" w:hAnsi="宋体" w:cs="宋体"/>
                <w:color w:val="auto"/>
                <w:szCs w:val="21"/>
                <w:highlight w:val="none"/>
              </w:rPr>
            </w:pPr>
            <w:r>
              <w:rPr>
                <w:rFonts w:hint="eastAsia" w:ascii="宋体" w:hAnsi="宋体" w:cs="Courier New"/>
                <w:b/>
                <w:color w:val="auto"/>
                <w:szCs w:val="21"/>
                <w:highlight w:val="none"/>
              </w:rPr>
              <w:t>资格证明文件：</w:t>
            </w:r>
          </w:p>
          <w:p w14:paraId="4F881012">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1、供应商为法人或者其他组织的，提供营业执照等证明文件（如营业执照或者事业单位法人证书或者</w:t>
            </w:r>
            <w:r>
              <w:rPr>
                <w:rStyle w:val="70"/>
                <w:rFonts w:hint="eastAsia"/>
                <w:color w:val="auto"/>
                <w:sz w:val="21"/>
                <w:szCs w:val="21"/>
                <w:highlight w:val="none"/>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3CB3805">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2、投标人参加政府采购活动前3年内在经营活动中没有重大违法记录的书面声明。</w:t>
            </w:r>
            <w:r>
              <w:rPr>
                <w:rFonts w:hint="eastAsia" w:ascii="宋体" w:hAnsi="宋体" w:cs="宋体"/>
                <w:b/>
                <w:bCs/>
                <w:color w:val="auto"/>
                <w:szCs w:val="21"/>
                <w:highlight w:val="none"/>
              </w:rPr>
              <w:t>（格式后附，必</w:t>
            </w:r>
            <w:r>
              <w:rPr>
                <w:rFonts w:hint="eastAsia" w:ascii="宋体" w:hAnsi="宋体" w:cs="宋体"/>
                <w:b/>
                <w:color w:val="auto"/>
                <w:szCs w:val="21"/>
                <w:highlight w:val="none"/>
              </w:rPr>
              <w:t>须提供，否则作无效投标处理</w:t>
            </w:r>
            <w:r>
              <w:rPr>
                <w:rFonts w:hint="eastAsia" w:ascii="宋体" w:hAnsi="宋体" w:cs="宋体"/>
                <w:color w:val="auto"/>
                <w:szCs w:val="21"/>
                <w:highlight w:val="none"/>
              </w:rPr>
              <w:t>）</w:t>
            </w:r>
          </w:p>
          <w:p w14:paraId="4E62B75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3、贵港市政府采购项目投标资格承诺函。（格式后附，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18982B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4、供应商直接控股、管理关系信息表。（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406AD95">
            <w:pPr>
              <w:numPr>
                <w:ilvl w:val="0"/>
                <w:numId w:val="0"/>
              </w:numPr>
              <w:snapToGrid w:val="0"/>
              <w:spacing w:line="400" w:lineRule="exact"/>
              <w:ind w:leftChars="0"/>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BA6EE8">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供应商根据招标公告对应的特定资格要求设置供应商提供的资格证明材料</w:t>
            </w:r>
            <w:r>
              <w:rPr>
                <w:rFonts w:hint="eastAsia" w:ascii="宋体" w:hAnsi="宋体" w:cs="宋体"/>
                <w:color w:val="auto"/>
                <w:szCs w:val="21"/>
                <w:highlight w:val="none"/>
                <w:lang w:eastAsia="zh-CN"/>
              </w:rPr>
              <w:t>：《食品经营许可证》</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p>
          <w:p w14:paraId="67EE097C">
            <w:pPr>
              <w:snapToGrid w:val="0"/>
              <w:spacing w:line="400" w:lineRule="exact"/>
              <w:jc w:val="left"/>
              <w:rPr>
                <w:rFonts w:hint="eastAsia" w:ascii="宋体" w:hAnsi="宋体" w:cs="宋体"/>
                <w:b/>
                <w:color w:val="auto"/>
                <w:szCs w:val="21"/>
                <w:highlight w:val="none"/>
              </w:rPr>
            </w:pPr>
            <w:r>
              <w:rPr>
                <w:rFonts w:hint="eastAsia" w:ascii="宋体" w:hAnsi="宋体" w:eastAsia="宋体" w:cs="宋体"/>
                <w:color w:val="auto"/>
                <w:kern w:val="2"/>
                <w:sz w:val="21"/>
                <w:szCs w:val="21"/>
                <w:highlight w:val="none"/>
                <w:lang w:val="en-US" w:eastAsia="zh-CN" w:bidi="ar-SA"/>
              </w:rPr>
              <w:t>7、投标人必须承诺中标后签订合同时，建立或租赁能满足本项目配送要求的固定经营场所并与其评标标准得分的内容一致(包含但不限于车辆、员工、场地、保险、设备设施等)。若投标文件中提供或承诺材料与实际情况不符、未在规定时内建立或租赁符合标准经营场所、设备设施达不到要求等导致采购单位无法现场核验或现场核验不达标的，采购人将上报监督管理部门处理。</w:t>
            </w:r>
            <w:r>
              <w:rPr>
                <w:rFonts w:hint="eastAsia" w:ascii="宋体" w:hAnsi="宋体" w:cs="宋体"/>
                <w:b/>
                <w:color w:val="auto"/>
                <w:szCs w:val="21"/>
                <w:highlight w:val="none"/>
              </w:rPr>
              <w:t>（必须提供，</w:t>
            </w:r>
            <w:r>
              <w:rPr>
                <w:rFonts w:hint="eastAsia" w:ascii="宋体" w:hAnsi="宋体" w:cs="宋体"/>
                <w:b/>
                <w:color w:val="auto"/>
                <w:szCs w:val="21"/>
                <w:highlight w:val="none"/>
                <w:lang w:val="en-US" w:eastAsia="zh-CN"/>
              </w:rPr>
              <w:t>格式自拟，</w:t>
            </w:r>
            <w:r>
              <w:rPr>
                <w:rFonts w:hint="eastAsia" w:ascii="宋体" w:hAnsi="宋体" w:cs="宋体"/>
                <w:b/>
                <w:color w:val="auto"/>
                <w:szCs w:val="21"/>
                <w:highlight w:val="none"/>
              </w:rPr>
              <w:t>否则作无效投标处理）</w:t>
            </w:r>
          </w:p>
          <w:p w14:paraId="33D0D2A9">
            <w:pPr>
              <w:snapToGrid w:val="0"/>
              <w:spacing w:line="400" w:lineRule="exact"/>
              <w:jc w:val="left"/>
              <w:rPr>
                <w:rFonts w:ascii="宋体" w:hAnsi="宋体" w:cs="宋体"/>
                <w:color w:val="auto"/>
                <w:szCs w:val="21"/>
                <w:highlight w:val="none"/>
              </w:rPr>
            </w:pPr>
            <w:r>
              <w:rPr>
                <w:rFonts w:hint="eastAsia"/>
                <w:color w:val="auto"/>
                <w:highlight w:val="none"/>
                <w:lang w:val="en-US" w:eastAsia="zh-CN"/>
              </w:rPr>
              <w:t>8</w:t>
            </w:r>
            <w:r>
              <w:rPr>
                <w:rFonts w:hint="eastAsia" w:ascii="宋体" w:hAnsi="宋体" w:cs="宋体"/>
                <w:color w:val="auto"/>
                <w:szCs w:val="21"/>
                <w:highlight w:val="none"/>
              </w:rPr>
              <w:t>、除招标文件规定必须提供以外，供应商认为需要提供的其他证明材料。</w:t>
            </w:r>
          </w:p>
          <w:p w14:paraId="0BE39501">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，必须加盖供商电子公章，否则</w:t>
            </w:r>
            <w:r>
              <w:rPr>
                <w:rFonts w:hint="eastAsia" w:ascii="宋体" w:hAnsi="宋体" w:cs="宋体"/>
                <w:b/>
                <w:color w:val="auto"/>
                <w:szCs w:val="21"/>
                <w:highlight w:val="none"/>
              </w:rPr>
              <w:t>作无效投标处理。</w:t>
            </w:r>
          </w:p>
          <w:p w14:paraId="6E08CC87">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.投标资格声明必须加盖供应商公章，否则响应文件按无效响应处理。</w:t>
            </w:r>
          </w:p>
          <w:p w14:paraId="4592F55A">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3.供应商直接控股、管理关系信息表必须加盖供应商公章，否则响应文件按无效响应处理。</w:t>
            </w:r>
          </w:p>
        </w:tc>
      </w:tr>
      <w:tr w14:paraId="39929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continue"/>
            <w:tcBorders>
              <w:left w:val="single" w:color="auto" w:sz="4" w:space="0"/>
              <w:right w:val="single" w:color="auto" w:sz="4" w:space="0"/>
            </w:tcBorders>
            <w:vAlign w:val="center"/>
          </w:tcPr>
          <w:p w14:paraId="3902CE0B">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344C040">
            <w:pPr>
              <w:snapToGrid w:val="0"/>
              <w:spacing w:line="400" w:lineRule="exact"/>
              <w:jc w:val="left"/>
              <w:rPr>
                <w:rFonts w:ascii="宋体" w:hAnsi="宋体" w:cs="宋体"/>
                <w:color w:val="auto"/>
                <w:szCs w:val="21"/>
                <w:highlight w:val="none"/>
              </w:rPr>
            </w:pPr>
            <w:bookmarkStart w:id="59" w:name="_13.3"/>
            <w:bookmarkEnd w:id="59"/>
            <w:r>
              <w:rPr>
                <w:rFonts w:hint="eastAsia" w:ascii="宋体" w:hAnsi="宋体" w:cs="宋体"/>
                <w:color w:val="auto"/>
                <w:szCs w:val="21"/>
                <w:highlight w:val="none"/>
              </w:rPr>
              <w:t>商务文件组成</w:t>
            </w:r>
          </w:p>
          <w:p w14:paraId="1A886928">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46DA866A">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4DD526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F33344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69AA2365">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F68A84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售后服务承诺（格式自拟）</w:t>
            </w:r>
            <w:r>
              <w:rPr>
                <w:rFonts w:hint="eastAsia" w:ascii="宋体" w:hAnsi="宋体" w:cs="宋体"/>
                <w:color w:val="auto"/>
                <w:szCs w:val="21"/>
                <w:highlight w:val="none"/>
              </w:rPr>
              <w:t>；</w:t>
            </w:r>
          </w:p>
          <w:p w14:paraId="5B8DDF68">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供应商情况介绍（格式自拟）</w:t>
            </w:r>
          </w:p>
          <w:p w14:paraId="358B188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7、除招标文件规定必须提供以外，供应商认为需要提供的其他证明材料。（供应商根据“第二章 采购需求”及“第四章 评标方法及评标标准”提供有关证明材料）。</w:t>
            </w:r>
          </w:p>
          <w:p w14:paraId="1D6CB32D">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1.法定代表人授权委托书必须由法定代表人及委托代理人签字，并加盖供应商公章，否则作无效投标处理。</w:t>
            </w:r>
          </w:p>
          <w:p w14:paraId="423AADD6">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，必须加盖供应商电子公章，否则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4874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continue"/>
            <w:tcBorders>
              <w:left w:val="single" w:color="auto" w:sz="4" w:space="0"/>
              <w:right w:val="single" w:color="auto" w:sz="4" w:space="0"/>
            </w:tcBorders>
            <w:vAlign w:val="center"/>
          </w:tcPr>
          <w:p w14:paraId="7BAFEF80">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C27EFEC">
            <w:pPr>
              <w:snapToGrid w:val="0"/>
              <w:spacing w:line="400" w:lineRule="exact"/>
              <w:jc w:val="left"/>
              <w:rPr>
                <w:rFonts w:ascii="宋体" w:hAnsi="宋体" w:cs="宋体"/>
                <w:color w:val="auto"/>
                <w:szCs w:val="21"/>
                <w:highlight w:val="none"/>
              </w:rPr>
            </w:pPr>
            <w:bookmarkStart w:id="60" w:name="_13.4"/>
            <w:bookmarkEnd w:id="60"/>
            <w:r>
              <w:rPr>
                <w:rFonts w:hint="eastAsia" w:ascii="宋体" w:hAnsi="宋体" w:cs="宋体"/>
                <w:color w:val="auto"/>
                <w:szCs w:val="21"/>
                <w:highlight w:val="none"/>
              </w:rPr>
              <w:t>技术文件组成</w:t>
            </w:r>
          </w:p>
          <w:p w14:paraId="4B7EE87A">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3FE5BA2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技术要求偏离表（格式后附）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C1684C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服务实施方案（格式自拟）；</w:t>
            </w:r>
          </w:p>
          <w:p w14:paraId="0F687C4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项目实施人员一览表（格式后附）；</w:t>
            </w:r>
          </w:p>
          <w:p w14:paraId="32F96318">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4、除招标文件规定必须提供以外，供应商需要说明的其他文件和说明。</w:t>
            </w:r>
          </w:p>
          <w:p w14:paraId="5917E906">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，必须加盖供应商电子公章，否则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07EE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continue"/>
            <w:tcBorders>
              <w:left w:val="single" w:color="auto" w:sz="4" w:space="0"/>
              <w:bottom w:val="single" w:color="auto" w:sz="4" w:space="0"/>
              <w:right w:val="single" w:color="auto" w:sz="4" w:space="0"/>
            </w:tcBorders>
            <w:vAlign w:val="center"/>
          </w:tcPr>
          <w:p w14:paraId="2EE0D24A">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0D232D2">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2E76065">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29B0D3DC">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F659378">
            <w:pPr>
              <w:widowControl/>
              <w:kinsoku w:val="0"/>
              <w:autoSpaceDE w:val="0"/>
              <w:autoSpaceDN w:val="0"/>
              <w:adjustRightInd w:val="0"/>
              <w:snapToGrid w:val="0"/>
              <w:spacing w:line="400" w:lineRule="exact"/>
              <w:textAlignment w:val="baseline"/>
              <w:rPr>
                <w:rFonts w:hint="eastAsia" w:ascii="宋体" w:hAnsi="宋体" w:cs="宋体"/>
                <w:color w:val="auto"/>
                <w:szCs w:val="21"/>
                <w:highlight w:val="none"/>
              </w:rPr>
            </w:pPr>
            <w:r>
              <w:rPr>
                <w:rFonts w:hint="eastAsia" w:ascii="宋体" w:hAnsi="宋体" w:cs="宋体"/>
                <w:color w:val="auto"/>
                <w:szCs w:val="21"/>
                <w:highlight w:val="none"/>
              </w:rPr>
              <w:t>3、投标人针对报价需要说明的其他文件（如中小企业声明函、残疾人福利性单位声明函、监狱企业声明函等） 和说明（格式自拟）（如有请提供）</w:t>
            </w:r>
          </w:p>
          <w:p w14:paraId="26956367">
            <w:pPr>
              <w:pStyle w:val="2"/>
              <w:rPr>
                <w:rFonts w:hint="eastAsia" w:eastAsia="宋体"/>
                <w:lang w:eastAsia="zh-CN"/>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，必须加盖供应商电子公章，否则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74DD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D409F1E">
            <w:pPr>
              <w:spacing w:line="40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1972" w:type="dxa"/>
            <w:tcBorders>
              <w:top w:val="single" w:color="auto" w:sz="4" w:space="0"/>
              <w:left w:val="single" w:color="auto" w:sz="4" w:space="0"/>
              <w:bottom w:val="single" w:color="auto" w:sz="4" w:space="0"/>
              <w:right w:val="single" w:color="auto" w:sz="4" w:space="0"/>
            </w:tcBorders>
            <w:vAlign w:val="center"/>
          </w:tcPr>
          <w:p w14:paraId="519FDFB2">
            <w:pPr>
              <w:spacing w:line="400" w:lineRule="exact"/>
              <w:rPr>
                <w:rFonts w:ascii="宋体" w:hAnsi="宋体" w:cs="宋体"/>
                <w:color w:val="auto"/>
                <w:szCs w:val="21"/>
                <w:highlight w:val="none"/>
              </w:rPr>
            </w:pPr>
            <w:bookmarkStart w:id="61" w:name="_16.2"/>
            <w:bookmarkEnd w:id="61"/>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DF9E285">
            <w:pPr>
              <w:snapToGrid w:val="0"/>
              <w:spacing w:line="400" w:lineRule="exact"/>
              <w:rPr>
                <w:rFonts w:ascii="宋体" w:hAnsi="宋体" w:cs="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即满足全部采购需求所应提供的服务的价格；包括投标服务的成本、运输（含保险）（如有）、技术服务、培训、税费等所有费用。</w:t>
            </w:r>
            <w:r>
              <w:rPr>
                <w:rFonts w:hint="eastAsia" w:ascii="宋体" w:hAnsi="宋体" w:cs="宋体"/>
                <w:b/>
                <w:bCs/>
                <w:color w:val="auto"/>
                <w:szCs w:val="21"/>
                <w:highlight w:val="none"/>
              </w:rPr>
              <w:t>（采购需求另有约定的，从其约定）</w:t>
            </w:r>
          </w:p>
        </w:tc>
      </w:tr>
      <w:tr w14:paraId="10CC4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BBDF38B">
            <w:pPr>
              <w:spacing w:line="40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1972" w:type="dxa"/>
            <w:tcBorders>
              <w:top w:val="single" w:color="auto" w:sz="4" w:space="0"/>
              <w:left w:val="single" w:color="auto" w:sz="4" w:space="0"/>
              <w:bottom w:val="single" w:color="auto" w:sz="4" w:space="0"/>
              <w:right w:val="single" w:color="auto" w:sz="4" w:space="0"/>
            </w:tcBorders>
            <w:vAlign w:val="center"/>
          </w:tcPr>
          <w:p w14:paraId="36B8D4A3">
            <w:pPr>
              <w:spacing w:line="400" w:lineRule="exact"/>
              <w:rPr>
                <w:rFonts w:ascii="宋体" w:hAnsi="宋体" w:cs="宋体"/>
                <w:color w:val="auto"/>
                <w:szCs w:val="21"/>
                <w:highlight w:val="none"/>
              </w:rPr>
            </w:pPr>
            <w:bookmarkStart w:id="62" w:name="_17.1"/>
            <w:bookmarkEnd w:id="62"/>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53B30C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63" w:name="PO_3000001866_PM046"/>
            <w:r>
              <w:rPr>
                <w:rFonts w:hint="eastAsia" w:ascii="宋体" w:hAnsi="宋体" w:cs="宋体"/>
                <w:color w:val="auto"/>
                <w:szCs w:val="21"/>
                <w:highlight w:val="none"/>
                <w:u w:val="single"/>
              </w:rPr>
              <w:t>60</w:t>
            </w:r>
            <w:bookmarkEnd w:id="63"/>
            <w:r>
              <w:rPr>
                <w:rFonts w:hint="eastAsia" w:ascii="宋体" w:hAnsi="宋体" w:cs="宋体"/>
                <w:color w:val="auto"/>
                <w:szCs w:val="21"/>
                <w:highlight w:val="none"/>
              </w:rPr>
              <w:t>日。</w:t>
            </w:r>
          </w:p>
        </w:tc>
      </w:tr>
      <w:tr w14:paraId="10F84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DB81C2F">
            <w:pPr>
              <w:spacing w:line="400" w:lineRule="exact"/>
              <w:rPr>
                <w:rFonts w:ascii="宋体" w:hAnsi="宋体" w:cs="宋体"/>
                <w:color w:val="auto"/>
                <w:szCs w:val="21"/>
                <w:highlight w:val="none"/>
              </w:rPr>
            </w:pPr>
            <w:r>
              <w:rPr>
                <w:rFonts w:hint="eastAsia" w:ascii="宋体" w:hAnsi="宋体" w:cs="宋体"/>
                <w:color w:val="auto"/>
                <w:szCs w:val="21"/>
                <w:highlight w:val="none"/>
              </w:rPr>
              <w:t>18</w:t>
            </w:r>
          </w:p>
        </w:tc>
        <w:tc>
          <w:tcPr>
            <w:tcW w:w="1972" w:type="dxa"/>
            <w:tcBorders>
              <w:top w:val="single" w:color="auto" w:sz="4" w:space="0"/>
              <w:left w:val="single" w:color="auto" w:sz="4" w:space="0"/>
              <w:bottom w:val="single" w:color="auto" w:sz="4" w:space="0"/>
              <w:right w:val="single" w:color="auto" w:sz="4" w:space="0"/>
            </w:tcBorders>
            <w:vAlign w:val="center"/>
          </w:tcPr>
          <w:p w14:paraId="36D8AEAE">
            <w:pPr>
              <w:spacing w:line="400" w:lineRule="exact"/>
              <w:rPr>
                <w:rFonts w:ascii="宋体" w:hAnsi="宋体" w:cs="宋体"/>
                <w:color w:val="auto"/>
                <w:szCs w:val="21"/>
                <w:highlight w:val="none"/>
              </w:rPr>
            </w:pPr>
            <w:bookmarkStart w:id="64" w:name="_18"/>
            <w:bookmarkEnd w:id="64"/>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EC44DB7">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3DB50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3D3E1D58">
            <w:pPr>
              <w:spacing w:line="40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1972" w:type="dxa"/>
            <w:vMerge w:val="restart"/>
            <w:tcBorders>
              <w:top w:val="single" w:color="auto" w:sz="4" w:space="0"/>
              <w:left w:val="single" w:color="auto" w:sz="4" w:space="0"/>
              <w:right w:val="single" w:color="auto" w:sz="4" w:space="0"/>
            </w:tcBorders>
            <w:vAlign w:val="center"/>
          </w:tcPr>
          <w:p w14:paraId="4A085820">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49A2DC19">
            <w:pPr>
              <w:spacing w:line="400" w:lineRule="exact"/>
              <w:rPr>
                <w:rFonts w:ascii="宋体" w:hAnsi="宋体"/>
                <w:color w:val="auto"/>
                <w:szCs w:val="21"/>
                <w:highlight w:val="none"/>
              </w:rPr>
            </w:pPr>
            <w:r>
              <w:rPr>
                <w:rFonts w:hint="eastAsia" w:ascii="宋体" w:hAnsi="宋体"/>
                <w:color w:val="auto"/>
                <w:szCs w:val="21"/>
                <w:highlight w:val="none"/>
              </w:rPr>
              <w:t>投标人应按本招标文件规定的格式和顺序编制、装订投标文件并标注页码，投标文件内容不完整、编排混乱导致投标文件被误读、漏读或者查找不到相关内容的，由此引发的后果由投标人承担.</w:t>
            </w:r>
          </w:p>
        </w:tc>
      </w:tr>
      <w:tr w14:paraId="0CAE9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50C13D8">
            <w:pPr>
              <w:spacing w:line="400" w:lineRule="exact"/>
              <w:rPr>
                <w:rFonts w:ascii="宋体" w:hAnsi="宋体" w:cs="宋体"/>
                <w:color w:val="auto"/>
                <w:szCs w:val="21"/>
                <w:highlight w:val="none"/>
              </w:rPr>
            </w:pPr>
            <w:r>
              <w:rPr>
                <w:rFonts w:hint="eastAsia" w:ascii="宋体" w:hAnsi="宋体" w:cs="宋体"/>
                <w:color w:val="auto"/>
                <w:szCs w:val="21"/>
                <w:highlight w:val="none"/>
              </w:rPr>
              <w:t>19.2</w:t>
            </w:r>
          </w:p>
        </w:tc>
        <w:tc>
          <w:tcPr>
            <w:tcW w:w="1972" w:type="dxa"/>
            <w:vMerge w:val="continue"/>
            <w:tcBorders>
              <w:left w:val="single" w:color="auto" w:sz="4" w:space="0"/>
              <w:bottom w:val="single" w:color="auto" w:sz="4" w:space="0"/>
              <w:right w:val="single" w:color="auto" w:sz="4" w:space="0"/>
            </w:tcBorders>
            <w:vAlign w:val="center"/>
          </w:tcPr>
          <w:p w14:paraId="5B5BE088">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6031BB9F">
            <w:pPr>
              <w:spacing w:line="400" w:lineRule="exact"/>
              <w:rPr>
                <w:rFonts w:ascii="宋体" w:hAnsi="宋体" w:cs="宋体"/>
                <w:b/>
                <w:color w:val="auto"/>
                <w:szCs w:val="21"/>
                <w:highlight w:val="none"/>
                <w:u w:val="single"/>
              </w:rPr>
            </w:pPr>
            <w:r>
              <w:rPr>
                <w:rFonts w:hint="eastAsia" w:ascii="宋体"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并按“政采云”平台的要求编制、加密、上传</w:t>
            </w:r>
            <w:r>
              <w:rPr>
                <w:rFonts w:hint="eastAsia" w:ascii="宋体" w:hAnsi="宋体" w:cs="宋体"/>
                <w:color w:val="auto"/>
                <w:szCs w:val="21"/>
                <w:highlight w:val="none"/>
              </w:rPr>
              <w:t>。</w:t>
            </w:r>
          </w:p>
        </w:tc>
      </w:tr>
      <w:tr w14:paraId="4DA0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B280DB7">
            <w:pPr>
              <w:spacing w:line="400" w:lineRule="exact"/>
              <w:rPr>
                <w:rFonts w:ascii="宋体" w:hAnsi="宋体" w:cs="宋体"/>
                <w:color w:val="auto"/>
                <w:szCs w:val="21"/>
                <w:highlight w:val="none"/>
              </w:rPr>
            </w:pPr>
            <w:r>
              <w:rPr>
                <w:rFonts w:hint="eastAsia" w:ascii="宋体" w:hAnsi="宋体" w:cs="宋体"/>
                <w:color w:val="auto"/>
                <w:szCs w:val="21"/>
                <w:highlight w:val="none"/>
              </w:rPr>
              <w:t>20.1</w:t>
            </w:r>
          </w:p>
        </w:tc>
        <w:tc>
          <w:tcPr>
            <w:tcW w:w="1972" w:type="dxa"/>
            <w:tcBorders>
              <w:top w:val="single" w:color="auto" w:sz="4" w:space="0"/>
              <w:left w:val="single" w:color="auto" w:sz="4" w:space="0"/>
              <w:bottom w:val="single" w:color="auto" w:sz="4" w:space="0"/>
              <w:right w:val="single" w:color="auto" w:sz="4" w:space="0"/>
            </w:tcBorders>
            <w:vAlign w:val="center"/>
          </w:tcPr>
          <w:p w14:paraId="32F2E45A">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投标文件的加密、解密</w:t>
            </w:r>
          </w:p>
        </w:tc>
        <w:tc>
          <w:tcPr>
            <w:tcW w:w="7297" w:type="dxa"/>
            <w:tcBorders>
              <w:top w:val="single" w:color="auto" w:sz="4" w:space="0"/>
              <w:left w:val="single" w:color="auto" w:sz="4" w:space="0"/>
              <w:bottom w:val="single" w:color="auto" w:sz="4" w:space="0"/>
              <w:right w:val="single" w:color="auto" w:sz="4" w:space="0"/>
            </w:tcBorders>
            <w:vAlign w:val="center"/>
          </w:tcPr>
          <w:p w14:paraId="67B68F13">
            <w:pPr>
              <w:spacing w:line="400" w:lineRule="exact"/>
              <w:rPr>
                <w:rFonts w:ascii="宋体" w:hAnsi="宋体"/>
                <w:color w:val="auto"/>
                <w:szCs w:val="21"/>
                <w:highlight w:val="none"/>
              </w:rPr>
            </w:pPr>
            <w:r>
              <w:rPr>
                <w:rFonts w:hint="eastAsia" w:ascii="宋体" w:hAnsi="宋体"/>
                <w:color w:val="auto"/>
                <w:szCs w:val="21"/>
                <w:highlight w:val="none"/>
              </w:rPr>
              <w:t>电子投标文件应在制作完成后，投标人应按“政采云”平台的要求进行加密，并在规定时间内解密，否则，由此产生的后果由投标人自行负责。</w:t>
            </w:r>
          </w:p>
        </w:tc>
      </w:tr>
      <w:tr w14:paraId="39A90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71" w:type="dxa"/>
            <w:vMerge w:val="restart"/>
            <w:tcBorders>
              <w:top w:val="single" w:color="auto" w:sz="4" w:space="0"/>
              <w:left w:val="single" w:color="auto" w:sz="4" w:space="0"/>
              <w:right w:val="single" w:color="auto" w:sz="4" w:space="0"/>
            </w:tcBorders>
            <w:vAlign w:val="center"/>
          </w:tcPr>
          <w:p w14:paraId="182A31A3">
            <w:pPr>
              <w:spacing w:line="40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1972" w:type="dxa"/>
            <w:tcBorders>
              <w:top w:val="single" w:color="auto" w:sz="4" w:space="0"/>
              <w:left w:val="single" w:color="auto" w:sz="4" w:space="0"/>
              <w:bottom w:val="single" w:color="auto" w:sz="4" w:space="0"/>
              <w:right w:val="single" w:color="auto" w:sz="4" w:space="0"/>
            </w:tcBorders>
            <w:vAlign w:val="center"/>
          </w:tcPr>
          <w:p w14:paraId="0F4539E1">
            <w:pPr>
              <w:spacing w:line="400" w:lineRule="exact"/>
              <w:rPr>
                <w:rFonts w:ascii="宋体" w:hAnsi="宋体" w:cs="宋体"/>
                <w:color w:val="auto"/>
                <w:szCs w:val="21"/>
                <w:highlight w:val="none"/>
              </w:rPr>
            </w:pPr>
            <w:bookmarkStart w:id="65" w:name="_21.1"/>
            <w:bookmarkEnd w:id="65"/>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E2D0FD2">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1BADF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6A1A5C07">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8156B20">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5B7DFB2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29A4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69848EE2">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E8F6BF6">
            <w:pPr>
              <w:spacing w:line="40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974B41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B88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1E0FA86A">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BA841DA">
            <w:pPr>
              <w:spacing w:line="400" w:lineRule="exact"/>
              <w:rPr>
                <w:rFonts w:ascii="宋体" w:hAnsi="宋体" w:cs="宋体"/>
                <w:color w:val="auto"/>
                <w:szCs w:val="21"/>
                <w:highlight w:val="none"/>
              </w:rPr>
            </w:pPr>
            <w:r>
              <w:rPr>
                <w:rFonts w:hint="eastAsia" w:ascii="宋体" w:hAnsi="宋体" w:cs="宋体"/>
                <w:color w:val="auto"/>
                <w:szCs w:val="21"/>
                <w:highlight w:val="none"/>
              </w:rPr>
              <w:t>供应商递交投标样品截止时间及地点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EC5983E">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45A8B8C6">
            <w:pPr>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6A57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F867DC9">
            <w:pPr>
              <w:spacing w:line="400" w:lineRule="exact"/>
              <w:rPr>
                <w:rFonts w:ascii="宋体" w:hAnsi="宋体" w:cs="宋体"/>
                <w:color w:val="auto"/>
                <w:szCs w:val="21"/>
                <w:highlight w:val="none"/>
              </w:rPr>
            </w:pPr>
            <w:r>
              <w:rPr>
                <w:rFonts w:hint="eastAsia" w:ascii="宋体" w:hAnsi="宋体" w:cs="宋体"/>
                <w:color w:val="auto"/>
                <w:szCs w:val="21"/>
                <w:highlight w:val="none"/>
              </w:rPr>
              <w:t>23</w:t>
            </w:r>
          </w:p>
        </w:tc>
        <w:tc>
          <w:tcPr>
            <w:tcW w:w="1972" w:type="dxa"/>
            <w:tcBorders>
              <w:top w:val="single" w:color="auto" w:sz="4" w:space="0"/>
              <w:left w:val="single" w:color="auto" w:sz="4" w:space="0"/>
              <w:bottom w:val="single" w:color="auto" w:sz="4" w:space="0"/>
              <w:right w:val="single" w:color="auto" w:sz="4" w:space="0"/>
            </w:tcBorders>
            <w:vAlign w:val="center"/>
          </w:tcPr>
          <w:p w14:paraId="0FB2D63E">
            <w:pPr>
              <w:spacing w:line="400" w:lineRule="exact"/>
              <w:rPr>
                <w:rFonts w:ascii="宋体" w:hAnsi="宋体" w:cs="宋体"/>
                <w:color w:val="auto"/>
                <w:szCs w:val="21"/>
                <w:highlight w:val="none"/>
              </w:rPr>
            </w:pPr>
            <w:bookmarkStart w:id="66" w:name="_23"/>
            <w:bookmarkEnd w:id="66"/>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09A9D5C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77E35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71" w:type="dxa"/>
            <w:vMerge w:val="restart"/>
            <w:tcBorders>
              <w:top w:val="single" w:color="auto" w:sz="4" w:space="0"/>
              <w:left w:val="single" w:color="auto" w:sz="4" w:space="0"/>
              <w:right w:val="single" w:color="auto" w:sz="4" w:space="0"/>
            </w:tcBorders>
            <w:vAlign w:val="center"/>
          </w:tcPr>
          <w:p w14:paraId="0C86E198">
            <w:pPr>
              <w:spacing w:line="40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1972" w:type="dxa"/>
            <w:tcBorders>
              <w:top w:val="single" w:color="auto" w:sz="4" w:space="0"/>
              <w:left w:val="single" w:color="auto" w:sz="4" w:space="0"/>
              <w:bottom w:val="single" w:color="auto" w:sz="4" w:space="0"/>
              <w:right w:val="single" w:color="auto" w:sz="4" w:space="0"/>
            </w:tcBorders>
            <w:vAlign w:val="center"/>
          </w:tcPr>
          <w:p w14:paraId="080E8E26">
            <w:pPr>
              <w:spacing w:line="400" w:lineRule="exact"/>
              <w:rPr>
                <w:rFonts w:ascii="宋体" w:hAnsi="宋体" w:cs="宋体"/>
                <w:color w:val="auto"/>
                <w:szCs w:val="21"/>
                <w:highlight w:val="none"/>
              </w:rPr>
            </w:pPr>
            <w:bookmarkStart w:id="67" w:name="_25.3"/>
            <w:bookmarkEnd w:id="67"/>
            <w:r>
              <w:rPr>
                <w:rFonts w:hint="eastAsia" w:ascii="宋体" w:hAnsi="宋体" w:cs="宋体"/>
                <w:color w:val="auto"/>
                <w:szCs w:val="21"/>
                <w:highlight w:val="none"/>
              </w:rPr>
              <w:t>供应商信用查询渠道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133181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采购人或者采购代理机构在资格审查结束前，对供应商进行信用查询。</w:t>
            </w:r>
          </w:p>
          <w:p w14:paraId="0673C9F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5B92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71" w:type="dxa"/>
            <w:vMerge w:val="continue"/>
            <w:tcBorders>
              <w:left w:val="single" w:color="auto" w:sz="4" w:space="0"/>
              <w:right w:val="single" w:color="auto" w:sz="4" w:space="0"/>
            </w:tcBorders>
            <w:vAlign w:val="center"/>
          </w:tcPr>
          <w:p w14:paraId="05D8AB7C">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0359DAC">
            <w:pPr>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403566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7A1B3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1" w:type="dxa"/>
            <w:vMerge w:val="continue"/>
            <w:tcBorders>
              <w:left w:val="single" w:color="auto" w:sz="4" w:space="0"/>
              <w:right w:val="single" w:color="auto" w:sz="4" w:space="0"/>
            </w:tcBorders>
            <w:vAlign w:val="center"/>
          </w:tcPr>
          <w:p w14:paraId="0B9BF8E8">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1BACF36">
            <w:pPr>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1DD5A1D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在查询网站中直接截图查询记录，截图作为在“政采云”平台作为附件上传保存。</w:t>
            </w:r>
          </w:p>
        </w:tc>
      </w:tr>
      <w:tr w14:paraId="48C03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1" w:type="dxa"/>
            <w:vMerge w:val="continue"/>
            <w:tcBorders>
              <w:left w:val="single" w:color="auto" w:sz="4" w:space="0"/>
              <w:bottom w:val="single" w:color="auto" w:sz="4" w:space="0"/>
              <w:right w:val="single" w:color="auto" w:sz="4" w:space="0"/>
            </w:tcBorders>
            <w:vAlign w:val="center"/>
          </w:tcPr>
          <w:p w14:paraId="43350B43">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EE23E09">
            <w:pPr>
              <w:spacing w:line="40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60BF3D9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B974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tcBorders>
              <w:top w:val="single" w:color="auto" w:sz="4" w:space="0"/>
              <w:left w:val="single" w:color="auto" w:sz="4" w:space="0"/>
              <w:bottom w:val="single" w:color="auto" w:sz="4" w:space="0"/>
              <w:right w:val="single" w:color="auto" w:sz="4" w:space="0"/>
            </w:tcBorders>
            <w:vAlign w:val="center"/>
          </w:tcPr>
          <w:p w14:paraId="4004193E">
            <w:pPr>
              <w:spacing w:line="400" w:lineRule="exact"/>
              <w:rPr>
                <w:rFonts w:ascii="宋体" w:hAnsi="宋体" w:cs="宋体"/>
                <w:color w:val="auto"/>
                <w:szCs w:val="21"/>
                <w:highlight w:val="none"/>
              </w:rPr>
            </w:pPr>
            <w:r>
              <w:rPr>
                <w:rFonts w:hint="eastAsia" w:ascii="宋体" w:hAnsi="宋体" w:cs="宋体"/>
                <w:color w:val="auto"/>
                <w:szCs w:val="21"/>
                <w:highlight w:val="none"/>
              </w:rPr>
              <w:t>26</w:t>
            </w:r>
          </w:p>
        </w:tc>
        <w:tc>
          <w:tcPr>
            <w:tcW w:w="1972" w:type="dxa"/>
            <w:tcBorders>
              <w:top w:val="single" w:color="auto" w:sz="4" w:space="0"/>
              <w:left w:val="single" w:color="auto" w:sz="4" w:space="0"/>
              <w:bottom w:val="single" w:color="auto" w:sz="4" w:space="0"/>
              <w:right w:val="single" w:color="auto" w:sz="4" w:space="0"/>
            </w:tcBorders>
            <w:vAlign w:val="center"/>
          </w:tcPr>
          <w:p w14:paraId="78768829">
            <w:pPr>
              <w:spacing w:line="400" w:lineRule="exact"/>
              <w:rPr>
                <w:rFonts w:ascii="宋体" w:hAnsi="宋体" w:cs="宋体"/>
                <w:color w:val="auto"/>
                <w:szCs w:val="21"/>
                <w:highlight w:val="none"/>
              </w:rPr>
            </w:pPr>
            <w:r>
              <w:rPr>
                <w:rFonts w:hint="eastAsia" w:ascii="宋体" w:hAnsi="宋体"/>
                <w:color w:val="auto"/>
                <w:szCs w:val="21"/>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vAlign w:val="center"/>
          </w:tcPr>
          <w:p w14:paraId="71D23F5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w:t>
            </w:r>
          </w:p>
        </w:tc>
      </w:tr>
      <w:tr w14:paraId="48057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2C6F669">
            <w:pPr>
              <w:spacing w:line="40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1972" w:type="dxa"/>
            <w:tcBorders>
              <w:top w:val="single" w:color="auto" w:sz="4" w:space="0"/>
              <w:left w:val="single" w:color="auto" w:sz="4" w:space="0"/>
              <w:bottom w:val="single" w:color="auto" w:sz="4" w:space="0"/>
              <w:right w:val="single" w:color="auto" w:sz="4" w:space="0"/>
            </w:tcBorders>
            <w:vAlign w:val="center"/>
          </w:tcPr>
          <w:p w14:paraId="5D06DBD3">
            <w:pPr>
              <w:spacing w:line="400" w:lineRule="exact"/>
              <w:rPr>
                <w:rFonts w:ascii="宋体" w:hAnsi="宋体" w:cs="宋体"/>
                <w:color w:val="auto"/>
                <w:szCs w:val="21"/>
                <w:highlight w:val="none"/>
              </w:rPr>
            </w:pPr>
            <w:bookmarkStart w:id="68" w:name="_26"/>
            <w:bookmarkEnd w:id="68"/>
            <w:bookmarkStart w:id="69" w:name="_28.3"/>
            <w:bookmarkEnd w:id="69"/>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58E44814">
            <w:pPr>
              <w:autoSpaceDE w:val="0"/>
              <w:autoSpaceDN w:val="0"/>
              <w:snapToGrid w:val="0"/>
              <w:spacing w:line="40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☑综合评分法</w:t>
            </w:r>
          </w:p>
          <w:p w14:paraId="1CE0313D">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25E05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1" w:type="dxa"/>
            <w:tcBorders>
              <w:top w:val="single" w:color="auto" w:sz="4" w:space="0"/>
              <w:left w:val="single" w:color="auto" w:sz="4" w:space="0"/>
              <w:right w:val="single" w:color="auto" w:sz="4" w:space="0"/>
            </w:tcBorders>
            <w:vAlign w:val="center"/>
          </w:tcPr>
          <w:p w14:paraId="05B22F26">
            <w:pPr>
              <w:spacing w:line="40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1972" w:type="dxa"/>
            <w:tcBorders>
              <w:top w:val="single" w:color="auto" w:sz="4" w:space="0"/>
              <w:left w:val="single" w:color="auto" w:sz="4" w:space="0"/>
              <w:right w:val="single" w:color="auto" w:sz="4" w:space="0"/>
            </w:tcBorders>
            <w:vAlign w:val="center"/>
          </w:tcPr>
          <w:p w14:paraId="693EF154">
            <w:pPr>
              <w:spacing w:line="400" w:lineRule="exact"/>
              <w:rPr>
                <w:rFonts w:ascii="宋体" w:hAnsi="宋体" w:cs="宋体"/>
                <w:color w:val="auto"/>
                <w:szCs w:val="21"/>
                <w:highlight w:val="none"/>
              </w:rPr>
            </w:pPr>
            <w:bookmarkStart w:id="70" w:name="_29.2.2（2）"/>
            <w:bookmarkEnd w:id="70"/>
            <w:r>
              <w:rPr>
                <w:rFonts w:hint="eastAsia" w:ascii="宋体" w:hAnsi="宋体" w:cs="宋体"/>
                <w:color w:val="auto"/>
                <w:szCs w:val="21"/>
                <w:highlight w:val="none"/>
              </w:rPr>
              <w:t>允许负偏离项</w:t>
            </w:r>
          </w:p>
        </w:tc>
        <w:tc>
          <w:tcPr>
            <w:tcW w:w="7297" w:type="dxa"/>
            <w:tcBorders>
              <w:top w:val="single" w:color="auto" w:sz="4" w:space="0"/>
              <w:left w:val="single" w:color="auto" w:sz="4" w:space="0"/>
              <w:right w:val="single" w:color="auto" w:sz="4" w:space="0"/>
            </w:tcBorders>
            <w:vAlign w:val="center"/>
          </w:tcPr>
          <w:p w14:paraId="419F326E">
            <w:pPr>
              <w:snapToGrid w:val="0"/>
              <w:spacing w:line="276" w:lineRule="auto"/>
              <w:rPr>
                <w:rFonts w:ascii="宋体" w:hAnsi="宋体"/>
                <w:color w:val="auto"/>
                <w:sz w:val="21"/>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w:t>
            </w:r>
            <w:r>
              <w:rPr>
                <w:rFonts w:hint="eastAsia" w:ascii="宋体" w:hAnsi="宋体"/>
                <w:color w:val="auto"/>
                <w:szCs w:val="21"/>
                <w:highlight w:val="none"/>
                <w:lang w:val="en-US" w:eastAsia="zh-CN"/>
              </w:rPr>
              <w:t>非</w:t>
            </w:r>
            <w:r>
              <w:rPr>
                <w:rFonts w:hint="eastAsia" w:ascii="宋体" w:hAnsi="宋体"/>
                <w:color w:val="auto"/>
                <w:szCs w:val="21"/>
                <w:highlight w:val="none"/>
              </w:rPr>
              <w:t>实质性条款数为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r>
              <w:rPr>
                <w:rFonts w:hint="eastAsia" w:ascii="宋体" w:hAnsi="宋体"/>
                <w:color w:val="auto"/>
                <w:sz w:val="21"/>
                <w:szCs w:val="21"/>
                <w:highlight w:val="none"/>
              </w:rPr>
              <w:t>。</w:t>
            </w:r>
          </w:p>
          <w:p w14:paraId="448A44D4">
            <w:pPr>
              <w:snapToGrid w:val="0"/>
              <w:spacing w:line="400" w:lineRule="exact"/>
              <w:rPr>
                <w:rFonts w:ascii="宋体" w:hAnsi="宋体" w:cs="宋体"/>
                <w:color w:val="auto"/>
                <w:szCs w:val="21"/>
                <w:highlight w:val="none"/>
              </w:rPr>
            </w:pPr>
            <w:r>
              <w:rPr>
                <w:rFonts w:hint="eastAsia" w:ascii="宋体" w:hAnsi="宋体" w:cs="宋体"/>
                <w:color w:val="auto"/>
                <w:sz w:val="21"/>
                <w:szCs w:val="21"/>
                <w:highlight w:val="none"/>
              </w:rPr>
              <w:t>技术要求</w:t>
            </w:r>
            <w:r>
              <w:rPr>
                <w:rFonts w:hint="eastAsia" w:ascii="宋体" w:hAnsi="宋体"/>
                <w:color w:val="auto"/>
                <w:sz w:val="21"/>
                <w:szCs w:val="21"/>
                <w:highlight w:val="none"/>
              </w:rPr>
              <w:t>评审中允许负偏离的</w:t>
            </w:r>
            <w:r>
              <w:rPr>
                <w:rFonts w:hint="eastAsia" w:ascii="宋体" w:hAnsi="宋体"/>
                <w:color w:val="auto"/>
                <w:szCs w:val="21"/>
                <w:highlight w:val="none"/>
                <w:lang w:val="en-US" w:eastAsia="zh-CN"/>
              </w:rPr>
              <w:t>非</w:t>
            </w:r>
            <w:r>
              <w:rPr>
                <w:rFonts w:hint="eastAsia" w:ascii="宋体" w:hAnsi="宋体"/>
                <w:color w:val="auto"/>
                <w:szCs w:val="21"/>
                <w:highlight w:val="none"/>
              </w:rPr>
              <w:t>实质性条款</w:t>
            </w:r>
            <w:r>
              <w:rPr>
                <w:rFonts w:hint="eastAsia" w:ascii="宋体" w:hAnsi="宋体"/>
                <w:color w:val="auto"/>
                <w:sz w:val="21"/>
                <w:szCs w:val="21"/>
                <w:highlight w:val="none"/>
              </w:rPr>
              <w:t>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r>
              <w:rPr>
                <w:rFonts w:hint="eastAsia" w:ascii="宋体" w:hAnsi="宋体" w:cs="宋体"/>
                <w:color w:val="auto"/>
                <w:sz w:val="21"/>
                <w:szCs w:val="21"/>
                <w:highlight w:val="none"/>
              </w:rPr>
              <w:t>。</w:t>
            </w:r>
          </w:p>
        </w:tc>
      </w:tr>
      <w:tr w14:paraId="7E48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7BBDBFF5">
            <w:pPr>
              <w:spacing w:line="40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1972" w:type="dxa"/>
            <w:tcBorders>
              <w:top w:val="single" w:color="auto" w:sz="4" w:space="0"/>
              <w:left w:val="single" w:color="auto" w:sz="4" w:space="0"/>
              <w:bottom w:val="single" w:color="auto" w:sz="4" w:space="0"/>
              <w:right w:val="single" w:color="auto" w:sz="4" w:space="0"/>
            </w:tcBorders>
            <w:vAlign w:val="center"/>
          </w:tcPr>
          <w:p w14:paraId="4E37A7D9">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3A51610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□采用最低评标价法的，投标文件满足招标文件全部实质性要求且投标报价最低的供应商为排名第一的中标候选人； </w:t>
            </w:r>
          </w:p>
          <w:p w14:paraId="1392F6D9">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b/>
                <w:bCs/>
                <w:color w:val="auto"/>
                <w:szCs w:val="21"/>
                <w:highlight w:val="none"/>
              </w:rPr>
              <w:t>☑采用综合评分法的，按投标报价由低到高顺序排列。得分且投标报价相同的并列。投标文件满足招标文件全部实质性要求，且按照评审因素的量化指标评审得分最高的供应商为排名第一的中标候选人。</w:t>
            </w:r>
          </w:p>
        </w:tc>
      </w:tr>
      <w:tr w14:paraId="2ABC6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1" w:type="dxa"/>
            <w:tcBorders>
              <w:top w:val="single" w:color="auto" w:sz="4" w:space="0"/>
              <w:left w:val="single" w:color="auto" w:sz="4" w:space="0"/>
              <w:bottom w:val="single" w:color="auto" w:sz="4" w:space="0"/>
              <w:right w:val="single" w:color="auto" w:sz="4" w:space="0"/>
            </w:tcBorders>
            <w:vAlign w:val="center"/>
          </w:tcPr>
          <w:p w14:paraId="7DC8ADEB">
            <w:pPr>
              <w:spacing w:line="400" w:lineRule="exact"/>
              <w:rPr>
                <w:rFonts w:ascii="宋体" w:hAnsi="宋体" w:cs="宋体"/>
                <w:color w:val="auto"/>
                <w:szCs w:val="21"/>
                <w:highlight w:val="none"/>
              </w:rPr>
            </w:pPr>
            <w:r>
              <w:rPr>
                <w:rFonts w:hint="eastAsia" w:ascii="宋体" w:hAnsi="宋体" w:cs="宋体"/>
                <w:color w:val="auto"/>
                <w:szCs w:val="21"/>
                <w:highlight w:val="none"/>
              </w:rPr>
              <w:t>35.1</w:t>
            </w:r>
          </w:p>
        </w:tc>
        <w:tc>
          <w:tcPr>
            <w:tcW w:w="1972" w:type="dxa"/>
            <w:tcBorders>
              <w:top w:val="single" w:color="auto" w:sz="4" w:space="0"/>
              <w:left w:val="single" w:color="auto" w:sz="4" w:space="0"/>
              <w:bottom w:val="single" w:color="auto" w:sz="4" w:space="0"/>
              <w:right w:val="single" w:color="auto" w:sz="4" w:space="0"/>
            </w:tcBorders>
            <w:vAlign w:val="center"/>
          </w:tcPr>
          <w:p w14:paraId="6A7F6E6F">
            <w:pPr>
              <w:spacing w:line="400" w:lineRule="exact"/>
              <w:rPr>
                <w:rFonts w:ascii="宋体" w:hAnsi="宋体" w:cs="宋体"/>
                <w:color w:val="auto"/>
                <w:szCs w:val="21"/>
                <w:highlight w:val="none"/>
              </w:rPr>
            </w:pPr>
            <w:bookmarkStart w:id="71" w:name="_39.1"/>
            <w:bookmarkEnd w:id="71"/>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AEAF0A5">
            <w:pPr>
              <w:autoSpaceDE w:val="0"/>
              <w:autoSpaceDN w:val="0"/>
              <w:snapToGrid w:val="0"/>
              <w:spacing w:line="40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履约保证金金额：人民币</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拾万元整（¥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0000.00）。</w:t>
            </w:r>
          </w:p>
          <w:p w14:paraId="412478C3">
            <w:pPr>
              <w:autoSpaceDE w:val="0"/>
              <w:autoSpaceDN w:val="0"/>
              <w:snapToGrid w:val="0"/>
              <w:spacing w:line="40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履约保证金递交方式：银行转账、支票、汇票、本票等非现金方式。</w:t>
            </w:r>
          </w:p>
          <w:p w14:paraId="14F38341">
            <w:pPr>
              <w:autoSpaceDE w:val="0"/>
              <w:autoSpaceDN w:val="0"/>
              <w:snapToGrid w:val="0"/>
              <w:spacing w:line="40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7EE73C06">
            <w:pPr>
              <w:autoSpaceDE w:val="0"/>
              <w:autoSpaceDN w:val="0"/>
              <w:snapToGrid w:val="0"/>
              <w:spacing w:line="40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合同签订前，中标人向采购人指定账户交纳履约保证金。中标人按照合同要求完成服务工作，合同期满，经采购人验收合格后，履约保证金全额退回（不计利息）。</w:t>
            </w:r>
          </w:p>
        </w:tc>
      </w:tr>
      <w:tr w14:paraId="2F4A0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D9AB7EC">
            <w:pPr>
              <w:spacing w:line="40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1972" w:type="dxa"/>
            <w:tcBorders>
              <w:top w:val="single" w:color="auto" w:sz="4" w:space="0"/>
              <w:left w:val="single" w:color="auto" w:sz="4" w:space="0"/>
              <w:bottom w:val="single" w:color="auto" w:sz="4" w:space="0"/>
              <w:right w:val="single" w:color="auto" w:sz="4" w:space="0"/>
            </w:tcBorders>
            <w:vAlign w:val="center"/>
          </w:tcPr>
          <w:p w14:paraId="6C34EA39">
            <w:pPr>
              <w:spacing w:line="400" w:lineRule="exact"/>
              <w:rPr>
                <w:rFonts w:ascii="宋体" w:hAnsi="宋体" w:cs="宋体"/>
                <w:color w:val="auto"/>
                <w:szCs w:val="21"/>
                <w:highlight w:val="none"/>
              </w:rPr>
            </w:pPr>
            <w:bookmarkStart w:id="72" w:name="_40.1"/>
            <w:bookmarkEnd w:id="72"/>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6C9761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52BDA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71" w:type="dxa"/>
            <w:vMerge w:val="restart"/>
            <w:tcBorders>
              <w:top w:val="single" w:color="auto" w:sz="4" w:space="0"/>
              <w:left w:val="single" w:color="auto" w:sz="4" w:space="0"/>
              <w:right w:val="single" w:color="auto" w:sz="4" w:space="0"/>
            </w:tcBorders>
            <w:vAlign w:val="center"/>
          </w:tcPr>
          <w:p w14:paraId="2049CA6B">
            <w:pPr>
              <w:spacing w:line="40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1972" w:type="dxa"/>
            <w:tcBorders>
              <w:top w:val="single" w:color="auto" w:sz="4" w:space="0"/>
              <w:left w:val="single" w:color="auto" w:sz="4" w:space="0"/>
              <w:bottom w:val="single" w:color="auto" w:sz="4" w:space="0"/>
              <w:right w:val="single" w:color="auto" w:sz="4" w:space="0"/>
            </w:tcBorders>
            <w:vAlign w:val="center"/>
          </w:tcPr>
          <w:p w14:paraId="15D9788C">
            <w:pPr>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31A6B39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0A5DF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right w:val="single" w:color="auto" w:sz="4" w:space="0"/>
            </w:tcBorders>
            <w:vAlign w:val="center"/>
          </w:tcPr>
          <w:p w14:paraId="5DD68851">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77C7919">
            <w:pPr>
              <w:spacing w:line="40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1B1FBF3">
            <w:pPr>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（1）</w:t>
            </w:r>
            <w:bookmarkStart w:id="73" w:name="PO_3000001866_PM031_3"/>
            <w:r>
              <w:rPr>
                <w:rFonts w:hint="eastAsia" w:ascii="宋体" w:hAnsi="宋体" w:cs="宋体"/>
                <w:color w:val="auto"/>
                <w:szCs w:val="21"/>
                <w:highlight w:val="none"/>
                <w:u w:val="none"/>
              </w:rPr>
              <w:t>广西建设工程机电设备招标中心有限公司</w:t>
            </w:r>
            <w:bookmarkEnd w:id="73"/>
            <w:r>
              <w:rPr>
                <w:rFonts w:hint="eastAsia" w:ascii="宋体" w:hAnsi="宋体" w:cs="宋体"/>
                <w:color w:val="auto"/>
                <w:szCs w:val="21"/>
                <w:highlight w:val="none"/>
                <w:u w:val="none"/>
              </w:rPr>
              <w:t>；</w:t>
            </w:r>
          </w:p>
          <w:p w14:paraId="24EA9D81">
            <w:pPr>
              <w:snapToGrid w:val="0"/>
              <w:spacing w:line="400" w:lineRule="exact"/>
              <w:rPr>
                <w:rFonts w:ascii="宋体" w:hAnsi="宋体" w:cs="宋体"/>
                <w:color w:val="auto"/>
                <w:szCs w:val="21"/>
                <w:highlight w:val="none"/>
                <w:u w:val="none"/>
              </w:rPr>
            </w:pPr>
            <w:r>
              <w:rPr>
                <w:rFonts w:hint="eastAsia" w:ascii="宋体" w:hAnsi="宋体"/>
                <w:color w:val="auto"/>
                <w:szCs w:val="21"/>
                <w:highlight w:val="none"/>
              </w:rPr>
              <w:t>质疑联</w:t>
            </w:r>
            <w:r>
              <w:rPr>
                <w:rFonts w:hint="eastAsia" w:ascii="宋体" w:hAnsi="宋体"/>
                <w:color w:val="auto"/>
                <w:szCs w:val="21"/>
                <w:highlight w:val="none"/>
                <w:u w:val="none"/>
              </w:rPr>
              <w:t>系人：</w:t>
            </w:r>
            <w:r>
              <w:rPr>
                <w:rFonts w:hint="eastAsia" w:ascii="宋体" w:hAnsi="宋体"/>
                <w:color w:val="auto"/>
                <w:szCs w:val="21"/>
                <w:highlight w:val="none"/>
                <w:u w:val="none"/>
                <w:lang w:val="en-US" w:eastAsia="zh-CN"/>
              </w:rPr>
              <w:t>谭琦辉、廖东有</w:t>
            </w:r>
            <w:r>
              <w:rPr>
                <w:rFonts w:hint="eastAsia" w:ascii="宋体" w:hAnsi="宋体"/>
                <w:color w:val="auto"/>
                <w:szCs w:val="21"/>
                <w:highlight w:val="none"/>
                <w:u w:val="none"/>
              </w:rPr>
              <w:t xml:space="preserve">  </w:t>
            </w:r>
            <w:r>
              <w:rPr>
                <w:rFonts w:hint="eastAsia" w:ascii="宋体" w:hAnsi="宋体" w:cs="宋体"/>
                <w:color w:val="auto"/>
                <w:szCs w:val="21"/>
                <w:highlight w:val="none"/>
                <w:u w:val="none"/>
              </w:rPr>
              <w:t>联系电话：</w:t>
            </w:r>
            <w:bookmarkStart w:id="74" w:name="PO_3000001866_PM033_1"/>
            <w:r>
              <w:rPr>
                <w:rFonts w:hint="eastAsia" w:ascii="宋体" w:hAnsi="宋体" w:cs="宋体"/>
                <w:color w:val="auto"/>
                <w:szCs w:val="21"/>
                <w:highlight w:val="none"/>
                <w:u w:val="none"/>
              </w:rPr>
              <w:t>0771-</w:t>
            </w:r>
            <w:bookmarkEnd w:id="74"/>
            <w:r>
              <w:rPr>
                <w:rFonts w:hint="eastAsia" w:ascii="宋体" w:hAnsi="宋体" w:cs="宋体"/>
                <w:color w:val="auto"/>
                <w:szCs w:val="21"/>
                <w:highlight w:val="none"/>
                <w:u w:val="none"/>
              </w:rPr>
              <w:t>2821389</w:t>
            </w:r>
          </w:p>
          <w:p w14:paraId="2EADAC20">
            <w:pPr>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通讯地址：</w:t>
            </w:r>
            <w:r>
              <w:rPr>
                <w:rFonts w:hint="eastAsia" w:ascii="宋体" w:hAnsi="宋体"/>
                <w:color w:val="auto"/>
                <w:szCs w:val="21"/>
                <w:highlight w:val="none"/>
                <w:u w:val="none"/>
              </w:rPr>
              <w:t>南宁市青秀区枫林路18号宏桂大厦裙楼3楼</w:t>
            </w:r>
          </w:p>
          <w:p w14:paraId="3A26D213">
            <w:pPr>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（2）</w:t>
            </w:r>
            <w:r>
              <w:rPr>
                <w:rFonts w:hint="eastAsia" w:ascii="宋体" w:hAnsi="宋体" w:cs="宋体"/>
                <w:color w:val="auto"/>
                <w:szCs w:val="21"/>
                <w:highlight w:val="none"/>
                <w:u w:val="none"/>
                <w:lang w:eastAsia="zh-CN"/>
              </w:rPr>
              <w:t>平南县镇隆镇第一初级中学</w:t>
            </w:r>
            <w:r>
              <w:rPr>
                <w:rFonts w:hint="eastAsia" w:ascii="宋体" w:hAnsi="宋体" w:cs="宋体"/>
                <w:color w:val="auto"/>
                <w:szCs w:val="21"/>
                <w:highlight w:val="none"/>
                <w:u w:val="none"/>
              </w:rPr>
              <w:t>；</w:t>
            </w:r>
          </w:p>
          <w:p w14:paraId="5E56F44E">
            <w:pPr>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联系电话：0775-7631641，</w:t>
            </w:r>
          </w:p>
          <w:p w14:paraId="1FF45278">
            <w:pPr>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none"/>
              </w:rPr>
              <w:t>通讯地址：</w:t>
            </w:r>
            <w:r>
              <w:rPr>
                <w:rFonts w:hint="eastAsia" w:ascii="宋体" w:hAnsi="宋体" w:cs="宋体"/>
                <w:color w:val="auto"/>
                <w:szCs w:val="21"/>
                <w:highlight w:val="none"/>
                <w:u w:val="none"/>
                <w:lang w:val="en-US" w:eastAsia="zh-CN"/>
              </w:rPr>
              <w:t>平南县镇隆镇</w:t>
            </w:r>
          </w:p>
        </w:tc>
      </w:tr>
      <w:tr w14:paraId="4B305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bottom w:val="single" w:color="auto" w:sz="4" w:space="0"/>
              <w:right w:val="single" w:color="auto" w:sz="4" w:space="0"/>
            </w:tcBorders>
            <w:vAlign w:val="center"/>
          </w:tcPr>
          <w:p w14:paraId="4E6F9753">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0B127FD">
            <w:pPr>
              <w:spacing w:line="40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654B3E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 xml:space="preserve"> 8</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15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4730D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971" w:type="dxa"/>
            <w:tcBorders>
              <w:left w:val="single" w:color="auto" w:sz="4" w:space="0"/>
              <w:bottom w:val="single" w:color="auto" w:sz="4" w:space="0"/>
              <w:right w:val="single" w:color="auto" w:sz="4" w:space="0"/>
            </w:tcBorders>
            <w:vAlign w:val="center"/>
          </w:tcPr>
          <w:p w14:paraId="29498FCC">
            <w:pPr>
              <w:spacing w:line="40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1972" w:type="dxa"/>
            <w:tcBorders>
              <w:top w:val="single" w:color="auto" w:sz="4" w:space="0"/>
              <w:left w:val="single" w:color="auto" w:sz="4" w:space="0"/>
              <w:bottom w:val="single" w:color="auto" w:sz="4" w:space="0"/>
              <w:right w:val="single" w:color="auto" w:sz="4" w:space="0"/>
            </w:tcBorders>
            <w:vAlign w:val="center"/>
          </w:tcPr>
          <w:p w14:paraId="58DD0420">
            <w:pPr>
              <w:spacing w:line="40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310A824">
            <w:pPr>
              <w:snapToGrid w:val="0"/>
              <w:spacing w:line="380" w:lineRule="exact"/>
              <w:rPr>
                <w:rFonts w:hAnsi="宋体"/>
                <w:color w:val="auto"/>
                <w:highlight w:val="none"/>
              </w:rPr>
            </w:pPr>
            <w:r>
              <w:rPr>
                <w:rFonts w:hint="eastAsia" w:hAnsi="宋体"/>
                <w:color w:val="auto"/>
                <w:highlight w:val="none"/>
              </w:rPr>
              <w:t>1、受理方式：纸质方式受理，投诉书正、副本（经过质疑的事项才可投诉）。</w:t>
            </w:r>
          </w:p>
          <w:p w14:paraId="0DE90474">
            <w:pPr>
              <w:snapToGrid w:val="0"/>
              <w:spacing w:line="380" w:lineRule="exact"/>
              <w:rPr>
                <w:rFonts w:ascii="宋体" w:hAnsi="宋体" w:cs="宋体"/>
                <w:color w:val="auto"/>
                <w:szCs w:val="21"/>
                <w:highlight w:val="none"/>
              </w:rPr>
            </w:pPr>
            <w:r>
              <w:rPr>
                <w:rFonts w:hint="eastAsia" w:hAnsi="宋体"/>
                <w:color w:val="auto"/>
                <w:highlight w:val="none"/>
              </w:rPr>
              <w:t>2、平南县财政局政府采购监督管理股，电话：0775-7820666。</w:t>
            </w:r>
          </w:p>
        </w:tc>
      </w:tr>
      <w:tr w14:paraId="34A4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971" w:type="dxa"/>
            <w:vMerge w:val="restart"/>
            <w:tcBorders>
              <w:top w:val="single" w:color="auto" w:sz="4" w:space="0"/>
              <w:left w:val="single" w:color="auto" w:sz="4" w:space="0"/>
              <w:right w:val="single" w:color="auto" w:sz="4" w:space="0"/>
            </w:tcBorders>
            <w:vAlign w:val="center"/>
          </w:tcPr>
          <w:p w14:paraId="6C0D48AC">
            <w:pPr>
              <w:spacing w:line="400" w:lineRule="exact"/>
              <w:rPr>
                <w:rFonts w:ascii="宋体" w:hAnsi="宋体" w:cs="宋体"/>
                <w:color w:val="auto"/>
                <w:szCs w:val="21"/>
                <w:highlight w:val="none"/>
              </w:rPr>
            </w:pPr>
            <w:r>
              <w:rPr>
                <w:rFonts w:hint="eastAsia" w:ascii="宋体" w:hAnsi="宋体" w:cs="宋体"/>
                <w:color w:val="auto"/>
                <w:szCs w:val="21"/>
                <w:highlight w:val="none"/>
              </w:rPr>
              <w:t>39.1</w:t>
            </w:r>
          </w:p>
        </w:tc>
        <w:tc>
          <w:tcPr>
            <w:tcW w:w="1972" w:type="dxa"/>
            <w:tcBorders>
              <w:top w:val="single" w:color="auto" w:sz="4" w:space="0"/>
              <w:left w:val="single" w:color="auto" w:sz="4" w:space="0"/>
              <w:bottom w:val="single" w:color="auto" w:sz="4" w:space="0"/>
              <w:right w:val="single" w:color="auto" w:sz="4" w:space="0"/>
            </w:tcBorders>
            <w:vAlign w:val="center"/>
          </w:tcPr>
          <w:p w14:paraId="44531261">
            <w:pPr>
              <w:spacing w:line="400" w:lineRule="exact"/>
              <w:rPr>
                <w:rFonts w:ascii="宋体" w:hAnsi="宋体" w:cs="宋体"/>
                <w:color w:val="auto"/>
                <w:szCs w:val="21"/>
                <w:highlight w:val="none"/>
              </w:rPr>
            </w:pPr>
            <w:bookmarkStart w:id="75" w:name="_41"/>
            <w:bookmarkEnd w:id="75"/>
            <w:bookmarkStart w:id="76" w:name="_42"/>
            <w:bookmarkEnd w:id="76"/>
            <w:r>
              <w:rPr>
                <w:rFonts w:hint="eastAsia" w:ascii="宋体" w:hAnsi="宋体" w:cs="宋体"/>
                <w:color w:val="auto"/>
                <w:szCs w:val="21"/>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325F36F">
            <w:pPr>
              <w:pStyle w:val="19"/>
              <w:snapToGrid w:val="0"/>
              <w:spacing w:line="400" w:lineRule="exact"/>
              <w:rPr>
                <w:rFonts w:hAnsi="宋体" w:cs="宋体"/>
                <w:color w:val="auto"/>
                <w:szCs w:val="21"/>
                <w:highlight w:val="none"/>
              </w:rPr>
            </w:pPr>
            <w:r>
              <w:rPr>
                <w:rFonts w:hint="eastAsia" w:hAnsi="宋体" w:cs="宋体"/>
                <w:color w:val="auto"/>
                <w:szCs w:val="21"/>
                <w:highlight w:val="none"/>
              </w:rPr>
              <w:t>☑本项目代理服务费由</w:t>
            </w:r>
            <w:r>
              <w:rPr>
                <w:rFonts w:hint="eastAsia" w:hAnsi="宋体" w:cs="宋体"/>
                <w:color w:val="auto"/>
                <w:szCs w:val="21"/>
                <w:highlight w:val="none"/>
                <w:u w:val="single"/>
              </w:rPr>
              <w:t>中标供应商</w:t>
            </w:r>
            <w:r>
              <w:rPr>
                <w:rFonts w:hint="eastAsia" w:hAnsi="宋体" w:cs="宋体"/>
                <w:color w:val="auto"/>
                <w:szCs w:val="21"/>
                <w:highlight w:val="none"/>
              </w:rPr>
              <w:t>在领取中标通知书前，一次性向采购代理机构支付。</w:t>
            </w:r>
          </w:p>
        </w:tc>
      </w:tr>
      <w:tr w14:paraId="26B80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71" w:type="dxa"/>
            <w:vMerge w:val="continue"/>
            <w:tcBorders>
              <w:left w:val="single" w:color="auto" w:sz="4" w:space="0"/>
              <w:right w:val="single" w:color="auto" w:sz="4" w:space="0"/>
            </w:tcBorders>
            <w:vAlign w:val="center"/>
          </w:tcPr>
          <w:p w14:paraId="3B15BAAE">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AE33146">
            <w:pPr>
              <w:spacing w:line="40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2835D8D">
            <w:pPr>
              <w:snapToGrid w:val="0"/>
              <w:spacing w:line="390" w:lineRule="exact"/>
              <w:jc w:val="left"/>
              <w:rPr>
                <w:rFonts w:ascii="宋体" w:hAnsi="宋体" w:cs="宋体"/>
                <w:color w:val="auto"/>
                <w:szCs w:val="21"/>
                <w:highlight w:val="none"/>
                <w:u w:val="single"/>
              </w:rPr>
            </w:pPr>
            <w:r>
              <w:rPr>
                <w:rFonts w:hint="eastAsia" w:ascii="宋体" w:hAnsi="宋体" w:cs="宋体"/>
                <w:color w:val="auto"/>
                <w:szCs w:val="21"/>
                <w:highlight w:val="none"/>
              </w:rPr>
              <w:t>☑以分标（中标金额）为计费额，参照国家计委《招标代理服务收费管理暂行办法》（计价格[2002]1980号）规定标准计取。</w:t>
            </w:r>
          </w:p>
        </w:tc>
      </w:tr>
      <w:tr w14:paraId="4C72B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971" w:type="dxa"/>
            <w:vMerge w:val="continue"/>
            <w:tcBorders>
              <w:left w:val="single" w:color="auto" w:sz="4" w:space="0"/>
              <w:bottom w:val="single" w:color="auto" w:sz="4" w:space="0"/>
              <w:right w:val="single" w:color="auto" w:sz="4" w:space="0"/>
            </w:tcBorders>
            <w:vAlign w:val="center"/>
          </w:tcPr>
          <w:p w14:paraId="5AA74CD9">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2152F11">
            <w:pPr>
              <w:spacing w:line="400" w:lineRule="exact"/>
              <w:rPr>
                <w:rFonts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666D138">
            <w:pPr>
              <w:pStyle w:val="19"/>
              <w:snapToGrid w:val="0"/>
              <w:spacing w:line="400" w:lineRule="exact"/>
              <w:rPr>
                <w:rFonts w:hAnsi="宋体" w:cs="宋体"/>
                <w:color w:val="auto"/>
                <w:szCs w:val="21"/>
                <w:highlight w:val="none"/>
              </w:rPr>
            </w:pPr>
            <w:r>
              <w:rPr>
                <w:rFonts w:hint="eastAsia" w:hAnsi="宋体" w:cs="宋体"/>
                <w:color w:val="auto"/>
                <w:szCs w:val="21"/>
                <w:highlight w:val="none"/>
              </w:rPr>
              <w:t>账户名称：广西建设工程机电设备招标中心有限公司</w:t>
            </w:r>
          </w:p>
          <w:p w14:paraId="1340EF71">
            <w:pPr>
              <w:pStyle w:val="19"/>
              <w:snapToGrid w:val="0"/>
              <w:spacing w:line="400" w:lineRule="exact"/>
              <w:rPr>
                <w:rFonts w:hAnsi="宋体" w:cs="宋体"/>
                <w:color w:val="auto"/>
                <w:szCs w:val="21"/>
                <w:highlight w:val="none"/>
              </w:rPr>
            </w:pPr>
            <w:r>
              <w:rPr>
                <w:rFonts w:hint="eastAsia" w:hAnsi="宋体" w:cs="宋体"/>
                <w:color w:val="auto"/>
                <w:szCs w:val="21"/>
                <w:highlight w:val="none"/>
              </w:rPr>
              <w:t xml:space="preserve">开户银行：招商银行南宁分行营业部 </w:t>
            </w:r>
          </w:p>
          <w:p w14:paraId="3B23BB45">
            <w:pPr>
              <w:pStyle w:val="19"/>
              <w:snapToGrid w:val="0"/>
              <w:spacing w:line="400" w:lineRule="exact"/>
              <w:rPr>
                <w:rFonts w:hAnsi="宋体" w:cs="宋体"/>
                <w:color w:val="auto"/>
                <w:szCs w:val="21"/>
                <w:highlight w:val="none"/>
              </w:rPr>
            </w:pPr>
            <w:r>
              <w:rPr>
                <w:rFonts w:hint="eastAsia" w:hAnsi="宋体" w:cs="宋体"/>
                <w:color w:val="auto"/>
                <w:szCs w:val="21"/>
                <w:highlight w:val="none"/>
              </w:rPr>
              <w:t>银行账号： 771901423310201</w:t>
            </w:r>
          </w:p>
          <w:p w14:paraId="7989981E">
            <w:pPr>
              <w:pStyle w:val="19"/>
              <w:snapToGrid w:val="0"/>
              <w:spacing w:line="400" w:lineRule="exact"/>
              <w:rPr>
                <w:rFonts w:hAnsi="宋体" w:cs="宋体"/>
                <w:color w:val="auto"/>
                <w:szCs w:val="21"/>
                <w:highlight w:val="none"/>
              </w:rPr>
            </w:pPr>
            <w:r>
              <w:rPr>
                <w:rFonts w:hint="eastAsia" w:hAnsi="宋体" w:cs="宋体"/>
                <w:color w:val="auto"/>
                <w:szCs w:val="21"/>
                <w:highlight w:val="none"/>
              </w:rPr>
              <w:t>开户行行号：308611000032</w:t>
            </w:r>
          </w:p>
        </w:tc>
      </w:tr>
      <w:tr w14:paraId="5817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F31DCB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1972" w:type="dxa"/>
            <w:tcBorders>
              <w:top w:val="single" w:color="auto" w:sz="4" w:space="0"/>
              <w:left w:val="single" w:color="auto" w:sz="4" w:space="0"/>
              <w:bottom w:val="single" w:color="auto" w:sz="4" w:space="0"/>
              <w:right w:val="single" w:color="auto" w:sz="4" w:space="0"/>
            </w:tcBorders>
            <w:vAlign w:val="center"/>
          </w:tcPr>
          <w:p w14:paraId="0F5377D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C3CEB5E">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解释权：构成本招标文件的各个组成文件应互为解释，互为说明；除招标文件中有特别规定外，仅适用于招标投标阶段的规定，按更正公告（澄清公告）、招标公告、采购需求、供应商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5F40F0F3">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法律责任：</w:t>
            </w:r>
          </w:p>
          <w:p w14:paraId="53D31576">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60049661">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1F56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70B72B3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1972" w:type="dxa"/>
            <w:tcBorders>
              <w:top w:val="single" w:color="auto" w:sz="4" w:space="0"/>
              <w:left w:val="single" w:color="auto" w:sz="4" w:space="0"/>
              <w:bottom w:val="single" w:color="auto" w:sz="4" w:space="0"/>
              <w:right w:val="single" w:color="auto" w:sz="4" w:space="0"/>
            </w:tcBorders>
            <w:vAlign w:val="center"/>
          </w:tcPr>
          <w:p w14:paraId="0D3D2D6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61D905FC">
            <w:pPr>
              <w:pStyle w:val="19"/>
              <w:snapToGrid w:val="0"/>
              <w:spacing w:line="400" w:lineRule="exact"/>
              <w:rPr>
                <w:rFonts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w:t>
            </w:r>
            <w:r>
              <w:rPr>
                <w:rFonts w:hint="eastAsia" w:hAnsi="宋体" w:cs="宋体"/>
                <w:color w:val="auto"/>
                <w:highlight w:val="none"/>
              </w:rPr>
              <w:t>（含电子印章）</w:t>
            </w:r>
            <w:r>
              <w:rPr>
                <w:rFonts w:hint="eastAsia" w:hAnsi="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14:paraId="21C4151F">
            <w:pPr>
              <w:pStyle w:val="19"/>
              <w:snapToGrid w:val="0"/>
              <w:spacing w:line="400" w:lineRule="exact"/>
              <w:rPr>
                <w:rFonts w:hAnsi="宋体" w:cs="宋体"/>
                <w:bCs/>
                <w:color w:val="auto"/>
                <w:highlight w:val="none"/>
              </w:rPr>
            </w:pPr>
            <w:r>
              <w:rPr>
                <w:rFonts w:hint="eastAsia" w:hAnsi="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37432C6">
            <w:pPr>
              <w:pStyle w:val="19"/>
              <w:snapToGrid w:val="0"/>
              <w:spacing w:line="400" w:lineRule="exact"/>
              <w:rPr>
                <w:rFonts w:hAnsi="宋体" w:cs="宋体"/>
                <w:bCs/>
                <w:color w:val="auto"/>
                <w:highlight w:val="none"/>
              </w:rPr>
            </w:pPr>
            <w:r>
              <w:rPr>
                <w:rFonts w:hint="eastAsia" w:hAnsi="宋体" w:cs="宋体"/>
                <w:bCs/>
                <w:color w:val="auto"/>
                <w:highlight w:val="none"/>
              </w:rPr>
              <w:t>3、本招标文件中描述投标人的“签字”是指投标人的法定代表人或者委托代理人</w:t>
            </w:r>
            <w:r>
              <w:rPr>
                <w:rFonts w:hint="eastAsia" w:hAnsi="宋体" w:cs="宋体"/>
                <w:color w:val="auto"/>
                <w:highlight w:val="none"/>
              </w:rPr>
              <w:t>在文件规定签署处签名（含电子签名）的行为，私章、印鉴等其他形式均不能代替签字</w:t>
            </w:r>
            <w:r>
              <w:rPr>
                <w:rFonts w:hint="eastAsia" w:hAnsi="宋体" w:cs="宋体"/>
                <w:bCs/>
                <w:color w:val="auto"/>
                <w:highlight w:val="none"/>
              </w:rPr>
              <w:t>。</w:t>
            </w:r>
          </w:p>
          <w:p w14:paraId="2102F807">
            <w:pPr>
              <w:pStyle w:val="19"/>
              <w:snapToGrid w:val="0"/>
              <w:spacing w:line="400" w:lineRule="exact"/>
              <w:rPr>
                <w:rFonts w:hAnsi="宋体" w:cs="宋体"/>
                <w:bCs/>
                <w:color w:val="auto"/>
                <w:highlight w:val="none"/>
              </w:rPr>
            </w:pPr>
            <w:r>
              <w:rPr>
                <w:rFonts w:hint="eastAsia" w:hAnsi="宋体" w:cs="宋体"/>
                <w:bCs/>
                <w:color w:val="auto"/>
                <w:highlight w:val="none"/>
              </w:rPr>
              <w:t>4、自然人投标的，招标文件规定盖公章处由自然人摁手指指印。</w:t>
            </w:r>
          </w:p>
          <w:p w14:paraId="2C4958E5">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3C500786">
      <w:pPr>
        <w:pStyle w:val="4"/>
        <w:rPr>
          <w:color w:val="auto"/>
          <w:highlight w:val="none"/>
        </w:rPr>
        <w:sectPr>
          <w:footerReference r:id="rId7" w:type="default"/>
          <w:pgSz w:w="11906" w:h="16838"/>
          <w:pgMar w:top="1134" w:right="1134" w:bottom="1134" w:left="1134" w:header="720" w:footer="720" w:gutter="0"/>
          <w:cols w:space="720" w:num="1"/>
          <w:docGrid w:type="lines" w:linePitch="331" w:charSpace="0"/>
        </w:sectPr>
      </w:pPr>
    </w:p>
    <w:p w14:paraId="168334C5">
      <w:pPr>
        <w:pStyle w:val="4"/>
        <w:jc w:val="center"/>
        <w:rPr>
          <w:color w:val="auto"/>
          <w:highlight w:val="none"/>
        </w:rPr>
      </w:pPr>
      <w:bookmarkStart w:id="77" w:name="_Toc80092994"/>
      <w:r>
        <w:rPr>
          <w:rFonts w:hint="eastAsia"/>
          <w:color w:val="auto"/>
          <w:highlight w:val="none"/>
        </w:rPr>
        <w:t>第二节 供应商须知正文</w:t>
      </w:r>
      <w:bookmarkEnd w:id="77"/>
    </w:p>
    <w:p w14:paraId="306CE8C2">
      <w:pPr>
        <w:pStyle w:val="6"/>
        <w:keepNext w:val="0"/>
        <w:keepLines w:val="0"/>
        <w:spacing w:line="40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一、总  则</w:t>
      </w:r>
    </w:p>
    <w:p w14:paraId="015BA5A6">
      <w:pPr>
        <w:pStyle w:val="8"/>
        <w:keepNext w:val="0"/>
        <w:keepLines w:val="0"/>
        <w:spacing w:before="0" w:after="0" w:line="400" w:lineRule="exact"/>
        <w:ind w:left="420" w:leftChars="200"/>
        <w:rPr>
          <w:rFonts w:ascii="宋体" w:hAnsi="宋体" w:cs="宋体"/>
          <w:color w:val="auto"/>
          <w:sz w:val="21"/>
          <w:szCs w:val="21"/>
          <w:highlight w:val="none"/>
        </w:rPr>
      </w:pPr>
      <w:bookmarkStart w:id="78" w:name="_Toc254970527"/>
      <w:bookmarkStart w:id="79" w:name="_Toc254970668"/>
      <w:r>
        <w:rPr>
          <w:rFonts w:hint="eastAsia" w:ascii="宋体" w:hAnsi="宋体" w:cs="宋体"/>
          <w:color w:val="auto"/>
          <w:sz w:val="21"/>
          <w:szCs w:val="21"/>
          <w:highlight w:val="none"/>
        </w:rPr>
        <w:t>1.适用范围</w:t>
      </w:r>
      <w:bookmarkEnd w:id="78"/>
      <w:bookmarkEnd w:id="79"/>
    </w:p>
    <w:p w14:paraId="04A84A1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187681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E9F5226">
      <w:pPr>
        <w:pStyle w:val="8"/>
        <w:keepNext w:val="0"/>
        <w:keepLines w:val="0"/>
        <w:spacing w:before="0" w:after="0" w:line="400" w:lineRule="exact"/>
        <w:ind w:left="420" w:leftChars="200"/>
        <w:rPr>
          <w:rFonts w:ascii="宋体" w:hAnsi="宋体" w:cs="宋体"/>
          <w:color w:val="auto"/>
          <w:sz w:val="21"/>
          <w:szCs w:val="21"/>
          <w:highlight w:val="none"/>
        </w:rPr>
      </w:pPr>
      <w:bookmarkStart w:id="80" w:name="_Toc254970669"/>
      <w:bookmarkStart w:id="81" w:name="_Toc254970528"/>
      <w:r>
        <w:rPr>
          <w:rFonts w:hint="eastAsia" w:ascii="宋体" w:hAnsi="宋体" w:cs="宋体"/>
          <w:color w:val="auto"/>
          <w:sz w:val="21"/>
          <w:szCs w:val="21"/>
          <w:highlight w:val="none"/>
        </w:rPr>
        <w:t>2.定义</w:t>
      </w:r>
      <w:bookmarkEnd w:id="80"/>
      <w:bookmarkEnd w:id="81"/>
    </w:p>
    <w:p w14:paraId="36B6718D">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52495A73">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564D50D4">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4D411F8B">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44D86931">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2.5“货物”是指各种形态和种类的物品，包括原材料、燃料、设备、产品等；“服务”是指除货物和工程以外的其他政府采购对象。</w:t>
      </w:r>
    </w:p>
    <w:p w14:paraId="6CE933AF">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2AC1A5BB">
      <w:pPr>
        <w:pStyle w:val="8"/>
        <w:keepNext w:val="0"/>
        <w:keepLines w:val="0"/>
        <w:spacing w:before="0" w:after="0" w:line="40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1F9E1AF5">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2.8“实质性要求”是指招标文件中已经指明不满足则投标无效的条款，或者不能负偏离的条款，或者采购需求中带“▲”的条款。</w:t>
      </w:r>
    </w:p>
    <w:p w14:paraId="51572223">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2B4AF46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34E8E33B">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2" w:name="_Toc254970529"/>
      <w:bookmarkStart w:id="83" w:name="_Toc254970670"/>
    </w:p>
    <w:p w14:paraId="7F984A1B">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w:t>
      </w:r>
      <w:bookmarkEnd w:id="82"/>
      <w:bookmarkEnd w:id="83"/>
      <w:r>
        <w:rPr>
          <w:rFonts w:hint="eastAsia" w:ascii="宋体" w:hAnsi="宋体" w:cs="宋体"/>
          <w:color w:val="auto"/>
          <w:sz w:val="21"/>
          <w:szCs w:val="21"/>
          <w:highlight w:val="none"/>
        </w:rPr>
        <w:t>投标人的资格要求</w:t>
      </w:r>
    </w:p>
    <w:p w14:paraId="4425C47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66AD46DE">
      <w:pPr>
        <w:pStyle w:val="8"/>
        <w:keepNext w:val="0"/>
        <w:keepLines w:val="0"/>
        <w:spacing w:before="0" w:after="0" w:line="400" w:lineRule="exact"/>
        <w:ind w:left="420" w:leftChars="200"/>
        <w:rPr>
          <w:rFonts w:ascii="宋体" w:hAnsi="宋体" w:cs="宋体"/>
          <w:color w:val="auto"/>
          <w:sz w:val="21"/>
          <w:szCs w:val="21"/>
          <w:highlight w:val="none"/>
        </w:rPr>
      </w:pPr>
      <w:bookmarkStart w:id="84" w:name="_Toc254970671"/>
      <w:bookmarkStart w:id="85" w:name="_Toc254970530"/>
      <w:r>
        <w:rPr>
          <w:rFonts w:hint="eastAsia" w:ascii="宋体" w:hAnsi="宋体" w:cs="宋体"/>
          <w:color w:val="auto"/>
          <w:sz w:val="21"/>
          <w:szCs w:val="21"/>
          <w:highlight w:val="none"/>
        </w:rPr>
        <w:t>4.投标委托</w:t>
      </w:r>
      <w:bookmarkEnd w:id="84"/>
      <w:bookmarkEnd w:id="85"/>
    </w:p>
    <w:p w14:paraId="5FCC197E">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47D1D110">
      <w:pPr>
        <w:pStyle w:val="8"/>
        <w:keepNext w:val="0"/>
        <w:keepLines w:val="0"/>
        <w:spacing w:before="0" w:after="0" w:line="400" w:lineRule="exact"/>
        <w:ind w:left="420" w:leftChars="200"/>
        <w:rPr>
          <w:rFonts w:ascii="宋体" w:hAnsi="宋体" w:cs="宋体"/>
          <w:color w:val="auto"/>
          <w:sz w:val="21"/>
          <w:szCs w:val="21"/>
          <w:highlight w:val="none"/>
        </w:rPr>
      </w:pPr>
      <w:bookmarkStart w:id="86" w:name="_5.投标费用"/>
      <w:bookmarkEnd w:id="86"/>
      <w:bookmarkStart w:id="87" w:name="_Toc254970672"/>
      <w:bookmarkStart w:id="88" w:name="_Toc254970531"/>
      <w:r>
        <w:rPr>
          <w:rFonts w:hint="eastAsia" w:ascii="宋体" w:hAnsi="宋体" w:cs="宋体"/>
          <w:color w:val="auto"/>
          <w:sz w:val="21"/>
          <w:szCs w:val="21"/>
          <w:highlight w:val="none"/>
        </w:rPr>
        <w:t>5.投标费用</w:t>
      </w:r>
      <w:bookmarkEnd w:id="87"/>
      <w:bookmarkEnd w:id="88"/>
    </w:p>
    <w:p w14:paraId="1B1020A7">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DF6CAAD">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18552C5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9F9FFC1">
      <w:pPr>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67200CA">
      <w:pPr>
        <w:pStyle w:val="8"/>
        <w:keepNext w:val="0"/>
        <w:keepLines w:val="0"/>
        <w:spacing w:before="0" w:after="0" w:line="400" w:lineRule="exact"/>
        <w:ind w:firstLine="424" w:firstLineChars="202"/>
        <w:rPr>
          <w:rFonts w:ascii="宋体" w:hAnsi="宋体" w:cs="宋体"/>
          <w:color w:val="auto"/>
          <w:sz w:val="21"/>
          <w:szCs w:val="21"/>
          <w:highlight w:val="none"/>
        </w:rPr>
      </w:pPr>
      <w:r>
        <w:rPr>
          <w:rFonts w:hint="eastAsia" w:ascii="宋体" w:hAnsi="宋体" w:cs="宋体"/>
          <w:b w:val="0"/>
          <w:color w:val="auto"/>
          <w:sz w:val="21"/>
          <w:szCs w:val="21"/>
          <w:highlight w:val="none"/>
        </w:rPr>
        <w:t xml:space="preserve">6.3 </w:t>
      </w:r>
      <w:bookmarkStart w:id="89" w:name="_Hlk65857072"/>
      <w:r>
        <w:rPr>
          <w:rFonts w:hint="eastAsia" w:ascii="宋体" w:hAnsi="宋体" w:cs="宋体"/>
          <w:b w:val="0"/>
          <w:color w:val="auto"/>
          <w:sz w:val="21"/>
          <w:szCs w:val="21"/>
          <w:highlight w:val="none"/>
        </w:rPr>
        <w:t>根据《政府采购促进中小企业发展管理办法》（财库〔2020〕46号）第九条第二款的规定及《广西壮族自治区财政厅关于进一步发挥政府采购政采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9"/>
    </w:p>
    <w:p w14:paraId="26948CE1">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7.转包与分包          </w:t>
      </w:r>
    </w:p>
    <w:p w14:paraId="4409AF0D">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1F60855D">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29A5246">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E990397">
      <w:pPr>
        <w:pStyle w:val="8"/>
        <w:keepNext w:val="0"/>
        <w:keepLines w:val="0"/>
        <w:spacing w:before="0" w:after="0" w:line="400" w:lineRule="exact"/>
        <w:ind w:left="420" w:leftChars="200"/>
        <w:rPr>
          <w:rFonts w:ascii="宋体" w:hAnsi="宋体" w:cs="宋体"/>
          <w:color w:val="auto"/>
          <w:sz w:val="21"/>
          <w:szCs w:val="21"/>
          <w:highlight w:val="none"/>
        </w:rPr>
      </w:pPr>
      <w:bookmarkStart w:id="90" w:name="_Toc254970532"/>
      <w:bookmarkStart w:id="91" w:name="_Toc254970673"/>
      <w:r>
        <w:rPr>
          <w:rFonts w:hint="eastAsia" w:ascii="宋体" w:hAnsi="宋体" w:cs="宋体"/>
          <w:color w:val="auto"/>
          <w:sz w:val="21"/>
          <w:szCs w:val="21"/>
          <w:highlight w:val="none"/>
        </w:rPr>
        <w:t>8.特别说明</w:t>
      </w:r>
      <w:bookmarkEnd w:id="90"/>
      <w:bookmarkEnd w:id="91"/>
    </w:p>
    <w:p w14:paraId="49CDA8DF">
      <w:pPr>
        <w:pStyle w:val="8"/>
        <w:keepNext w:val="0"/>
        <w:keepLines w:val="0"/>
        <w:spacing w:before="0" w:after="0" w:line="400" w:lineRule="exact"/>
        <w:ind w:firstLine="315" w:firstLineChars="150"/>
        <w:rPr>
          <w:rFonts w:ascii="宋体" w:hAnsi="宋体" w:cs="宋体"/>
          <w:b w:val="0"/>
          <w:color w:val="auto"/>
          <w:sz w:val="21"/>
          <w:szCs w:val="21"/>
          <w:highlight w:val="none"/>
        </w:rPr>
      </w:pPr>
      <w:bookmarkStart w:id="92" w:name="_8.1提供相同品牌产品且通过资格审查、符合性审查的不同投标人参加同一合"/>
      <w:bookmarkEnd w:id="92"/>
      <w:r>
        <w:rPr>
          <w:rFonts w:hint="eastAsia" w:ascii="宋体" w:hAnsi="宋体" w:cs="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4FB4B2C5">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8.2投标人应仔细阅读招标文件的所有内容，按照招标文件的要求提交投标文件，并对所提供的全部资料的真实性承担法律责任。</w:t>
      </w:r>
    </w:p>
    <w:p w14:paraId="4D85C50E">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8.3投标人在投标活动中提供任何虚假材料，将报监管部门查处；中标后发现的，中标人须依法赔偿采购人，且民事赔偿并不免除违法投标人的行政与刑事责任。</w:t>
      </w:r>
    </w:p>
    <w:p w14:paraId="1A988082">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5B2DE7B3">
      <w:pPr>
        <w:pStyle w:val="8"/>
        <w:keepNext w:val="0"/>
        <w:keepLines w:val="0"/>
        <w:spacing w:before="0" w:after="0"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0AD0EF4E">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（1）参加采购活动前3年内与供应商存在劳动关系；</w:t>
      </w:r>
    </w:p>
    <w:p w14:paraId="48ED9897">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（2）参加采购活动前3年内担任供应商的董事、监事；</w:t>
      </w:r>
    </w:p>
    <w:p w14:paraId="7BD08061">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（3）参加采购活动前3年内是供应商的控股股东或者实际控制人；</w:t>
      </w:r>
    </w:p>
    <w:p w14:paraId="02B6AA1E">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（4）与供应商的法定代表人或者负责人有夫妻、直系血亲、三代以内旁系血亲或者近姻亲关系；</w:t>
      </w:r>
    </w:p>
    <w:p w14:paraId="540FA56A">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（5）与供应商有其他可能影响政府采购活动公平、公正进行的关系。</w:t>
      </w:r>
    </w:p>
    <w:p w14:paraId="04367CC1">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2A90BD">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4D500D22">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 xml:space="preserve">（1）不同投标人的投标文件由同一单位或者个人编制； </w:t>
      </w:r>
    </w:p>
    <w:p w14:paraId="4080EF52">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（2）不同投标人委托同一单位或者个人办理投标事宜；</w:t>
      </w:r>
    </w:p>
    <w:p w14:paraId="5B756F4A">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（3）不同的投标人的投标文件载明的项目管理员为同一个人；</w:t>
      </w:r>
    </w:p>
    <w:p w14:paraId="1CB06A8F">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（4）不同投标人的投标文件异常一致或者投标报价呈规律性差异；</w:t>
      </w:r>
    </w:p>
    <w:p w14:paraId="2890BE98">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（5）不同投标人的投标文件相互混装；</w:t>
      </w:r>
    </w:p>
    <w:p w14:paraId="586AAD3E">
      <w:pPr>
        <w:pStyle w:val="19"/>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（6）不同投标人的投标保证金从同一单位或者个人账户转出。</w:t>
      </w:r>
    </w:p>
    <w:p w14:paraId="4BBD5CD7">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2F751D6A">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（1）供应商直接或者间接从采购人或者采购代理机构处获得其他供应商的相关信息并修改其投标文件或者响应文件；</w:t>
      </w:r>
    </w:p>
    <w:p w14:paraId="52138B83">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（2）供应商按照采购人或者采购代理机构的授意撤换、修改投标文件或者响应文件；</w:t>
      </w:r>
    </w:p>
    <w:p w14:paraId="3F2C8FAC">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（3）供应商之间协商报价、技术方案等投标文件或者响应文件的实质性内容；</w:t>
      </w:r>
    </w:p>
    <w:p w14:paraId="0A243392">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（4）属于同一集团、协会、商会等组织成员的供应商按照该组织要求协同参加政府采购活动；</w:t>
      </w:r>
    </w:p>
    <w:p w14:paraId="0B6A1D1C">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42374FB">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（6）供应商之间商定部分供应商放弃参加政府采购活动或者放弃中标；</w:t>
      </w:r>
    </w:p>
    <w:p w14:paraId="3F36486C">
      <w:pPr>
        <w:pStyle w:val="19"/>
        <w:snapToGrid w:val="0"/>
        <w:spacing w:line="400" w:lineRule="exact"/>
        <w:ind w:left="2" w:leftChars="1" w:firstLine="420" w:firstLineChars="200"/>
        <w:rPr>
          <w:rFonts w:hAnsi="宋体" w:cs="宋体"/>
          <w:b/>
          <w:color w:val="auto"/>
          <w:szCs w:val="21"/>
          <w:highlight w:val="none"/>
        </w:rPr>
      </w:pPr>
      <w:r>
        <w:rPr>
          <w:rFonts w:hint="eastAsia" w:hAnsi="宋体" w:cs="宋体"/>
          <w:color w:val="auto"/>
          <w:szCs w:val="21"/>
          <w:highlight w:val="none"/>
        </w:rPr>
        <w:t>（7）供应商与采购人或者采购代理机构之间、供应商相互之间，为谋求特定供应商中标或者排斥其他供应商的其他串通行为。</w:t>
      </w:r>
    </w:p>
    <w:p w14:paraId="7010DE32">
      <w:pPr>
        <w:pStyle w:val="6"/>
        <w:keepNext w:val="0"/>
        <w:keepLines w:val="0"/>
        <w:spacing w:line="400" w:lineRule="exact"/>
        <w:ind w:firstLine="422"/>
        <w:jc w:val="center"/>
        <w:rPr>
          <w:rFonts w:ascii="宋体" w:hAnsi="宋体" w:cs="宋体"/>
          <w:color w:val="auto"/>
          <w:sz w:val="21"/>
          <w:szCs w:val="21"/>
          <w:highlight w:val="none"/>
        </w:rPr>
      </w:pPr>
      <w:bookmarkStart w:id="93" w:name="_Toc254970534"/>
      <w:bookmarkStart w:id="94" w:name="_Toc254970675"/>
      <w:r>
        <w:rPr>
          <w:rFonts w:hint="eastAsia" w:ascii="宋体" w:hAnsi="宋体" w:cs="宋体"/>
          <w:color w:val="auto"/>
          <w:sz w:val="21"/>
          <w:szCs w:val="21"/>
          <w:highlight w:val="none"/>
        </w:rPr>
        <w:t>二、招标文件</w:t>
      </w:r>
      <w:bookmarkEnd w:id="93"/>
      <w:bookmarkEnd w:id="94"/>
    </w:p>
    <w:p w14:paraId="22CE2E62">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0E546366">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603396E1">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05BE36FC">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6C36F7FF">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5C4F7D6F">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7C7DFE51">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12EFC7D8">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 、现场考察和答疑会</w:t>
      </w:r>
    </w:p>
    <w:p w14:paraId="0056EE6D">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1B01907">
      <w:pPr>
        <w:pStyle w:val="8"/>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5068571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11.3采购人和采购代理机构可以视采购具体情况，变更投标截止时间和开标时间，并在原公告发布媒体上发布更正公告。</w:t>
      </w:r>
    </w:p>
    <w:p w14:paraId="0B0D02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11.4招标文件澄清、答复、修改、补充的内容为招标文件的组成部分。</w:t>
      </w:r>
      <w:r>
        <w:rPr>
          <w:rFonts w:hint="eastAsia" w:ascii="宋体" w:hAnsi="宋体" w:cs="宋体"/>
          <w:b/>
          <w:color w:val="auto"/>
          <w:szCs w:val="21"/>
          <w:highlight w:val="none"/>
        </w:rPr>
        <w:t>当招标文件与招标文件的澄清、答复、修改、补充通知就同一内容的表述不一致时，以最后发出的文件为准。</w:t>
      </w:r>
    </w:p>
    <w:p w14:paraId="4DE2BBC1">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11.</w:t>
      </w:r>
      <w:bookmarkStart w:id="95" w:name="_Hlk53134511"/>
      <w:r>
        <w:rPr>
          <w:rFonts w:hint="eastAsia" w:hAnsi="宋体" w:cs="宋体"/>
          <w:color w:val="auto"/>
          <w:szCs w:val="21"/>
          <w:highlight w:val="none"/>
        </w:rPr>
        <w:t>5采购人或者采购代理机构可以在招标文件提供期限截止后，组织已获取招标文件的潜在投标人现场考察或者召开开标前答疑会，具体详见“投标人须知前附表”。</w:t>
      </w:r>
    </w:p>
    <w:bookmarkEnd w:id="95"/>
    <w:p w14:paraId="291E160F">
      <w:pPr>
        <w:pStyle w:val="6"/>
        <w:keepNext w:val="0"/>
        <w:keepLines w:val="0"/>
        <w:spacing w:line="400" w:lineRule="exact"/>
        <w:ind w:firstLine="422"/>
        <w:jc w:val="center"/>
        <w:rPr>
          <w:rFonts w:ascii="宋体" w:hAnsi="宋体" w:cs="宋体"/>
          <w:color w:val="auto"/>
          <w:sz w:val="21"/>
          <w:szCs w:val="21"/>
          <w:highlight w:val="none"/>
        </w:rPr>
      </w:pPr>
      <w:bookmarkStart w:id="96" w:name="_Toc254970676"/>
      <w:bookmarkStart w:id="97" w:name="_Toc254970535"/>
      <w:r>
        <w:rPr>
          <w:rFonts w:hint="eastAsia" w:ascii="宋体" w:hAnsi="宋体" w:cs="宋体"/>
          <w:color w:val="auto"/>
          <w:sz w:val="21"/>
          <w:szCs w:val="21"/>
          <w:highlight w:val="none"/>
        </w:rPr>
        <w:t>三、投标文件的编制</w:t>
      </w:r>
      <w:bookmarkEnd w:id="96"/>
      <w:bookmarkEnd w:id="97"/>
    </w:p>
    <w:p w14:paraId="3F266E22">
      <w:pPr>
        <w:pStyle w:val="8"/>
        <w:keepNext w:val="0"/>
        <w:keepLines w:val="0"/>
        <w:spacing w:before="0" w:after="0" w:line="400" w:lineRule="exact"/>
        <w:ind w:left="420" w:leftChars="200"/>
        <w:rPr>
          <w:rFonts w:ascii="宋体" w:hAnsi="宋体" w:cs="宋体"/>
          <w:color w:val="auto"/>
          <w:sz w:val="21"/>
          <w:szCs w:val="21"/>
          <w:highlight w:val="none"/>
        </w:rPr>
      </w:pPr>
      <w:bookmarkStart w:id="98" w:name="_Toc254970677"/>
      <w:bookmarkStart w:id="99" w:name="_Toc254970536"/>
      <w:r>
        <w:rPr>
          <w:rFonts w:hint="eastAsia" w:ascii="宋体" w:hAnsi="宋体" w:cs="宋体"/>
          <w:color w:val="auto"/>
          <w:sz w:val="21"/>
          <w:szCs w:val="21"/>
          <w:highlight w:val="none"/>
        </w:rPr>
        <w:t>12.投标文件的编制原则</w:t>
      </w:r>
    </w:p>
    <w:p w14:paraId="29140C34">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65F8EE71">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98"/>
      <w:bookmarkEnd w:id="99"/>
    </w:p>
    <w:p w14:paraId="654665C5">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93B156F">
      <w:pPr>
        <w:pStyle w:val="8"/>
        <w:keepNext w:val="0"/>
        <w:keepLines w:val="0"/>
        <w:spacing w:before="0" w:after="0" w:line="400" w:lineRule="exact"/>
        <w:ind w:left="420" w:leftChars="200"/>
        <w:rPr>
          <w:rFonts w:ascii="宋体" w:hAnsi="宋体" w:cs="宋体"/>
          <w:b w:val="0"/>
          <w:color w:val="auto"/>
          <w:sz w:val="21"/>
          <w:szCs w:val="21"/>
          <w:highlight w:val="none"/>
        </w:rPr>
      </w:pPr>
      <w:bookmarkStart w:id="100" w:name="_13.1报价文件:_具体材料见“投标人须知前附表”。"/>
      <w:bookmarkEnd w:id="100"/>
      <w:r>
        <w:rPr>
          <w:rFonts w:hint="eastAsia" w:ascii="宋体" w:hAnsi="宋体" w:cs="宋体"/>
          <w:b w:val="0"/>
          <w:color w:val="auto"/>
          <w:sz w:val="21"/>
          <w:szCs w:val="21"/>
          <w:highlight w:val="none"/>
        </w:rPr>
        <w:t>（1）报价文件： 具体材料见“投标人须知前附表”。</w:t>
      </w:r>
    </w:p>
    <w:p w14:paraId="5E02FFB2">
      <w:pPr>
        <w:pStyle w:val="8"/>
        <w:keepNext w:val="0"/>
        <w:keepLines w:val="0"/>
        <w:spacing w:before="0" w:after="0" w:line="400" w:lineRule="exact"/>
        <w:ind w:left="420" w:leftChars="200"/>
        <w:rPr>
          <w:rFonts w:ascii="宋体" w:hAnsi="宋体" w:cs="宋体"/>
          <w:b w:val="0"/>
          <w:color w:val="auto"/>
          <w:sz w:val="21"/>
          <w:szCs w:val="21"/>
          <w:highlight w:val="none"/>
        </w:rPr>
      </w:pPr>
      <w:bookmarkStart w:id="101" w:name="_13.2资格证明文件：具体材料见“投标人须知前附表”。"/>
      <w:bookmarkEnd w:id="101"/>
      <w:r>
        <w:rPr>
          <w:rFonts w:hint="eastAsia" w:ascii="宋体" w:hAnsi="宋体" w:cs="宋体"/>
          <w:b w:val="0"/>
          <w:color w:val="auto"/>
          <w:sz w:val="21"/>
          <w:szCs w:val="21"/>
          <w:highlight w:val="none"/>
        </w:rPr>
        <w:t>（2）资格证明文件：具体材料见“投标人须知前附表”。</w:t>
      </w:r>
    </w:p>
    <w:p w14:paraId="79AB1435">
      <w:pPr>
        <w:pStyle w:val="8"/>
        <w:keepNext w:val="0"/>
        <w:keepLines w:val="0"/>
        <w:spacing w:before="0" w:after="0" w:line="400" w:lineRule="exact"/>
        <w:ind w:left="420" w:leftChars="200"/>
        <w:rPr>
          <w:rFonts w:ascii="宋体" w:hAnsi="宋体" w:cs="宋体"/>
          <w:b w:val="0"/>
          <w:color w:val="auto"/>
          <w:sz w:val="21"/>
          <w:szCs w:val="21"/>
          <w:highlight w:val="none"/>
        </w:rPr>
      </w:pPr>
      <w:bookmarkStart w:id="102" w:name="_13.3商务文件:_具体材料见“投标人须知前附表”。"/>
      <w:bookmarkEnd w:id="102"/>
      <w:r>
        <w:rPr>
          <w:rFonts w:hint="eastAsia" w:ascii="宋体" w:hAnsi="宋体" w:cs="宋体"/>
          <w:b w:val="0"/>
          <w:color w:val="auto"/>
          <w:sz w:val="21"/>
          <w:szCs w:val="21"/>
          <w:highlight w:val="none"/>
        </w:rPr>
        <w:t>（3）商务文件：具体材料见“投标人须知前附表”。</w:t>
      </w:r>
    </w:p>
    <w:p w14:paraId="6D0480BE">
      <w:pPr>
        <w:pStyle w:val="8"/>
        <w:keepNext w:val="0"/>
        <w:keepLines w:val="0"/>
        <w:spacing w:before="0" w:after="0" w:line="400" w:lineRule="exact"/>
        <w:ind w:left="420" w:leftChars="200"/>
        <w:rPr>
          <w:rFonts w:ascii="宋体" w:hAnsi="宋体" w:cs="宋体"/>
          <w:b w:val="0"/>
          <w:color w:val="auto"/>
          <w:sz w:val="21"/>
          <w:szCs w:val="21"/>
          <w:highlight w:val="none"/>
        </w:rPr>
      </w:pPr>
      <w:bookmarkStart w:id="103" w:name="_13.4技术文件：具体材料见“投标人须知前附表”。"/>
      <w:bookmarkEnd w:id="103"/>
      <w:r>
        <w:rPr>
          <w:rFonts w:hint="eastAsia" w:ascii="宋体" w:hAnsi="宋体" w:cs="宋体"/>
          <w:b w:val="0"/>
          <w:color w:val="auto"/>
          <w:sz w:val="21"/>
          <w:szCs w:val="21"/>
          <w:highlight w:val="none"/>
        </w:rPr>
        <w:t>（4）技术文件：具体材料见“投标人须知前附表”。</w:t>
      </w:r>
      <w:bookmarkStart w:id="104" w:name="_13.5投标文件电子版：具体材料见“投标人须知前附表”。"/>
      <w:bookmarkEnd w:id="104"/>
    </w:p>
    <w:p w14:paraId="07F2BE52">
      <w:pPr>
        <w:pStyle w:val="8"/>
        <w:keepNext w:val="0"/>
        <w:keepLines w:val="0"/>
        <w:spacing w:before="0" w:after="0" w:line="400" w:lineRule="exact"/>
        <w:ind w:left="420" w:leftChars="200"/>
        <w:rPr>
          <w:rFonts w:ascii="宋体" w:hAnsi="宋体" w:cs="宋体"/>
          <w:color w:val="auto"/>
          <w:sz w:val="21"/>
          <w:szCs w:val="21"/>
          <w:highlight w:val="none"/>
        </w:rPr>
      </w:pPr>
      <w:bookmarkStart w:id="105" w:name="_Toc254970537"/>
      <w:bookmarkStart w:id="106" w:name="_Toc254970678"/>
      <w:r>
        <w:rPr>
          <w:rFonts w:hint="eastAsia" w:ascii="宋体" w:hAnsi="宋体" w:cs="宋体"/>
          <w:color w:val="auto"/>
          <w:sz w:val="21"/>
          <w:szCs w:val="21"/>
          <w:highlight w:val="none"/>
        </w:rPr>
        <w:t>14.投标文件的语言及计量</w:t>
      </w:r>
      <w:bookmarkEnd w:id="105"/>
      <w:bookmarkEnd w:id="106"/>
    </w:p>
    <w:p w14:paraId="4515134B">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07A43ACA">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66D4960">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6C7143E4">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5C0D91A6">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0B0554DC">
      <w:pPr>
        <w:pStyle w:val="19"/>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投标人没有按照招标文件要求提供全部资料，或者投标人没有对招标文件作出实质性响应是投标人的风险，并可能导致其投标被拒绝。</w:t>
      </w:r>
    </w:p>
    <w:p w14:paraId="2EC7935A">
      <w:pPr>
        <w:pStyle w:val="8"/>
        <w:keepNext w:val="0"/>
        <w:keepLines w:val="0"/>
        <w:spacing w:before="0" w:after="0" w:line="400" w:lineRule="exact"/>
        <w:ind w:left="420" w:leftChars="200"/>
        <w:rPr>
          <w:rFonts w:ascii="宋体" w:hAnsi="宋体" w:cs="宋体"/>
          <w:color w:val="auto"/>
          <w:sz w:val="21"/>
          <w:szCs w:val="21"/>
          <w:highlight w:val="none"/>
        </w:rPr>
      </w:pPr>
      <w:bookmarkStart w:id="107" w:name="_Toc254970679"/>
      <w:bookmarkStart w:id="108" w:name="_Toc254970538"/>
      <w:r>
        <w:rPr>
          <w:rFonts w:hint="eastAsia" w:ascii="宋体" w:hAnsi="宋体" w:cs="宋体"/>
          <w:color w:val="auto"/>
          <w:sz w:val="21"/>
          <w:szCs w:val="21"/>
          <w:highlight w:val="none"/>
        </w:rPr>
        <w:t>16.投标报价</w:t>
      </w:r>
      <w:bookmarkEnd w:id="107"/>
      <w:bookmarkEnd w:id="108"/>
    </w:p>
    <w:p w14:paraId="1F84C269">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509058AC">
      <w:pPr>
        <w:pStyle w:val="8"/>
        <w:keepNext w:val="0"/>
        <w:keepLines w:val="0"/>
        <w:spacing w:before="0" w:after="0" w:line="400" w:lineRule="exact"/>
        <w:ind w:left="420" w:leftChars="200"/>
        <w:rPr>
          <w:rFonts w:ascii="宋体" w:hAnsi="宋体" w:cs="宋体"/>
          <w:b w:val="0"/>
          <w:color w:val="auto"/>
          <w:sz w:val="21"/>
          <w:szCs w:val="21"/>
          <w:highlight w:val="none"/>
        </w:rPr>
      </w:pPr>
      <w:bookmarkStart w:id="109" w:name="_16.2投标报价具体定义见投标人须知前附表。"/>
      <w:bookmarkEnd w:id="109"/>
      <w:r>
        <w:rPr>
          <w:rFonts w:hint="eastAsia" w:ascii="宋体" w:hAnsi="宋体" w:cs="宋体"/>
          <w:b w:val="0"/>
          <w:color w:val="auto"/>
          <w:sz w:val="21"/>
          <w:szCs w:val="21"/>
          <w:highlight w:val="none"/>
        </w:rPr>
        <w:t>16.2投标报价具体包括内容详见“投标人须知前附表”。</w:t>
      </w:r>
    </w:p>
    <w:p w14:paraId="6D96AF8C">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01AB6246">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25C70432">
      <w:pPr>
        <w:pStyle w:val="8"/>
        <w:keepNext w:val="0"/>
        <w:keepLines w:val="0"/>
        <w:spacing w:before="0" w:after="0" w:line="400" w:lineRule="exact"/>
        <w:ind w:firstLine="420" w:firstLineChars="200"/>
        <w:rPr>
          <w:rFonts w:ascii="宋体" w:hAnsi="宋体" w:cs="宋体"/>
          <w:b w:val="0"/>
          <w:color w:val="auto"/>
          <w:sz w:val="21"/>
          <w:szCs w:val="21"/>
          <w:highlight w:val="none"/>
        </w:rPr>
      </w:pPr>
      <w:bookmarkStart w:id="110" w:name="_17.1投标有效期应按“投标人须知中的前附表”规定的期限。"/>
      <w:bookmarkEnd w:id="110"/>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3F44E36">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1" w:name="_Toc254970681"/>
      <w:bookmarkStart w:id="112" w:name="_Toc254970540"/>
      <w:r>
        <w:rPr>
          <w:rFonts w:hint="eastAsia" w:ascii="宋体" w:hAnsi="宋体" w:cs="宋体"/>
          <w:b w:val="0"/>
          <w:color w:val="auto"/>
          <w:sz w:val="21"/>
          <w:szCs w:val="21"/>
          <w:highlight w:val="none"/>
        </w:rPr>
        <w:t xml:space="preserve"> 投标有效期应按规定的期限作出承诺，具体详见“投标人须知前附表”。</w:t>
      </w:r>
    </w:p>
    <w:p w14:paraId="749A90DD">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1"/>
      <w:bookmarkEnd w:id="112"/>
    </w:p>
    <w:p w14:paraId="38B98458">
      <w:pPr>
        <w:pStyle w:val="8"/>
        <w:keepNext w:val="0"/>
        <w:keepLines w:val="0"/>
        <w:spacing w:before="0" w:after="0" w:line="400" w:lineRule="exact"/>
        <w:ind w:left="420" w:leftChars="200"/>
        <w:rPr>
          <w:rFonts w:ascii="宋体" w:hAnsi="宋体" w:cs="宋体"/>
          <w:color w:val="auto"/>
          <w:sz w:val="21"/>
          <w:szCs w:val="21"/>
          <w:highlight w:val="none"/>
        </w:rPr>
      </w:pPr>
      <w:bookmarkStart w:id="113" w:name="_18.投标保证金"/>
      <w:bookmarkEnd w:id="113"/>
      <w:bookmarkStart w:id="114" w:name="_Toc254970682"/>
      <w:bookmarkStart w:id="115" w:name="_Toc254970541"/>
      <w:r>
        <w:rPr>
          <w:rFonts w:hint="eastAsia" w:ascii="宋体" w:hAnsi="宋体" w:cs="宋体"/>
          <w:color w:val="auto"/>
          <w:sz w:val="21"/>
          <w:szCs w:val="21"/>
          <w:highlight w:val="none"/>
        </w:rPr>
        <w:t>18.投标保证金</w:t>
      </w:r>
      <w:bookmarkEnd w:id="114"/>
      <w:bookmarkEnd w:id="115"/>
    </w:p>
    <w:p w14:paraId="41FD321A">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5C5184B7">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4513478B">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个工作日内退还；中标人的投标保证金自政府采购合同签订之日起</w:t>
      </w:r>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 xml:space="preserve">个工作日内退还。 </w:t>
      </w:r>
    </w:p>
    <w:p w14:paraId="26FD0D8E">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75983626">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7356A2A6">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0E732C8D">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2BF873DA">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1FB1FF91">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1224D59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68621E8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01818DE5">
      <w:pPr>
        <w:pStyle w:val="8"/>
        <w:keepNext w:val="0"/>
        <w:keepLines w:val="0"/>
        <w:spacing w:before="0" w:after="0" w:line="400" w:lineRule="exact"/>
        <w:ind w:left="420" w:leftChars="200"/>
        <w:rPr>
          <w:rFonts w:ascii="宋体" w:hAnsi="宋体" w:cs="宋体"/>
          <w:color w:val="auto"/>
          <w:sz w:val="21"/>
          <w:szCs w:val="21"/>
          <w:highlight w:val="none"/>
        </w:rPr>
      </w:pPr>
      <w:bookmarkStart w:id="116" w:name="_Toc254970683"/>
      <w:bookmarkStart w:id="117" w:name="_Toc254970542"/>
      <w:r>
        <w:rPr>
          <w:rFonts w:hint="eastAsia" w:ascii="宋体" w:hAnsi="宋体" w:cs="宋体"/>
          <w:color w:val="auto"/>
          <w:sz w:val="21"/>
          <w:szCs w:val="21"/>
          <w:highlight w:val="none"/>
        </w:rPr>
        <w:t>19.投标文件的</w:t>
      </w:r>
      <w:bookmarkEnd w:id="116"/>
      <w:bookmarkEnd w:id="117"/>
      <w:r>
        <w:rPr>
          <w:rFonts w:hint="eastAsia" w:ascii="宋体" w:hAnsi="宋体" w:cs="宋体"/>
          <w:color w:val="auto"/>
          <w:sz w:val="21"/>
          <w:szCs w:val="21"/>
          <w:highlight w:val="none"/>
        </w:rPr>
        <w:t>编制</w:t>
      </w:r>
    </w:p>
    <w:p w14:paraId="574D8872">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7C3AB5BB">
      <w:pPr>
        <w:pStyle w:val="8"/>
        <w:keepNext w:val="0"/>
        <w:keepLines w:val="0"/>
        <w:spacing w:before="0" w:after="0" w:line="400" w:lineRule="exact"/>
        <w:ind w:firstLine="420" w:firstLineChars="200"/>
        <w:rPr>
          <w:rFonts w:ascii="宋体" w:hAnsi="宋体" w:cs="宋体"/>
          <w:b w:val="0"/>
          <w:color w:val="auto"/>
          <w:sz w:val="21"/>
          <w:szCs w:val="21"/>
          <w:highlight w:val="none"/>
        </w:rPr>
      </w:pPr>
      <w:bookmarkStart w:id="118" w:name="_19.2投标文件应按报价文件、资格证明文件、商务文件、技术文件分别编制"/>
      <w:bookmarkEnd w:id="118"/>
      <w:r>
        <w:rPr>
          <w:rFonts w:hint="eastAsia" w:ascii="宋体" w:hAnsi="宋体" w:cs="宋体"/>
          <w:b w:val="0"/>
          <w:color w:val="auto"/>
          <w:sz w:val="21"/>
          <w:szCs w:val="21"/>
          <w:highlight w:val="none"/>
        </w:rPr>
        <w:t>19.2投标文件应按报价文件、资格证明文件、商务文件、技术文件分别编制电子文件，并按“政采云”平台的要求编制、加密、上传。</w:t>
      </w:r>
    </w:p>
    <w:p w14:paraId="2BA4E723">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19.</w:t>
      </w:r>
      <w:bookmarkStart w:id="119" w:name="_Hlk65832616"/>
      <w:r>
        <w:rPr>
          <w:rFonts w:hint="eastAsia" w:ascii="宋体" w:hAnsi="宋体" w:cs="宋体"/>
          <w:b w:val="0"/>
          <w:color w:val="auto"/>
          <w:sz w:val="21"/>
          <w:szCs w:val="21"/>
          <w:highlight w:val="none"/>
        </w:rPr>
        <w:t>3投标文件须由投标人在规定位置盖公章并签字</w:t>
      </w:r>
      <w:bookmarkStart w:id="120" w:name="_Hlk65832569"/>
      <w:r>
        <w:rPr>
          <w:rFonts w:hint="eastAsia" w:ascii="宋体" w:hAnsi="宋体" w:cs="宋体"/>
          <w:b w:val="0"/>
          <w:color w:val="auto"/>
          <w:sz w:val="21"/>
          <w:szCs w:val="21"/>
          <w:highlight w:val="none"/>
        </w:rPr>
        <w:t>（具体以投标人须知前附表或投标文件格式规定为准）</w:t>
      </w:r>
      <w:bookmarkEnd w:id="119"/>
      <w:bookmarkEnd w:id="120"/>
      <w:r>
        <w:rPr>
          <w:rFonts w:hint="eastAsia" w:ascii="宋体" w:hAnsi="宋体" w:cs="宋体"/>
          <w:b w:val="0"/>
          <w:color w:val="auto"/>
          <w:sz w:val="21"/>
          <w:szCs w:val="21"/>
          <w:highlight w:val="none"/>
        </w:rPr>
        <w:t>，</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1CA99C20">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0BEBC4EE">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8B07D17">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20.投标文件的加密、解密</w:t>
      </w:r>
    </w:p>
    <w:p w14:paraId="72915009">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20.1电子投标文件编制完成后，投标人应按“政采云”平台的要求进行加密，并在规定时间内解密，否则，由此产生的后果由投标人自行负责。</w:t>
      </w:r>
    </w:p>
    <w:p w14:paraId="769EF7B5">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060ABFCA">
      <w:pPr>
        <w:pStyle w:val="8"/>
        <w:keepNext w:val="0"/>
        <w:keepLines w:val="0"/>
        <w:spacing w:before="0" w:after="0" w:line="400" w:lineRule="exact"/>
        <w:ind w:firstLine="420" w:firstLineChars="200"/>
        <w:rPr>
          <w:rFonts w:ascii="宋体" w:hAnsi="宋体" w:cs="宋体"/>
          <w:b w:val="0"/>
          <w:color w:val="auto"/>
          <w:sz w:val="21"/>
          <w:szCs w:val="21"/>
          <w:highlight w:val="none"/>
        </w:rPr>
      </w:pPr>
      <w:bookmarkStart w:id="121" w:name="_21.1投标人必须在“投标人须知中的前附表”规定的投标文件接收时间和投"/>
      <w:bookmarkEnd w:id="121"/>
      <w:r>
        <w:rPr>
          <w:rFonts w:hint="eastAsia" w:ascii="宋体" w:hAnsi="宋体" w:cs="宋体"/>
          <w:b w:val="0"/>
          <w:color w:val="auto"/>
          <w:sz w:val="21"/>
          <w:szCs w:val="21"/>
          <w:highlight w:val="none"/>
        </w:rPr>
        <w:t>21.1投标人必须在“投标人须知前附表”规定的投标文件接收时间和投标地点提交投标文件。</w:t>
      </w:r>
    </w:p>
    <w:p w14:paraId="1EEAE47B">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14:paraId="47775916">
      <w:pPr>
        <w:pStyle w:val="8"/>
        <w:keepNext w:val="0"/>
        <w:keepLines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21.3未在规定时间内上传或者未按“政采云”平台的要求编制、加密的电子投标文件，“政采云”平台将拒收。</w:t>
      </w:r>
    </w:p>
    <w:p w14:paraId="700723CA">
      <w:pPr>
        <w:pStyle w:val="8"/>
        <w:keepNext w:val="0"/>
        <w:keepLines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21.4电子投标文件提交方式见“招标公告”中“四、提交投标文件截止时间、开标时间和地点”</w:t>
      </w:r>
    </w:p>
    <w:p w14:paraId="37D4E1EE">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 投标文件的补充、修改、撤回与退回</w:t>
      </w:r>
    </w:p>
    <w:p w14:paraId="22E42B2A">
      <w:pPr>
        <w:snapToGrid w:val="0"/>
        <w:spacing w:line="400" w:lineRule="exact"/>
        <w:ind w:firstLine="420"/>
        <w:jc w:val="left"/>
        <w:rPr>
          <w:rFonts w:ascii="宋体" w:hAnsi="宋体" w:cs="宋体"/>
          <w:color w:val="auto"/>
          <w:szCs w:val="21"/>
          <w:highlight w:val="none"/>
        </w:rPr>
      </w:pPr>
      <w:bookmarkStart w:id="122" w:name="_Toc254970684"/>
      <w:bookmarkStart w:id="123" w:name="_Toc254970543"/>
      <w:r>
        <w:rPr>
          <w:rFonts w:hint="eastAsia" w:ascii="宋体" w:hAnsi="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bookmarkEnd w:id="122"/>
    <w:bookmarkEnd w:id="123"/>
    <w:p w14:paraId="20B926E9">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22.2在投标截止时间止提交投标文件的投标人不足3家时，不得开标，采购代理机构将根据“政采云”平台的操作将电子版投标文件退回，除此之外采购人和采购代理机构对已提交的投标文件概不退回。</w:t>
      </w:r>
    </w:p>
    <w:p w14:paraId="513316AF">
      <w:pPr>
        <w:spacing w:line="400" w:lineRule="exact"/>
        <w:ind w:firstLine="420" w:firstLineChars="200"/>
        <w:rPr>
          <w:rFonts w:ascii="宋体" w:hAnsi="宋体" w:cs="宋体"/>
          <w:snapToGrid w:val="0"/>
          <w:color w:val="auto"/>
          <w:szCs w:val="21"/>
          <w:highlight w:val="none"/>
        </w:rPr>
      </w:pPr>
      <w:r>
        <w:rPr>
          <w:rFonts w:hint="eastAsia" w:ascii="宋体" w:hAnsi="宋体" w:cs="宋体"/>
          <w:color w:val="auto"/>
          <w:szCs w:val="21"/>
          <w:highlight w:val="none"/>
        </w:rPr>
        <w:t>22.3 投标人在投标截止时间后书面通知采购人、采购代理机构撤销投标文件的，将根据本须知正文18.4的规定不予退还其投标保证金。</w:t>
      </w:r>
    </w:p>
    <w:p w14:paraId="6F7878AF">
      <w:pPr>
        <w:pStyle w:val="6"/>
        <w:keepNext w:val="0"/>
        <w:keepLines w:val="0"/>
        <w:spacing w:line="400" w:lineRule="exact"/>
        <w:ind w:firstLine="422"/>
        <w:jc w:val="center"/>
        <w:rPr>
          <w:rFonts w:ascii="宋体" w:hAnsi="宋体" w:cs="宋体"/>
          <w:color w:val="auto"/>
          <w:sz w:val="21"/>
          <w:szCs w:val="21"/>
          <w:highlight w:val="none"/>
        </w:rPr>
      </w:pPr>
      <w:bookmarkStart w:id="124" w:name="_Toc254970544"/>
      <w:bookmarkStart w:id="125" w:name="_Toc254970685"/>
      <w:r>
        <w:rPr>
          <w:rFonts w:hint="eastAsia" w:ascii="宋体" w:hAnsi="宋体" w:cs="宋体"/>
          <w:color w:val="auto"/>
          <w:sz w:val="21"/>
          <w:szCs w:val="21"/>
          <w:highlight w:val="none"/>
        </w:rPr>
        <w:t>四、开    标</w:t>
      </w:r>
      <w:bookmarkEnd w:id="124"/>
      <w:bookmarkEnd w:id="125"/>
    </w:p>
    <w:p w14:paraId="60EB39A1">
      <w:pPr>
        <w:pStyle w:val="8"/>
        <w:keepNext w:val="0"/>
        <w:keepLines w:val="0"/>
        <w:spacing w:before="0" w:after="0" w:line="400" w:lineRule="exact"/>
        <w:ind w:left="420" w:leftChars="200"/>
        <w:rPr>
          <w:rFonts w:ascii="宋体" w:hAnsi="宋体" w:cs="宋体"/>
          <w:color w:val="auto"/>
          <w:sz w:val="21"/>
          <w:szCs w:val="21"/>
          <w:highlight w:val="none"/>
        </w:rPr>
      </w:pPr>
      <w:bookmarkStart w:id="126" w:name="_23.开标时间和地点"/>
      <w:bookmarkEnd w:id="126"/>
      <w:r>
        <w:rPr>
          <w:rFonts w:hint="eastAsia" w:ascii="宋体" w:hAnsi="宋体" w:cs="宋体"/>
          <w:color w:val="auto"/>
          <w:sz w:val="21"/>
          <w:szCs w:val="21"/>
          <w:highlight w:val="none"/>
        </w:rPr>
        <w:t>23.开标时间和地点</w:t>
      </w:r>
    </w:p>
    <w:p w14:paraId="51709237">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23.1开标时间及地点详见“投标人须知前附表”</w:t>
      </w:r>
    </w:p>
    <w:p w14:paraId="16DA1289">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5B1962BD">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24.开标程序</w:t>
      </w:r>
    </w:p>
    <w:p w14:paraId="107F5F9F">
      <w:pPr>
        <w:autoSpaceDE w:val="0"/>
        <w:autoSpaceDN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529BB6BC">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9CC375A">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71931C2B">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cs="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r>
        <w:rPr>
          <w:rFonts w:hint="eastAsia" w:ascii="宋体" w:hAnsi="宋体" w:cs="宋体"/>
          <w:bCs/>
          <w:color w:val="auto"/>
          <w:szCs w:val="21"/>
          <w:highlight w:val="none"/>
        </w:rPr>
        <w:t>（解密异常情况处理：详见本章29.4 电子交易活动的中止）</w:t>
      </w:r>
    </w:p>
    <w:p w14:paraId="7A3A9B28">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（2）电子唱标。投标文件解密结束，各投标供应商报价均在“政采云”平台远程不见面开标大厅展示；</w:t>
      </w:r>
    </w:p>
    <w:p w14:paraId="0E1B25F5">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（3）签署电子《政府采购活动现场确认声明书》。通过邮件形式在远程不见面开标大厅发送各投标人签署电子《政府采购活动现场确认声明书》。</w:t>
      </w:r>
    </w:p>
    <w:p w14:paraId="5F524049">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2F8C99E">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6CD42BB">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66AB8C51">
      <w:pPr>
        <w:autoSpaceDE w:val="0"/>
        <w:autoSpaceDN w:val="0"/>
        <w:adjustRightInd w:val="0"/>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特别说明：如遇“政采云”平台电子化开标或评审程序调整的，按调整后执行。</w:t>
      </w:r>
    </w:p>
    <w:p w14:paraId="3ED4D294">
      <w:pPr>
        <w:pStyle w:val="6"/>
        <w:keepNext w:val="0"/>
        <w:keepLines w:val="0"/>
        <w:spacing w:line="400" w:lineRule="exac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五、资格审查</w:t>
      </w:r>
    </w:p>
    <w:p w14:paraId="40D15D42">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25.资格审查</w:t>
      </w:r>
    </w:p>
    <w:p w14:paraId="3F96C5A8">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25.1开标结束后，采购人或者采购代理机构依法对投标人的资格进行审查。</w:t>
      </w:r>
    </w:p>
    <w:p w14:paraId="3559FB8F">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37CE344">
      <w:pPr>
        <w:pStyle w:val="8"/>
        <w:keepNext w:val="0"/>
        <w:keepLines w:val="0"/>
        <w:spacing w:before="0" w:after="0" w:line="400" w:lineRule="exact"/>
        <w:ind w:firstLine="422" w:firstLineChars="200"/>
        <w:rPr>
          <w:rFonts w:ascii="宋体" w:hAnsi="宋体" w:cs="宋体"/>
          <w:color w:val="auto"/>
          <w:sz w:val="21"/>
          <w:szCs w:val="21"/>
          <w:highlight w:val="none"/>
        </w:rPr>
      </w:pPr>
      <w:bookmarkStart w:id="127" w:name="_25.3_投标人有下列情形之一的，资格审查不通过而导致其投标无效："/>
      <w:bookmarkEnd w:id="127"/>
      <w:r>
        <w:rPr>
          <w:rFonts w:hint="eastAsia" w:ascii="宋体" w:hAnsi="宋体" w:cs="宋体"/>
          <w:color w:val="auto"/>
          <w:sz w:val="21"/>
          <w:szCs w:val="21"/>
          <w:highlight w:val="none"/>
        </w:rPr>
        <w:t>25.3 投标人有下列情形之一的，资格审查不通过，作无效投标处理：</w:t>
      </w:r>
    </w:p>
    <w:p w14:paraId="0AC1DCBD">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（1）未按招标文件规定的方式获取本招标文件的投标人；</w:t>
      </w:r>
    </w:p>
    <w:p w14:paraId="0C82C61B">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（2）不具备招标文件中规定的资格要求的；</w:t>
      </w:r>
    </w:p>
    <w:p w14:paraId="70D0381D">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4E185B5B">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08643AA6">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（5）投标文件中的资格证明文件缺少任一项“投标人须知前附表”资格证明文件规定“必须提供”的文件资料的；</w:t>
      </w:r>
    </w:p>
    <w:p w14:paraId="4B8CA9F4">
      <w:pPr>
        <w:pStyle w:val="19"/>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（6）投标文件中的资格证明文件出现任一项不符合“投标人须知前附表”资格证明文件规定“必须提供”的文件资料要求或者无效的。</w:t>
      </w:r>
    </w:p>
    <w:p w14:paraId="4CF1488B">
      <w:pPr>
        <w:pStyle w:val="8"/>
        <w:keepNext w:val="0"/>
        <w:keepLines w:val="0"/>
        <w:snapToGrid w:val="0"/>
        <w:spacing w:before="0" w:after="0" w:line="400" w:lineRule="exact"/>
        <w:ind w:left="690" w:leftChars="228" w:hanging="211" w:hangingChars="100"/>
        <w:rPr>
          <w:rFonts w:ascii="宋体" w:hAnsi="宋体" w:cs="宋体"/>
          <w:color w:val="auto"/>
          <w:sz w:val="21"/>
          <w:szCs w:val="21"/>
          <w:highlight w:val="none"/>
        </w:rPr>
      </w:pPr>
      <w:r>
        <w:rPr>
          <w:rFonts w:hint="eastAsia" w:ascii="宋体" w:hAnsi="宋体" w:cs="宋体"/>
          <w:color w:val="auto"/>
          <w:sz w:val="21"/>
          <w:szCs w:val="21"/>
          <w:highlight w:val="none"/>
        </w:rPr>
        <w:t>25.4合格投标人不足3家的，不得评标。</w:t>
      </w:r>
    </w:p>
    <w:p w14:paraId="36931F55">
      <w:pPr>
        <w:pStyle w:val="6"/>
        <w:keepNext w:val="0"/>
        <w:keepLines w:val="0"/>
        <w:spacing w:line="400" w:lineRule="exac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六、评   标</w:t>
      </w:r>
    </w:p>
    <w:p w14:paraId="280900EF">
      <w:pPr>
        <w:pStyle w:val="8"/>
        <w:keepNext w:val="0"/>
        <w:keepLines w:val="0"/>
        <w:spacing w:before="0" w:after="0" w:line="400" w:lineRule="exact"/>
        <w:ind w:left="420" w:leftChars="200"/>
        <w:rPr>
          <w:rFonts w:ascii="宋体" w:hAnsi="宋体" w:cs="宋体"/>
          <w:color w:val="auto"/>
          <w:sz w:val="21"/>
          <w:szCs w:val="21"/>
          <w:highlight w:val="none"/>
        </w:rPr>
      </w:pPr>
      <w:bookmarkStart w:id="128" w:name="_26.组建评标委员会"/>
      <w:bookmarkEnd w:id="128"/>
      <w:r>
        <w:rPr>
          <w:rFonts w:hint="eastAsia" w:ascii="宋体" w:hAnsi="宋体" w:cs="宋体"/>
          <w:color w:val="auto"/>
          <w:sz w:val="21"/>
          <w:szCs w:val="21"/>
          <w:highlight w:val="none"/>
        </w:rPr>
        <w:t>26.组建评标委员会</w:t>
      </w:r>
    </w:p>
    <w:p w14:paraId="1C34D4C5">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评标委员会由采购人代表和评审专家组成，具体人数详见“投标人须知前附表”，其中评审专家不得少于成员总数的三分之二。</w:t>
      </w:r>
    </w:p>
    <w:p w14:paraId="28859C09">
      <w:pPr>
        <w:pStyle w:val="19"/>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参加过采购项目前期咨询论证的专家，不得参加该采购项目的评审活动。</w:t>
      </w:r>
    </w:p>
    <w:p w14:paraId="17880AE0">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27.评标的依据</w:t>
      </w:r>
    </w:p>
    <w:p w14:paraId="4BC9761A">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评标委员会以“第四章 评标方法和评标标准”为依据对投标文件进行评审，没有规定的方法、评审因素和标准，不作为评标依据。</w:t>
      </w:r>
    </w:p>
    <w:p w14:paraId="7207213C">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28.评标原则</w:t>
      </w:r>
    </w:p>
    <w:p w14:paraId="78204A7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2022B5A">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28.2</w:t>
      </w:r>
      <w:bookmarkStart w:id="129" w:name="_28.3评标方法。本项目将按须知前附表规定的评标办法进行评标，具体评标"/>
      <w:bookmarkEnd w:id="129"/>
      <w:r>
        <w:rPr>
          <w:rFonts w:hint="eastAsia" w:hAnsi="宋体" w:cs="宋体"/>
          <w:color w:val="auto"/>
          <w:szCs w:val="21"/>
          <w:highlight w:val="none"/>
        </w:rPr>
        <w:t>评委表决。评标委员会成员对需要共同认定的事项存在争议的，应当按照少数服从多数的原则作出结论。</w:t>
      </w:r>
    </w:p>
    <w:p w14:paraId="47CE815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9B800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28.4评标过程的监控。本项目评标过程实行全程录音、录像监控，</w:t>
      </w:r>
      <w:r>
        <w:rPr>
          <w:rFonts w:hint="eastAsia" w:hAnsi="宋体" w:cs="宋体"/>
          <w:b/>
          <w:bCs/>
          <w:color w:val="auto"/>
          <w:szCs w:val="21"/>
          <w:highlight w:val="none"/>
        </w:rPr>
        <w:t>投标人在评标过程中所进行的试图影响评标结果的不公正活动，可能导致其投标无效</w:t>
      </w:r>
      <w:r>
        <w:rPr>
          <w:rFonts w:hint="eastAsia" w:hAnsi="宋体" w:cs="宋体"/>
          <w:color w:val="auto"/>
          <w:szCs w:val="21"/>
          <w:highlight w:val="none"/>
        </w:rPr>
        <w:t>。</w:t>
      </w:r>
    </w:p>
    <w:p w14:paraId="2C52B77F">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29.评标方法及中标候选人推荐</w:t>
      </w:r>
    </w:p>
    <w:p w14:paraId="2F679E1A">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29.1本项目的评标方法详见“投标人须知前附表”。</w:t>
      </w:r>
    </w:p>
    <w:p w14:paraId="7CEABCA0">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29.2 中标候选人推荐数量详见“投标人须知前附表”。</w:t>
      </w:r>
    </w:p>
    <w:p w14:paraId="7B061DE4">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29.3评标委员会将按照“第四章 评标方法和评标标准”规定的方法、评审因素、标准和程序对投标文件进行评审。</w:t>
      </w:r>
    </w:p>
    <w:p w14:paraId="0134BDF3">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29.4电子交易活动的中止。采购过程中出现以下情形，导致电子交易平台无法正常运行，或者无法保证电子交易的公平、公正和安全时，采购代理机构可中止电子交易活动：</w:t>
      </w:r>
    </w:p>
    <w:p w14:paraId="076FA686">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（1）电子交易平台发生故障而无法登录访问的； </w:t>
      </w:r>
    </w:p>
    <w:p w14:paraId="4675B4E6">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（2）电子交易平台应用或数据库出现错误，不能进行正常操作的；</w:t>
      </w:r>
    </w:p>
    <w:p w14:paraId="20A9C407">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（3）电子交易平台发现严重安全漏洞，有潜在泄密危险的；</w:t>
      </w:r>
    </w:p>
    <w:p w14:paraId="3EADCEAC">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（4）病毒发作导致不能进行正常操作的； </w:t>
      </w:r>
    </w:p>
    <w:p w14:paraId="6677D86F">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（4）其他无法保证电子交易的公平、公正和安全的情况。</w:t>
      </w:r>
    </w:p>
    <w:p w14:paraId="4B9793D8">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09503673">
      <w:pPr>
        <w:pStyle w:val="6"/>
        <w:keepNext w:val="0"/>
        <w:keepLines w:val="0"/>
        <w:spacing w:line="400" w:lineRule="exact"/>
        <w:ind w:firstLine="422"/>
        <w:jc w:val="center"/>
        <w:rPr>
          <w:rFonts w:ascii="宋体" w:hAnsi="宋体" w:cs="宋体"/>
          <w:color w:val="auto"/>
          <w:sz w:val="21"/>
          <w:szCs w:val="21"/>
          <w:highlight w:val="none"/>
        </w:rPr>
      </w:pPr>
      <w:bookmarkStart w:id="130" w:name="_Toc254970687"/>
      <w:bookmarkStart w:id="131" w:name="_Toc254970546"/>
      <w:r>
        <w:rPr>
          <w:rFonts w:hint="eastAsia" w:ascii="宋体" w:hAnsi="宋体" w:cs="宋体"/>
          <w:color w:val="auto"/>
          <w:sz w:val="21"/>
          <w:szCs w:val="21"/>
          <w:highlight w:val="none"/>
        </w:rPr>
        <w:t>七、</w:t>
      </w:r>
      <w:bookmarkEnd w:id="130"/>
      <w:bookmarkEnd w:id="131"/>
      <w:r>
        <w:rPr>
          <w:rFonts w:hint="eastAsia" w:ascii="宋体" w:hAnsi="宋体" w:cs="宋体"/>
          <w:color w:val="auto"/>
          <w:sz w:val="21"/>
          <w:szCs w:val="21"/>
          <w:highlight w:val="none"/>
        </w:rPr>
        <w:t>中标和合同</w:t>
      </w:r>
    </w:p>
    <w:p w14:paraId="76DA983B">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30 确定中标人</w:t>
      </w:r>
    </w:p>
    <w:p w14:paraId="176C07A2">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527FBF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7A6C70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51343BA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3EDEEAC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10E2FF5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6AAD68F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3C6CB41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4011629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5445450">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31. 结果公告</w:t>
      </w:r>
    </w:p>
    <w:p w14:paraId="73B728B6">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cs="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695EB1F1">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CE560DC">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32.发出中标通知书</w:t>
      </w:r>
    </w:p>
    <w:p w14:paraId="573F9329">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047C44C5">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33. 无义务解释未中标原因</w:t>
      </w:r>
    </w:p>
    <w:p w14:paraId="55A0F766">
      <w:pPr>
        <w:pStyle w:val="8"/>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1E231057">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34.合同授予标准</w:t>
      </w:r>
    </w:p>
    <w:p w14:paraId="3702F5A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73CF026A">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35.履约保证金</w:t>
      </w:r>
    </w:p>
    <w:p w14:paraId="7792EB47">
      <w:pPr>
        <w:pStyle w:val="8"/>
        <w:keepNext w:val="0"/>
        <w:keepLines w:val="0"/>
        <w:spacing w:before="0" w:after="0" w:line="400" w:lineRule="exact"/>
        <w:ind w:firstLine="315" w:firstLineChars="150"/>
        <w:rPr>
          <w:rFonts w:ascii="宋体" w:hAnsi="宋体" w:cs="宋体"/>
          <w:b w:val="0"/>
          <w:color w:val="auto"/>
          <w:sz w:val="21"/>
          <w:szCs w:val="21"/>
          <w:highlight w:val="none"/>
        </w:rPr>
      </w:pPr>
      <w:bookmarkStart w:id="132" w:name="_39.1中标人须于签订合同前按本须知前附表规定的金额转账或电汇到指定账"/>
      <w:bookmarkEnd w:id="132"/>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7FC7E756">
      <w:pPr>
        <w:pStyle w:val="8"/>
        <w:keepNext w:val="0"/>
        <w:keepLines w:val="0"/>
        <w:spacing w:before="0" w:after="0" w:line="400" w:lineRule="exact"/>
        <w:ind w:firstLine="316"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val="0"/>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55DE6DA8">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36.签订合同</w:t>
      </w:r>
    </w:p>
    <w:p w14:paraId="447DA379">
      <w:pPr>
        <w:pStyle w:val="8"/>
        <w:keepNext w:val="0"/>
        <w:keepLines w:val="0"/>
        <w:spacing w:before="0" w:after="0" w:line="400" w:lineRule="exact"/>
        <w:ind w:firstLine="315" w:firstLineChars="150"/>
        <w:rPr>
          <w:rFonts w:ascii="宋体" w:hAnsi="宋体" w:cs="宋体"/>
          <w:b w:val="0"/>
          <w:color w:val="auto"/>
          <w:sz w:val="21"/>
          <w:szCs w:val="21"/>
          <w:highlight w:val="none"/>
        </w:rPr>
      </w:pPr>
      <w:bookmarkStart w:id="133" w:name="_40.1投标人接到中标通知书后，按须知前附表规定向采购人出示相关资格证"/>
      <w:bookmarkEnd w:id="133"/>
      <w:r>
        <w:rPr>
          <w:rFonts w:hint="eastAsia" w:ascii="宋体" w:hAnsi="宋体" w:cs="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2EAFE590">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36.2签订合同时间：按中标通知书规定的时间与采购人签订合同（最长不能超过25日）。</w:t>
      </w:r>
    </w:p>
    <w:p w14:paraId="3C4E964F">
      <w:pPr>
        <w:pStyle w:val="8"/>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36.3中标人拒绝与采购人签订合同的，按照本须知正文第30.4条的规定执行。</w:t>
      </w:r>
    </w:p>
    <w:p w14:paraId="4921E570">
      <w:pPr>
        <w:pStyle w:val="8"/>
        <w:keepNext w:val="0"/>
        <w:keepLines w:val="0"/>
        <w:spacing w:before="0" w:after="0" w:line="400" w:lineRule="exact"/>
        <w:ind w:left="420" w:leftChars="200"/>
        <w:rPr>
          <w:rFonts w:ascii="宋体" w:hAnsi="宋体" w:cs="宋体"/>
          <w:color w:val="auto"/>
          <w:sz w:val="21"/>
          <w:szCs w:val="21"/>
          <w:highlight w:val="none"/>
        </w:rPr>
      </w:pPr>
      <w:bookmarkStart w:id="134" w:name="_41.政府采购合同公告"/>
      <w:bookmarkEnd w:id="134"/>
      <w:r>
        <w:rPr>
          <w:rFonts w:hint="eastAsia" w:ascii="宋体" w:hAnsi="宋体" w:cs="宋体"/>
          <w:color w:val="auto"/>
          <w:sz w:val="21"/>
          <w:szCs w:val="21"/>
          <w:highlight w:val="none"/>
        </w:rPr>
        <w:t>37.政府采购合同公告</w:t>
      </w:r>
    </w:p>
    <w:p w14:paraId="7FC6F273">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B10400A">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38. 询问、质疑和投诉</w:t>
      </w:r>
    </w:p>
    <w:p w14:paraId="033D61F4">
      <w:pPr>
        <w:pStyle w:val="9"/>
        <w:spacing w:line="400" w:lineRule="exact"/>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693BDD90">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A8059C0">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（1）对可以质疑的招标文件提出质疑的，为收到招标文件之日或者招标文件公告期限届满之日；</w:t>
      </w:r>
    </w:p>
    <w:p w14:paraId="728EE18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（2）对采购过程提出质疑的，为各采购程序环节结束之日；</w:t>
      </w:r>
    </w:p>
    <w:p w14:paraId="3E481E8B">
      <w:pPr>
        <w:pStyle w:val="19"/>
        <w:snapToGrid w:val="0"/>
        <w:spacing w:line="400" w:lineRule="exact"/>
        <w:ind w:firstLine="420" w:firstLineChars="200"/>
        <w:rPr>
          <w:rFonts w:hAnsi="宋体" w:cs="宋体"/>
          <w:bCs/>
          <w:color w:val="auto"/>
          <w:szCs w:val="21"/>
          <w:highlight w:val="none"/>
        </w:rPr>
      </w:pPr>
      <w:r>
        <w:rPr>
          <w:rFonts w:hint="eastAsia" w:hAnsi="宋体" w:cs="宋体"/>
          <w:color w:val="auto"/>
          <w:szCs w:val="21"/>
          <w:highlight w:val="none"/>
        </w:rPr>
        <w:t>（3）对中标结果提出质疑的，为中标结果公告期限届满之日。</w:t>
      </w:r>
    </w:p>
    <w:p w14:paraId="5067E2A5">
      <w:pPr>
        <w:pStyle w:val="8"/>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38.3 </w:t>
      </w:r>
      <w:r>
        <w:rPr>
          <w:rFonts w:hint="eastAsia" w:ascii="宋体" w:hAnsi="宋体" w:cs="宋体"/>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038321F4">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（1）供应商的姓名或者名称、地址、邮编、联系人及联系电话；</w:t>
      </w:r>
    </w:p>
    <w:p w14:paraId="4A9565A1">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（2）质疑项目的名称、编号；</w:t>
      </w:r>
    </w:p>
    <w:p w14:paraId="2D0CB17B">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（3）具体、明确的质疑事项和与质疑事项相关的请求；</w:t>
      </w:r>
    </w:p>
    <w:p w14:paraId="3C845FAB">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（4）事实依据；</w:t>
      </w:r>
    </w:p>
    <w:p w14:paraId="70F0AD7E">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（5）必要的法律依据；</w:t>
      </w:r>
    </w:p>
    <w:p w14:paraId="69D49F29">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（6）提出质疑的日期。</w:t>
      </w:r>
    </w:p>
    <w:p w14:paraId="556EF3F4">
      <w:pPr>
        <w:pStyle w:val="19"/>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1E9179EC">
      <w:pPr>
        <w:pStyle w:val="8"/>
        <w:keepNext w:val="0"/>
        <w:keepLines w:val="0"/>
        <w:snapToGrid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19DDB0AE">
      <w:pPr>
        <w:pStyle w:val="19"/>
        <w:snapToGrid w:val="0"/>
        <w:spacing w:line="400" w:lineRule="exact"/>
        <w:rPr>
          <w:rFonts w:hAnsi="宋体" w:cs="宋体"/>
          <w:bCs/>
          <w:color w:val="auto"/>
          <w:szCs w:val="21"/>
          <w:highlight w:val="none"/>
        </w:rPr>
      </w:pPr>
      <w:r>
        <w:rPr>
          <w:rFonts w:hint="eastAsia" w:hAnsi="宋体" w:cs="宋体"/>
          <w:bCs/>
          <w:color w:val="auto"/>
          <w:szCs w:val="21"/>
          <w:highlight w:val="none"/>
        </w:rPr>
        <w:t>　　（1）对招标文件提出的质疑，依法通过澄清或者修改可以继续开展采购活动的，澄清或者修改招标文件后继续开展采购活动；否则应当修改招标文件后重新开展采购活动。</w:t>
      </w:r>
    </w:p>
    <w:p w14:paraId="588225CB">
      <w:pPr>
        <w:pStyle w:val="19"/>
        <w:snapToGrid w:val="0"/>
        <w:spacing w:line="400" w:lineRule="exact"/>
        <w:rPr>
          <w:rFonts w:hAnsi="宋体" w:cs="宋体"/>
          <w:bCs/>
          <w:color w:val="auto"/>
          <w:szCs w:val="21"/>
          <w:highlight w:val="none"/>
        </w:rPr>
      </w:pPr>
      <w:r>
        <w:rPr>
          <w:rFonts w:hint="eastAsia" w:hAnsi="宋体" w:cs="宋体"/>
          <w:bCs/>
          <w:color w:val="auto"/>
          <w:szCs w:val="21"/>
          <w:highlight w:val="none"/>
        </w:rPr>
        <w:t>　　（2）对采购过程、中标结果提出的质疑，合格供应商符合法定数量时，可以从合格的中标候选人中另行确定中标供应商的，应当依法另行确定中标供应商；否则应当重新开展采购活动。</w:t>
      </w:r>
    </w:p>
    <w:p w14:paraId="403C5A03">
      <w:pPr>
        <w:pStyle w:val="19"/>
        <w:snapToGrid w:val="0"/>
        <w:spacing w:line="400" w:lineRule="exact"/>
        <w:ind w:firstLine="420"/>
        <w:rPr>
          <w:rFonts w:hAnsi="宋体" w:cs="宋体"/>
          <w:bCs/>
          <w:color w:val="auto"/>
          <w:szCs w:val="21"/>
          <w:highlight w:val="none"/>
        </w:rPr>
      </w:pPr>
      <w:r>
        <w:rPr>
          <w:rFonts w:hint="eastAsia" w:hAnsi="宋体" w:cs="宋体"/>
          <w:bCs/>
          <w:color w:val="auto"/>
          <w:szCs w:val="21"/>
          <w:highlight w:val="none"/>
        </w:rPr>
        <w:t>质疑答复导致中标结果改变的，采购人或者采购代理机构应当将有关情况书面报告本级财政部门。</w:t>
      </w:r>
    </w:p>
    <w:p w14:paraId="030B5401">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14:paraId="0E8DDFE2">
      <w:pPr>
        <w:pStyle w:val="6"/>
        <w:keepNext w:val="0"/>
        <w:keepLines w:val="0"/>
        <w:spacing w:line="400" w:lineRule="exac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八、其他事项</w:t>
      </w:r>
    </w:p>
    <w:p w14:paraId="0DB32F07">
      <w:pPr>
        <w:pStyle w:val="8"/>
        <w:keepNext w:val="0"/>
        <w:keepLines w:val="0"/>
        <w:spacing w:before="0" w:after="0" w:line="400" w:lineRule="exact"/>
        <w:ind w:left="420" w:leftChars="200"/>
        <w:rPr>
          <w:rFonts w:ascii="宋体" w:hAnsi="宋体" w:cs="宋体"/>
          <w:color w:val="auto"/>
          <w:sz w:val="21"/>
          <w:szCs w:val="21"/>
          <w:highlight w:val="none"/>
        </w:rPr>
      </w:pPr>
      <w:bookmarkStart w:id="136" w:name="_42.代理服务费"/>
      <w:bookmarkEnd w:id="136"/>
      <w:r>
        <w:rPr>
          <w:rFonts w:hint="eastAsia" w:ascii="宋体" w:hAnsi="宋体" w:cs="宋体"/>
          <w:color w:val="auto"/>
          <w:sz w:val="21"/>
          <w:szCs w:val="21"/>
          <w:highlight w:val="none"/>
        </w:rPr>
        <w:t>39.代理服务费</w:t>
      </w:r>
    </w:p>
    <w:p w14:paraId="0E665A4B">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39.1代理服务收取标准及缴费账户详见“投标人须知前附表”，投标人为联合体的，可以由联合体中的一方或者多方共同交纳代理服务费。</w:t>
      </w:r>
    </w:p>
    <w:p w14:paraId="74A24B4E">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39.2代理服务收费标准：</w:t>
      </w:r>
    </w:p>
    <w:tbl>
      <w:tblPr>
        <w:tblStyle w:val="3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27F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E8CB4E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费率</w:t>
            </w:r>
          </w:p>
          <w:p w14:paraId="375A5AE3">
            <w:pPr>
              <w:spacing w:line="400" w:lineRule="exact"/>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1F0CC794">
            <w:pPr>
              <w:spacing w:line="40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6A927F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3AEC4EA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1117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AC0964B">
            <w:pPr>
              <w:spacing w:line="400" w:lineRule="exact"/>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67280D05">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2A36892E">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734B72A8">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9E0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B57F2CC">
            <w:pPr>
              <w:spacing w:line="400" w:lineRule="exact"/>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372EC25A">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15105ECF">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07CF0A16">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303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DC74007">
            <w:pPr>
              <w:spacing w:line="400" w:lineRule="exact"/>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46111D46">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41E14441">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584C4693">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47D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BB56F1">
            <w:pPr>
              <w:spacing w:line="400" w:lineRule="exact"/>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6113405">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48A6FA27">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46CD4FB8">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CF7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14617C4">
            <w:pPr>
              <w:spacing w:line="400" w:lineRule="exact"/>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50DFA82">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784BD2EE">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77362AF2">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918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6A4884">
            <w:pPr>
              <w:spacing w:line="400" w:lineRule="exact"/>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3ACEAA07">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5B417C11">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1E5F560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6D51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ED8EB3">
            <w:pPr>
              <w:spacing w:line="400" w:lineRule="exact"/>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C02DEE5">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1A1C99FE">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6D976E0C">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7D5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06AA21">
            <w:pPr>
              <w:spacing w:line="400" w:lineRule="exact"/>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71311E32">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781699AE">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6CD2A6BC">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1A0C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24E784">
            <w:pPr>
              <w:spacing w:line="400" w:lineRule="exact"/>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6AA3614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1378D953">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32B27080">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29D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4A68AD">
            <w:pPr>
              <w:spacing w:line="400" w:lineRule="exact"/>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198DABC6">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58DB48C0">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1A20367F">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00B7427">
      <w:pPr>
        <w:spacing w:line="400" w:lineRule="exact"/>
        <w:ind w:firstLine="420" w:firstLineChars="200"/>
        <w:rPr>
          <w:rFonts w:ascii="宋体" w:hAnsi="宋体" w:cs="宋体"/>
          <w:color w:val="auto"/>
          <w:szCs w:val="21"/>
          <w:highlight w:val="none"/>
        </w:rPr>
      </w:pPr>
    </w:p>
    <w:p w14:paraId="03C89BD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3596B0D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37FB027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26EB83F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14:paraId="59C5A52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06A7C2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14:paraId="3F61FA61">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合计收费＝ 1.5+0.8＝ 2.3（万元）</w:t>
      </w:r>
    </w:p>
    <w:p w14:paraId="5D1543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32.9 代理服务费交纳银行帐号信息</w:t>
      </w:r>
    </w:p>
    <w:p w14:paraId="514FFDD5">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账户名称：广西建设工程机电设备招标中心有限公司</w:t>
      </w:r>
    </w:p>
    <w:p w14:paraId="318F0FA2">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开户银行：招商银行南宁分行营业部 </w:t>
      </w:r>
    </w:p>
    <w:p w14:paraId="30ACE037">
      <w:pPr>
        <w:pStyle w:val="19"/>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银行账号： 771901423310201</w:t>
      </w:r>
    </w:p>
    <w:p w14:paraId="24AFC3A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开户行行号：308611000032</w:t>
      </w:r>
    </w:p>
    <w:p w14:paraId="3266A4F4">
      <w:pPr>
        <w:pStyle w:val="8"/>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49BFE3CD">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40.1本招标文件解释规则详见“投标人须知前附表”。</w:t>
      </w:r>
    </w:p>
    <w:p w14:paraId="2F3CB320">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40.2 其他事项详见“投标人须知前附表”。</w:t>
      </w:r>
    </w:p>
    <w:p w14:paraId="7E02A57E">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40.3</w:t>
      </w:r>
      <w:bookmarkStart w:id="137" w:name="_Hlk65857140"/>
      <w:r>
        <w:rPr>
          <w:rFonts w:hint="eastAsia" w:hAnsi="宋体" w:cs="宋体"/>
          <w:color w:val="auto"/>
          <w:szCs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AD5E04A">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27B51A81">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（2）在工程采购项目中，工程由中小企业承建，即工程施工单位为中小企业，不对其中涉及的货物的制造商和服务的承接商作出要求；</w:t>
      </w:r>
    </w:p>
    <w:p w14:paraId="69FF4A24">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CBFAFCD">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C4ED387">
      <w:pPr>
        <w:pStyle w:val="19"/>
        <w:spacing w:line="400" w:lineRule="exact"/>
        <w:ind w:firstLine="420" w:firstLineChars="200"/>
        <w:contextualSpacing/>
        <w:rPr>
          <w:rFonts w:hAnsi="宋体" w:cs="宋体"/>
          <w:color w:val="auto"/>
          <w:highlight w:val="none"/>
        </w:rPr>
      </w:pPr>
      <w:r>
        <w:rPr>
          <w:rFonts w:hint="eastAsia" w:hAnsi="宋体" w:cs="宋体"/>
          <w:color w:val="auto"/>
          <w:szCs w:val="21"/>
          <w:highlight w:val="none"/>
        </w:rPr>
        <w:t>依据本招标文件规定享受扶持政策获得政府采购合同的，小微企业不得将合同分包给大中型企业，中型企业不得将合同分包给大型企业。</w:t>
      </w:r>
      <w:bookmarkEnd w:id="137"/>
    </w:p>
    <w:p w14:paraId="15984002">
      <w:pPr>
        <w:spacing w:line="360" w:lineRule="auto"/>
        <w:ind w:firstLine="420" w:firstLineChars="200"/>
        <w:jc w:val="left"/>
        <w:rPr>
          <w:rFonts w:hAnsi="宋体"/>
          <w:color w:val="auto"/>
          <w:highlight w:val="none"/>
        </w:rPr>
      </w:pPr>
      <w:r>
        <w:rPr>
          <w:rFonts w:hint="eastAsia" w:hAnsi="宋体"/>
          <w:color w:val="auto"/>
          <w:highlight w:val="none"/>
        </w:rPr>
        <w:br w:type="page"/>
      </w:r>
      <w:bookmarkStart w:id="138" w:name="_Toc532545043"/>
    </w:p>
    <w:p w14:paraId="79787A8F">
      <w:pPr>
        <w:pStyle w:val="19"/>
        <w:jc w:val="center"/>
        <w:outlineLvl w:val="0"/>
        <w:rPr>
          <w:rFonts w:ascii="Times New Roman" w:hAnsi="Times New Roman"/>
          <w:b/>
          <w:color w:val="auto"/>
          <w:sz w:val="36"/>
          <w:highlight w:val="none"/>
        </w:rPr>
      </w:pPr>
      <w:bookmarkStart w:id="139" w:name="_Toc80093003"/>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w:t>
      </w:r>
      <w:bookmarkEnd w:id="138"/>
      <w:r>
        <w:rPr>
          <w:rFonts w:hint="eastAsia" w:ascii="Times New Roman" w:hAnsi="Times New Roman"/>
          <w:b/>
          <w:color w:val="auto"/>
          <w:sz w:val="36"/>
          <w:highlight w:val="none"/>
        </w:rPr>
        <w:t>及评分标准</w:t>
      </w:r>
      <w:bookmarkEnd w:id="139"/>
    </w:p>
    <w:p w14:paraId="74EEEFA5">
      <w:pPr>
        <w:pStyle w:val="19"/>
        <w:jc w:val="center"/>
        <w:outlineLvl w:val="1"/>
        <w:rPr>
          <w:rFonts w:ascii="Times New Roman" w:hAnsi="Times New Roman"/>
          <w:b/>
          <w:bCs/>
          <w:color w:val="auto"/>
          <w:sz w:val="32"/>
          <w:szCs w:val="32"/>
          <w:highlight w:val="none"/>
        </w:rPr>
      </w:pPr>
      <w:bookmarkStart w:id="140" w:name="_Toc80093004"/>
      <w:r>
        <w:rPr>
          <w:rFonts w:hint="eastAsia" w:ascii="Times New Roman" w:hAnsi="Times New Roman"/>
          <w:b/>
          <w:bCs/>
          <w:color w:val="auto"/>
          <w:sz w:val="32"/>
          <w:szCs w:val="32"/>
          <w:highlight w:val="none"/>
        </w:rPr>
        <w:t>第一节 评标方法</w:t>
      </w:r>
      <w:bookmarkEnd w:id="140"/>
    </w:p>
    <w:p w14:paraId="25ED270A">
      <w:pPr>
        <w:pStyle w:val="19"/>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0485F7AA">
      <w:pPr>
        <w:pStyle w:val="19"/>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全部实质性要求，且投标报价最低的供应商为中标候选人的评标方法。</w:t>
      </w:r>
    </w:p>
    <w:p w14:paraId="3C433D8C">
      <w:pPr>
        <w:autoSpaceDE w:val="0"/>
        <w:autoSpaceDN w:val="0"/>
        <w:adjustRightInd w:val="0"/>
        <w:spacing w:line="440" w:lineRule="exact"/>
        <w:ind w:firstLine="422" w:firstLineChars="200"/>
        <w:rPr>
          <w:rFonts w:ascii="宋体" w:hAnsi="宋体"/>
          <w:color w:val="auto"/>
          <w:sz w:val="24"/>
          <w:highlight w:val="none"/>
        </w:rPr>
      </w:pPr>
      <w:r>
        <w:rPr>
          <w:rFonts w:hint="eastAsia" w:hAnsi="宋体"/>
          <w:b/>
          <w:bCs/>
          <w:color w:val="auto"/>
          <w:highlight w:val="none"/>
        </w:rPr>
        <w:t>☑综合评分法</w:t>
      </w:r>
      <w:r>
        <w:rPr>
          <w:rFonts w:hint="eastAsia" w:hAnsi="宋体"/>
          <w:color w:val="auto"/>
          <w:highlight w:val="none"/>
        </w:rPr>
        <w:t>，</w:t>
      </w:r>
      <w:r>
        <w:rPr>
          <w:rFonts w:hint="eastAsia" w:ascii="宋体" w:hAnsi="宋体"/>
          <w:color w:val="auto"/>
          <w:szCs w:val="20"/>
          <w:highlight w:val="none"/>
        </w:rPr>
        <w:t xml:space="preserve">是指投标文件满足招标文件全部实质性要求，且按照评审因素的量化指标评审得分最高的供应商为中标候选人的评标方法。评标委员会将对各供应商的投标报价、技术和服务方案、供应商的企业实力及资质等方面进行综合评审，对实质上响应招标文件的供应商，由各评委独立记名打分。经统计，得出各供应商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7141EE0">
      <w:pPr>
        <w:pStyle w:val="19"/>
        <w:spacing w:line="360" w:lineRule="auto"/>
        <w:ind w:firstLine="420"/>
        <w:rPr>
          <w:rFonts w:hAnsi="宋体"/>
          <w:color w:val="auto"/>
          <w:highlight w:val="none"/>
        </w:rPr>
      </w:pPr>
    </w:p>
    <w:p w14:paraId="106F0EEE">
      <w:pPr>
        <w:pStyle w:val="19"/>
        <w:tabs>
          <w:tab w:val="left" w:pos="2472"/>
        </w:tabs>
        <w:spacing w:line="460" w:lineRule="exact"/>
        <w:jc w:val="center"/>
        <w:outlineLvl w:val="1"/>
        <w:rPr>
          <w:rFonts w:ascii="Times New Roman" w:hAnsi="Times New Roman"/>
          <w:b/>
          <w:bCs/>
          <w:color w:val="auto"/>
          <w:sz w:val="32"/>
          <w:szCs w:val="32"/>
          <w:highlight w:val="none"/>
        </w:rPr>
      </w:pPr>
      <w:bookmarkStart w:id="141" w:name="_Toc80093005"/>
      <w:r>
        <w:rPr>
          <w:rFonts w:hint="eastAsia" w:ascii="Times New Roman" w:hAnsi="Times New Roman"/>
          <w:b/>
          <w:bCs/>
          <w:color w:val="auto"/>
          <w:sz w:val="32"/>
          <w:szCs w:val="32"/>
          <w:highlight w:val="none"/>
        </w:rPr>
        <w:t>第二节 评标程序</w:t>
      </w:r>
      <w:bookmarkEnd w:id="141"/>
    </w:p>
    <w:p w14:paraId="525AA7BD">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67CB7265">
      <w:pPr>
        <w:pStyle w:val="19"/>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14:paraId="13508F70">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700EB6E4">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0EB11FDE">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4B4B29B5">
      <w:pPr>
        <w:pStyle w:val="9"/>
        <w:numPr>
          <w:ilvl w:val="0"/>
          <w:numId w:val="4"/>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061EE4F1">
      <w:pPr>
        <w:pStyle w:val="9"/>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78D3373F">
      <w:pPr>
        <w:pStyle w:val="9"/>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43B819CB">
      <w:pPr>
        <w:pStyle w:val="9"/>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075F64E">
      <w:pPr>
        <w:pStyle w:val="9"/>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394B11FA">
      <w:pPr>
        <w:pStyle w:val="9"/>
        <w:numPr>
          <w:ilvl w:val="0"/>
          <w:numId w:val="4"/>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00AD3453">
      <w:pPr>
        <w:pStyle w:val="9"/>
        <w:numPr>
          <w:ilvl w:val="0"/>
          <w:numId w:val="4"/>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5DA5519C">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408BC0DC">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3CB7EBF9">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6874154">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00BC3A27">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4CD5AB0C">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303657DD">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16D41672">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3C29F26C">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651BCD89">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7ED1D686">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0C249E5B">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11285B82">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493516FE">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729D500F">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64CD3458">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（1）技术要求评审允许负偏离的条款数超过“投标人须知前附表”规定项数的；</w:t>
      </w:r>
    </w:p>
    <w:p w14:paraId="00593123">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（2）投标文件未提供“投标人须知前附表”第13.</w:t>
      </w:r>
      <w:r>
        <w:rPr>
          <w:rFonts w:hAnsi="宋体"/>
          <w:b/>
          <w:color w:val="auto"/>
          <w:sz w:val="21"/>
          <w:szCs w:val="21"/>
          <w:highlight w:val="none"/>
        </w:rPr>
        <w:t>1</w:t>
      </w:r>
      <w:r>
        <w:rPr>
          <w:rFonts w:hint="eastAsia" w:hAnsi="宋体"/>
          <w:b/>
          <w:color w:val="auto"/>
          <w:sz w:val="21"/>
          <w:szCs w:val="21"/>
          <w:highlight w:val="none"/>
        </w:rPr>
        <w:t>条规定中“必须提供”的文件资料的；</w:t>
      </w:r>
    </w:p>
    <w:p w14:paraId="5ABB44DD">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（3）虚假投标，或者出现其他情形而导致被评标委员会认定无效的；</w:t>
      </w:r>
    </w:p>
    <w:p w14:paraId="1CBBF6CF">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（4）</w:t>
      </w:r>
      <w:bookmarkStart w:id="142" w:name="_Hlk71706244"/>
      <w:r>
        <w:rPr>
          <w:rFonts w:hint="eastAsia" w:hAnsi="宋体"/>
          <w:b/>
          <w:color w:val="auto"/>
          <w:sz w:val="21"/>
          <w:szCs w:val="21"/>
          <w:highlight w:val="none"/>
        </w:rPr>
        <w:t>招标文件未载明允许提供备选（替代）投标方案或明确不允许提供备选（替代）投标方案时，投标人提供了备选（替代）投标方案的；</w:t>
      </w:r>
      <w:bookmarkEnd w:id="142"/>
    </w:p>
    <w:p w14:paraId="40212742">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（5）未响应招标文件实质性要求的。</w:t>
      </w:r>
    </w:p>
    <w:p w14:paraId="5BA96EA1">
      <w:pPr>
        <w:pStyle w:val="16"/>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2.4通过符合性审查的投标人不足3家，评标委员会不得继续评标，并出具评标报告。</w:t>
      </w:r>
    </w:p>
    <w:p w14:paraId="677B04CF">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2DC6999">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70CAB903">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336F2387">
      <w:pPr>
        <w:pStyle w:val="8"/>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292147EC">
      <w:pPr>
        <w:pStyle w:val="19"/>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14:paraId="6A980EAF">
      <w:pPr>
        <w:pStyle w:val="19"/>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14:paraId="0A76A487">
      <w:pPr>
        <w:pStyle w:val="19"/>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14:paraId="7544B526">
      <w:pPr>
        <w:pStyle w:val="19"/>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14:paraId="39D31A6C">
      <w:pPr>
        <w:pStyle w:val="19"/>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14:paraId="11D931EA">
      <w:pPr>
        <w:pStyle w:val="8"/>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0EFDE7F2">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C5E2D1F">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599762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1E1C00E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1BC0765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73B9FCB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5F3749A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75FF659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270879A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78AD0D6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4FE8BB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42AE8D04">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16B914E1">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4EBA4D32">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53546FDF">
      <w:pPr>
        <w:spacing w:line="360" w:lineRule="auto"/>
        <w:ind w:firstLine="420" w:firstLineChars="200"/>
        <w:rPr>
          <w:rFonts w:hAnsi="宋体"/>
          <w:color w:val="auto"/>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hAnsi="宋体"/>
          <w:color w:val="auto"/>
          <w:highlight w:val="none"/>
        </w:rPr>
        <w:t>。</w:t>
      </w:r>
    </w:p>
    <w:p w14:paraId="7F661578">
      <w:pPr>
        <w:rPr>
          <w:color w:val="auto"/>
          <w:sz w:val="30"/>
          <w:szCs w:val="30"/>
          <w:highlight w:val="none"/>
        </w:rPr>
      </w:pPr>
      <w:bookmarkStart w:id="143" w:name="_Toc80093006"/>
      <w:r>
        <w:rPr>
          <w:rFonts w:hint="eastAsia"/>
          <w:color w:val="auto"/>
          <w:sz w:val="30"/>
          <w:szCs w:val="30"/>
          <w:highlight w:val="none"/>
        </w:rPr>
        <w:br w:type="page"/>
      </w:r>
    </w:p>
    <w:p w14:paraId="31515A76">
      <w:pPr>
        <w:pStyle w:val="4"/>
        <w:spacing w:before="0" w:after="0" w:line="440" w:lineRule="exact"/>
        <w:jc w:val="center"/>
        <w:rPr>
          <w:b w:val="0"/>
          <w:color w:val="auto"/>
          <w:sz w:val="30"/>
          <w:szCs w:val="30"/>
          <w:highlight w:val="none"/>
        </w:rPr>
      </w:pPr>
      <w:r>
        <w:rPr>
          <w:rFonts w:hint="eastAsia"/>
          <w:b w:val="0"/>
          <w:color w:val="auto"/>
          <w:sz w:val="30"/>
          <w:szCs w:val="30"/>
          <w:highlight w:val="none"/>
        </w:rPr>
        <w:t>第三节 评分标准</w:t>
      </w:r>
      <w:bookmarkEnd w:id="143"/>
    </w:p>
    <w:p w14:paraId="6B1F7980">
      <w:pPr>
        <w:pStyle w:val="4"/>
        <w:spacing w:before="0" w:after="0" w:line="440" w:lineRule="exact"/>
        <w:jc w:val="center"/>
        <w:rPr>
          <w:rFonts w:hAnsi="宋体" w:eastAsia="宋体"/>
          <w:color w:val="auto"/>
          <w:highlight w:val="none"/>
        </w:rPr>
      </w:pPr>
      <w:r>
        <w:rPr>
          <w:rFonts w:hint="eastAsia" w:ascii="Times New Roman" w:hAnsi="Times New Roman"/>
          <w:color w:val="auto"/>
          <w:sz w:val="30"/>
          <w:szCs w:val="30"/>
          <w:highlight w:val="none"/>
        </w:rPr>
        <w:t>综合评分法</w:t>
      </w:r>
      <w:bookmarkStart w:id="144" w:name="_Toc80093007"/>
    </w:p>
    <w:tbl>
      <w:tblPr>
        <w:tblStyle w:val="3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049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47" w:type="dxa"/>
            <w:gridSpan w:val="2"/>
            <w:noWrap w:val="0"/>
            <w:vAlign w:val="center"/>
          </w:tcPr>
          <w:p w14:paraId="51C4FC4D">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20" w:type="dxa"/>
            <w:noWrap w:val="0"/>
            <w:vAlign w:val="center"/>
          </w:tcPr>
          <w:p w14:paraId="7141AA25">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6096" w:type="dxa"/>
            <w:noWrap w:val="0"/>
            <w:vAlign w:val="center"/>
          </w:tcPr>
          <w:p w14:paraId="656B9D9C">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1C4A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62" w:type="dxa"/>
            <w:noWrap w:val="0"/>
            <w:vAlign w:val="center"/>
          </w:tcPr>
          <w:p w14:paraId="3980EE28">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5" w:type="dxa"/>
            <w:noWrap w:val="0"/>
            <w:vAlign w:val="center"/>
          </w:tcPr>
          <w:p w14:paraId="13169CAE">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价格分</w:t>
            </w:r>
          </w:p>
          <w:p w14:paraId="343215F2">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20</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6CF6F591">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6096" w:type="dxa"/>
            <w:noWrap w:val="0"/>
            <w:vAlign w:val="center"/>
          </w:tcPr>
          <w:p w14:paraId="4F1B515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（1）评标报价为投标人的投标报价进行政策性扣除后的价格，评标报价只是作为评标时使用。最终中标人的中标金额等于投标报价。</w:t>
            </w:r>
          </w:p>
          <w:p w14:paraId="5C608F1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（2）政策性扣除计算方法。</w:t>
            </w:r>
          </w:p>
          <w:p w14:paraId="57DF913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根据《广西壮族自治区财政厅关于贯彻落实政府采购支持中小企业发展政策的通知的规定》（桂财采〔2022〕31 号）的规定，供应商在其投标文件中提供《中小企业声明函》，且其投标全部服务由小微企业提供的，对供应商的投标报价给予 10%的扣除，扣除后的价格为评审价，即评审投标</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=投标</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×（1-10%），接受大中型企业与小微企业组成联合体或者允许大中型企业向一家或者多家小微企业分包的采购项目，联合协议或者分包意向协议约定小微企业的合同份额占到合同总金额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4% （范围为 4%-6%）的扣除，用扣除后的价格参加评审，扣除后的价格为评标报价，即评标报价=投标</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×（1-4%）。</w:t>
            </w:r>
          </w:p>
          <w:p w14:paraId="347DF935">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除上述情况外，评审</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=投标</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w:t>
            </w:r>
          </w:p>
          <w:p w14:paraId="7E4593F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A31472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43A964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（5）满足招标文件要求且评标</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最低的评标</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为评标基准</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，其价格分为满分。</w:t>
            </w:r>
          </w:p>
          <w:p w14:paraId="778C5B74">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 xml:space="preserve">（6）价格分计算公式： </w:t>
            </w:r>
          </w:p>
          <w:p w14:paraId="085D2C48">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价格分=（评标基准</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／评标</w:t>
            </w:r>
            <w:r>
              <w:rPr>
                <w:rFonts w:hint="eastAsia" w:ascii="宋体" w:hAnsi="宋体" w:eastAsia="宋体" w:cs="宋体"/>
                <w:b w:val="0"/>
                <w:bCs w:val="0"/>
                <w:color w:val="auto"/>
                <w:szCs w:val="21"/>
                <w:highlight w:val="none"/>
                <w:lang w:val="en-US" w:eastAsia="zh-CN"/>
              </w:rPr>
              <w:t>折扣率</w:t>
            </w:r>
            <w:r>
              <w:rPr>
                <w:rFonts w:hint="eastAsia" w:ascii="宋体" w:hAnsi="宋体" w:eastAsia="宋体" w:cs="宋体"/>
                <w:b w:val="0"/>
                <w:bCs w:val="0"/>
                <w:color w:val="auto"/>
                <w:szCs w:val="21"/>
                <w:highlight w:val="none"/>
                <w:lang w:eastAsia="zh-CN"/>
              </w:rPr>
              <w:t>）×20 分</w:t>
            </w:r>
          </w:p>
          <w:p w14:paraId="6DBB2A9D">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eastAsia="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当其作为无效投标处理。</w:t>
            </w:r>
          </w:p>
        </w:tc>
      </w:tr>
      <w:tr w14:paraId="6BAF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619BB8C0">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5" w:type="dxa"/>
            <w:vMerge w:val="restart"/>
            <w:noWrap w:val="0"/>
            <w:vAlign w:val="center"/>
          </w:tcPr>
          <w:p w14:paraId="26F4F94D">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服务实施方案分</w:t>
            </w:r>
          </w:p>
          <w:p w14:paraId="28D1B626">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single"/>
                <w:lang w:val="en-US" w:eastAsia="zh-CN" w:bidi="ar-SA"/>
              </w:rPr>
              <w:t>45</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4EBF158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（1）项目实施方案（满分</w:t>
            </w: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6096" w:type="dxa"/>
            <w:noWrap w:val="0"/>
            <w:vAlign w:val="center"/>
          </w:tcPr>
          <w:p w14:paraId="3D310B0D">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：管理制度不够完善，配送服务方案基本符合要求。针对</w:t>
            </w:r>
            <w:r>
              <w:rPr>
                <w:rFonts w:hint="eastAsia" w:ascii="宋体" w:hAnsi="宋体" w:cs="宋体"/>
                <w:b w:val="0"/>
                <w:bCs w:val="0"/>
                <w:color w:val="auto"/>
                <w:szCs w:val="21"/>
                <w:highlight w:val="none"/>
                <w:lang w:eastAsia="zh-CN"/>
              </w:rPr>
              <w:t>采购单位</w:t>
            </w:r>
            <w:r>
              <w:rPr>
                <w:rFonts w:hint="eastAsia" w:ascii="宋体" w:hAnsi="宋体" w:eastAsia="宋体" w:cs="宋体"/>
                <w:b w:val="0"/>
                <w:bCs w:val="0"/>
                <w:color w:val="auto"/>
                <w:szCs w:val="21"/>
                <w:highlight w:val="none"/>
              </w:rPr>
              <w:t>实际需求的描述不够详细，基本能保证配送服务的质量。对于问题食材引发的紧急事件处理预案内容缺乏针对性，且对紧急事件的现场处理时间超过 60 分钟；</w:t>
            </w:r>
          </w:p>
          <w:p w14:paraId="170EE8BB">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：项目配送供货时间安排合理，管理制度简洁明了，配送服务方案基本满足需求。针对</w:t>
            </w:r>
            <w:r>
              <w:rPr>
                <w:rFonts w:hint="eastAsia" w:ascii="宋体" w:hAnsi="宋体" w:cs="宋体"/>
                <w:b w:val="0"/>
                <w:bCs w:val="0"/>
                <w:color w:val="auto"/>
                <w:szCs w:val="21"/>
                <w:highlight w:val="none"/>
                <w:lang w:eastAsia="zh-CN"/>
              </w:rPr>
              <w:t>采购单位</w:t>
            </w:r>
            <w:r>
              <w:rPr>
                <w:rFonts w:hint="eastAsia" w:ascii="宋体" w:hAnsi="宋体" w:eastAsia="宋体" w:cs="宋体"/>
                <w:b w:val="0"/>
                <w:bCs w:val="0"/>
                <w:color w:val="auto"/>
                <w:szCs w:val="21"/>
                <w:highlight w:val="none"/>
              </w:rPr>
              <w:t>实际需求的描述较为简略，</w:t>
            </w:r>
            <w:r>
              <w:rPr>
                <w:rFonts w:hAnsi="宋体"/>
                <w:bCs/>
                <w:color w:val="auto"/>
                <w:highlight w:val="none"/>
              </w:rPr>
              <w:t>项目管理及</w:t>
            </w:r>
            <w:r>
              <w:rPr>
                <w:rFonts w:hint="eastAsia" w:hAnsi="宋体"/>
                <w:bCs/>
                <w:color w:val="auto"/>
                <w:highlight w:val="none"/>
              </w:rPr>
              <w:t>配送</w:t>
            </w:r>
            <w:r>
              <w:rPr>
                <w:rFonts w:hAnsi="宋体"/>
                <w:bCs/>
                <w:color w:val="auto"/>
                <w:highlight w:val="none"/>
              </w:rPr>
              <w:t>措施配送人员</w:t>
            </w:r>
            <w:r>
              <w:rPr>
                <w:rFonts w:hint="eastAsia" w:hAnsi="宋体"/>
                <w:bCs/>
                <w:color w:val="auto"/>
                <w:highlight w:val="none"/>
              </w:rPr>
              <w:t>满足基本架构</w:t>
            </w:r>
            <w:r>
              <w:rPr>
                <w:rFonts w:hint="eastAsia" w:hAnsi="宋体"/>
                <w:bCs/>
                <w:color w:val="auto"/>
                <w:highlight w:val="none"/>
                <w:lang w:eastAsia="zh-CN"/>
              </w:rPr>
              <w:t>，</w:t>
            </w:r>
            <w:r>
              <w:rPr>
                <w:rFonts w:hint="eastAsia" w:ascii="宋体" w:hAnsi="宋体" w:eastAsia="宋体" w:cs="宋体"/>
                <w:b w:val="0"/>
                <w:bCs w:val="0"/>
                <w:color w:val="auto"/>
                <w:szCs w:val="21"/>
                <w:highlight w:val="none"/>
              </w:rPr>
              <w:t>具体实施步骤和要求的阐述不够详尽，但能确保配送服务的正常进行。能在</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0 分钟内到达现场处理紧急事件。问题食材发生紧急事件处理预案内容简洁实用；</w:t>
            </w:r>
          </w:p>
          <w:p w14:paraId="6E844518">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：项目配送体系合理，供货时间安排得当。管理制度完善，配送服务方案详尽。针对</w:t>
            </w:r>
            <w:r>
              <w:rPr>
                <w:rFonts w:hint="eastAsia" w:ascii="宋体" w:hAnsi="宋体" w:cs="宋体"/>
                <w:b w:val="0"/>
                <w:bCs w:val="0"/>
                <w:color w:val="auto"/>
                <w:szCs w:val="21"/>
                <w:highlight w:val="none"/>
                <w:lang w:eastAsia="zh-CN"/>
              </w:rPr>
              <w:t>采购单位</w:t>
            </w:r>
            <w:r>
              <w:rPr>
                <w:rFonts w:hint="eastAsia" w:ascii="宋体" w:hAnsi="宋体" w:eastAsia="宋体" w:cs="宋体"/>
                <w:b w:val="0"/>
                <w:bCs w:val="0"/>
                <w:color w:val="auto"/>
                <w:szCs w:val="21"/>
                <w:highlight w:val="none"/>
              </w:rPr>
              <w:t>实际需求描述详细，具体实施步骤和要求明确。除保证配送服务业务外，还配备有机动人员应对紧急事件处理。对配送及应急处理的响应时间不超过 1</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 xml:space="preserve">分钟，对紧急事件的现场处理时间不超过 </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0 分钟。问题食材发生紧急事件处理预案内容具体，具有一定针对性；</w:t>
            </w:r>
          </w:p>
          <w:p w14:paraId="46A76ACC">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w:t>
            </w:r>
            <w:r>
              <w:rPr>
                <w:rFonts w:hint="eastAsia" w:ascii="宋体" w:hAnsi="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 xml:space="preserve">分钟。处理紧急事件时，能在 </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0 分钟内到达现场。针对问题食材发生的紧急事件，制定了具体且有针对性的处理预案。</w:t>
            </w:r>
          </w:p>
          <w:p w14:paraId="76B02762">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w:t>
            </w: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 xml:space="preserve">：项目生产与销售能力出众，配送工作体系成熟完备，供货时间安排合理。针对项目实际，提供全面细致、可靠的管理制度和配送服务方案，描述详尽，实施步骤和要求全面，具备较高的强针对和可行性，充分满足项目需求。问题食材紧急事件处理预案具体、全面，在保障配送服务的同时，配备充足的机动人员处理紧急事件，人员配置充足。对配送及应急处理的响应迅速，不超过 </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 xml:space="preserve">分钟，紧急事件现场处理时间不超 </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0 分钟，可行性高。方案具有针对性，重点突出，预案清晰，且能根据具体情况制定全面细致的方案，确保采购食材的卫生安全等重要因素。食材配送方案方案切合招标人单位特点</w:t>
            </w:r>
            <w:r>
              <w:rPr>
                <w:rFonts w:hint="eastAsia" w:ascii="宋体" w:hAnsi="宋体" w:cs="宋体"/>
                <w:b w:val="0"/>
                <w:bCs w:val="0"/>
                <w:color w:val="auto"/>
                <w:szCs w:val="21"/>
                <w:highlight w:val="none"/>
                <w:lang w:eastAsia="zh-CN"/>
              </w:rPr>
              <w:t>。</w:t>
            </w:r>
          </w:p>
        </w:tc>
      </w:tr>
      <w:tr w14:paraId="6BA4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718B979F">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14:paraId="01E38C5C">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72E8AE35">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（2）食品安全与质量保障能力（满分</w:t>
            </w: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rPr>
              <w:t>分）</w:t>
            </w:r>
          </w:p>
        </w:tc>
        <w:tc>
          <w:tcPr>
            <w:tcW w:w="6096" w:type="dxa"/>
            <w:noWrap w:val="0"/>
            <w:vAlign w:val="center"/>
          </w:tcPr>
          <w:p w14:paraId="33F06A64">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：进货渠道、食材控制管理、检验检疫、质量标准管控和追溯方式等方面的描述较为简略，仅达到采购文件的基本要求。</w:t>
            </w:r>
          </w:p>
          <w:p w14:paraId="189AEC76">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：进货渠道、食材控制管理措施、检验检疫措施、食材质量标准管控措施、追溯方式等方面的描述虽清晰，然尚不全面。</w:t>
            </w:r>
          </w:p>
          <w:p w14:paraId="3926FC9C">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hAnsi="宋体"/>
                <w:bCs/>
                <w:color w:val="auto"/>
                <w:highlight w:val="none"/>
              </w:rPr>
              <w:t>进货采购渠道，食材控制管理措施，检验检疫措施</w:t>
            </w:r>
            <w:r>
              <w:rPr>
                <w:rFonts w:hint="eastAsia" w:hAnsi="宋体"/>
                <w:bCs/>
                <w:color w:val="auto"/>
                <w:highlight w:val="none"/>
                <w:lang w:eastAsia="zh-CN"/>
              </w:rPr>
              <w:t>、</w:t>
            </w:r>
            <w:r>
              <w:rPr>
                <w:rFonts w:hint="eastAsia" w:hAnsi="宋体"/>
                <w:bCs/>
                <w:color w:val="auto"/>
                <w:highlight w:val="none"/>
              </w:rPr>
              <w:t>食材质量安全保证措施</w:t>
            </w:r>
            <w:r>
              <w:rPr>
                <w:rFonts w:hint="eastAsia" w:hAnsi="宋体"/>
                <w:bCs/>
                <w:color w:val="auto"/>
                <w:highlight w:val="none"/>
                <w:lang w:eastAsia="zh-CN"/>
              </w:rPr>
              <w:t>、</w:t>
            </w:r>
            <w:r>
              <w:rPr>
                <w:rFonts w:hint="eastAsia" w:ascii="宋体" w:hAnsi="宋体" w:eastAsia="宋体" w:cs="宋体"/>
                <w:color w:val="auto"/>
                <w:szCs w:val="21"/>
                <w:highlight w:val="none"/>
              </w:rPr>
              <w:t>追溯方式等方面，描述</w:t>
            </w:r>
            <w:r>
              <w:rPr>
                <w:rFonts w:hint="eastAsia" w:cs="宋体"/>
                <w:color w:val="auto"/>
                <w:kern w:val="0"/>
                <w:szCs w:val="21"/>
                <w:highlight w:val="none"/>
              </w:rPr>
              <w:t>较</w:t>
            </w:r>
            <w:r>
              <w:rPr>
                <w:rFonts w:hint="eastAsia" w:ascii="宋体" w:hAnsi="宋体" w:eastAsia="宋体" w:cs="宋体"/>
                <w:color w:val="auto"/>
                <w:szCs w:val="21"/>
                <w:highlight w:val="none"/>
              </w:rPr>
              <w:t>清晰、</w:t>
            </w:r>
            <w:r>
              <w:rPr>
                <w:rFonts w:hint="eastAsia" w:hAnsi="宋体"/>
                <w:bCs/>
                <w:color w:val="auto"/>
                <w:highlight w:val="none"/>
              </w:rPr>
              <w:t>较</w:t>
            </w:r>
            <w:r>
              <w:rPr>
                <w:rFonts w:hint="eastAsia" w:ascii="宋体" w:hAnsi="宋体" w:eastAsia="宋体" w:cs="宋体"/>
                <w:color w:val="auto"/>
                <w:szCs w:val="21"/>
                <w:highlight w:val="none"/>
              </w:rPr>
              <w:t>全面、并且主动开展了检验工作。</w:t>
            </w:r>
          </w:p>
          <w:p w14:paraId="7355A16B">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hAnsi="宋体"/>
                <w:bCs/>
                <w:color w:val="auto"/>
                <w:highlight w:val="none"/>
              </w:rPr>
              <w:t>进货采购渠道有固定货源且货源稳定，食材控制管理措施较完善，</w:t>
            </w:r>
            <w:r>
              <w:rPr>
                <w:rFonts w:hint="eastAsia" w:cs="宋体"/>
                <w:color w:val="auto"/>
                <w:kern w:val="0"/>
                <w:szCs w:val="21"/>
                <w:highlight w:val="none"/>
              </w:rPr>
              <w:t>具备所有提供的产品为自养或自有或自种或自有批发销售点，</w:t>
            </w:r>
            <w:r>
              <w:rPr>
                <w:rFonts w:hint="eastAsia" w:hAnsi="宋体"/>
                <w:bCs/>
                <w:color w:val="auto"/>
                <w:highlight w:val="none"/>
              </w:rPr>
              <w:t>食品原料货源到运输，质量安全保证措</w:t>
            </w:r>
            <w:r>
              <w:rPr>
                <w:rFonts w:hint="eastAsia" w:cs="宋体"/>
                <w:color w:val="auto"/>
                <w:kern w:val="0"/>
                <w:szCs w:val="21"/>
                <w:highlight w:val="none"/>
              </w:rPr>
              <w:t>施有针对性，食材质量标准、追溯方式这几个方面描述较清晰</w:t>
            </w:r>
            <w:r>
              <w:rPr>
                <w:rFonts w:hint="eastAsia" w:cs="宋体"/>
                <w:color w:val="auto"/>
                <w:kern w:val="0"/>
                <w:szCs w:val="21"/>
                <w:highlight w:val="none"/>
                <w:lang w:val="en-US" w:eastAsia="zh-CN"/>
              </w:rPr>
              <w:t>全面、</w:t>
            </w:r>
            <w:r>
              <w:rPr>
                <w:rFonts w:hint="eastAsia" w:cs="宋体"/>
                <w:color w:val="auto"/>
                <w:kern w:val="0"/>
                <w:szCs w:val="21"/>
                <w:highlight w:val="none"/>
              </w:rPr>
              <w:t>检验设备、检验室、人员配备措施较全面</w:t>
            </w:r>
            <w:r>
              <w:rPr>
                <w:rFonts w:hint="eastAsia" w:ascii="宋体" w:hAnsi="宋体" w:eastAsia="宋体" w:cs="宋体"/>
                <w:color w:val="auto"/>
                <w:szCs w:val="21"/>
                <w:highlight w:val="none"/>
              </w:rPr>
              <w:t>。</w:t>
            </w:r>
          </w:p>
          <w:p w14:paraId="1042E8DF">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w:t>
            </w: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cs="宋体"/>
                <w:color w:val="auto"/>
                <w:kern w:val="0"/>
                <w:szCs w:val="21"/>
                <w:highlight w:val="none"/>
              </w:rPr>
              <w:t>进货采购渠道有固定货源且货源稳定充足，具备所有提供的产品为自养或自有或自种或自有批发销售点，食材控制管理措施完善，从选择食品原料货源到运输，质量安全保证措施有针对性和服务特点，具备食品安全管理员，方案完整、清晰、具体、科学、合理、可行，食材质量标准、追溯方式这几个方面全部描述清晰，详细，检验检疫措施详细、全面，具备有完善的检验设备、检验室、人员配备</w:t>
            </w:r>
            <w:r>
              <w:rPr>
                <w:rFonts w:hint="eastAsia" w:ascii="宋体" w:hAnsi="宋体" w:eastAsia="宋体" w:cs="宋体"/>
                <w:color w:val="auto"/>
                <w:szCs w:val="21"/>
                <w:highlight w:val="none"/>
                <w:lang w:val="en-US" w:eastAsia="zh-CN"/>
              </w:rPr>
              <w:t>。</w:t>
            </w:r>
          </w:p>
        </w:tc>
      </w:tr>
      <w:tr w14:paraId="16B7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5B773133">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top"/>
          </w:tcPr>
          <w:p w14:paraId="0FBDEBC1">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tcMar>
              <w:left w:w="57" w:type="dxa"/>
              <w:right w:w="57" w:type="dxa"/>
            </w:tcMar>
            <w:vAlign w:val="center"/>
          </w:tcPr>
          <w:p w14:paraId="36F52A9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（3）服务承诺与售后服务方案（满分1</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rPr>
              <w:t>分）</w:t>
            </w:r>
          </w:p>
        </w:tc>
        <w:tc>
          <w:tcPr>
            <w:tcW w:w="6096" w:type="dxa"/>
            <w:noWrap w:val="0"/>
            <w:vAlign w:val="center"/>
          </w:tcPr>
          <w:p w14:paraId="44E4B883">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 xml:space="preserve">：承诺退换完成时间超过 </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 小时，售后服务承诺仅具备基础性，服务承诺内容单一、浅显。</w:t>
            </w:r>
          </w:p>
          <w:p w14:paraId="7AAC2A19">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承诺退换完成时间在 </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小时以内，但服务承诺、措施以及后期服务承诺缺乏针对性。</w:t>
            </w:r>
            <w:r>
              <w:rPr>
                <w:rFonts w:hint="eastAsia" w:ascii="宋体" w:hAnsi="宋体" w:eastAsia="宋体" w:cs="宋体"/>
                <w:color w:val="auto"/>
                <w:szCs w:val="21"/>
                <w:highlight w:val="none"/>
              </w:rPr>
              <w:t xml:space="preserve"> </w:t>
            </w:r>
          </w:p>
          <w:p w14:paraId="6B4BCE40">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 xml:space="preserve">：承诺退换完成时间在 </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小时以内，且服务承诺、措施切实可行，后期服务承诺响应迅速，能够满足项目需求。</w:t>
            </w:r>
          </w:p>
          <w:p w14:paraId="1B53CC45">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 xml:space="preserve">：对于紧急事件的处理预案内容详细全面，承诺退换时间在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 小时以内，具有健全、详细的服务承诺和多种有效的后期售后服务方式，并明确如何确保退换的货物符合</w:t>
            </w:r>
            <w:r>
              <w:rPr>
                <w:rFonts w:hint="eastAsia" w:ascii="宋体" w:hAnsi="宋体" w:cs="宋体"/>
                <w:color w:val="auto"/>
                <w:szCs w:val="21"/>
                <w:highlight w:val="none"/>
                <w:lang w:eastAsia="zh-CN"/>
              </w:rPr>
              <w:t>采购单位</w:t>
            </w:r>
            <w:r>
              <w:rPr>
                <w:rFonts w:hint="eastAsia" w:ascii="宋体" w:hAnsi="宋体" w:eastAsia="宋体" w:cs="宋体"/>
                <w:color w:val="auto"/>
                <w:szCs w:val="21"/>
                <w:highlight w:val="none"/>
              </w:rPr>
              <w:t>需求。</w:t>
            </w:r>
          </w:p>
          <w:p w14:paraId="22E05D98">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五档（</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w:t>
            </w:r>
            <w:r>
              <w:rPr>
                <w:rFonts w:hint="eastAsia" w:ascii="宋体" w:hAnsi="宋体"/>
                <w:bCs/>
                <w:color w:val="auto"/>
                <w:szCs w:val="20"/>
                <w:highlight w:val="none"/>
              </w:rPr>
              <w:t>满足三档的基础上，</w:t>
            </w:r>
            <w:r>
              <w:rPr>
                <w:rFonts w:hint="eastAsia" w:ascii="宋体" w:hAnsi="宋体" w:eastAsia="宋体" w:cs="宋体"/>
                <w:color w:val="auto"/>
                <w:szCs w:val="21"/>
                <w:highlight w:val="none"/>
              </w:rPr>
              <w:t xml:space="preserve">且承诺退换完成时间在 </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小时以内。</w:t>
            </w:r>
            <w:r>
              <w:rPr>
                <w:rFonts w:hint="eastAsia" w:ascii="宋体" w:hAnsi="宋体"/>
                <w:bCs/>
                <w:color w:val="auto"/>
                <w:szCs w:val="20"/>
                <w:highlight w:val="none"/>
              </w:rPr>
              <w:t>对因货物出现问题，而发生紧急事件处理预案内容具体、全面，有健全、详细的服务承诺、后期售后服务方式多样有效，措施得力，能满足项目需求，包括售后服务监督和回访管理、台账管理、售后服务管理及售后服务措施（含对问题物料的处理及特殊</w:t>
            </w:r>
            <w:r>
              <w:rPr>
                <w:rFonts w:hint="eastAsia" w:hAnsi="宋体"/>
                <w:bCs/>
                <w:color w:val="auto"/>
                <w:highlight w:val="none"/>
              </w:rPr>
              <w:t>情况的应急预案），明确如何确保退换的货物符合</w:t>
            </w:r>
            <w:r>
              <w:rPr>
                <w:rFonts w:hint="eastAsia" w:hAnsi="宋体"/>
                <w:bCs/>
                <w:color w:val="auto"/>
                <w:highlight w:val="none"/>
                <w:lang w:eastAsia="zh-CN"/>
              </w:rPr>
              <w:t>采购单位</w:t>
            </w:r>
            <w:r>
              <w:rPr>
                <w:rFonts w:hint="eastAsia" w:hAnsi="宋体"/>
                <w:bCs/>
                <w:color w:val="auto"/>
                <w:highlight w:val="none"/>
              </w:rPr>
              <w:t>需求，有固定的售后服务团队，配备专门人员为业主提供服务。</w:t>
            </w:r>
          </w:p>
        </w:tc>
      </w:tr>
      <w:tr w14:paraId="2A3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15CD748C">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lang w:val="en-US" w:eastAsia="zh-CN"/>
              </w:rPr>
            </w:pPr>
          </w:p>
        </w:tc>
        <w:tc>
          <w:tcPr>
            <w:tcW w:w="1585" w:type="dxa"/>
            <w:vMerge w:val="continue"/>
            <w:noWrap w:val="0"/>
            <w:vAlign w:val="center"/>
          </w:tcPr>
          <w:p w14:paraId="1BBD409E">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tcMar>
              <w:left w:w="57" w:type="dxa"/>
              <w:right w:w="57" w:type="dxa"/>
            </w:tcMar>
            <w:vAlign w:val="center"/>
          </w:tcPr>
          <w:p w14:paraId="1A36023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管理制度分</w:t>
            </w:r>
          </w:p>
          <w:p w14:paraId="5548ED6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p>
        </w:tc>
        <w:tc>
          <w:tcPr>
            <w:tcW w:w="6096" w:type="dxa"/>
            <w:noWrap w:val="0"/>
            <w:vAlign w:val="center"/>
          </w:tcPr>
          <w:p w14:paraId="1D40EC39">
            <w:pPr>
              <w:keepNext w:val="0"/>
              <w:keepLines w:val="0"/>
              <w:pageBreakBefore w:val="0"/>
              <w:widowControl/>
              <w:kinsoku/>
              <w:overflowPunct/>
              <w:topLinePunct w:val="0"/>
              <w:autoSpaceDE/>
              <w:autoSpaceDN/>
              <w:bidi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管理制度主要内容包含但不仅限于以下内容：①《食品卫生、食品质量检验制度》 ；②《消费投诉处理和食品卫生安全承诺制度》 ；③《食品准入台账登记制度》 ；④《卫生知识培训制度》 ；⑤《食品留样管理制度》 ；⑥《从业人员健康制度》 ；⑦《财务管理制度》。</w:t>
            </w:r>
          </w:p>
          <w:p w14:paraId="1F6C0AF1">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：供应商缺乏管理制度方案或管理制度不完备。</w:t>
            </w:r>
          </w:p>
          <w:p w14:paraId="4ABF91A8">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：供应商具备完整的管理制度，但描述较为简略。</w:t>
            </w:r>
          </w:p>
          <w:p w14:paraId="15A458D3">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：供应商管理制度完备，且描述较为清晰明确。</w:t>
            </w:r>
          </w:p>
          <w:p w14:paraId="508C8DD2">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：供应商管理制度完善，描述清晰详尽，且有根据供应商内部管理和项目实际情况制定的各项专项管理制度。</w:t>
            </w:r>
          </w:p>
        </w:tc>
      </w:tr>
      <w:tr w14:paraId="2E61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6C7DAF1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85" w:type="dxa"/>
            <w:vMerge w:val="restart"/>
            <w:noWrap w:val="0"/>
            <w:vAlign w:val="center"/>
          </w:tcPr>
          <w:p w14:paraId="7CEBDDF7">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企业综合实力分</w:t>
            </w:r>
          </w:p>
          <w:p w14:paraId="520D67E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35</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06297CB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（1）配送能力（</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p>
        </w:tc>
        <w:tc>
          <w:tcPr>
            <w:tcW w:w="6096" w:type="dxa"/>
            <w:noWrap w:val="0"/>
            <w:vAlign w:val="top"/>
          </w:tcPr>
          <w:p w14:paraId="19DE0410">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满足至少三辆全程电子监控的专业冷藏厢式配送车的基础的得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分，投标人每增加1辆自有或租赁全程电子监控的专业冷藏厢式配送车加1分，此项满分</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p w14:paraId="0FC2BF22">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自有车辆必须提供车辆行驶证或购买车辆发票（车辆所有人为法定代表人名字或投标单位名字，行驶证检验有效期需包含截标时间）复印件，并提供车辆正面、侧面、后面实拍照片且清晰可辨等证明文件】；【租赁车辆必须提供行驶证或购买发票（所有人为出租方）及租赁合同复印件（租车时必须提供，租赁期须包含本项目服务期），并提供车辆正面、侧面、后面车辆实拍照片且清晰可辨等证明文件】，所提供的复印件须加盖投标人公章，未按要求提供相关材料或扫描不清晰导致无法识别的不计得分。</w:t>
            </w:r>
          </w:p>
          <w:p w14:paraId="38513700">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中标后核查行驶证、发票及租赁合同原件，如发现虚假应标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上报监督部门处理，如取消中标资格由第二个中标候选人递补上来，依此类推。</w:t>
            </w:r>
          </w:p>
        </w:tc>
      </w:tr>
      <w:tr w14:paraId="2176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34A5B4A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73339C66">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2B65141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（2）拟投入人员（</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p>
        </w:tc>
        <w:tc>
          <w:tcPr>
            <w:tcW w:w="6096" w:type="dxa"/>
            <w:noWrap w:val="0"/>
            <w:vAlign w:val="top"/>
          </w:tcPr>
          <w:p w14:paraId="18C43F77">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投标人满足拟投入本项目的项目实施人员10人得基本分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分，每增加1人得1分，最多加3分，满分</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lang w:val="en-US" w:eastAsia="zh-CN"/>
              </w:rPr>
              <w:t>；</w:t>
            </w:r>
          </w:p>
          <w:p w14:paraId="60F89034">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拟投入人员须为投标单位正式员工且在投标文件中提供企业与拟投入人员签订的劳动合同复印件、身份证、有效的健康证复印件；配送司机有效的驾驶证、检测负责人有效的企业质量检验员证。以上材料复印件加盖公章，原件备查。</w:t>
            </w:r>
          </w:p>
        </w:tc>
      </w:tr>
      <w:tr w14:paraId="32CA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39CBDFE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514DDBF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41FB1FD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拟投入</w:t>
            </w:r>
            <w:r>
              <w:rPr>
                <w:rFonts w:hint="eastAsia" w:ascii="宋体" w:hAnsi="宋体" w:cs="宋体"/>
                <w:b/>
                <w:bCs/>
                <w:color w:val="auto"/>
                <w:szCs w:val="21"/>
                <w:highlight w:val="none"/>
                <w:lang w:eastAsia="zh-CN"/>
              </w:rPr>
              <w:t>经营场所（满分1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分）</w:t>
            </w:r>
          </w:p>
        </w:tc>
        <w:tc>
          <w:tcPr>
            <w:tcW w:w="6096" w:type="dxa"/>
            <w:noWrap w:val="0"/>
            <w:vAlign w:val="top"/>
          </w:tcPr>
          <w:p w14:paraId="50DE652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（1）投入项目经营场所面积：</w:t>
            </w:r>
          </w:p>
          <w:p w14:paraId="480FE254">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供应商投入本项目固定的经营场所面积不小于500㎡的且符合卫生标准，交通便利、通风透光，有办公区域及快检室，同时仓库区域面积不小于150㎡、冷藏室（含冷冻室）面积不小于50㎡的，快检室面积不小于30㎡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700E45B2">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供应商投入本项目固定的经营场所面积不小于1000㎡的且符合卫生标准，交通便利、通风透光，有办公区域及快检室，同时仓库区域面积不小于300㎡、冷藏室（含冷冻室）面积不小于70㎡的，快检室面积不小于50㎡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p w14:paraId="586FD5B1">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供应商投入本项目固定的经营场所面积不小于1500㎡的且符合卫生标准，交通便利、通风透光，有办公区域及快检室，同时仓库区域面积不小于500㎡、冷藏室（含冷冻室）面积不小于100㎡的，快检室面积不小于80㎡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7D63F7A1">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供应商投入本项目固定的经营场所面积不小于2000㎡及以上的且符合卫生标准，交通便利、通风透光，有办公区域及快检室，同时仓库区域面积不小于800㎡、冷藏室（含冷冻室）面积不小于120㎡的，快检室面积不小于100㎡的，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分；</w:t>
            </w:r>
          </w:p>
          <w:p w14:paraId="6668F17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⑤供应商投入本项目固定的经营场所面积不小于3000㎡及以上的且符合卫生标准，交通便利、通风透光，有办公区域及快检室，同时仓库区域面积不小于1000㎡、冷藏室（含冷冻室）面积不小于140㎡的，快检室面积不小于120㎡的，得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31C83A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p>
          <w:p w14:paraId="173B8E20">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注：经营场所及仓库面积不得累计计算，涉及场地的证明材料，投标文件应当提供 a 或者 b：</w:t>
            </w:r>
          </w:p>
          <w:p w14:paraId="1D750B5A">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 投标人从现有场地中拟投入本项目使用的请提供：①自有的提供土地使用权合法证明资料；或租赁的提供租赁房产证明（必须提供产权人不动产登记证复印件）、租赁合同复印件、②拟投入仓储区现场照片或规划设计图、办公区域现场照片、快检室及冷藏室（含冷冻室）及设备现场照片、③冷库制冷设备采购发票（或冷库建设安装合同）扫描件。</w:t>
            </w:r>
          </w:p>
          <w:p w14:paraId="70D02F84">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 投标人承诺中标后建立与采购人最近的经营场所及仓库进行配送服务的，投标文件中应当提供承诺函</w:t>
            </w:r>
            <w:r>
              <w:rPr>
                <w:rFonts w:hint="eastAsia" w:ascii="宋体" w:hAnsi="宋体" w:cs="宋体"/>
                <w:color w:val="auto"/>
                <w:szCs w:val="21"/>
                <w:highlight w:val="none"/>
                <w:lang w:val="en-US" w:eastAsia="zh-CN"/>
              </w:rPr>
              <w:t>（格式自拟）</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后采购人组织进行考察核实投入项目的经营场所（仓库、冷藏室、快检室）情况，未能按承诺建立的，上报监督部门</w:t>
            </w:r>
            <w:r>
              <w:rPr>
                <w:rFonts w:hint="eastAsia" w:ascii="宋体" w:hAnsi="宋体" w:cs="宋体"/>
                <w:color w:val="auto"/>
                <w:szCs w:val="21"/>
                <w:highlight w:val="none"/>
                <w:lang w:val="en-US" w:eastAsia="zh-CN"/>
              </w:rPr>
              <w:t>处理</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如取消中标资格</w:t>
            </w:r>
            <w:r>
              <w:rPr>
                <w:rFonts w:hint="eastAsia" w:ascii="宋体" w:hAnsi="宋体" w:eastAsia="宋体" w:cs="宋体"/>
                <w:color w:val="auto"/>
                <w:szCs w:val="21"/>
                <w:highlight w:val="none"/>
                <w:lang w:val="en-US" w:eastAsia="zh-CN"/>
              </w:rPr>
              <w:t>由第二个中标候选人递补上来，依此类推。</w:t>
            </w:r>
          </w:p>
        </w:tc>
      </w:tr>
      <w:tr w14:paraId="1C04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6675F8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0000D1D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010AA09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）《食品安全责任保险》（满分</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tc>
        <w:tc>
          <w:tcPr>
            <w:tcW w:w="6096" w:type="dxa"/>
            <w:noWrap w:val="0"/>
            <w:vAlign w:val="top"/>
          </w:tcPr>
          <w:p w14:paraId="78626BB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一档（0.5分）：投标人承诺中标后购买《食品安全责任保险》的得0.5分。（提供承诺书，格式自拟并盖公章）</w:t>
            </w:r>
          </w:p>
          <w:p w14:paraId="061A8B8A">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二档（3分）：投标人已购买《食品安全责任保险》（有效期内）的。（提供相关保单、发票证明复印件并盖公章）</w:t>
            </w:r>
          </w:p>
          <w:p w14:paraId="064B34E0">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①最高赔付金额低于 500 万元人民币的得1分；</w:t>
            </w:r>
          </w:p>
          <w:p w14:paraId="222EFA9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②最高赔付</w:t>
            </w:r>
            <w:bookmarkStart w:id="158" w:name="_GoBack"/>
            <w:bookmarkEnd w:id="158"/>
            <w:r>
              <w:rPr>
                <w:rFonts w:hint="eastAsia" w:ascii="宋体" w:hAnsi="宋体" w:eastAsia="宋体" w:cs="宋体"/>
                <w:color w:val="auto"/>
                <w:szCs w:val="21"/>
                <w:highlight w:val="none"/>
                <w:lang w:eastAsia="zh-CN"/>
              </w:rPr>
              <w:t xml:space="preserve">金额 500～1000 万元人民币的得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 xml:space="preserve"> 分；</w:t>
            </w:r>
          </w:p>
          <w:p w14:paraId="40C3771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color w:val="auto"/>
                <w:highlight w:val="none"/>
                <w:lang w:val="en-US" w:eastAsia="zh-CN"/>
              </w:rPr>
            </w:pPr>
            <w:r>
              <w:rPr>
                <w:rFonts w:hint="eastAsia" w:ascii="宋体" w:hAnsi="宋体" w:eastAsia="宋体" w:cs="宋体"/>
                <w:color w:val="auto"/>
                <w:szCs w:val="21"/>
                <w:highlight w:val="none"/>
                <w:lang w:eastAsia="zh-CN"/>
              </w:rPr>
              <w:t>③最高赔付金额高于 1000 万元人民币的得3分。</w:t>
            </w:r>
          </w:p>
        </w:tc>
      </w:tr>
      <w:tr w14:paraId="4465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8DDBA1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7759DA3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00D4BCF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）业绩（满分</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c>
          <w:tcPr>
            <w:tcW w:w="6096" w:type="dxa"/>
            <w:noWrap w:val="0"/>
            <w:vAlign w:val="top"/>
          </w:tcPr>
          <w:p w14:paraId="6BA90E18">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年1月1日以来</w:t>
            </w:r>
            <w:r>
              <w:rPr>
                <w:rFonts w:hint="eastAsia" w:ascii="宋体" w:hAnsi="宋体" w:cs="宋体"/>
                <w:color w:val="auto"/>
                <w:szCs w:val="21"/>
                <w:highlight w:val="none"/>
                <w:lang w:val="en-US" w:eastAsia="zh-CN"/>
              </w:rPr>
              <w:t>类似</w:t>
            </w:r>
            <w:r>
              <w:rPr>
                <w:rFonts w:hint="eastAsia" w:ascii="宋体" w:hAnsi="宋体" w:eastAsia="宋体" w:cs="宋体"/>
                <w:color w:val="auto"/>
                <w:szCs w:val="21"/>
                <w:highlight w:val="none"/>
              </w:rPr>
              <w:t>食品供应服务的业绩</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文件中提供中标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通知书复印件</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rPr>
              <w:t>签订的合同复印件为准，否则将不予评审】，每个得1分，最多得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r>
      <w:tr w14:paraId="07D7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4F5EEBF">
            <w:pPr>
              <w:pStyle w:val="19"/>
              <w:keepNext w:val="0"/>
              <w:keepLines w:val="0"/>
              <w:pageBreakBefore w:val="0"/>
              <w:kinsoku/>
              <w:overflowPunct/>
              <w:topLinePunct w:val="0"/>
              <w:autoSpaceDE/>
              <w:autoSpaceDN/>
              <w:bidi w:val="0"/>
              <w:snapToGrid w:val="0"/>
              <w:spacing w:line="3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总得分=1+2+3</w:t>
            </w:r>
            <w:r>
              <w:rPr>
                <w:rFonts w:hint="eastAsia" w:ascii="宋体" w:hAnsi="宋体" w:eastAsia="宋体" w:cs="宋体"/>
                <w:b/>
                <w:bCs/>
                <w:color w:val="auto"/>
                <w:sz w:val="24"/>
                <w:szCs w:val="24"/>
                <w:highlight w:val="none"/>
                <w:lang w:val="en-US" w:eastAsia="zh-CN"/>
              </w:rPr>
              <w:t>+4</w:t>
            </w:r>
          </w:p>
        </w:tc>
      </w:tr>
    </w:tbl>
    <w:p w14:paraId="161802EC">
      <w:pPr>
        <w:rPr>
          <w:rFonts w:hAnsi="宋体"/>
          <w:bCs/>
          <w:color w:val="auto"/>
          <w:highlight w:val="none"/>
        </w:rPr>
      </w:pPr>
    </w:p>
    <w:p w14:paraId="3BBB1F73">
      <w:pPr>
        <w:rPr>
          <w:rFonts w:hAnsi="宋体"/>
          <w:bCs/>
          <w:color w:val="auto"/>
          <w:highlight w:val="none"/>
        </w:rPr>
      </w:pPr>
      <w:r>
        <w:rPr>
          <w:rFonts w:hint="eastAsia" w:hAnsi="宋体"/>
          <w:bCs/>
          <w:color w:val="auto"/>
          <w:highlight w:val="none"/>
        </w:rPr>
        <w:br w:type="page"/>
      </w:r>
    </w:p>
    <w:p w14:paraId="3E945BF3">
      <w:pPr>
        <w:rPr>
          <w:color w:val="auto"/>
          <w:sz w:val="30"/>
          <w:szCs w:val="30"/>
          <w:highlight w:val="none"/>
        </w:rPr>
      </w:pPr>
    </w:p>
    <w:p w14:paraId="0F7EB55B">
      <w:pPr>
        <w:pStyle w:val="4"/>
        <w:jc w:val="center"/>
        <w:rPr>
          <w:b w:val="0"/>
          <w:color w:val="auto"/>
          <w:sz w:val="30"/>
          <w:szCs w:val="30"/>
          <w:highlight w:val="none"/>
        </w:rPr>
      </w:pPr>
      <w:r>
        <w:rPr>
          <w:rFonts w:hint="eastAsia"/>
          <w:b w:val="0"/>
          <w:color w:val="auto"/>
          <w:sz w:val="30"/>
          <w:szCs w:val="30"/>
          <w:highlight w:val="none"/>
        </w:rPr>
        <w:t>第四节 中标候选人推荐原则</w:t>
      </w:r>
      <w:bookmarkEnd w:id="144"/>
    </w:p>
    <w:p w14:paraId="00F634CC">
      <w:pPr>
        <w:pStyle w:val="19"/>
        <w:numPr>
          <w:ilvl w:val="0"/>
          <w:numId w:val="6"/>
        </w:numPr>
        <w:spacing w:line="400" w:lineRule="exact"/>
        <w:contextualSpacing/>
        <w:rPr>
          <w:rFonts w:hAnsi="宋体" w:cs="宋体"/>
          <w:b/>
          <w:bCs/>
          <w:color w:val="auto"/>
          <w:szCs w:val="21"/>
          <w:highlight w:val="none"/>
        </w:rPr>
      </w:pPr>
      <w:r>
        <w:rPr>
          <w:rFonts w:hint="eastAsia" w:hAnsi="宋体" w:cs="宋体"/>
          <w:b/>
          <w:bCs/>
          <w:color w:val="auto"/>
          <w:szCs w:val="21"/>
          <w:highlight w:val="none"/>
        </w:rPr>
        <w:t>综合评分法</w:t>
      </w:r>
    </w:p>
    <w:p w14:paraId="0093A891">
      <w:pPr>
        <w:pStyle w:val="19"/>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供应商为排名第一的中标候选人。</w:t>
      </w:r>
    </w:p>
    <w:p w14:paraId="4FAC1CD6">
      <w:pPr>
        <w:pStyle w:val="4"/>
        <w:spacing w:before="0" w:after="0" w:line="400" w:lineRule="exact"/>
        <w:ind w:firstLine="420" w:firstLineChars="200"/>
        <w:jc w:val="center"/>
        <w:rPr>
          <w:rFonts w:ascii="宋体" w:hAnsi="宋体" w:eastAsia="宋体" w:cs="宋体"/>
          <w:b w:val="0"/>
          <w:color w:val="auto"/>
          <w:sz w:val="21"/>
          <w:szCs w:val="21"/>
          <w:highlight w:val="none"/>
        </w:rPr>
      </w:pPr>
      <w:bookmarkStart w:id="145" w:name="_Toc80093008"/>
    </w:p>
    <w:bookmarkEnd w:id="145"/>
    <w:p w14:paraId="259BF376">
      <w:pPr>
        <w:pStyle w:val="19"/>
        <w:tabs>
          <w:tab w:val="left" w:pos="2472"/>
        </w:tabs>
        <w:spacing w:line="460" w:lineRule="exact"/>
        <w:rPr>
          <w:rFonts w:hAnsi="宋体" w:cs="宋体"/>
          <w:b/>
          <w:color w:val="auto"/>
          <w:szCs w:val="21"/>
          <w:highlight w:val="none"/>
        </w:rPr>
        <w:sectPr>
          <w:pgSz w:w="11906" w:h="16838"/>
          <w:pgMar w:top="1134" w:right="1134" w:bottom="1134" w:left="1134" w:header="720" w:footer="720" w:gutter="0"/>
          <w:cols w:space="720" w:num="1"/>
          <w:docGrid w:type="lines" w:linePitch="331" w:charSpace="0"/>
        </w:sectPr>
      </w:pPr>
    </w:p>
    <w:p w14:paraId="38FFBAE1">
      <w:pPr>
        <w:pStyle w:val="19"/>
        <w:tabs>
          <w:tab w:val="left" w:pos="2472"/>
        </w:tabs>
        <w:spacing w:line="460" w:lineRule="exact"/>
        <w:rPr>
          <w:rFonts w:ascii="Times New Roman" w:hAnsi="Times New Roman"/>
          <w:b/>
          <w:color w:val="auto"/>
          <w:sz w:val="36"/>
          <w:highlight w:val="none"/>
        </w:rPr>
      </w:pPr>
    </w:p>
    <w:p w14:paraId="469B89BF">
      <w:pPr>
        <w:pStyle w:val="19"/>
        <w:tabs>
          <w:tab w:val="left" w:pos="2472"/>
        </w:tabs>
        <w:spacing w:line="460" w:lineRule="exact"/>
        <w:jc w:val="center"/>
        <w:outlineLvl w:val="0"/>
        <w:rPr>
          <w:rFonts w:ascii="Times New Roman" w:hAnsi="Times New Roman"/>
          <w:b/>
          <w:color w:val="auto"/>
          <w:sz w:val="36"/>
          <w:highlight w:val="none"/>
        </w:rPr>
      </w:pPr>
      <w:bookmarkStart w:id="146" w:name="_Toc80093009"/>
      <w:r>
        <w:rPr>
          <w:rFonts w:hint="eastAsia" w:ascii="Times New Roman" w:hAnsi="Times New Roman"/>
          <w:b/>
          <w:color w:val="auto"/>
          <w:sz w:val="36"/>
          <w:highlight w:val="none"/>
        </w:rPr>
        <w:t>第五章 拟签订的合同文本</w:t>
      </w:r>
      <w:bookmarkEnd w:id="146"/>
    </w:p>
    <w:p w14:paraId="76062F22">
      <w:pPr>
        <w:pStyle w:val="19"/>
        <w:tabs>
          <w:tab w:val="left" w:pos="720"/>
        </w:tabs>
        <w:spacing w:line="460" w:lineRule="exact"/>
        <w:rPr>
          <w:bCs/>
          <w:color w:val="auto"/>
          <w:highlight w:val="none"/>
        </w:rPr>
      </w:pPr>
    </w:p>
    <w:p w14:paraId="114A577E">
      <w:pPr>
        <w:pStyle w:val="7"/>
        <w:rPr>
          <w:bCs/>
          <w:color w:val="auto"/>
          <w:highlight w:val="none"/>
        </w:rPr>
      </w:pPr>
    </w:p>
    <w:p w14:paraId="7A3FF60E">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1E72A637">
      <w:pPr>
        <w:snapToGrid w:val="0"/>
        <w:spacing w:line="400" w:lineRule="exact"/>
        <w:jc w:val="center"/>
        <w:rPr>
          <w:rFonts w:ascii="宋体" w:hAnsi="宋体"/>
          <w:b/>
          <w:bCs/>
          <w:color w:val="auto"/>
          <w:sz w:val="32"/>
          <w:szCs w:val="32"/>
          <w:highlight w:val="none"/>
        </w:rPr>
      </w:pPr>
    </w:p>
    <w:p w14:paraId="6213E167">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6324E68">
      <w:pPr>
        <w:snapToGrid w:val="0"/>
        <w:spacing w:line="360" w:lineRule="exact"/>
        <w:rPr>
          <w:rFonts w:ascii="宋体" w:hAnsi="宋体"/>
          <w:color w:val="auto"/>
          <w:szCs w:val="21"/>
          <w:highlight w:val="none"/>
        </w:rPr>
      </w:pPr>
    </w:p>
    <w:p w14:paraId="04E345BE">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12FE605C">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7A16369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2D562A10">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230F59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5C5B8C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4EC34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44AD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2D153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0ED82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4F09B8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08AA8C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23D908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vAlign w:val="center"/>
          </w:tcPr>
          <w:p w14:paraId="39EF1969">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3FF5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D9513B3">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0D5442B5">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4E93F5C7">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1D906E6">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0FD242D">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3B8CE3D8">
            <w:pPr>
              <w:spacing w:line="360" w:lineRule="auto"/>
              <w:jc w:val="center"/>
              <w:rPr>
                <w:rFonts w:ascii="宋体" w:hAnsi="宋体" w:cs="宋体"/>
                <w:color w:val="auto"/>
                <w:szCs w:val="21"/>
                <w:highlight w:val="none"/>
              </w:rPr>
            </w:pPr>
          </w:p>
        </w:tc>
      </w:tr>
      <w:tr w14:paraId="65EC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2594CC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07CB068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7CA729C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供货结算价格要随着市场的价格变化而变化，食品原料市场价格调查时间安排按照以下流程：配送企业以平南县物价部门每月发布的监测价格为参照依据，监测价格表没有公布的食品和食材则以平南县城大型超市、农贸市场同品质价格为参照依据，并根据规定在参考价格的基础上进行“价格 90%（含 90%）以下折扣”（按实际中标折扣率为准），在每月 30日前形成下一个月学校学生食堂食品及食材结算价格表。基准价不能高于市场上的最高价，如中标供应商不能按合同约定的价格按时、按质、按量、按单配送到位的，学校将暂停其配送资格，学校有启动应急预案的权利（遇不可抗力除外），从其他中标人或具有保证食品安全的供应商采购。</w:t>
      </w:r>
    </w:p>
    <w:p w14:paraId="778AAD4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以平南县物价部门每月发布的监测价格或平南县城大型超市、农贸市场同品质价格为参照依据。具体如下：</w:t>
      </w:r>
    </w:p>
    <w:p w14:paraId="595BF582">
      <w:pPr>
        <w:numPr>
          <w:ilvl w:val="0"/>
          <w:numId w:val="7"/>
        </w:num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平南县物价部门每月发布的监测价格表上有对应品种价格的，学校与配送企业当月对应品种采购价格的结算按照县物价部门上一个月发布的监测价格表作为参考价格，结算时配送企业附上县物价部门上一个月发布的监测价格表给学校存档。</w:t>
      </w:r>
    </w:p>
    <w:p w14:paraId="1446C92A">
      <w:pPr>
        <w:numPr>
          <w:ilvl w:val="0"/>
          <w:numId w:val="7"/>
        </w:num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平南县物价部门每月发布的监测价格表没有公布的食品和食材实行多方询价小组询价。教育局组织由教育局、市监局、配送企业代表、学校代表(每次至少有三所以上学校派出的代表)、学校膳食安全委员会代表(每次不少于 3 人)组成的多方询价小组，可不定期邀请人大代表和政协委员代表监督到城区内大型超市对重要商品的价格进行采价，特价及促销价除外，如大型超市没有配送的商品，则到城区的大型农贸市场采价。每月询价二次，上下半月不定期各询一次取二次询价的平均值作为学校和配送企业确定下一个月食材结算价格且实行全县统一价格。</w:t>
      </w:r>
    </w:p>
    <w:p w14:paraId="6558043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14:paraId="2B6644B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110F5A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6DC2244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25F5AB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63BB606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1904ED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720421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E942A2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36CFA9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eastAsia="zh-CN"/>
        </w:rPr>
        <w:t>甲方提前一天以上将需要的数量报给乙方，乙方按甲方所报的数量并按原提供的食材或货物样本按时、按要求送到甲方指定的地点，运费及装卸费由乙方承担</w:t>
      </w:r>
      <w:r>
        <w:rPr>
          <w:rFonts w:hint="eastAsia" w:ascii="宋体" w:hAnsi="宋体" w:cs="宋体"/>
          <w:color w:val="auto"/>
          <w:szCs w:val="21"/>
          <w:highlight w:val="none"/>
        </w:rPr>
        <w:t>。</w:t>
      </w:r>
    </w:p>
    <w:p w14:paraId="65DE32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33474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6DCEC2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D71ECE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4E1271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2835E9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23E2D72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69E52A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667AB8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347059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49C6C3A">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2A4631D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7AE569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3424C2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3E7BF8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12871B3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3F3227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lang w:val="en-US" w:eastAsia="zh-CN"/>
        </w:rPr>
        <w:t>100000.00元</w:t>
      </w:r>
      <w:r>
        <w:rPr>
          <w:rFonts w:hint="eastAsia" w:ascii="宋体" w:hAnsi="宋体" w:cs="宋体"/>
          <w:color w:val="auto"/>
          <w:szCs w:val="21"/>
          <w:highlight w:val="none"/>
        </w:rPr>
        <w:t>。</w:t>
      </w:r>
    </w:p>
    <w:p w14:paraId="28CDBE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履约保证金递交方式：支票、汇票、本票或者金融、担保机构出具的保函等非现金方式（参照投标保证金）。</w:t>
      </w:r>
    </w:p>
    <w:p w14:paraId="68A68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退付方式、时间及条件：由中标人向履约保证金收取单位提供《广西壮族自治区政府采购项目合同验收书》（详见桂财采〔2015〕22号），保证金收取单位在收到合格材料后5个工作日内办理退还手续（不计利息）。</w:t>
      </w:r>
    </w:p>
    <w:p w14:paraId="3E30BD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签订合同后，如中标人不按双方签订的合同规定履约，则没收其全部履约保证金，履约保证金不足以赔偿损失的，按实际损失赔偿。</w:t>
      </w:r>
    </w:p>
    <w:p w14:paraId="7C955A8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4EE07C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028218B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6449420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1.乙方提供假冒伪劣、过期、变质食品的，甲方有权要求无条件退货并及时换货，首次发现违约行为的乙方按违约货款额 5% 收取违约金并赔偿经济损失；第二次发现违约行为的乙方按违约货款额 10% 收取违约金并赔偿经济损失，由甲方在履约保证金扣除，履约保证金不足的可以从乙方货款中扣除，同时甲方可以解除合同。乙方累计发生 3 次违约行为或乙方因重大过错给甲方造成损失的，甲方有权解除合同，履约保证金不予退还，且乙方应赔偿甲方损失。甲方因合同解除需重新组织采购的，在采购人确定新的供应商前，甲方有权向第三方临时采购货物，期间采购货物所增加的费用（高于原中标单价的）由乙方承担。</w:t>
      </w:r>
    </w:p>
    <w:p w14:paraId="18CB2A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若提供有毒有害食品，造成食品安全事故的，经有关单位鉴定原因后，如确实为乙方提供的食品问题，乙方须负担全额的住院费、医药费、护理费、护工费等全部费用，甲方将取消乙方的供货资格，没收其履约保证金，乙方同时承担相应的民事及刑事法律责任及放弃先诉抗辩权。甲方可以扣留乙方的货款用于支付乙方负担的住院费、医药费、护理费、护工费等费用。</w:t>
      </w:r>
    </w:p>
    <w:p w14:paraId="3FEC525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3.乙方故意提供假冒伪劣、过期、变质产品的，采购人可以拒付未付的所有货款，并没收所有履约保证金，同时甲方有权终止合同。</w:t>
      </w:r>
    </w:p>
    <w:p w14:paraId="28EC606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4.乙方涉及违约的违约金和损失赔偿由甲方从履约保证金中扣减，乙方在 15 个工作日内补足履约保证金。乙方未按要求补足履约保证金的，甲方有权取消合同并按合同金额 10%收取乙方违约金。</w:t>
      </w:r>
    </w:p>
    <w:p w14:paraId="1F221DD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4F22A562">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1A890337">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5CADB409">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（1）违反食品安全法律法规，被市场监管部门吊销或注销食品生产或食品经营许可证的；违反相关法律法规，被登记机构吊销营业执照的。</w:t>
      </w:r>
    </w:p>
    <w:p w14:paraId="2D54E2A7">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（2）供货期内因食品安全质量问题引发食品安全事故的。</w:t>
      </w:r>
    </w:p>
    <w:p w14:paraId="54224A79">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（3）给学校配送《食品安全法》规定禁止生产经营食品的。</w:t>
      </w:r>
    </w:p>
    <w:p w14:paraId="5EEDD01A">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（4）生产、经营者的生产经营条件发生变化，不符合生产经营要求，有发生食品安全事故潜在风险，所配送产品不符合食品安全标准的。</w:t>
      </w:r>
    </w:p>
    <w:p w14:paraId="59AA21B0">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（5）出现降低供货质量标准，擅自更换履约人等其他违反法律法规或合同的行为的。</w:t>
      </w:r>
    </w:p>
    <w:p w14:paraId="50DEC78F">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41402AB8">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（7）供货期间存在克扣、减量、延时、拒绝供货或服务态度恶劣等行为，情节较为严重的。</w:t>
      </w:r>
    </w:p>
    <w:p w14:paraId="063B76A9">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（8）未按照供货合同规定按时向学校提供相关证件、食材抽检报告、分批次自检报告、检疫证明、销售凭证等资料的。</w:t>
      </w:r>
    </w:p>
    <w:p w14:paraId="118BDABC">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（9）在供货期间除不可抗力因素外不能按时交货，且给学校造成损失的。</w:t>
      </w:r>
    </w:p>
    <w:p w14:paraId="7246ECE1">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（10）未按供货合同规定按时缴纳履约保证金，未按时提供发票、未履行服务承诺和食品安全保证书的。</w:t>
      </w:r>
    </w:p>
    <w:p w14:paraId="0360B42B">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（11）拒绝接受政府相关职能部门监督检查要求的；向学校虚开销售凭证、发票的。</w:t>
      </w:r>
    </w:p>
    <w:p w14:paraId="13F0BE3F">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（12）因供货商自身原因不能继续履行合同的或在每一个合同期内二次评议不合格的。</w:t>
      </w:r>
    </w:p>
    <w:p w14:paraId="48B252AA">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（13）中标企业食品价格不执行中标时约定的折扣。</w:t>
      </w:r>
    </w:p>
    <w:p w14:paraId="7CFE3579">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（14）中标企业配送的食材不经教育局同意就上架向学校销售，或不服从教育局、市监局等相关部门常规管理，影响学校食材采购工作的。</w:t>
      </w:r>
    </w:p>
    <w:p w14:paraId="7C61CBFB">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（15）中标企业配送超过保质期、腐败变质、不经检验检疫的食品。</w:t>
      </w:r>
    </w:p>
    <w:p w14:paraId="1CEAA278">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（16）中标企业存在严重食品安全隐患，被相关管理部门责令整改。</w:t>
      </w:r>
    </w:p>
    <w:p w14:paraId="74C1925D">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（17）中标企业不按时按质按量配送或拒绝配送，以次充好，短斤缺两，服务态度恶劣。</w:t>
      </w:r>
    </w:p>
    <w:p w14:paraId="261D76AD">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（18）中标企业不经学校同意，擅自改变学校采购清单的种类、品牌、质量和数量。</w:t>
      </w:r>
    </w:p>
    <w:p w14:paraId="38E104FB">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2.条件运用(条件运用适用于日常管理，已满足退出条件的，不适用条件运用</w:t>
      </w:r>
    </w:p>
    <w:p w14:paraId="5549CA58">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（1）定期测评。每学期学校根据《供应商测评体系》对供应商的食材质量、服务水平及价格等因素进行综合测评，对测评分数低于 95 分的供应商进行约谈整改，测评分数低于90 分的供应商暂停供货一个月，测评分数低于 85 分的供应商终止其供货合同。违反食品安全法律法规、发生食品安全事故的供应商，要列入“黑名单”，学校有权单方面解除与中标企业签订的采购协议。</w:t>
      </w:r>
    </w:p>
    <w:p w14:paraId="2197AE5B">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（2）投诉运用。供应商经营过程中，在国务院互联网+督查平台被投诉举报(核查属实)1次的停止其供货一个月，2 次的终止其供货合同；供应商在 12345 政务服务便民热线平台被投诉举报(核查属实)1 次的进行约谈整改，2 次的停止其供货一个月，3 次的终止其供货合同；供应商被学校师生投诉举报(核查属实)1 次的进行提醒教育，2 次的进行约谈，3 次的停止其供货一个月，4 次的终止其供货合同。</w:t>
      </w:r>
    </w:p>
    <w:p w14:paraId="609DC303">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3.中标企业利用不正当手段拉拢学校管理人员、招标人员、或验收人员的，发现一次，当月学校货款按 50%结算，发现两次的，扣除当月学校货款并终止合同。</w:t>
      </w:r>
    </w:p>
    <w:p w14:paraId="2DB7704C">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4.中标企业如有下列问题，终止协议，情节严重的，没收质保金，同时拉黑名单，5 年内不能参与平南县学校食品类经营活动，造成责任事故的将追究其法律责任。</w:t>
      </w:r>
    </w:p>
    <w:p w14:paraId="05BA02A6">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（1）配送食品质量不合格引发重大食品安全事故的。</w:t>
      </w:r>
    </w:p>
    <w:p w14:paraId="7CB656BE">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（2）被管理部门吊销或注销食品经营许可证的。</w:t>
      </w:r>
    </w:p>
    <w:p w14:paraId="0E3BE0C6">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（3）有转标分标行为的。</w:t>
      </w:r>
    </w:p>
    <w:p w14:paraId="55B58AC3">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中标企业在履约期间，中标企业及其法人，被相关部门列入失信被执行人、列为重大税收违法失信主体和政府采购严重违法失信行为记录名单，或者被有关部门列为黑名单，学校有权单方面解除与中标企业签订的采购协议</w:t>
      </w:r>
    </w:p>
    <w:p w14:paraId="35C38C6E">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3B3885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544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DBB8B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FEDCEA7">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7A4426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1、因服务质量问题发生争议的，应邀请国家认可的质量检测机构进行鉴定。服务符合标准的，鉴定费由甲方承担；服务不符合标准的，鉴定费由乙方承担。</w:t>
      </w:r>
    </w:p>
    <w:p w14:paraId="0AE5DA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516114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69CF6AE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62C04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3E25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05D6B8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7B2E46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32D85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674D07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9A999D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5DA9E5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6AA464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4868BB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39A3486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5F847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117EE0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C822D8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7D1E0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7E9D4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4E1583A4">
      <w:pPr>
        <w:spacing w:line="360" w:lineRule="auto"/>
        <w:ind w:firstLine="420" w:firstLineChars="200"/>
        <w:rPr>
          <w:rFonts w:ascii="宋体" w:hAnsi="宋体" w:cs="宋体"/>
          <w:color w:val="auto"/>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1BE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9078A83">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734ECC89">
            <w:pPr>
              <w:snapToGrid w:val="0"/>
              <w:spacing w:line="360" w:lineRule="auto"/>
              <w:rPr>
                <w:rFonts w:ascii="宋体" w:hAnsi="宋体"/>
                <w:color w:val="auto"/>
                <w:szCs w:val="21"/>
                <w:highlight w:val="none"/>
              </w:rPr>
            </w:pPr>
          </w:p>
          <w:p w14:paraId="5345A1A2">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14:paraId="68F61728">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6A5878ED">
            <w:pPr>
              <w:snapToGrid w:val="0"/>
              <w:spacing w:line="360" w:lineRule="auto"/>
              <w:rPr>
                <w:rFonts w:ascii="宋体" w:hAnsi="宋体"/>
                <w:color w:val="auto"/>
                <w:szCs w:val="21"/>
                <w:highlight w:val="none"/>
              </w:rPr>
            </w:pPr>
          </w:p>
          <w:p w14:paraId="6EBEC7E8">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6C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7F8CC508">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14:paraId="29C83BDF">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65A5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11A5D219">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tcPr>
          <w:p w14:paraId="573AABC3">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4DC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09AF97B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14:paraId="1DB50851">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0C3C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7E4430DD">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14:paraId="2626D80A">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C7D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426DB99C">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14:paraId="10612A85">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D1E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4C60606B">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14:paraId="61E3DBD8">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63E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597A6C5">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vAlign w:val="center"/>
          </w:tcPr>
          <w:p w14:paraId="1FF312E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365C5611">
      <w:pPr>
        <w:rPr>
          <w:color w:val="auto"/>
          <w:highlight w:val="none"/>
        </w:rPr>
        <w:sectPr>
          <w:pgSz w:w="11906" w:h="16838"/>
          <w:pgMar w:top="1134" w:right="1134" w:bottom="1134" w:left="1134" w:header="720" w:footer="720" w:gutter="0"/>
          <w:cols w:space="720" w:num="1"/>
          <w:docGrid w:type="lines" w:linePitch="331" w:charSpace="0"/>
        </w:sectPr>
      </w:pPr>
    </w:p>
    <w:p w14:paraId="4ED673D5">
      <w:pPr>
        <w:spacing w:line="360" w:lineRule="auto"/>
        <w:rPr>
          <w:rFonts w:ascii="仿宋_GB2312" w:hAnsi="楷体" w:eastAsia="仿宋_GB2312"/>
          <w:color w:val="auto"/>
          <w:sz w:val="24"/>
          <w:highlight w:val="none"/>
        </w:rPr>
      </w:pPr>
    </w:p>
    <w:p w14:paraId="7F192669">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19B0FD72">
      <w:pPr>
        <w:snapToGrid w:val="0"/>
        <w:spacing w:line="400" w:lineRule="exact"/>
        <w:rPr>
          <w:rFonts w:ascii="宋体" w:hAnsi="宋体" w:cs="宋体"/>
          <w:color w:val="auto"/>
          <w:kern w:val="0"/>
          <w:szCs w:val="21"/>
          <w:highlight w:val="none"/>
        </w:rPr>
      </w:pPr>
    </w:p>
    <w:tbl>
      <w:tblPr>
        <w:tblStyle w:val="36"/>
        <w:tblW w:w="0" w:type="auto"/>
        <w:jc w:val="center"/>
        <w:tblLayout w:type="fixed"/>
        <w:tblCellMar>
          <w:top w:w="0" w:type="dxa"/>
          <w:left w:w="108" w:type="dxa"/>
          <w:bottom w:w="0" w:type="dxa"/>
          <w:right w:w="108" w:type="dxa"/>
        </w:tblCellMar>
      </w:tblPr>
      <w:tblGrid>
        <w:gridCol w:w="4627"/>
        <w:gridCol w:w="4659"/>
      </w:tblGrid>
      <w:tr w14:paraId="0168EF0B">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tcPr>
          <w:p w14:paraId="482D7F6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64E44E3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09844DC">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tcPr>
          <w:p w14:paraId="4D80126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4CA1C47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9E4D13C">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tcPr>
          <w:p w14:paraId="59DC285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511B63D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1302C83C">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tcPr>
          <w:p w14:paraId="2C1AB0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40C6EB2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83DC5AA">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14:paraId="187C6781">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9A5BFCF">
            <w:pPr>
              <w:snapToGrid w:val="0"/>
              <w:spacing w:line="400" w:lineRule="exact"/>
              <w:ind w:firstLine="420" w:firstLineChars="200"/>
              <w:rPr>
                <w:rFonts w:ascii="宋体" w:hAnsi="宋体" w:cs="宋体"/>
                <w:color w:val="auto"/>
                <w:kern w:val="0"/>
                <w:szCs w:val="21"/>
                <w:highlight w:val="none"/>
              </w:rPr>
            </w:pPr>
          </w:p>
          <w:p w14:paraId="1276A189">
            <w:pPr>
              <w:snapToGrid w:val="0"/>
              <w:spacing w:line="400" w:lineRule="exact"/>
              <w:ind w:firstLine="420" w:firstLineChars="200"/>
              <w:rPr>
                <w:rFonts w:ascii="宋体" w:hAnsi="宋体" w:cs="宋体"/>
                <w:color w:val="auto"/>
                <w:kern w:val="0"/>
                <w:szCs w:val="21"/>
                <w:highlight w:val="none"/>
              </w:rPr>
            </w:pPr>
          </w:p>
          <w:p w14:paraId="03253FF8">
            <w:pPr>
              <w:snapToGrid w:val="0"/>
              <w:spacing w:line="400" w:lineRule="exact"/>
              <w:ind w:firstLine="420" w:firstLineChars="200"/>
              <w:rPr>
                <w:rFonts w:ascii="宋体" w:hAnsi="宋体" w:cs="宋体"/>
                <w:color w:val="auto"/>
                <w:kern w:val="0"/>
                <w:szCs w:val="21"/>
                <w:highlight w:val="none"/>
              </w:rPr>
            </w:pPr>
          </w:p>
          <w:p w14:paraId="3B772581">
            <w:pPr>
              <w:snapToGrid w:val="0"/>
              <w:spacing w:line="400" w:lineRule="exact"/>
              <w:ind w:firstLine="420" w:firstLineChars="200"/>
              <w:rPr>
                <w:rFonts w:ascii="宋体" w:hAnsi="宋体" w:cs="宋体"/>
                <w:color w:val="auto"/>
                <w:kern w:val="0"/>
                <w:szCs w:val="21"/>
                <w:highlight w:val="none"/>
              </w:rPr>
            </w:pPr>
          </w:p>
          <w:p w14:paraId="2C8DA25A">
            <w:pPr>
              <w:snapToGrid w:val="0"/>
              <w:spacing w:line="400" w:lineRule="exact"/>
              <w:ind w:firstLine="420" w:firstLineChars="200"/>
              <w:rPr>
                <w:rFonts w:ascii="宋体" w:hAnsi="宋体" w:cs="宋体"/>
                <w:color w:val="auto"/>
                <w:kern w:val="0"/>
                <w:szCs w:val="21"/>
                <w:highlight w:val="none"/>
              </w:rPr>
            </w:pPr>
          </w:p>
          <w:p w14:paraId="556FEE5A">
            <w:pPr>
              <w:snapToGrid w:val="0"/>
              <w:spacing w:line="400" w:lineRule="exact"/>
              <w:ind w:firstLine="420" w:firstLineChars="200"/>
              <w:rPr>
                <w:rFonts w:ascii="宋体" w:hAnsi="宋体" w:cs="宋体"/>
                <w:color w:val="auto"/>
                <w:kern w:val="0"/>
                <w:szCs w:val="21"/>
                <w:highlight w:val="none"/>
              </w:rPr>
            </w:pPr>
          </w:p>
          <w:p w14:paraId="5CFB3B0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vAlign w:val="center"/>
          </w:tcPr>
          <w:p w14:paraId="60A10E4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30A16363">
            <w:pPr>
              <w:snapToGrid w:val="0"/>
              <w:spacing w:line="400" w:lineRule="exact"/>
              <w:ind w:firstLine="420" w:firstLineChars="200"/>
              <w:rPr>
                <w:rFonts w:ascii="宋体" w:hAnsi="宋体" w:cs="宋体"/>
                <w:color w:val="auto"/>
                <w:kern w:val="0"/>
                <w:szCs w:val="21"/>
                <w:highlight w:val="none"/>
              </w:rPr>
            </w:pPr>
          </w:p>
          <w:p w14:paraId="39CF829E">
            <w:pPr>
              <w:snapToGrid w:val="0"/>
              <w:spacing w:line="400" w:lineRule="exact"/>
              <w:ind w:firstLine="420" w:firstLineChars="200"/>
              <w:rPr>
                <w:rFonts w:ascii="宋体" w:hAnsi="宋体" w:cs="宋体"/>
                <w:color w:val="auto"/>
                <w:kern w:val="0"/>
                <w:szCs w:val="21"/>
                <w:highlight w:val="none"/>
              </w:rPr>
            </w:pPr>
          </w:p>
          <w:p w14:paraId="6FC083D3">
            <w:pPr>
              <w:snapToGrid w:val="0"/>
              <w:spacing w:line="400" w:lineRule="exact"/>
              <w:ind w:firstLine="420" w:firstLineChars="200"/>
              <w:rPr>
                <w:rFonts w:ascii="宋体" w:hAnsi="宋体" w:cs="宋体"/>
                <w:color w:val="auto"/>
                <w:kern w:val="0"/>
                <w:szCs w:val="21"/>
                <w:highlight w:val="none"/>
              </w:rPr>
            </w:pPr>
          </w:p>
          <w:p w14:paraId="26265828">
            <w:pPr>
              <w:snapToGrid w:val="0"/>
              <w:spacing w:line="400" w:lineRule="exact"/>
              <w:ind w:firstLine="420" w:firstLineChars="200"/>
              <w:rPr>
                <w:rFonts w:ascii="宋体" w:hAnsi="宋体" w:cs="宋体"/>
                <w:color w:val="auto"/>
                <w:kern w:val="0"/>
                <w:szCs w:val="21"/>
                <w:highlight w:val="none"/>
              </w:rPr>
            </w:pPr>
          </w:p>
          <w:p w14:paraId="1226563F">
            <w:pPr>
              <w:snapToGrid w:val="0"/>
              <w:spacing w:line="400" w:lineRule="exact"/>
              <w:ind w:firstLine="420" w:firstLineChars="200"/>
              <w:rPr>
                <w:rFonts w:ascii="宋体" w:hAnsi="宋体" w:cs="宋体"/>
                <w:color w:val="auto"/>
                <w:kern w:val="0"/>
                <w:szCs w:val="21"/>
                <w:highlight w:val="none"/>
              </w:rPr>
            </w:pPr>
          </w:p>
          <w:p w14:paraId="792DA66F">
            <w:pPr>
              <w:snapToGrid w:val="0"/>
              <w:spacing w:line="400" w:lineRule="exact"/>
              <w:ind w:firstLine="420" w:firstLineChars="200"/>
              <w:rPr>
                <w:rFonts w:ascii="宋体" w:hAnsi="宋体" w:cs="宋体"/>
                <w:color w:val="auto"/>
                <w:kern w:val="0"/>
                <w:szCs w:val="21"/>
                <w:highlight w:val="none"/>
              </w:rPr>
            </w:pPr>
          </w:p>
          <w:p w14:paraId="369CB2A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5FFF152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4FCA61CC">
      <w:pPr>
        <w:adjustRightInd w:val="0"/>
        <w:snapToGrid w:val="0"/>
        <w:spacing w:line="520" w:lineRule="exact"/>
        <w:rPr>
          <w:color w:val="auto"/>
          <w:highlight w:val="none"/>
        </w:rPr>
      </w:pPr>
    </w:p>
    <w:p w14:paraId="24886AE0">
      <w:pPr>
        <w:pStyle w:val="19"/>
        <w:spacing w:line="360" w:lineRule="auto"/>
        <w:ind w:left="178" w:leftChars="85"/>
        <w:rPr>
          <w:rFonts w:hAnsi="宋体"/>
          <w:color w:val="auto"/>
          <w:highlight w:val="none"/>
        </w:rPr>
      </w:pPr>
    </w:p>
    <w:p w14:paraId="7CFFC7EC">
      <w:pPr>
        <w:pStyle w:val="19"/>
        <w:tabs>
          <w:tab w:val="left" w:pos="2472"/>
        </w:tabs>
        <w:spacing w:line="460" w:lineRule="exact"/>
        <w:jc w:val="center"/>
        <w:rPr>
          <w:rFonts w:ascii="Times New Roman" w:hAnsi="Times New Roman"/>
          <w:b/>
          <w:color w:val="auto"/>
          <w:sz w:val="36"/>
          <w:highlight w:val="none"/>
        </w:rPr>
      </w:pPr>
    </w:p>
    <w:p w14:paraId="01AA6D24">
      <w:pPr>
        <w:pStyle w:val="19"/>
        <w:tabs>
          <w:tab w:val="left" w:pos="2472"/>
        </w:tabs>
        <w:spacing w:line="460" w:lineRule="exact"/>
        <w:jc w:val="center"/>
        <w:rPr>
          <w:rFonts w:ascii="Times New Roman" w:hAnsi="Times New Roman"/>
          <w:b/>
          <w:color w:val="auto"/>
          <w:sz w:val="36"/>
          <w:highlight w:val="none"/>
        </w:rPr>
      </w:pPr>
    </w:p>
    <w:p w14:paraId="1E1668F8">
      <w:pPr>
        <w:pStyle w:val="19"/>
        <w:tabs>
          <w:tab w:val="left" w:pos="2472"/>
        </w:tabs>
        <w:spacing w:line="460" w:lineRule="exact"/>
        <w:jc w:val="center"/>
        <w:rPr>
          <w:rFonts w:ascii="Times New Roman" w:hAnsi="Times New Roman"/>
          <w:b/>
          <w:color w:val="auto"/>
          <w:sz w:val="36"/>
          <w:highlight w:val="none"/>
        </w:rPr>
      </w:pPr>
    </w:p>
    <w:p w14:paraId="52B2AD91">
      <w:pPr>
        <w:pStyle w:val="19"/>
        <w:tabs>
          <w:tab w:val="left" w:pos="2472"/>
        </w:tabs>
        <w:spacing w:line="460" w:lineRule="exact"/>
        <w:jc w:val="center"/>
        <w:rPr>
          <w:rFonts w:ascii="Times New Roman" w:hAnsi="Times New Roman"/>
          <w:b/>
          <w:color w:val="auto"/>
          <w:sz w:val="36"/>
          <w:highlight w:val="none"/>
        </w:rPr>
      </w:pPr>
    </w:p>
    <w:p w14:paraId="36422F61">
      <w:pPr>
        <w:pStyle w:val="19"/>
        <w:tabs>
          <w:tab w:val="left" w:pos="2472"/>
        </w:tabs>
        <w:spacing w:line="460" w:lineRule="exact"/>
        <w:jc w:val="center"/>
        <w:rPr>
          <w:rFonts w:ascii="Times New Roman" w:hAnsi="Times New Roman"/>
          <w:b/>
          <w:color w:val="auto"/>
          <w:sz w:val="36"/>
          <w:highlight w:val="none"/>
        </w:rPr>
      </w:pPr>
    </w:p>
    <w:p w14:paraId="41BCEC58">
      <w:pPr>
        <w:pStyle w:val="19"/>
        <w:tabs>
          <w:tab w:val="left" w:pos="2472"/>
        </w:tabs>
        <w:spacing w:line="460" w:lineRule="exact"/>
        <w:jc w:val="center"/>
        <w:rPr>
          <w:rFonts w:ascii="Times New Roman" w:hAnsi="Times New Roman"/>
          <w:b/>
          <w:color w:val="auto"/>
          <w:sz w:val="36"/>
          <w:highlight w:val="none"/>
        </w:rPr>
      </w:pPr>
    </w:p>
    <w:p w14:paraId="400316C3">
      <w:pPr>
        <w:pStyle w:val="19"/>
        <w:tabs>
          <w:tab w:val="left" w:pos="2472"/>
        </w:tabs>
        <w:spacing w:line="460" w:lineRule="exact"/>
        <w:jc w:val="center"/>
        <w:rPr>
          <w:rFonts w:ascii="Times New Roman" w:hAnsi="Times New Roman"/>
          <w:b/>
          <w:color w:val="auto"/>
          <w:sz w:val="36"/>
          <w:highlight w:val="none"/>
        </w:rPr>
      </w:pPr>
    </w:p>
    <w:p w14:paraId="746DDE6F">
      <w:pPr>
        <w:pStyle w:val="19"/>
        <w:tabs>
          <w:tab w:val="left" w:pos="2472"/>
        </w:tabs>
        <w:spacing w:line="460" w:lineRule="exact"/>
        <w:jc w:val="center"/>
        <w:rPr>
          <w:rFonts w:ascii="Times New Roman" w:hAnsi="Times New Roman"/>
          <w:b/>
          <w:color w:val="auto"/>
          <w:sz w:val="36"/>
          <w:highlight w:val="none"/>
        </w:rPr>
      </w:pPr>
    </w:p>
    <w:p w14:paraId="0A319012">
      <w:pPr>
        <w:pStyle w:val="19"/>
        <w:tabs>
          <w:tab w:val="left" w:pos="2472"/>
        </w:tabs>
        <w:spacing w:line="460" w:lineRule="exact"/>
        <w:jc w:val="center"/>
        <w:rPr>
          <w:rFonts w:ascii="Times New Roman" w:hAnsi="Times New Roman"/>
          <w:b/>
          <w:color w:val="auto"/>
          <w:sz w:val="36"/>
          <w:highlight w:val="none"/>
        </w:rPr>
      </w:pPr>
    </w:p>
    <w:p w14:paraId="2C3201E3">
      <w:pPr>
        <w:pStyle w:val="19"/>
        <w:tabs>
          <w:tab w:val="left" w:pos="2472"/>
        </w:tabs>
        <w:spacing w:line="460" w:lineRule="exact"/>
        <w:jc w:val="center"/>
        <w:outlineLvl w:val="0"/>
        <w:rPr>
          <w:rFonts w:ascii="Times New Roman" w:hAnsi="Times New Roman"/>
          <w:b/>
          <w:color w:val="auto"/>
          <w:sz w:val="36"/>
          <w:highlight w:val="none"/>
        </w:rPr>
      </w:pPr>
      <w:bookmarkStart w:id="147" w:name="_Toc80093010"/>
      <w:r>
        <w:rPr>
          <w:rFonts w:hint="eastAsia" w:ascii="Times New Roman" w:hAnsi="Times New Roman"/>
          <w:b/>
          <w:color w:val="auto"/>
          <w:sz w:val="36"/>
          <w:highlight w:val="none"/>
        </w:rPr>
        <w:t>第六章 投标文件格式</w:t>
      </w:r>
      <w:bookmarkEnd w:id="147"/>
    </w:p>
    <w:p w14:paraId="3503545B">
      <w:pPr>
        <w:pStyle w:val="19"/>
        <w:spacing w:line="360" w:lineRule="auto"/>
        <w:rPr>
          <w:rFonts w:hAnsi="宋体"/>
          <w:color w:val="auto"/>
          <w:highlight w:val="none"/>
        </w:rPr>
        <w:sectPr>
          <w:headerReference r:id="rId8" w:type="default"/>
          <w:pgSz w:w="11906" w:h="16838"/>
          <w:pgMar w:top="1134" w:right="1134" w:bottom="1134" w:left="1134" w:header="720" w:footer="720" w:gutter="0"/>
          <w:cols w:space="720" w:num="1"/>
          <w:docGrid w:type="lines" w:linePitch="331" w:charSpace="0"/>
        </w:sectPr>
      </w:pPr>
    </w:p>
    <w:p w14:paraId="0D42D819">
      <w:pPr>
        <w:jc w:val="center"/>
        <w:rPr>
          <w:b/>
          <w:bCs/>
          <w:color w:val="auto"/>
          <w:sz w:val="32"/>
          <w:szCs w:val="40"/>
          <w:highlight w:val="none"/>
        </w:rPr>
      </w:pPr>
      <w:bookmarkStart w:id="148" w:name="_Toc80093011"/>
      <w:r>
        <w:rPr>
          <w:b/>
          <w:bCs/>
          <w:color w:val="auto"/>
          <w:sz w:val="32"/>
          <w:szCs w:val="40"/>
          <w:highlight w:val="none"/>
        </w:rPr>
        <w:t>供应商提交电子响应文件须知</w:t>
      </w:r>
    </w:p>
    <w:p w14:paraId="5DA4BDDC">
      <w:pPr>
        <w:adjustRightInd w:val="0"/>
        <w:snapToGrid w:val="0"/>
        <w:spacing w:line="420" w:lineRule="exact"/>
        <w:ind w:firstLine="480"/>
        <w:jc w:val="left"/>
        <w:rPr>
          <w:rFonts w:ascii="Arial" w:hAnsi="Arial" w:cs="Arial"/>
          <w:b/>
          <w:color w:val="auto"/>
          <w:sz w:val="24"/>
          <w:highlight w:val="none"/>
        </w:rPr>
      </w:pPr>
    </w:p>
    <w:p w14:paraId="4E4C52CA">
      <w:pPr>
        <w:adjustRightInd w:val="0"/>
        <w:snapToGrid w:val="0"/>
        <w:spacing w:line="420" w:lineRule="exact"/>
        <w:ind w:firstLine="480"/>
        <w:jc w:val="left"/>
        <w:rPr>
          <w:rFonts w:ascii="宋体" w:hAnsi="宋体" w:cs="宋体"/>
          <w:b/>
          <w:color w:val="auto"/>
          <w:szCs w:val="21"/>
          <w:highlight w:val="none"/>
        </w:rPr>
      </w:pPr>
      <w:r>
        <w:rPr>
          <w:rFonts w:hint="eastAsia" w:ascii="宋体" w:hAnsi="宋体" w:cs="宋体"/>
          <w:b/>
          <w:color w:val="auto"/>
          <w:szCs w:val="21"/>
          <w:highlight w:val="none"/>
        </w:rPr>
        <w:t>参与电子标的供应商必须为政采云平台的正式供应商且申领CA证书，各供应商应在开标前及时完成平台注册、CA证书申领、CA证书绑定、下载投标客户端，熟悉并掌握政采云电子标系统操作。</w:t>
      </w:r>
    </w:p>
    <w:p w14:paraId="14B0AF22">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一、供应商应保证全部声明和问题的回答是真实的和准确的。</w:t>
      </w:r>
    </w:p>
    <w:p w14:paraId="7B88CAB1">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二、公开招标小组将应用供应商递交的资料作出自己的判断。</w:t>
      </w:r>
    </w:p>
    <w:p w14:paraId="6517B1EC">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三、供应商递交的材料将在一定期限内被保密保存，不予退还。</w:t>
      </w:r>
    </w:p>
    <w:p w14:paraId="53C88FBB">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四、电子响应文件编制格式及规范要求：</w:t>
      </w:r>
    </w:p>
    <w:p w14:paraId="345ACF91">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（一）响应文件应使用政采云电子投标客户端软件，并按照本公开招标文件和政采云平台要求编制并加密响应文件。未按规定加密的响应文件，政采云平台将拒收。</w:t>
      </w:r>
    </w:p>
    <w:p w14:paraId="041131F1">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（二）响应文件制作并加密完成后应在政采云平台上传完成。</w:t>
      </w:r>
    </w:p>
    <w:p w14:paraId="598B4A49">
      <w:pPr>
        <w:adjustRightInd w:val="0"/>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（三）响应文件应使用CA证书进行电子签章。在签章时，供应商应注意CA电子签章的位置，如因CA电子签章遮挡重要、关键信息导致评标委员会作出对供应商不利评审的，后果由供应商负责。</w:t>
      </w:r>
    </w:p>
    <w:p w14:paraId="424C360E">
      <w:pPr>
        <w:adjustRightInd w:val="0"/>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（四）供应商应准确设置评审关联点。未设置或设置错误导致响应文件被误读、漏读或者查找不到相关内容的，是供应商的责任。</w:t>
      </w:r>
    </w:p>
    <w:p w14:paraId="54DBCFF0">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（五）响应文件所提供的相关材料的尺寸和清晰度应该能够在电脑上被阅读、识别和判断。</w:t>
      </w:r>
    </w:p>
    <w:p w14:paraId="2216C8E4">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（六）响应文件内容无法阅读、识别和判断的，视为未提供。</w:t>
      </w:r>
    </w:p>
    <w:p w14:paraId="0B0322BF">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（七）响应文件的容量大小须符合政采云平台规定。</w:t>
      </w:r>
    </w:p>
    <w:p w14:paraId="73074687">
      <w:pPr>
        <w:adjustRightInd w:val="0"/>
        <w:snapToGrid w:val="0"/>
        <w:spacing w:line="420" w:lineRule="exact"/>
        <w:ind w:firstLine="422" w:firstLineChars="200"/>
        <w:jc w:val="left"/>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五、供应商在使用政采云平台进行投标过程中遇到涉及平台使用的任何问题，可致电平台技术支持热线咨询</w:t>
      </w:r>
      <w:r>
        <w:rPr>
          <w:rFonts w:hint="eastAsia" w:ascii="宋体" w:hAnsi="宋体" w:cs="宋体"/>
          <w:b/>
          <w:color w:val="auto"/>
          <w:szCs w:val="21"/>
          <w:highlight w:val="none"/>
          <w:lang w:eastAsia="zh-CN"/>
        </w:rPr>
        <w:t>。</w:t>
      </w:r>
    </w:p>
    <w:p w14:paraId="054DF1CB">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六、特别说明</w:t>
      </w:r>
    </w:p>
    <w:p w14:paraId="5EB593EA">
      <w:pPr>
        <w:adjustRightInd w:val="0"/>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（一）响应文件中须加盖公章部分均采用供应商CA电子签章，否则视为响应无效。</w:t>
      </w:r>
    </w:p>
    <w:p w14:paraId="2F87B896">
      <w:pPr>
        <w:adjustRightInd w:val="0"/>
        <w:snapToGrid w:val="0"/>
        <w:spacing w:line="420" w:lineRule="exact"/>
        <w:ind w:firstLine="422" w:firstLineChars="200"/>
        <w:jc w:val="left"/>
        <w:rPr>
          <w:rFonts w:ascii="宋体" w:hAnsi="宋体" w:cs="宋体"/>
          <w:b/>
          <w:color w:val="auto"/>
          <w:szCs w:val="21"/>
          <w:highlight w:val="none"/>
        </w:rPr>
        <w:sectPr>
          <w:pgSz w:w="11910" w:h="16840"/>
          <w:pgMar w:top="1340" w:right="1500" w:bottom="280" w:left="1680" w:header="720" w:footer="720" w:gutter="0"/>
          <w:cols w:space="720" w:num="1"/>
        </w:sectPr>
      </w:pPr>
      <w:r>
        <w:rPr>
          <w:rFonts w:hint="eastAsia" w:ascii="宋体" w:hAnsi="宋体" w:cs="宋体"/>
          <w:b/>
          <w:color w:val="auto"/>
          <w:szCs w:val="21"/>
          <w:highlight w:val="none"/>
        </w:rPr>
        <w:t>（二）</w:t>
      </w:r>
      <w:r>
        <w:rPr>
          <w:rFonts w:hint="eastAsia" w:ascii="宋体" w:hAnsi="宋体" w:cs="宋体"/>
          <w:b/>
          <w:bCs/>
          <w:color w:val="auto"/>
          <w:szCs w:val="21"/>
          <w:highlight w:val="none"/>
        </w:rPr>
        <w:t>公开招标文件中规定须由法定代表人或授权委托代理人签字的内容，如果供应商没有法定代表人或授权委托代理人电子签章，涉及到法定代表人或其授权委托代理人签字或盖章的内容，供应商可以线下签字或盖章后扫描上传，</w:t>
      </w:r>
      <w:r>
        <w:rPr>
          <w:rFonts w:hint="eastAsia" w:ascii="宋体" w:hAnsi="宋体" w:cs="宋体"/>
          <w:b/>
          <w:color w:val="auto"/>
          <w:szCs w:val="21"/>
          <w:highlight w:val="none"/>
        </w:rPr>
        <w:t>否则视为响应无效。</w:t>
      </w:r>
    </w:p>
    <w:bookmarkEnd w:id="148"/>
    <w:p w14:paraId="0930BEB7">
      <w:pPr>
        <w:pStyle w:val="3"/>
        <w:spacing w:before="0" w:after="0"/>
        <w:jc w:val="center"/>
        <w:rPr>
          <w:color w:val="auto"/>
          <w:highlight w:val="none"/>
        </w:rPr>
      </w:pPr>
      <w:bookmarkStart w:id="149" w:name="_Toc74320805"/>
      <w:r>
        <w:rPr>
          <w:rFonts w:hint="eastAsia"/>
          <w:color w:val="auto"/>
          <w:highlight w:val="none"/>
        </w:rPr>
        <w:t>第六章　投标文件格式</w:t>
      </w:r>
      <w:bookmarkEnd w:id="149"/>
    </w:p>
    <w:p w14:paraId="0A791C70">
      <w:pPr>
        <w:rPr>
          <w:b/>
          <w:color w:val="auto"/>
          <w:sz w:val="28"/>
          <w:szCs w:val="28"/>
          <w:highlight w:val="none"/>
        </w:rPr>
      </w:pPr>
      <w:bookmarkStart w:id="150" w:name="_Toc19686836"/>
      <w:bookmarkStart w:id="151" w:name="_Toc254970698"/>
      <w:bookmarkStart w:id="152" w:name="_Toc254970557"/>
      <w:r>
        <w:rPr>
          <w:rFonts w:hint="eastAsia"/>
          <w:b/>
          <w:color w:val="auto"/>
          <w:sz w:val="28"/>
          <w:szCs w:val="28"/>
          <w:highlight w:val="none"/>
        </w:rPr>
        <w:t>一、报价文件格式</w:t>
      </w:r>
      <w:bookmarkEnd w:id="150"/>
    </w:p>
    <w:p w14:paraId="13ADE5F1">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14:paraId="6CB3C437">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14:paraId="5BE6B280">
      <w:pPr>
        <w:snapToGrid w:val="0"/>
        <w:spacing w:before="120" w:beforeLines="50" w:after="50" w:line="400" w:lineRule="exact"/>
        <w:jc w:val="center"/>
        <w:rPr>
          <w:rFonts w:ascii="宋体" w:hAnsi="宋体"/>
          <w:bCs/>
          <w:color w:val="auto"/>
          <w:sz w:val="24"/>
          <w:szCs w:val="20"/>
          <w:highlight w:val="none"/>
        </w:rPr>
      </w:pPr>
    </w:p>
    <w:p w14:paraId="4CB5E215">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33BCCC83">
      <w:pPr>
        <w:snapToGrid w:val="0"/>
        <w:spacing w:before="120" w:beforeLines="50" w:after="50" w:line="400" w:lineRule="exact"/>
        <w:jc w:val="center"/>
        <w:rPr>
          <w:rFonts w:ascii="宋体" w:hAnsi="宋体"/>
          <w:bCs/>
          <w:color w:val="auto"/>
          <w:sz w:val="32"/>
          <w:szCs w:val="32"/>
          <w:highlight w:val="none"/>
        </w:rPr>
      </w:pPr>
    </w:p>
    <w:p w14:paraId="2F1ED03F">
      <w:pPr>
        <w:snapToGrid w:val="0"/>
        <w:spacing w:before="120" w:beforeLines="50" w:after="50" w:line="4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14:paraId="131331A4">
      <w:pPr>
        <w:snapToGrid w:val="0"/>
        <w:spacing w:before="120" w:beforeLines="50" w:after="50" w:line="400" w:lineRule="exact"/>
        <w:rPr>
          <w:rFonts w:ascii="宋体" w:hAnsi="宋体"/>
          <w:bCs/>
          <w:color w:val="auto"/>
          <w:sz w:val="24"/>
          <w:szCs w:val="20"/>
          <w:highlight w:val="none"/>
        </w:rPr>
      </w:pPr>
    </w:p>
    <w:p w14:paraId="383F9F03">
      <w:pPr>
        <w:snapToGrid w:val="0"/>
        <w:spacing w:before="120" w:beforeLines="50" w:after="50" w:line="400" w:lineRule="exact"/>
        <w:rPr>
          <w:rFonts w:ascii="宋体" w:hAnsi="宋体"/>
          <w:bCs/>
          <w:color w:val="auto"/>
          <w:sz w:val="24"/>
          <w:szCs w:val="20"/>
          <w:highlight w:val="none"/>
        </w:rPr>
      </w:pPr>
    </w:p>
    <w:p w14:paraId="3E5EF2E2">
      <w:pPr>
        <w:snapToGrid w:val="0"/>
        <w:spacing w:before="120" w:beforeLines="50" w:after="50" w:line="400" w:lineRule="exact"/>
        <w:rPr>
          <w:rFonts w:ascii="宋体" w:hAnsi="宋体"/>
          <w:bCs/>
          <w:color w:val="auto"/>
          <w:sz w:val="24"/>
          <w:szCs w:val="20"/>
          <w:highlight w:val="none"/>
        </w:rPr>
      </w:pPr>
    </w:p>
    <w:p w14:paraId="1C529A14">
      <w:pPr>
        <w:snapToGrid w:val="0"/>
        <w:spacing w:before="120" w:beforeLines="50" w:after="50" w:line="400" w:lineRule="exact"/>
        <w:rPr>
          <w:rFonts w:ascii="宋体" w:hAnsi="宋体"/>
          <w:bCs/>
          <w:color w:val="auto"/>
          <w:sz w:val="24"/>
          <w:szCs w:val="20"/>
          <w:highlight w:val="none"/>
        </w:rPr>
      </w:pPr>
    </w:p>
    <w:p w14:paraId="6331A198">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3A29F793">
      <w:pPr>
        <w:snapToGrid w:val="0"/>
        <w:spacing w:before="120" w:beforeLines="50" w:after="50"/>
        <w:ind w:firstLine="360" w:firstLineChars="150"/>
        <w:rPr>
          <w:rFonts w:ascii="宋体" w:hAnsi="宋体"/>
          <w:bCs/>
          <w:color w:val="auto"/>
          <w:sz w:val="24"/>
          <w:highlight w:val="none"/>
        </w:rPr>
      </w:pPr>
    </w:p>
    <w:p w14:paraId="227A1C9F">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499F154">
      <w:pPr>
        <w:snapToGrid w:val="0"/>
        <w:spacing w:before="120" w:beforeLines="50" w:after="50"/>
        <w:ind w:firstLine="360" w:firstLineChars="150"/>
        <w:rPr>
          <w:rFonts w:ascii="宋体" w:hAnsi="宋体"/>
          <w:bCs/>
          <w:color w:val="auto"/>
          <w:sz w:val="24"/>
          <w:highlight w:val="none"/>
        </w:rPr>
      </w:pPr>
    </w:p>
    <w:p w14:paraId="5842AC7E">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77F1A18">
      <w:pPr>
        <w:snapToGrid w:val="0"/>
        <w:spacing w:before="120" w:beforeLines="50" w:after="50"/>
        <w:ind w:firstLine="360" w:firstLineChars="150"/>
        <w:rPr>
          <w:rFonts w:ascii="宋体" w:hAnsi="宋体"/>
          <w:bCs/>
          <w:color w:val="auto"/>
          <w:sz w:val="24"/>
          <w:highlight w:val="none"/>
        </w:rPr>
      </w:pPr>
    </w:p>
    <w:p w14:paraId="1AC272B2">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4C0ED3C">
      <w:pPr>
        <w:snapToGrid w:val="0"/>
        <w:spacing w:before="120" w:beforeLines="50" w:after="50"/>
        <w:ind w:firstLine="360" w:firstLineChars="150"/>
        <w:rPr>
          <w:rFonts w:ascii="宋体" w:hAnsi="宋体"/>
          <w:bCs/>
          <w:color w:val="auto"/>
          <w:sz w:val="24"/>
          <w:highlight w:val="none"/>
        </w:rPr>
      </w:pPr>
    </w:p>
    <w:p w14:paraId="2503DC7B">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2DE25927">
      <w:pPr>
        <w:pStyle w:val="9"/>
        <w:snapToGrid w:val="0"/>
        <w:spacing w:before="50" w:after="50"/>
        <w:ind w:firstLine="960" w:firstLineChars="400"/>
        <w:rPr>
          <w:rFonts w:ascii="宋体" w:hAnsi="宋体"/>
          <w:bCs/>
          <w:color w:val="auto"/>
          <w:sz w:val="24"/>
          <w:szCs w:val="24"/>
          <w:highlight w:val="none"/>
        </w:rPr>
      </w:pPr>
    </w:p>
    <w:p w14:paraId="65DAAEA2">
      <w:pPr>
        <w:snapToGrid w:val="0"/>
        <w:spacing w:before="120" w:beforeLines="50" w:after="50"/>
        <w:rPr>
          <w:rFonts w:ascii="宋体" w:hAnsi="宋体"/>
          <w:color w:val="auto"/>
          <w:sz w:val="30"/>
          <w:szCs w:val="20"/>
          <w:highlight w:val="none"/>
        </w:rPr>
      </w:pPr>
      <w:r>
        <w:rPr>
          <w:rFonts w:hint="eastAsia" w:ascii="宋体" w:hAnsi="宋体"/>
          <w:color w:val="auto"/>
          <w:sz w:val="24"/>
          <w:highlight w:val="none"/>
        </w:rPr>
        <w:t xml:space="preserve">                                   年  月  日</w:t>
      </w:r>
    </w:p>
    <w:p w14:paraId="31B3843B">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3FB7070">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2AACEFFE">
      <w:pPr>
        <w:snapToGrid w:val="0"/>
        <w:spacing w:before="120" w:beforeLines="50" w:after="50"/>
        <w:rPr>
          <w:rFonts w:ascii="宋体" w:hAnsi="宋体"/>
          <w:b/>
          <w:color w:val="auto"/>
          <w:sz w:val="24"/>
          <w:highlight w:val="none"/>
        </w:rPr>
      </w:pPr>
    </w:p>
    <w:p w14:paraId="193C8F83">
      <w:pPr>
        <w:snapToGrid w:val="0"/>
        <w:spacing w:before="120" w:beforeLines="50" w:after="50"/>
        <w:rPr>
          <w:rFonts w:ascii="宋体" w:hAnsi="宋体"/>
          <w:b/>
          <w:color w:val="auto"/>
          <w:sz w:val="24"/>
          <w:highlight w:val="none"/>
        </w:rPr>
      </w:pPr>
    </w:p>
    <w:p w14:paraId="7840E474">
      <w:pPr>
        <w:snapToGrid w:val="0"/>
        <w:spacing w:before="120" w:beforeLines="50" w:after="50"/>
        <w:rPr>
          <w:rFonts w:ascii="宋体" w:hAnsi="宋体"/>
          <w:b/>
          <w:color w:val="auto"/>
          <w:sz w:val="24"/>
          <w:highlight w:val="none"/>
        </w:rPr>
      </w:pPr>
    </w:p>
    <w:p w14:paraId="7453D961">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272A1137">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4769A92E">
      <w:pPr>
        <w:spacing w:line="276" w:lineRule="auto"/>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314C791A">
      <w:pPr>
        <w:spacing w:line="276" w:lineRule="auto"/>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4463479A">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0A06653E">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55700FA">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5C6CCFBB">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04EEC368">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0875E69A">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6785977D">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0E7DA665">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4795118C">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2510098B">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7E4B96BE">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363108">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550F5925">
      <w:pPr>
        <w:spacing w:line="276" w:lineRule="auto"/>
        <w:ind w:firstLine="480" w:firstLineChars="200"/>
        <w:contextualSpacing/>
        <w:rPr>
          <w:rFonts w:ascii="宋体" w:hAnsi="宋体"/>
          <w:color w:val="auto"/>
          <w:sz w:val="24"/>
          <w:highlight w:val="none"/>
        </w:rPr>
      </w:pPr>
    </w:p>
    <w:p w14:paraId="4C01DA5F">
      <w:pPr>
        <w:spacing w:line="276"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24FEFCFF">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3995C96D">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C67D84B">
      <w:pPr>
        <w:spacing w:line="276"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E30C0C1">
      <w:pPr>
        <w:spacing w:line="276"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2A780317">
      <w:pPr>
        <w:pStyle w:val="19"/>
        <w:spacing w:line="276" w:lineRule="auto"/>
        <w:contextualSpacing/>
        <w:jc w:val="center"/>
        <w:rPr>
          <w:rFonts w:hAnsi="宋体"/>
          <w:color w:val="auto"/>
          <w:sz w:val="24"/>
          <w:highlight w:val="none"/>
        </w:rPr>
      </w:pPr>
      <w:r>
        <w:rPr>
          <w:rFonts w:hint="eastAsia" w:hAnsi="宋体"/>
          <w:color w:val="auto"/>
          <w:sz w:val="24"/>
          <w:highlight w:val="none"/>
        </w:rPr>
        <w:t xml:space="preserve"> </w:t>
      </w:r>
      <w:r>
        <w:rPr>
          <w:rFonts w:hAnsi="宋体"/>
          <w:color w:val="auto"/>
          <w:sz w:val="24"/>
          <w:highlight w:val="none"/>
        </w:rPr>
        <w:t xml:space="preserve">                                  </w:t>
      </w:r>
    </w:p>
    <w:p w14:paraId="5F4B8430">
      <w:pPr>
        <w:pStyle w:val="19"/>
        <w:spacing w:line="276" w:lineRule="auto"/>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14:paraId="54048EB9">
      <w:pPr>
        <w:pStyle w:val="19"/>
        <w:spacing w:line="276" w:lineRule="auto"/>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1D8C987B">
      <w:pPr>
        <w:snapToGrid w:val="0"/>
        <w:spacing w:before="120" w:beforeLines="50" w:after="50" w:line="440" w:lineRule="exact"/>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14:paraId="32621887">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开标一览表</w:t>
      </w:r>
    </w:p>
    <w:p w14:paraId="3E9F035B">
      <w:pPr>
        <w:snapToGrid w:val="0"/>
        <w:spacing w:before="50" w:after="50"/>
        <w:jc w:val="center"/>
        <w:rPr>
          <w:rFonts w:hint="eastAsia" w:ascii="宋体" w:hAnsi="宋体" w:eastAsia="宋体" w:cs="宋体"/>
          <w:b/>
          <w:color w:val="auto"/>
          <w:sz w:val="21"/>
          <w:szCs w:val="21"/>
          <w:highlight w:val="none"/>
        </w:rPr>
      </w:pPr>
    </w:p>
    <w:p w14:paraId="24FBC484">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分标：</w:t>
      </w:r>
      <w:r>
        <w:rPr>
          <w:rFonts w:hint="eastAsia" w:ascii="宋体" w:hAnsi="宋体" w:eastAsia="宋体" w:cs="宋体"/>
          <w:color w:val="auto"/>
          <w:sz w:val="21"/>
          <w:szCs w:val="21"/>
          <w:highlight w:val="none"/>
          <w:u w:val="single"/>
        </w:rPr>
        <w:t xml:space="preserve">           </w:t>
      </w:r>
    </w:p>
    <w:p w14:paraId="555E4885">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单位：元                                        </w:t>
      </w:r>
    </w:p>
    <w:tbl>
      <w:tblPr>
        <w:tblStyle w:val="36"/>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75"/>
        <w:gridCol w:w="2413"/>
        <w:gridCol w:w="2404"/>
        <w:gridCol w:w="1075"/>
      </w:tblGrid>
      <w:tr w14:paraId="51D58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6F888A37">
            <w:pPr>
              <w:shd w:val="clear" w:color="auto" w:fill="auto"/>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服务项目名称</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26062CA">
            <w:pPr>
              <w:shd w:val="clear" w:color="auto" w:fill="auto"/>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标的名称</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F899B37">
            <w:pPr>
              <w:shd w:val="clear" w:color="auto" w:fill="auto"/>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投标折扣率</w:t>
            </w:r>
          </w:p>
        </w:tc>
        <w:tc>
          <w:tcPr>
            <w:tcW w:w="1075" w:type="dxa"/>
            <w:tcBorders>
              <w:top w:val="single" w:color="auto" w:sz="4" w:space="0"/>
              <w:left w:val="single" w:color="auto" w:sz="4" w:space="0"/>
              <w:bottom w:val="single" w:color="auto" w:sz="4" w:space="0"/>
            </w:tcBorders>
            <w:noWrap w:val="0"/>
            <w:vAlign w:val="center"/>
          </w:tcPr>
          <w:p w14:paraId="02ABB715">
            <w:pPr>
              <w:shd w:val="clear" w:color="auto" w:fill="auto"/>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C900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5"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17E202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平南县镇隆镇第一初级中学</w:t>
            </w:r>
            <w:r>
              <w:rPr>
                <w:rFonts w:hint="eastAsia" w:ascii="宋体" w:hAnsi="宋体" w:eastAsia="宋体" w:cs="宋体"/>
                <w:bCs/>
                <w:color w:val="auto"/>
                <w:sz w:val="21"/>
                <w:szCs w:val="21"/>
                <w:highlight w:val="none"/>
                <w:lang w:eastAsia="zh-CN"/>
              </w:rPr>
              <w:t>学校学生食堂食材配送服务项目</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ADF5113">
            <w:pPr>
              <w:shd w:val="clear" w:color="auto" w:fill="auto"/>
              <w:snapToGrid w:val="0"/>
              <w:spacing w:line="420" w:lineRule="exact"/>
              <w:jc w:val="center"/>
              <w:rPr>
                <w:rFonts w:hint="eastAsia" w:ascii="宋体" w:hAnsi="宋体" w:eastAsia="宋体" w:cs="宋体"/>
                <w:color w:val="auto"/>
                <w:sz w:val="21"/>
                <w:szCs w:val="21"/>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9BD9714">
            <w:pPr>
              <w:shd w:val="clear" w:color="auto" w:fill="auto"/>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075" w:type="dxa"/>
            <w:tcBorders>
              <w:top w:val="single" w:color="auto" w:sz="4" w:space="0"/>
              <w:left w:val="single" w:color="auto" w:sz="4" w:space="0"/>
              <w:bottom w:val="single" w:color="auto" w:sz="4" w:space="0"/>
            </w:tcBorders>
            <w:noWrap w:val="0"/>
            <w:vAlign w:val="center"/>
          </w:tcPr>
          <w:p w14:paraId="095B785A">
            <w:pPr>
              <w:shd w:val="clear" w:color="auto" w:fill="auto"/>
              <w:spacing w:line="420" w:lineRule="exact"/>
              <w:jc w:val="center"/>
              <w:rPr>
                <w:rFonts w:hint="eastAsia" w:ascii="宋体" w:hAnsi="宋体" w:eastAsia="宋体" w:cs="宋体"/>
                <w:bCs/>
                <w:color w:val="auto"/>
                <w:sz w:val="21"/>
                <w:szCs w:val="21"/>
                <w:highlight w:val="none"/>
              </w:rPr>
            </w:pPr>
          </w:p>
        </w:tc>
      </w:tr>
      <w:tr w14:paraId="7E1CD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4D51ADC">
            <w:pPr>
              <w:shd w:val="clear" w:color="auto" w:fill="auto"/>
              <w:spacing w:line="420" w:lineRule="exact"/>
              <w:rPr>
                <w:rFonts w:hint="eastAsia" w:ascii="宋体" w:hAnsi="宋体" w:eastAsia="宋体" w:cs="宋体"/>
                <w:bCs/>
                <w:color w:val="auto"/>
                <w:sz w:val="21"/>
                <w:szCs w:val="21"/>
                <w:highlight w:val="none"/>
                <w:lang w:eastAsia="zh-CN"/>
              </w:rPr>
            </w:pPr>
            <w:r>
              <w:rPr>
                <w:rFonts w:hint="eastAsia" w:ascii="宋体" w:hAnsi="宋体" w:eastAsia="宋体" w:cs="宋体"/>
                <w:color w:val="auto"/>
                <w:spacing w:val="-6"/>
                <w:sz w:val="21"/>
                <w:szCs w:val="21"/>
                <w:highlight w:val="none"/>
                <w:lang w:eastAsia="zh-CN"/>
              </w:rPr>
              <w:t>投标折扣率</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lang w:val="en-US" w:eastAsia="zh-CN"/>
              </w:rPr>
              <w:t>%</w:t>
            </w:r>
          </w:p>
        </w:tc>
      </w:tr>
      <w:tr w14:paraId="1935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DC5473D">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合同履行期限：</w:t>
            </w:r>
          </w:p>
        </w:tc>
      </w:tr>
      <w:tr w14:paraId="5740D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9635F94">
            <w:pPr>
              <w:pStyle w:val="119"/>
              <w:numPr>
                <w:ilvl w:val="0"/>
                <w:numId w:val="0"/>
              </w:numPr>
              <w:tabs>
                <w:tab w:val="left" w:pos="1053"/>
              </w:tabs>
              <w:spacing w:before="110" w:line="240" w:lineRule="auto"/>
              <w:ind w:firstLine="398"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投标人须就第二章《招标项目服务需求》中所响应内容作完整唯一报价。</w:t>
            </w:r>
          </w:p>
          <w:p w14:paraId="222EFAA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投标报价是履行合同的最终价格，必须包含满足本次投标全部采购需求所应提供的服务，以及伴随的货物的价格；包含投标服务、货物成本、运输（含保险）装卸、搬运、检验、保险、利润、税</w:t>
            </w:r>
            <w:r>
              <w:rPr>
                <w:rFonts w:hint="eastAsia" w:ascii="宋体" w:hAnsi="宋体" w:eastAsia="宋体" w:cs="宋体"/>
                <w:color w:val="auto"/>
                <w:sz w:val="21"/>
                <w:szCs w:val="21"/>
                <w:highlight w:val="none"/>
                <w:lang w:val="en-US" w:eastAsia="zh-CN"/>
              </w:rPr>
              <w:t>费</w:t>
            </w:r>
            <w:r>
              <w:rPr>
                <w:rFonts w:hint="eastAsia" w:ascii="宋体" w:hAnsi="宋体" w:eastAsia="宋体" w:cs="宋体"/>
                <w:color w:val="auto"/>
                <w:sz w:val="21"/>
                <w:szCs w:val="21"/>
                <w:highlight w:val="none"/>
              </w:rPr>
              <w:t>、质保期售后服务、雇员费、合同实施过程中的应预见和或不可预见等费用总和。所产生的费用由中标人负责。</w:t>
            </w:r>
          </w:p>
          <w:p w14:paraId="3AD01789">
            <w:pPr>
              <w:pStyle w:val="119"/>
              <w:numPr>
                <w:ilvl w:val="0"/>
                <w:numId w:val="0"/>
              </w:numPr>
              <w:tabs>
                <w:tab w:val="left" w:pos="1053"/>
              </w:tabs>
              <w:spacing w:before="110" w:after="0" w:line="360" w:lineRule="auto"/>
              <w:ind w:right="0" w:rightChars="0" w:firstLine="420" w:firstLineChars="20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2、供应商投标报价采用折扣率报价（以%表示，</w:t>
            </w:r>
            <w:r>
              <w:rPr>
                <w:rFonts w:hint="eastAsia" w:ascii="宋体" w:hAnsi="宋体" w:eastAsia="宋体" w:cs="宋体"/>
                <w:b/>
                <w:bCs w:val="0"/>
                <w:color w:val="auto"/>
                <w:sz w:val="21"/>
                <w:szCs w:val="21"/>
                <w:highlight w:val="none"/>
                <w:lang w:val="en-US" w:eastAsia="zh-CN" w:bidi="ar-SA"/>
              </w:rPr>
              <w:t>折扣率报价精确到个位数</w:t>
            </w: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bidi="ar-SA"/>
              </w:rPr>
              <w:t>投标报价范围：≤93%（</w:t>
            </w:r>
            <w:r>
              <w:rPr>
                <w:rFonts w:hint="eastAsia" w:ascii="宋体" w:hAnsi="宋体" w:eastAsia="宋体" w:cs="宋体"/>
                <w:bCs/>
                <w:color w:val="auto"/>
                <w:sz w:val="21"/>
                <w:szCs w:val="21"/>
                <w:highlight w:val="none"/>
                <w:lang w:val="en-US" w:eastAsia="zh-CN" w:bidi="ar-SA"/>
              </w:rPr>
              <w:t>如：供货产品打八折即投标折扣率为80%，以此类推），否则，作无效报价处理。</w:t>
            </w:r>
          </w:p>
          <w:p w14:paraId="37748254">
            <w:pPr>
              <w:pStyle w:val="119"/>
              <w:numPr>
                <w:ilvl w:val="0"/>
                <w:numId w:val="0"/>
              </w:numPr>
              <w:tabs>
                <w:tab w:val="left" w:pos="1053"/>
              </w:tabs>
              <w:spacing w:before="110" w:line="240" w:lineRule="auto"/>
              <w:ind w:firstLine="420"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bCs/>
                <w:color w:val="auto"/>
                <w:sz w:val="21"/>
                <w:szCs w:val="21"/>
                <w:highlight w:val="none"/>
                <w:lang w:val="en-US" w:eastAsia="zh-CN" w:bidi="ar-SA"/>
              </w:rPr>
              <w:t>3、投标折扣率将作为食材或货物实际结算的合同折扣率，结算时以学校实际采购量进行结算。采购人根据各食材或货物的市场价格情况每个月在贵港市安居市场、三合市场、石羊塘市场、贵港市区华隆超市、永盛百汇超市等地经过调查得出</w:t>
            </w:r>
            <w:r>
              <w:rPr>
                <w:rFonts w:hint="eastAsia" w:ascii="宋体" w:hAnsi="宋体" w:eastAsia="宋体" w:cs="宋体"/>
                <w:b w:val="0"/>
                <w:bCs/>
                <w:color w:val="auto"/>
                <w:sz w:val="21"/>
                <w:szCs w:val="21"/>
                <w:highlight w:val="none"/>
                <w:lang w:val="en-US" w:eastAsia="zh-CN" w:bidi="ar-SA"/>
              </w:rPr>
              <w:t>的</w:t>
            </w:r>
            <w:r>
              <w:rPr>
                <w:rFonts w:hint="eastAsia" w:ascii="宋体" w:hAnsi="宋体" w:eastAsia="宋体" w:cs="宋体"/>
                <w:bCs/>
                <w:color w:val="auto"/>
                <w:sz w:val="21"/>
                <w:szCs w:val="21"/>
                <w:highlight w:val="none"/>
                <w:lang w:val="en-US" w:eastAsia="zh-CN" w:bidi="ar-SA"/>
              </w:rPr>
              <w:t>市场批发均价</w:t>
            </w:r>
            <w:r>
              <w:rPr>
                <w:rFonts w:hint="eastAsia" w:ascii="宋体" w:hAnsi="宋体" w:eastAsia="宋体" w:cs="宋体"/>
                <w:bCs/>
                <w:color w:val="auto"/>
                <w:sz w:val="21"/>
                <w:szCs w:val="21"/>
                <w:highlight w:val="none"/>
                <w:lang w:val="en-US" w:eastAsia="zh-CN"/>
              </w:rPr>
              <w:t>即为标准</w:t>
            </w:r>
            <w:r>
              <w:rPr>
                <w:rFonts w:hint="eastAsia" w:ascii="宋体" w:hAnsi="宋体" w:eastAsia="宋体" w:cs="宋体"/>
                <w:bCs/>
                <w:color w:val="auto"/>
                <w:sz w:val="21"/>
                <w:szCs w:val="21"/>
                <w:highlight w:val="none"/>
                <w:lang w:val="en-US" w:eastAsia="zh-CN" w:bidi="ar-SA"/>
              </w:rPr>
              <w:t>单价，</w:t>
            </w:r>
            <w:r>
              <w:rPr>
                <w:rFonts w:hint="eastAsia" w:ascii="宋体" w:hAnsi="宋体" w:eastAsia="宋体" w:cs="宋体"/>
                <w:b/>
                <w:bCs w:val="0"/>
                <w:color w:val="auto"/>
                <w:sz w:val="21"/>
                <w:szCs w:val="21"/>
                <w:highlight w:val="none"/>
                <w:lang w:val="en-US" w:eastAsia="zh-CN" w:bidi="ar-SA"/>
              </w:rPr>
              <w:t>当期某食材或货物结算价=标准单价×合同折扣率×该食材或货物实际采购量</w:t>
            </w:r>
            <w:r>
              <w:rPr>
                <w:rFonts w:hint="eastAsia" w:ascii="宋体" w:hAnsi="宋体" w:eastAsia="宋体" w:cs="宋体"/>
                <w:b/>
                <w:color w:val="auto"/>
                <w:sz w:val="21"/>
                <w:szCs w:val="21"/>
                <w:highlight w:val="none"/>
              </w:rPr>
              <w:t>（例如：</w:t>
            </w:r>
            <w:r>
              <w:rPr>
                <w:rFonts w:hint="eastAsia" w:ascii="宋体" w:hAnsi="宋体" w:eastAsia="宋体" w:cs="宋体"/>
                <w:b/>
                <w:bCs w:val="0"/>
                <w:color w:val="auto"/>
                <w:sz w:val="21"/>
                <w:szCs w:val="21"/>
                <w:highlight w:val="none"/>
                <w:lang w:val="en-US" w:eastAsia="zh-CN" w:bidi="ar-SA"/>
              </w:rPr>
              <w:t>标准单价</w:t>
            </w:r>
            <w:r>
              <w:rPr>
                <w:rFonts w:hint="eastAsia" w:ascii="宋体" w:hAnsi="宋体" w:eastAsia="宋体" w:cs="宋体"/>
                <w:b/>
                <w:color w:val="auto"/>
                <w:sz w:val="21"/>
                <w:szCs w:val="21"/>
                <w:highlight w:val="none"/>
              </w:rPr>
              <w:t>＝100元</w:t>
            </w:r>
            <w:r>
              <w:rPr>
                <w:rFonts w:hint="eastAsia" w:ascii="宋体" w:hAnsi="宋体" w:eastAsia="宋体" w:cs="宋体"/>
                <w:b/>
                <w:color w:val="auto"/>
                <w:sz w:val="21"/>
                <w:szCs w:val="21"/>
                <w:highlight w:val="none"/>
                <w:lang w:val="en-US" w:eastAsia="zh-CN"/>
              </w:rPr>
              <w:t>/斤</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lang w:val="en-US" w:eastAsia="zh-CN" w:bidi="ar-SA"/>
              </w:rPr>
              <w:t>合同折扣率</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93</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lang w:val="en-US" w:eastAsia="zh-CN" w:bidi="ar-SA"/>
              </w:rPr>
              <w:t>该食材或货物实际采购量</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10斤，</w:t>
            </w:r>
            <w:r>
              <w:rPr>
                <w:rFonts w:hint="eastAsia" w:ascii="宋体" w:hAnsi="宋体" w:eastAsia="宋体" w:cs="宋体"/>
                <w:b/>
                <w:bCs w:val="0"/>
                <w:color w:val="auto"/>
                <w:sz w:val="21"/>
                <w:szCs w:val="21"/>
                <w:highlight w:val="none"/>
                <w:lang w:val="en-US" w:eastAsia="zh-CN" w:bidi="ar-SA"/>
              </w:rPr>
              <w:t>当期某食材或货物结算价</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100×0.9</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10=930元</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t>
            </w:r>
          </w:p>
        </w:tc>
      </w:tr>
    </w:tbl>
    <w:p w14:paraId="58082B2D">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4A890CBD">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）,按提供开标一览表，必须加盖投标人有效公章，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45C1D526">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418B9B3B">
      <w:pPr>
        <w:snapToGrid w:val="0"/>
        <w:spacing w:before="50" w:after="50"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ascii="宋体" w:hAnsi="宋体" w:eastAsia="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4565ED97">
      <w:pPr>
        <w:snapToGrid w:val="0"/>
        <w:spacing w:before="50" w:after="50" w:line="360" w:lineRule="auto"/>
        <w:ind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0472F9BF">
      <w:pPr>
        <w:snapToGrid w:val="0"/>
        <w:spacing w:before="50" w:after="50" w:line="36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投标人（盖公章）：                                 </w:t>
      </w:r>
    </w:p>
    <w:p w14:paraId="64020F6A">
      <w:pPr>
        <w:snapToGrid w:val="0"/>
        <w:spacing w:before="50" w:after="50" w:line="36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F8BDF51">
      <w:pPr>
        <w:rPr>
          <w:b/>
          <w:color w:val="auto"/>
          <w:sz w:val="28"/>
          <w:szCs w:val="28"/>
          <w:highlight w:val="none"/>
        </w:rPr>
      </w:pPr>
      <w:r>
        <w:rPr>
          <w:rFonts w:ascii="宋体" w:hAnsi="宋体"/>
          <w:b/>
          <w:bCs/>
          <w:color w:val="auto"/>
          <w:sz w:val="24"/>
          <w:highlight w:val="none"/>
        </w:rPr>
        <w:br w:type="page"/>
      </w:r>
      <w:bookmarkStart w:id="153" w:name="_Toc19686837"/>
      <w:r>
        <w:rPr>
          <w:rFonts w:hint="eastAsia"/>
          <w:b/>
          <w:color w:val="auto"/>
          <w:sz w:val="28"/>
          <w:szCs w:val="28"/>
          <w:highlight w:val="none"/>
        </w:rPr>
        <w:t>二、资格证明文件格式</w:t>
      </w:r>
      <w:bookmarkEnd w:id="151"/>
      <w:bookmarkEnd w:id="152"/>
      <w:bookmarkEnd w:id="153"/>
    </w:p>
    <w:p w14:paraId="3700726A">
      <w:pPr>
        <w:numPr>
          <w:ilvl w:val="2"/>
          <w:numId w:val="8"/>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1126792F">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5E037AB5">
      <w:pPr>
        <w:snapToGrid w:val="0"/>
        <w:spacing w:before="120" w:beforeLines="50" w:after="50"/>
        <w:rPr>
          <w:rFonts w:ascii="宋体" w:hAnsi="宋体"/>
          <w:color w:val="auto"/>
          <w:sz w:val="24"/>
          <w:szCs w:val="20"/>
          <w:highlight w:val="none"/>
        </w:rPr>
      </w:pPr>
    </w:p>
    <w:p w14:paraId="1C966FC4">
      <w:pPr>
        <w:snapToGrid w:val="0"/>
        <w:spacing w:before="120" w:beforeLines="50" w:after="50"/>
        <w:rPr>
          <w:rFonts w:ascii="宋体" w:hAnsi="宋体"/>
          <w:color w:val="auto"/>
          <w:sz w:val="24"/>
          <w:szCs w:val="20"/>
          <w:highlight w:val="none"/>
        </w:rPr>
      </w:pPr>
    </w:p>
    <w:p w14:paraId="1015F382">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2F5BA515">
      <w:pPr>
        <w:snapToGrid w:val="0"/>
        <w:spacing w:before="120" w:beforeLines="50" w:after="50"/>
        <w:rPr>
          <w:rFonts w:ascii="宋体" w:hAnsi="宋体"/>
          <w:color w:val="auto"/>
          <w:sz w:val="24"/>
          <w:szCs w:val="20"/>
          <w:highlight w:val="none"/>
        </w:rPr>
      </w:pPr>
    </w:p>
    <w:p w14:paraId="01A43AF2">
      <w:pPr>
        <w:snapToGrid w:val="0"/>
        <w:spacing w:before="120" w:beforeLines="50" w:after="50"/>
        <w:rPr>
          <w:rFonts w:ascii="宋体" w:hAnsi="宋体"/>
          <w:color w:val="auto"/>
          <w:sz w:val="24"/>
          <w:szCs w:val="20"/>
          <w:highlight w:val="none"/>
        </w:rPr>
      </w:pPr>
    </w:p>
    <w:p w14:paraId="135237B6">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14:paraId="30E07A8B">
      <w:pPr>
        <w:snapToGrid w:val="0"/>
        <w:spacing w:before="120" w:beforeLines="50" w:after="50"/>
        <w:rPr>
          <w:rFonts w:ascii="宋体" w:hAnsi="宋体"/>
          <w:bCs/>
          <w:color w:val="auto"/>
          <w:sz w:val="24"/>
          <w:szCs w:val="20"/>
          <w:highlight w:val="none"/>
        </w:rPr>
      </w:pPr>
    </w:p>
    <w:p w14:paraId="355EA969">
      <w:pPr>
        <w:snapToGrid w:val="0"/>
        <w:spacing w:before="120" w:beforeLines="50" w:after="50"/>
        <w:rPr>
          <w:rFonts w:ascii="宋体" w:hAnsi="宋体"/>
          <w:bCs/>
          <w:color w:val="auto"/>
          <w:sz w:val="24"/>
          <w:szCs w:val="20"/>
          <w:highlight w:val="none"/>
        </w:rPr>
      </w:pPr>
    </w:p>
    <w:p w14:paraId="07E7FD29">
      <w:pPr>
        <w:snapToGrid w:val="0"/>
        <w:spacing w:before="120" w:beforeLines="50" w:after="50"/>
        <w:rPr>
          <w:rFonts w:ascii="宋体" w:hAnsi="宋体"/>
          <w:bCs/>
          <w:color w:val="auto"/>
          <w:sz w:val="24"/>
          <w:szCs w:val="20"/>
          <w:highlight w:val="none"/>
        </w:rPr>
      </w:pPr>
    </w:p>
    <w:p w14:paraId="2085DAD5">
      <w:pPr>
        <w:snapToGrid w:val="0"/>
        <w:spacing w:before="120" w:beforeLines="50" w:after="50"/>
        <w:rPr>
          <w:rFonts w:ascii="宋体" w:hAnsi="宋体"/>
          <w:bCs/>
          <w:color w:val="auto"/>
          <w:sz w:val="24"/>
          <w:szCs w:val="20"/>
          <w:highlight w:val="none"/>
        </w:rPr>
      </w:pPr>
    </w:p>
    <w:p w14:paraId="4B85D47A">
      <w:pPr>
        <w:snapToGrid w:val="0"/>
        <w:spacing w:before="120" w:beforeLines="50" w:after="50"/>
        <w:rPr>
          <w:rFonts w:ascii="宋体" w:hAnsi="宋体"/>
          <w:bCs/>
          <w:color w:val="auto"/>
          <w:sz w:val="24"/>
          <w:szCs w:val="20"/>
          <w:highlight w:val="none"/>
        </w:rPr>
      </w:pPr>
    </w:p>
    <w:p w14:paraId="3626612E">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7C8777A7">
      <w:pPr>
        <w:snapToGrid w:val="0"/>
        <w:spacing w:before="120" w:beforeLines="50" w:after="50"/>
        <w:ind w:firstLine="540" w:firstLineChars="225"/>
        <w:rPr>
          <w:rFonts w:ascii="宋体" w:hAnsi="宋体"/>
          <w:bCs/>
          <w:color w:val="auto"/>
          <w:sz w:val="24"/>
          <w:szCs w:val="20"/>
          <w:highlight w:val="none"/>
        </w:rPr>
      </w:pPr>
    </w:p>
    <w:p w14:paraId="4CD356CF">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4AC1B49B">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0EBDC677">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00BCFDFD">
      <w:pPr>
        <w:pStyle w:val="9"/>
        <w:snapToGrid w:val="0"/>
        <w:spacing w:before="50" w:after="50"/>
        <w:ind w:firstLine="540" w:firstLineChars="225"/>
        <w:rPr>
          <w:rFonts w:ascii="宋体" w:hAnsi="宋体"/>
          <w:bCs/>
          <w:color w:val="auto"/>
          <w:sz w:val="24"/>
          <w:szCs w:val="24"/>
          <w:highlight w:val="none"/>
        </w:rPr>
      </w:pPr>
    </w:p>
    <w:p w14:paraId="66598F05">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04DF363">
      <w:pPr>
        <w:pStyle w:val="9"/>
        <w:snapToGrid w:val="0"/>
        <w:spacing w:before="50" w:after="50"/>
        <w:ind w:firstLine="540" w:firstLineChars="225"/>
        <w:rPr>
          <w:rFonts w:ascii="宋体" w:hAnsi="宋体"/>
          <w:bCs/>
          <w:color w:val="auto"/>
          <w:sz w:val="24"/>
          <w:szCs w:val="24"/>
          <w:highlight w:val="none"/>
        </w:rPr>
      </w:pPr>
    </w:p>
    <w:p w14:paraId="1F62FF92">
      <w:pPr>
        <w:pStyle w:val="9"/>
        <w:snapToGrid w:val="0"/>
        <w:spacing w:before="50" w:after="50"/>
        <w:ind w:firstLine="960" w:firstLineChars="400"/>
        <w:rPr>
          <w:rFonts w:ascii="宋体" w:hAnsi="宋体"/>
          <w:bCs/>
          <w:color w:val="auto"/>
          <w:sz w:val="24"/>
          <w:szCs w:val="24"/>
          <w:highlight w:val="none"/>
        </w:rPr>
      </w:pPr>
    </w:p>
    <w:p w14:paraId="514A86CD">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6AF3A5BC">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5644669A">
      <w:pPr>
        <w:snapToGrid w:val="0"/>
        <w:spacing w:before="120" w:beforeLines="50" w:after="50"/>
        <w:rPr>
          <w:rFonts w:ascii="宋体" w:hAnsi="宋体"/>
          <w:color w:val="auto"/>
          <w:sz w:val="24"/>
          <w:szCs w:val="20"/>
          <w:highlight w:val="none"/>
        </w:rPr>
      </w:pPr>
    </w:p>
    <w:p w14:paraId="59338A4F">
      <w:pPr>
        <w:numPr>
          <w:ilvl w:val="2"/>
          <w:numId w:val="8"/>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2ACD2FB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A14A959">
      <w:pPr>
        <w:snapToGrid w:val="0"/>
        <w:spacing w:before="50" w:after="120" w:afterLines="50"/>
        <w:jc w:val="left"/>
        <w:rPr>
          <w:rFonts w:ascii="宋体" w:hAnsi="宋体"/>
          <w:color w:val="auto"/>
          <w:sz w:val="24"/>
          <w:highlight w:val="none"/>
        </w:rPr>
      </w:pPr>
    </w:p>
    <w:p w14:paraId="355C90E4">
      <w:pPr>
        <w:snapToGrid w:val="0"/>
        <w:spacing w:before="50" w:after="120" w:afterLines="50"/>
        <w:jc w:val="left"/>
        <w:rPr>
          <w:rFonts w:ascii="宋体" w:hAnsi="宋体"/>
          <w:color w:val="auto"/>
          <w:sz w:val="24"/>
          <w:highlight w:val="none"/>
        </w:rPr>
      </w:pPr>
    </w:p>
    <w:p w14:paraId="13725C9E">
      <w:pPr>
        <w:rPr>
          <w:rFonts w:ascii="宋体" w:hAnsi="宋体"/>
          <w:b/>
          <w:color w:val="auto"/>
          <w:sz w:val="24"/>
          <w:highlight w:val="none"/>
        </w:rPr>
      </w:pPr>
      <w:r>
        <w:rPr>
          <w:rFonts w:ascii="宋体" w:hAnsi="宋体"/>
          <w:b/>
          <w:color w:val="auto"/>
          <w:sz w:val="24"/>
          <w:highlight w:val="none"/>
        </w:rPr>
        <w:br w:type="page"/>
      </w:r>
    </w:p>
    <w:p w14:paraId="1D0D290A">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14:paraId="7D5030F3">
      <w:pPr>
        <w:widowControl/>
        <w:shd w:val="clear" w:color="auto" w:fill="FFFFFF"/>
        <w:spacing w:line="360" w:lineRule="auto"/>
        <w:jc w:val="left"/>
        <w:rPr>
          <w:rFonts w:ascii="宋体" w:hAnsi="宋体" w:cs="宋体"/>
          <w:color w:val="auto"/>
          <w:kern w:val="0"/>
          <w:sz w:val="24"/>
          <w:highlight w:val="none"/>
        </w:rPr>
      </w:pPr>
    </w:p>
    <w:p w14:paraId="3DE44C66">
      <w:pPr>
        <w:widowControl/>
        <w:shd w:val="clear" w:color="auto" w:fill="FFFFFF"/>
        <w:spacing w:line="360" w:lineRule="auto"/>
        <w:jc w:val="left"/>
        <w:rPr>
          <w:rFonts w:ascii="宋体" w:hAnsi="宋体" w:cs="宋体"/>
          <w:color w:val="auto"/>
          <w:kern w:val="0"/>
          <w:sz w:val="24"/>
          <w:highlight w:val="none"/>
        </w:rPr>
      </w:pPr>
    </w:p>
    <w:p w14:paraId="727436D5">
      <w:pPr>
        <w:widowControl/>
        <w:shd w:val="clear" w:color="auto" w:fill="FFFFFF"/>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kern w:val="0"/>
          <w:sz w:val="24"/>
          <w:highlight w:val="none"/>
          <w:lang w:eastAsia="zh-CN"/>
        </w:rPr>
        <w:t>广西建设工程机电设备招标中心有限公司</w:t>
      </w:r>
    </w:p>
    <w:p w14:paraId="79DF26FF">
      <w:pPr>
        <w:widowControl/>
        <w:shd w:val="clear" w:color="auto" w:fill="FFFFFF"/>
        <w:spacing w:line="360" w:lineRule="auto"/>
        <w:ind w:firstLine="48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s="宋体"/>
          <w:color w:val="auto"/>
          <w:sz w:val="24"/>
          <w:highlight w:val="none"/>
        </w:rPr>
        <w:t>款等行政处</w:t>
      </w:r>
      <w:r>
        <w:rPr>
          <w:rFonts w:hint="eastAsia" w:ascii="宋体" w:hAnsi="宋体" w:cs="宋体"/>
          <w:color w:val="auto"/>
          <w:kern w:val="0"/>
          <w:sz w:val="24"/>
          <w:highlight w:val="none"/>
        </w:rPr>
        <w:t>罚）</w:t>
      </w:r>
      <w:r>
        <w:rPr>
          <w:rFonts w:hint="eastAsia" w:ascii="宋体" w:hAnsi="宋体" w:cs="宋体"/>
          <w:color w:val="auto"/>
          <w:kern w:val="0"/>
          <w:sz w:val="24"/>
          <w:highlight w:val="none"/>
          <w:lang w:eastAsia="zh-CN"/>
        </w:rPr>
        <w:t>。</w:t>
      </w:r>
    </w:p>
    <w:p w14:paraId="3B493C5C">
      <w:pPr>
        <w:widowControl/>
        <w:shd w:val="clear" w:color="auto" w:fill="FFFFFF"/>
        <w:spacing w:line="360" w:lineRule="auto"/>
        <w:ind w:firstLine="480"/>
        <w:jc w:val="left"/>
        <w:rPr>
          <w:rFonts w:ascii="宋体" w:hAnsi="宋体" w:cs="宋体"/>
          <w:color w:val="auto"/>
          <w:kern w:val="0"/>
          <w:sz w:val="24"/>
          <w:highlight w:val="none"/>
        </w:rPr>
      </w:pPr>
    </w:p>
    <w:p w14:paraId="53BA2FFE">
      <w:pPr>
        <w:widowControl/>
        <w:shd w:val="clear" w:color="auto" w:fill="FFFFFF"/>
        <w:spacing w:line="360" w:lineRule="auto"/>
        <w:ind w:firstLine="480"/>
        <w:jc w:val="left"/>
        <w:rPr>
          <w:rFonts w:ascii="宋体" w:hAnsi="宋体" w:cs="宋体"/>
          <w:color w:val="auto"/>
          <w:kern w:val="0"/>
          <w:sz w:val="24"/>
          <w:highlight w:val="none"/>
        </w:rPr>
      </w:pPr>
    </w:p>
    <w:p w14:paraId="7AB0D3A7">
      <w:pPr>
        <w:widowControl/>
        <w:shd w:val="clear" w:color="auto" w:fill="FFFFFF"/>
        <w:spacing w:line="360" w:lineRule="auto"/>
        <w:ind w:firstLine="480"/>
        <w:jc w:val="left"/>
        <w:rPr>
          <w:rFonts w:ascii="宋体" w:hAnsi="宋体" w:cs="宋体"/>
          <w:color w:val="auto"/>
          <w:kern w:val="0"/>
          <w:sz w:val="24"/>
          <w:highlight w:val="none"/>
        </w:rPr>
      </w:pPr>
    </w:p>
    <w:p w14:paraId="63E92406">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投标人（</w:t>
      </w:r>
      <w:r>
        <w:rPr>
          <w:rFonts w:hint="eastAsia" w:asciiTheme="minorEastAsia" w:hAnsiTheme="minorEastAsia" w:eastAsiaTheme="minorEastAsia"/>
          <w:color w:val="auto"/>
          <w:sz w:val="24"/>
          <w:highlight w:val="none"/>
          <w:lang w:val="zh-CN"/>
        </w:rPr>
        <w:t>电子签章</w:t>
      </w:r>
      <w:r>
        <w:rPr>
          <w:rFonts w:hint="eastAsia" w:ascii="宋体" w:hAnsi="宋体" w:cs="宋体"/>
          <w:color w:val="auto"/>
          <w:sz w:val="24"/>
          <w:highlight w:val="none"/>
        </w:rPr>
        <w:t>，自然人除外）：</w:t>
      </w:r>
    </w:p>
    <w:p w14:paraId="0500465B">
      <w:pPr>
        <w:snapToGrid w:val="0"/>
        <w:ind w:firstLine="1920" w:firstLineChars="800"/>
        <w:rPr>
          <w:rFonts w:ascii="宋体" w:hAnsi="宋体" w:cs="宋体"/>
          <w:color w:val="auto"/>
          <w:sz w:val="24"/>
          <w:highlight w:val="none"/>
        </w:rPr>
      </w:pPr>
    </w:p>
    <w:p w14:paraId="02B65507">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法定代表人（签名或电子签章）</w:t>
      </w:r>
      <w:r>
        <w:rPr>
          <w:rFonts w:hint="eastAsia" w:ascii="宋体" w:hAnsi="宋体" w:cs="宋体"/>
          <w:color w:val="auto"/>
          <w:sz w:val="24"/>
          <w:highlight w:val="none"/>
          <w:lang w:val="zh-CN"/>
        </w:rPr>
        <w:t>：</w:t>
      </w:r>
    </w:p>
    <w:p w14:paraId="527C9C21">
      <w:pPr>
        <w:snapToGrid w:val="0"/>
        <w:rPr>
          <w:rFonts w:asciiTheme="minorEastAsia" w:hAnsiTheme="minorEastAsia" w:eastAsiaTheme="minorEastAsia"/>
          <w:color w:val="auto"/>
          <w:sz w:val="24"/>
          <w:highlight w:val="none"/>
        </w:rPr>
      </w:pPr>
    </w:p>
    <w:p w14:paraId="741DD5CB">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14:paraId="56CC21E0">
      <w:pPr>
        <w:snapToGrid w:val="0"/>
        <w:rPr>
          <w:rFonts w:ascii="宋体" w:hAnsi="宋体" w:cs="宋体"/>
          <w:color w:val="auto"/>
          <w:sz w:val="24"/>
          <w:highlight w:val="none"/>
        </w:rPr>
      </w:pPr>
    </w:p>
    <w:p w14:paraId="7E880906">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贵港市政府采购项目投标资格承诺函</w:t>
      </w:r>
    </w:p>
    <w:p w14:paraId="4548F731">
      <w:pPr>
        <w:pStyle w:val="138"/>
        <w:rPr>
          <w:rFonts w:hint="eastAsia"/>
          <w:color w:val="auto"/>
          <w:highlight w:val="none"/>
          <w:lang w:eastAsia="zh-CN"/>
        </w:rPr>
      </w:pPr>
    </w:p>
    <w:p w14:paraId="07575DE6">
      <w:pPr>
        <w:pStyle w:val="138"/>
        <w:rPr>
          <w:rFonts w:hint="eastAsia"/>
          <w:color w:val="auto"/>
          <w:highlight w:val="none"/>
          <w:lang w:eastAsia="zh-CN"/>
        </w:rPr>
      </w:pPr>
    </w:p>
    <w:p w14:paraId="4AE1A5DC">
      <w:pPr>
        <w:spacing w:line="360" w:lineRule="auto"/>
        <w:ind w:firstLine="504" w:firstLineChars="200"/>
        <w:jc w:val="left"/>
        <w:rPr>
          <w:rFonts w:ascii="宋体" w:hAnsi="宋体" w:cs="宋体"/>
          <w:color w:val="auto"/>
          <w:sz w:val="24"/>
          <w:highlight w:val="none"/>
        </w:rPr>
      </w:pPr>
      <w:r>
        <w:rPr>
          <w:rFonts w:hint="eastAsia" w:ascii="宋体" w:hAnsi="宋体" w:eastAsia="宋体" w:cs="Times New Roman"/>
          <w:color w:val="auto"/>
          <w:spacing w:val="6"/>
          <w:sz w:val="24"/>
          <w:highlight w:val="none"/>
        </w:rPr>
        <w:t>本公司郑重承诺，根据《中华人民共和国政府采购法》第二十二条的规定，本公司为参加政府采购活动的合格供应商。即本公司同时满足以下条件：</w:t>
      </w:r>
    </w:p>
    <w:p w14:paraId="29186A16">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具有独立承担民事责任的能力。</w:t>
      </w:r>
    </w:p>
    <w:p w14:paraId="18CEA081">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2.具有良好的商业信誉和健全的财务会计制度。</w:t>
      </w:r>
    </w:p>
    <w:p w14:paraId="337517A3">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3.具有履行合同所必需的设备和专业技术能力。</w:t>
      </w:r>
    </w:p>
    <w:p w14:paraId="33D602AF">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4.有依法缴纳税收和社会保障资金的良好记录。</w:t>
      </w:r>
    </w:p>
    <w:p w14:paraId="465EBB37">
      <w:pPr>
        <w:widowControl/>
        <w:shd w:val="clear" w:color="auto" w:fill="FFFFFF"/>
        <w:spacing w:line="360" w:lineRule="auto"/>
        <w:ind w:left="479" w:leftChars="228" w:firstLine="0" w:firstLineChars="0"/>
        <w:jc w:val="left"/>
        <w:rPr>
          <w:rFonts w:ascii="宋体" w:hAnsi="宋体" w:cs="宋体"/>
          <w:color w:val="auto"/>
          <w:sz w:val="24"/>
          <w:highlight w:val="none"/>
        </w:rPr>
      </w:pPr>
      <w:r>
        <w:rPr>
          <w:rFonts w:ascii="宋体" w:hAnsi="宋体" w:cs="宋体"/>
          <w:color w:val="auto"/>
          <w:sz w:val="24"/>
          <w:highlight w:val="none"/>
        </w:rPr>
        <w:t>5.提交投标文件截止日期前三年内，在经营活动中没有重大违法记录。</w:t>
      </w:r>
    </w:p>
    <w:p w14:paraId="000BCB55">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本公司对上诉承诺的真实性负责，并接受政府采购、税务、社会保障等管理部门、采购文件规定的资格审查机构、社会公众的监督和检查、如有虚假、将依法承担相应责任。</w:t>
      </w:r>
    </w:p>
    <w:p w14:paraId="062F2AC7">
      <w:pPr>
        <w:pStyle w:val="138"/>
        <w:rPr>
          <w:rFonts w:hint="eastAsia"/>
          <w:color w:val="auto"/>
          <w:highlight w:val="none"/>
          <w:lang w:eastAsia="zh-CN"/>
        </w:rPr>
      </w:pPr>
    </w:p>
    <w:p w14:paraId="444D8C51">
      <w:pPr>
        <w:pStyle w:val="138"/>
        <w:rPr>
          <w:rFonts w:hint="eastAsia"/>
          <w:color w:val="auto"/>
          <w:highlight w:val="none"/>
          <w:lang w:eastAsia="zh-CN"/>
        </w:rPr>
      </w:pPr>
    </w:p>
    <w:p w14:paraId="0710E314">
      <w:pPr>
        <w:widowControl/>
        <w:shd w:val="clear" w:color="auto" w:fill="FFFFFF"/>
        <w:spacing w:line="360" w:lineRule="auto"/>
        <w:ind w:left="479" w:leftChars="228" w:firstLine="0" w:firstLineChars="0"/>
        <w:jc w:val="left"/>
        <w:rPr>
          <w:rFonts w:ascii="宋体" w:hAnsi="宋体" w:cs="宋体"/>
          <w:color w:val="auto"/>
          <w:kern w:val="0"/>
          <w:sz w:val="24"/>
          <w:highlight w:val="none"/>
        </w:rPr>
      </w:pPr>
      <w:r>
        <w:rPr>
          <w:rFonts w:ascii="宋体" w:hAnsi="宋体" w:cs="宋体"/>
          <w:color w:val="auto"/>
          <w:sz w:val="24"/>
          <w:highlight w:val="none"/>
        </w:rPr>
        <w:t>          </w:t>
      </w:r>
    </w:p>
    <w:p w14:paraId="293FE9CD">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投标人（</w:t>
      </w:r>
      <w:r>
        <w:rPr>
          <w:rFonts w:hint="eastAsia" w:asciiTheme="minorEastAsia" w:hAnsiTheme="minorEastAsia" w:eastAsiaTheme="minorEastAsia"/>
          <w:color w:val="auto"/>
          <w:sz w:val="24"/>
          <w:highlight w:val="none"/>
          <w:lang w:val="zh-CN"/>
        </w:rPr>
        <w:t>电子签章</w:t>
      </w:r>
      <w:r>
        <w:rPr>
          <w:rFonts w:hint="eastAsia" w:ascii="宋体" w:hAnsi="宋体" w:cs="宋体"/>
          <w:color w:val="auto"/>
          <w:sz w:val="24"/>
          <w:highlight w:val="none"/>
        </w:rPr>
        <w:t>，自然人除外）：</w:t>
      </w:r>
    </w:p>
    <w:p w14:paraId="0F124049">
      <w:pPr>
        <w:snapToGrid w:val="0"/>
        <w:ind w:firstLine="1920" w:firstLineChars="800"/>
        <w:rPr>
          <w:rFonts w:ascii="宋体" w:hAnsi="宋体" w:cs="宋体"/>
          <w:color w:val="auto"/>
          <w:sz w:val="24"/>
          <w:highlight w:val="none"/>
        </w:rPr>
      </w:pPr>
    </w:p>
    <w:p w14:paraId="57F85C19">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法定代表人（签名或电子签章）</w:t>
      </w:r>
      <w:r>
        <w:rPr>
          <w:rFonts w:hint="eastAsia" w:ascii="宋体" w:hAnsi="宋体" w:cs="宋体"/>
          <w:color w:val="auto"/>
          <w:sz w:val="24"/>
          <w:highlight w:val="none"/>
          <w:lang w:val="zh-CN"/>
        </w:rPr>
        <w:t>：</w:t>
      </w:r>
    </w:p>
    <w:p w14:paraId="5CB1619B">
      <w:pPr>
        <w:snapToGrid w:val="0"/>
        <w:rPr>
          <w:rFonts w:asciiTheme="minorEastAsia" w:hAnsiTheme="minorEastAsia" w:eastAsiaTheme="minorEastAsia"/>
          <w:color w:val="auto"/>
          <w:sz w:val="24"/>
          <w:highlight w:val="none"/>
        </w:rPr>
      </w:pPr>
    </w:p>
    <w:p w14:paraId="4699E4D5">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14:paraId="788C4250">
      <w:pPr>
        <w:numPr>
          <w:ilvl w:val="0"/>
          <w:numId w:val="0"/>
        </w:numPr>
        <w:snapToGrid w:val="0"/>
        <w:spacing w:before="120" w:beforeLines="50" w:after="50"/>
        <w:ind w:leftChars="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4DACE8C3">
      <w:pPr>
        <w:snapToGrid w:val="0"/>
        <w:spacing w:before="50" w:after="120" w:afterLines="50"/>
        <w:jc w:val="center"/>
        <w:rPr>
          <w:rFonts w:ascii="宋体" w:hAnsi="宋体"/>
          <w:b/>
          <w:color w:val="auto"/>
          <w:sz w:val="28"/>
          <w:szCs w:val="28"/>
          <w:highlight w:val="none"/>
        </w:rPr>
      </w:pPr>
    </w:p>
    <w:p w14:paraId="32B06DA8">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3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9F2616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B863B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0B448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2951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B3198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3A275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EA2524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40BD1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63101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8165A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AE24F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73D471">
            <w:pPr>
              <w:spacing w:line="360" w:lineRule="auto"/>
              <w:jc w:val="center"/>
              <w:rPr>
                <w:rFonts w:ascii="宋体" w:hAnsi="宋体" w:cs="宋体"/>
                <w:color w:val="auto"/>
                <w:kern w:val="0"/>
                <w:sz w:val="24"/>
                <w:highlight w:val="none"/>
              </w:rPr>
            </w:pPr>
          </w:p>
        </w:tc>
      </w:tr>
      <w:tr w14:paraId="6F899B9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27CA1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9228F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4ACB6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F4F8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347BD">
            <w:pPr>
              <w:spacing w:line="360" w:lineRule="auto"/>
              <w:jc w:val="center"/>
              <w:rPr>
                <w:rFonts w:ascii="宋体" w:hAnsi="宋体" w:cs="宋体"/>
                <w:color w:val="auto"/>
                <w:kern w:val="0"/>
                <w:sz w:val="24"/>
                <w:highlight w:val="none"/>
              </w:rPr>
            </w:pPr>
          </w:p>
        </w:tc>
      </w:tr>
      <w:tr w14:paraId="6532159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9B02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61D47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B00EF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E0D11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C5F628">
            <w:pPr>
              <w:spacing w:line="360" w:lineRule="auto"/>
              <w:jc w:val="center"/>
              <w:rPr>
                <w:rFonts w:ascii="宋体" w:hAnsi="宋体" w:cs="宋体"/>
                <w:color w:val="auto"/>
                <w:kern w:val="0"/>
                <w:sz w:val="24"/>
                <w:highlight w:val="none"/>
              </w:rPr>
            </w:pPr>
          </w:p>
        </w:tc>
      </w:tr>
      <w:tr w14:paraId="7CFD5D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248FD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BD9DF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8175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CCB0C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8547DC">
            <w:pPr>
              <w:spacing w:line="360" w:lineRule="auto"/>
              <w:jc w:val="center"/>
              <w:rPr>
                <w:rFonts w:ascii="宋体" w:hAnsi="宋体" w:cs="宋体"/>
                <w:color w:val="auto"/>
                <w:kern w:val="0"/>
                <w:sz w:val="24"/>
                <w:highlight w:val="none"/>
              </w:rPr>
            </w:pPr>
          </w:p>
        </w:tc>
      </w:tr>
    </w:tbl>
    <w:p w14:paraId="5CC87C0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7E9471A">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F67808A">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3F8E67C">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5AA99952">
      <w:pPr>
        <w:snapToGrid w:val="0"/>
        <w:spacing w:line="360" w:lineRule="auto"/>
        <w:jc w:val="left"/>
        <w:rPr>
          <w:rFonts w:ascii="宋体" w:hAnsi="宋体"/>
          <w:color w:val="auto"/>
          <w:sz w:val="24"/>
          <w:highlight w:val="none"/>
        </w:rPr>
      </w:pPr>
    </w:p>
    <w:p w14:paraId="2DBE1BAA">
      <w:pPr>
        <w:snapToGrid w:val="0"/>
        <w:spacing w:line="360" w:lineRule="auto"/>
        <w:jc w:val="left"/>
        <w:rPr>
          <w:rFonts w:ascii="宋体" w:hAnsi="宋体"/>
          <w:color w:val="auto"/>
          <w:sz w:val="24"/>
          <w:highlight w:val="none"/>
        </w:rPr>
      </w:pPr>
    </w:p>
    <w:p w14:paraId="20647AC3">
      <w:pPr>
        <w:snapToGrid w:val="0"/>
        <w:spacing w:line="360" w:lineRule="auto"/>
        <w:jc w:val="left"/>
        <w:rPr>
          <w:rFonts w:ascii="宋体" w:hAnsi="宋体"/>
          <w:color w:val="auto"/>
          <w:sz w:val="24"/>
          <w:highlight w:val="none"/>
        </w:rPr>
      </w:pPr>
    </w:p>
    <w:p w14:paraId="2A7CF7C1">
      <w:pPr>
        <w:snapToGrid w:val="0"/>
        <w:spacing w:line="360" w:lineRule="auto"/>
        <w:jc w:val="left"/>
        <w:rPr>
          <w:rFonts w:ascii="宋体" w:hAnsi="宋体"/>
          <w:color w:val="auto"/>
          <w:sz w:val="24"/>
          <w:highlight w:val="none"/>
        </w:rPr>
      </w:pPr>
    </w:p>
    <w:p w14:paraId="71093F37">
      <w:pPr>
        <w:snapToGrid w:val="0"/>
        <w:spacing w:line="360" w:lineRule="auto"/>
        <w:jc w:val="left"/>
        <w:rPr>
          <w:rFonts w:ascii="宋体" w:hAnsi="宋体"/>
          <w:color w:val="auto"/>
          <w:sz w:val="24"/>
          <w:highlight w:val="none"/>
        </w:rPr>
      </w:pPr>
    </w:p>
    <w:p w14:paraId="01054D07">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0A360914">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7A703116">
      <w:pPr>
        <w:snapToGrid w:val="0"/>
        <w:spacing w:before="120" w:beforeLines="50" w:after="50" w:line="360" w:lineRule="auto"/>
        <w:ind w:right="480" w:firstLine="5520" w:firstLineChars="2300"/>
        <w:rPr>
          <w:rFonts w:ascii="宋体" w:hAnsi="宋体"/>
          <w:color w:val="auto"/>
          <w:sz w:val="32"/>
          <w:szCs w:val="32"/>
          <w:highlight w:val="none"/>
        </w:rPr>
      </w:pPr>
      <w:r>
        <w:rPr>
          <w:rFonts w:hint="eastAsia" w:ascii="宋体" w:hAnsi="宋体"/>
          <w:color w:val="auto"/>
          <w:sz w:val="24"/>
          <w:highlight w:val="none"/>
        </w:rPr>
        <w:t>年    月    日</w:t>
      </w: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36"/>
        <w:tblW w:w="0" w:type="auto"/>
        <w:tblInd w:w="0" w:type="dxa"/>
        <w:tblLayout w:type="fixed"/>
        <w:tblCellMar>
          <w:top w:w="0" w:type="dxa"/>
          <w:left w:w="0" w:type="dxa"/>
          <w:bottom w:w="0" w:type="dxa"/>
          <w:right w:w="0" w:type="dxa"/>
        </w:tblCellMar>
      </w:tblPr>
      <w:tblGrid>
        <w:gridCol w:w="1005"/>
        <w:gridCol w:w="2659"/>
        <w:gridCol w:w="3924"/>
        <w:gridCol w:w="2064"/>
      </w:tblGrid>
      <w:tr w14:paraId="1479549C">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40567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DB440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70784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217B3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7779C0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8D270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A68FF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B65BC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295CFF">
            <w:pPr>
              <w:spacing w:line="360" w:lineRule="auto"/>
              <w:jc w:val="center"/>
              <w:rPr>
                <w:rFonts w:ascii="宋体" w:hAnsi="宋体" w:cs="宋体"/>
                <w:color w:val="auto"/>
                <w:kern w:val="0"/>
                <w:sz w:val="24"/>
                <w:highlight w:val="none"/>
              </w:rPr>
            </w:pPr>
          </w:p>
        </w:tc>
      </w:tr>
      <w:tr w14:paraId="6E0C1EF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4E1A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B5FDE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8CACD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866869">
            <w:pPr>
              <w:spacing w:line="360" w:lineRule="auto"/>
              <w:jc w:val="center"/>
              <w:rPr>
                <w:rFonts w:ascii="宋体" w:hAnsi="宋体" w:cs="宋体"/>
                <w:color w:val="auto"/>
                <w:kern w:val="0"/>
                <w:sz w:val="24"/>
                <w:highlight w:val="none"/>
              </w:rPr>
            </w:pPr>
          </w:p>
        </w:tc>
      </w:tr>
      <w:tr w14:paraId="0E24312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0B099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2C8DA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0C4C1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B6F6C6">
            <w:pPr>
              <w:spacing w:line="360" w:lineRule="auto"/>
              <w:jc w:val="center"/>
              <w:rPr>
                <w:rFonts w:ascii="宋体" w:hAnsi="宋体" w:cs="宋体"/>
                <w:color w:val="auto"/>
                <w:kern w:val="0"/>
                <w:sz w:val="24"/>
                <w:highlight w:val="none"/>
              </w:rPr>
            </w:pPr>
          </w:p>
        </w:tc>
      </w:tr>
      <w:tr w14:paraId="1EFB246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55E25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25754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6EBB5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460CF4">
            <w:pPr>
              <w:spacing w:line="360" w:lineRule="auto"/>
              <w:jc w:val="center"/>
              <w:rPr>
                <w:rFonts w:ascii="宋体" w:hAnsi="宋体" w:cs="宋体"/>
                <w:color w:val="auto"/>
                <w:kern w:val="0"/>
                <w:sz w:val="24"/>
                <w:highlight w:val="none"/>
              </w:rPr>
            </w:pPr>
          </w:p>
        </w:tc>
      </w:tr>
    </w:tbl>
    <w:p w14:paraId="08C3E240">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36C003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F2A717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58937D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04CF09C1">
      <w:pPr>
        <w:snapToGrid w:val="0"/>
        <w:spacing w:line="360" w:lineRule="auto"/>
        <w:jc w:val="left"/>
        <w:rPr>
          <w:rFonts w:ascii="宋体" w:hAnsi="宋体"/>
          <w:color w:val="auto"/>
          <w:sz w:val="24"/>
          <w:highlight w:val="none"/>
        </w:rPr>
      </w:pPr>
    </w:p>
    <w:p w14:paraId="15C1C4E0">
      <w:pPr>
        <w:snapToGrid w:val="0"/>
        <w:spacing w:line="360" w:lineRule="auto"/>
        <w:jc w:val="left"/>
        <w:rPr>
          <w:rFonts w:ascii="宋体" w:hAnsi="宋体"/>
          <w:color w:val="auto"/>
          <w:sz w:val="24"/>
          <w:highlight w:val="none"/>
        </w:rPr>
      </w:pPr>
    </w:p>
    <w:p w14:paraId="0B4E56C1">
      <w:pPr>
        <w:snapToGrid w:val="0"/>
        <w:spacing w:line="360" w:lineRule="auto"/>
        <w:jc w:val="left"/>
        <w:rPr>
          <w:rFonts w:ascii="宋体" w:hAnsi="宋体"/>
          <w:color w:val="auto"/>
          <w:sz w:val="24"/>
          <w:highlight w:val="none"/>
        </w:rPr>
      </w:pPr>
    </w:p>
    <w:p w14:paraId="5F94E210">
      <w:pPr>
        <w:snapToGrid w:val="0"/>
        <w:spacing w:line="360" w:lineRule="auto"/>
        <w:jc w:val="left"/>
        <w:rPr>
          <w:color w:val="auto"/>
          <w:sz w:val="24"/>
          <w:highlight w:val="none"/>
        </w:rPr>
      </w:pPr>
    </w:p>
    <w:p w14:paraId="29F442FB">
      <w:pPr>
        <w:snapToGrid w:val="0"/>
        <w:spacing w:line="360" w:lineRule="auto"/>
        <w:jc w:val="left"/>
        <w:rPr>
          <w:color w:val="auto"/>
          <w:sz w:val="24"/>
          <w:highlight w:val="none"/>
        </w:rPr>
      </w:pPr>
    </w:p>
    <w:p w14:paraId="668C2B87">
      <w:pPr>
        <w:snapToGrid w:val="0"/>
        <w:spacing w:line="360" w:lineRule="auto"/>
        <w:jc w:val="left"/>
        <w:rPr>
          <w:color w:val="auto"/>
          <w:sz w:val="24"/>
          <w:highlight w:val="none"/>
        </w:rPr>
      </w:pPr>
    </w:p>
    <w:p w14:paraId="6E39BA2E">
      <w:pPr>
        <w:snapToGrid w:val="0"/>
        <w:spacing w:line="360" w:lineRule="auto"/>
        <w:jc w:val="left"/>
        <w:rPr>
          <w:rFonts w:ascii="宋体" w:hAnsi="宋体"/>
          <w:color w:val="auto"/>
          <w:sz w:val="24"/>
          <w:highlight w:val="none"/>
        </w:rPr>
      </w:pPr>
    </w:p>
    <w:p w14:paraId="7A801DD5">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298576C8">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0EC5A13F">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14:paraId="26DBE0C3">
      <w:pPr>
        <w:snapToGrid w:val="0"/>
        <w:spacing w:before="50" w:after="120" w:afterLines="50"/>
        <w:jc w:val="left"/>
        <w:rPr>
          <w:rFonts w:ascii="宋体" w:hAnsi="宋体"/>
          <w:color w:val="auto"/>
          <w:szCs w:val="21"/>
          <w:highlight w:val="none"/>
        </w:rPr>
      </w:pPr>
    </w:p>
    <w:p w14:paraId="2A5FC49C">
      <w:pPr>
        <w:snapToGrid w:val="0"/>
        <w:spacing w:before="120" w:beforeLines="50" w:after="50"/>
        <w:jc w:val="left"/>
        <w:rPr>
          <w:rFonts w:ascii="宋体" w:hAnsi="宋体"/>
          <w:b/>
          <w:color w:val="auto"/>
          <w:sz w:val="24"/>
          <w:szCs w:val="20"/>
          <w:highlight w:val="none"/>
        </w:rPr>
      </w:pPr>
    </w:p>
    <w:p w14:paraId="2D9F3340">
      <w:pPr>
        <w:numPr>
          <w:ilvl w:val="2"/>
          <w:numId w:val="8"/>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01CEAE81">
      <w:pPr>
        <w:snapToGrid w:val="0"/>
        <w:spacing w:before="50" w:after="120" w:afterLines="50"/>
        <w:jc w:val="left"/>
        <w:rPr>
          <w:rFonts w:ascii="宋体" w:hAnsi="宋体"/>
          <w:color w:val="auto"/>
          <w:highlight w:val="none"/>
        </w:rPr>
      </w:pPr>
    </w:p>
    <w:p w14:paraId="0EEFE0BA">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2EE2733D">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p>
    <w:p w14:paraId="11CE941D">
      <w:pPr>
        <w:spacing w:line="400" w:lineRule="exact"/>
        <w:contextualSpacing/>
        <w:jc w:val="left"/>
        <w:rPr>
          <w:color w:val="auto"/>
          <w:sz w:val="24"/>
          <w:highlight w:val="none"/>
        </w:rPr>
      </w:pPr>
      <w:r>
        <w:rPr>
          <w:rFonts w:hint="eastAsia"/>
          <w:color w:val="auto"/>
          <w:sz w:val="24"/>
          <w:highlight w:val="none"/>
        </w:rPr>
        <w:t>（采购人名称）：</w:t>
      </w:r>
    </w:p>
    <w:p w14:paraId="0C4AE1BB">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13FEBE3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563FB3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370E132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D67B75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063B4AAA">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1B723A66">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4DDBEE8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440593E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6BF422F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59CEEEB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1968AE3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5C9A649C">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w:t>
      </w:r>
    </w:p>
    <w:p w14:paraId="5FBE84C0">
      <w:pPr>
        <w:pStyle w:val="2"/>
        <w:rPr>
          <w:rFonts w:ascii="宋体" w:hAnsi="宋体"/>
          <w:b/>
          <w:color w:val="auto"/>
          <w:sz w:val="24"/>
          <w:highlight w:val="none"/>
        </w:rPr>
      </w:pPr>
    </w:p>
    <w:p w14:paraId="2B1292EC">
      <w:pPr>
        <w:rPr>
          <w:color w:val="auto"/>
          <w:highlight w:val="none"/>
        </w:rPr>
      </w:pPr>
    </w:p>
    <w:p w14:paraId="059E2C5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79CB048A">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14:paraId="1A225E65">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14:paraId="66D52501">
      <w:pPr>
        <w:rPr>
          <w:b/>
          <w:color w:val="auto"/>
          <w:sz w:val="28"/>
          <w:szCs w:val="28"/>
          <w:highlight w:val="none"/>
        </w:rPr>
      </w:pPr>
      <w:bookmarkStart w:id="154" w:name="_Toc19686838"/>
      <w:r>
        <w:rPr>
          <w:b/>
          <w:color w:val="auto"/>
          <w:sz w:val="28"/>
          <w:szCs w:val="28"/>
          <w:highlight w:val="none"/>
        </w:rPr>
        <w:br w:type="page"/>
      </w:r>
    </w:p>
    <w:p w14:paraId="08359137">
      <w:pPr>
        <w:pStyle w:val="19"/>
        <w:spacing w:line="600" w:lineRule="exact"/>
        <w:jc w:val="center"/>
        <w:rPr>
          <w:rFonts w:ascii="Times New Roman" w:hAnsi="Times New Roman"/>
          <w:color w:val="auto"/>
          <w:highlight w:val="none"/>
        </w:rPr>
      </w:pPr>
      <w:r>
        <w:rPr>
          <w:rFonts w:hint="eastAsia" w:ascii="Times New Roman" w:hAnsi="Times New Roman"/>
          <w:b/>
          <w:bCs/>
          <w:color w:val="auto"/>
          <w:sz w:val="30"/>
          <w:szCs w:val="30"/>
          <w:highlight w:val="none"/>
        </w:rPr>
        <w:t>联合体协议书（格式）</w:t>
      </w:r>
    </w:p>
    <w:p w14:paraId="046E65AD">
      <w:pPr>
        <w:autoSpaceDE w:val="0"/>
        <w:autoSpaceDN w:val="0"/>
        <w:adjustRightInd w:val="0"/>
        <w:spacing w:line="360" w:lineRule="auto"/>
        <w:jc w:val="left"/>
        <w:rPr>
          <w:rFonts w:ascii="宋体" w:cs="宋体"/>
          <w:color w:val="auto"/>
          <w:kern w:val="0"/>
          <w:szCs w:val="21"/>
          <w:highlight w:val="none"/>
          <w:u w:val="single"/>
        </w:rPr>
      </w:pPr>
    </w:p>
    <w:p w14:paraId="2949C18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w:t>
      </w:r>
      <w:bookmarkStart w:id="155" w:name="PO_3000001917_PM031_1"/>
      <w:r>
        <w:rPr>
          <w:rFonts w:hint="eastAsia" w:ascii="宋体" w:cs="宋体"/>
          <w:color w:val="auto"/>
          <w:kern w:val="0"/>
          <w:szCs w:val="21"/>
          <w:highlight w:val="none"/>
          <w:u w:val="single"/>
        </w:rPr>
        <w:t>广西建设工程机电设备招标中心有限公司</w:t>
      </w:r>
      <w:bookmarkEnd w:id="155"/>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）投标。现就联合体投标事宜订立如下协议：</w:t>
      </w:r>
    </w:p>
    <w:p w14:paraId="5B3064B2">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2DA695CA">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606BE93">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联合体各成员将严格按照招标文件、投标文件和合同的要求全面履行义务，并向招标人承担连带责任。</w:t>
      </w:r>
    </w:p>
    <w:p w14:paraId="2D64315D">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color w:val="auto"/>
          <w:szCs w:val="21"/>
          <w:highlight w:val="none"/>
        </w:rPr>
        <w:t>________________________________</w:t>
      </w:r>
      <w:r>
        <w:rPr>
          <w:rFonts w:hint="eastAsia" w:ascii="宋体" w:hAnsi="宋体" w:cs="宋体"/>
          <w:color w:val="auto"/>
          <w:kern w:val="0"/>
          <w:szCs w:val="21"/>
          <w:highlight w:val="none"/>
        </w:rPr>
        <w:t>。</w:t>
      </w:r>
    </w:p>
    <w:p w14:paraId="37C85824">
      <w:pPr>
        <w:pStyle w:val="19"/>
        <w:spacing w:line="360" w:lineRule="auto"/>
        <w:ind w:firstLine="420" w:firstLineChars="200"/>
        <w:rPr>
          <w:rFonts w:ascii="Times New Roman" w:hAnsi="Times New Roman"/>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color w:val="auto"/>
          <w:highlight w:val="none"/>
          <w:u w:val="single"/>
        </w:rPr>
        <w:t>________________________</w:t>
      </w:r>
      <w:r>
        <w:rPr>
          <w:rFonts w:hint="eastAsia" w:hAnsi="宋体" w:cs="宋体"/>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______%。【如联合体成员中有小型、微型企业的，请填写此条，否则无需填写；如联合体成员中有多个小型、微型企业的，请逐一列出。】</w:t>
      </w:r>
    </w:p>
    <w:p w14:paraId="0810139B">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5EF4280F">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773D4141">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3EA7471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00DE317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38E1DCFA">
      <w:pPr>
        <w:autoSpaceDE w:val="0"/>
        <w:autoSpaceDN w:val="0"/>
        <w:adjustRightInd w:val="0"/>
        <w:spacing w:line="360" w:lineRule="auto"/>
        <w:jc w:val="left"/>
        <w:rPr>
          <w:rFonts w:ascii="宋体" w:cs="宋体"/>
          <w:color w:val="auto"/>
          <w:kern w:val="0"/>
          <w:szCs w:val="21"/>
          <w:highlight w:val="none"/>
        </w:rPr>
      </w:pPr>
    </w:p>
    <w:p w14:paraId="72CF73B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7EB50A27">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47A57F98">
      <w:pPr>
        <w:autoSpaceDE w:val="0"/>
        <w:autoSpaceDN w:val="0"/>
        <w:adjustRightInd w:val="0"/>
        <w:spacing w:line="360" w:lineRule="auto"/>
        <w:jc w:val="left"/>
        <w:rPr>
          <w:rFonts w:ascii="宋体" w:cs="宋体"/>
          <w:color w:val="auto"/>
          <w:kern w:val="0"/>
          <w:szCs w:val="21"/>
          <w:highlight w:val="none"/>
        </w:rPr>
      </w:pPr>
    </w:p>
    <w:p w14:paraId="25449436">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2F84B26E">
      <w:pPr>
        <w:pStyle w:val="19"/>
        <w:spacing w:line="600" w:lineRule="exact"/>
        <w:rPr>
          <w:rFonts w:cs="宋体"/>
          <w:color w:val="auto"/>
          <w:kern w:val="0"/>
          <w:szCs w:val="21"/>
          <w:highlight w:val="none"/>
        </w:rPr>
      </w:pPr>
      <w:r>
        <w:rPr>
          <w:rFonts w:hint="eastAsia" w:cs="宋体"/>
          <w:color w:val="auto"/>
          <w:kern w:val="0"/>
          <w:szCs w:val="21"/>
          <w:highlight w:val="none"/>
        </w:rPr>
        <w:t>法定代表人或其委托代理人：</w:t>
      </w:r>
      <w:r>
        <w:rPr>
          <w:rFonts w:hint="eastAsia" w:cs="宋体"/>
          <w:color w:val="auto"/>
          <w:kern w:val="0"/>
          <w:szCs w:val="21"/>
          <w:highlight w:val="none"/>
          <w:u w:val="single"/>
        </w:rPr>
        <w:t xml:space="preserve">                         </w:t>
      </w:r>
      <w:r>
        <w:rPr>
          <w:rFonts w:hint="eastAsia" w:cs="宋体"/>
          <w:color w:val="auto"/>
          <w:kern w:val="0"/>
          <w:szCs w:val="21"/>
          <w:highlight w:val="none"/>
        </w:rPr>
        <w:t>（</w:t>
      </w:r>
      <w:r>
        <w:rPr>
          <w:rFonts w:hint="eastAsia" w:hAnsi="Times New Roman" w:cs="宋体"/>
          <w:color w:val="auto"/>
          <w:kern w:val="0"/>
          <w:szCs w:val="21"/>
          <w:highlight w:val="none"/>
        </w:rPr>
        <w:t>手写签名</w:t>
      </w:r>
      <w:r>
        <w:rPr>
          <w:rFonts w:hint="eastAsia" w:cs="宋体"/>
          <w:color w:val="auto"/>
          <w:kern w:val="0"/>
          <w:szCs w:val="21"/>
          <w:highlight w:val="none"/>
        </w:rPr>
        <w:t>/</w:t>
      </w:r>
      <w:r>
        <w:rPr>
          <w:rFonts w:hint="eastAsia" w:hAnsi="Times New Roman" w:cs="宋体"/>
          <w:color w:val="auto"/>
          <w:kern w:val="0"/>
          <w:szCs w:val="21"/>
          <w:highlight w:val="none"/>
        </w:rPr>
        <w:t>电子签名</w:t>
      </w:r>
      <w:r>
        <w:rPr>
          <w:rFonts w:hint="eastAsia" w:cs="宋体"/>
          <w:color w:val="auto"/>
          <w:kern w:val="0"/>
          <w:szCs w:val="21"/>
          <w:highlight w:val="none"/>
        </w:rPr>
        <w:t>）</w:t>
      </w:r>
    </w:p>
    <w:p w14:paraId="64633EBF">
      <w:pPr>
        <w:rPr>
          <w:b/>
          <w:color w:val="auto"/>
          <w:sz w:val="28"/>
          <w:szCs w:val="28"/>
          <w:highlight w:val="none"/>
        </w:rPr>
      </w:pPr>
      <w:r>
        <w:rPr>
          <w:b/>
          <w:color w:val="auto"/>
          <w:sz w:val="28"/>
          <w:szCs w:val="28"/>
          <w:highlight w:val="none"/>
        </w:rPr>
        <w:br w:type="page"/>
      </w:r>
      <w:r>
        <w:rPr>
          <w:rFonts w:hint="eastAsia"/>
          <w:b/>
          <w:color w:val="auto"/>
          <w:sz w:val="28"/>
          <w:szCs w:val="28"/>
          <w:highlight w:val="none"/>
        </w:rPr>
        <w:t>三、商务文件格式</w:t>
      </w:r>
      <w:bookmarkEnd w:id="154"/>
    </w:p>
    <w:p w14:paraId="0977D3B2">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14:paraId="50F387B4">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3ABEE6F">
      <w:pPr>
        <w:snapToGrid w:val="0"/>
        <w:spacing w:before="120" w:beforeLines="50" w:after="50"/>
        <w:rPr>
          <w:rFonts w:ascii="宋体" w:hAnsi="宋体"/>
          <w:color w:val="auto"/>
          <w:sz w:val="24"/>
          <w:szCs w:val="20"/>
          <w:highlight w:val="none"/>
        </w:rPr>
      </w:pPr>
    </w:p>
    <w:p w14:paraId="529054FC">
      <w:pPr>
        <w:snapToGrid w:val="0"/>
        <w:spacing w:before="120" w:beforeLines="50" w:after="50"/>
        <w:rPr>
          <w:rFonts w:ascii="宋体" w:hAnsi="宋体"/>
          <w:color w:val="auto"/>
          <w:sz w:val="24"/>
          <w:szCs w:val="20"/>
          <w:highlight w:val="none"/>
        </w:rPr>
      </w:pPr>
    </w:p>
    <w:p w14:paraId="686DD6E4">
      <w:pPr>
        <w:snapToGrid w:val="0"/>
        <w:spacing w:before="120" w:beforeLines="50" w:after="50"/>
        <w:rPr>
          <w:rFonts w:ascii="宋体" w:hAnsi="宋体"/>
          <w:color w:val="auto"/>
          <w:sz w:val="24"/>
          <w:szCs w:val="20"/>
          <w:highlight w:val="none"/>
        </w:rPr>
      </w:pPr>
    </w:p>
    <w:p w14:paraId="7EA5C642">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5D2C057D">
      <w:pPr>
        <w:snapToGrid w:val="0"/>
        <w:spacing w:before="120" w:beforeLines="50" w:after="50"/>
        <w:rPr>
          <w:rFonts w:ascii="宋体" w:hAnsi="宋体"/>
          <w:color w:val="auto"/>
          <w:sz w:val="24"/>
          <w:szCs w:val="20"/>
          <w:highlight w:val="none"/>
        </w:rPr>
      </w:pPr>
    </w:p>
    <w:p w14:paraId="07326847">
      <w:pPr>
        <w:snapToGrid w:val="0"/>
        <w:spacing w:before="120" w:beforeLines="50" w:after="50"/>
        <w:rPr>
          <w:rFonts w:ascii="宋体" w:hAnsi="宋体"/>
          <w:color w:val="auto"/>
          <w:sz w:val="24"/>
          <w:szCs w:val="20"/>
          <w:highlight w:val="none"/>
        </w:rPr>
      </w:pPr>
    </w:p>
    <w:p w14:paraId="06F35139">
      <w:pPr>
        <w:snapToGrid w:val="0"/>
        <w:spacing w:before="120"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14:paraId="0314D716">
      <w:pPr>
        <w:snapToGrid w:val="0"/>
        <w:spacing w:before="120" w:beforeLines="50" w:after="50"/>
        <w:rPr>
          <w:rFonts w:ascii="宋体" w:hAnsi="宋体"/>
          <w:bCs/>
          <w:color w:val="auto"/>
          <w:sz w:val="24"/>
          <w:szCs w:val="20"/>
          <w:highlight w:val="none"/>
        </w:rPr>
      </w:pPr>
    </w:p>
    <w:p w14:paraId="4DA58B73">
      <w:pPr>
        <w:snapToGrid w:val="0"/>
        <w:spacing w:before="120" w:beforeLines="50" w:after="50"/>
        <w:ind w:firstLine="540" w:firstLineChars="225"/>
        <w:rPr>
          <w:rFonts w:ascii="宋体" w:hAnsi="宋体"/>
          <w:bCs/>
          <w:color w:val="auto"/>
          <w:sz w:val="24"/>
          <w:highlight w:val="none"/>
        </w:rPr>
      </w:pPr>
    </w:p>
    <w:p w14:paraId="633F744A">
      <w:pPr>
        <w:snapToGrid w:val="0"/>
        <w:spacing w:before="120" w:beforeLines="50" w:after="50"/>
        <w:ind w:firstLine="540" w:firstLineChars="225"/>
        <w:rPr>
          <w:rFonts w:ascii="宋体" w:hAnsi="宋体"/>
          <w:bCs/>
          <w:color w:val="auto"/>
          <w:sz w:val="24"/>
          <w:highlight w:val="none"/>
        </w:rPr>
      </w:pPr>
    </w:p>
    <w:p w14:paraId="06D44676">
      <w:pPr>
        <w:snapToGrid w:val="0"/>
        <w:spacing w:before="120" w:beforeLines="50" w:after="50"/>
        <w:ind w:firstLine="540" w:firstLineChars="225"/>
        <w:rPr>
          <w:rFonts w:ascii="宋体" w:hAnsi="宋体"/>
          <w:bCs/>
          <w:color w:val="auto"/>
          <w:sz w:val="24"/>
          <w:highlight w:val="none"/>
        </w:rPr>
      </w:pPr>
    </w:p>
    <w:p w14:paraId="34C3F6A5">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4FB0B7C0">
      <w:pPr>
        <w:snapToGrid w:val="0"/>
        <w:spacing w:before="120" w:beforeLines="50" w:after="50"/>
        <w:ind w:firstLine="540" w:firstLineChars="225"/>
        <w:rPr>
          <w:rFonts w:ascii="宋体" w:hAnsi="宋体"/>
          <w:bCs/>
          <w:color w:val="auto"/>
          <w:sz w:val="24"/>
          <w:szCs w:val="20"/>
          <w:highlight w:val="none"/>
        </w:rPr>
      </w:pPr>
    </w:p>
    <w:p w14:paraId="654EFCFF">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5DAB230C">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7620874D">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37118007">
      <w:pPr>
        <w:snapToGrid w:val="0"/>
        <w:spacing w:before="120" w:beforeLines="50" w:after="50"/>
        <w:ind w:firstLine="540" w:firstLineChars="225"/>
        <w:rPr>
          <w:rFonts w:ascii="宋体" w:hAnsi="宋体"/>
          <w:bCs/>
          <w:color w:val="auto"/>
          <w:sz w:val="24"/>
          <w:szCs w:val="20"/>
          <w:highlight w:val="none"/>
        </w:rPr>
      </w:pPr>
    </w:p>
    <w:p w14:paraId="1498B524">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7C612637">
      <w:pPr>
        <w:pStyle w:val="9"/>
        <w:snapToGrid w:val="0"/>
        <w:spacing w:before="50" w:after="50"/>
        <w:ind w:firstLine="540" w:firstLineChars="225"/>
        <w:rPr>
          <w:rFonts w:ascii="宋体" w:hAnsi="宋体"/>
          <w:bCs/>
          <w:color w:val="auto"/>
          <w:sz w:val="24"/>
          <w:szCs w:val="24"/>
          <w:highlight w:val="none"/>
        </w:rPr>
      </w:pPr>
    </w:p>
    <w:p w14:paraId="74DF1C4C">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6AC5E4AE">
      <w:pPr>
        <w:pStyle w:val="9"/>
        <w:snapToGrid w:val="0"/>
        <w:spacing w:before="50" w:after="50"/>
        <w:ind w:firstLine="960" w:firstLineChars="400"/>
        <w:rPr>
          <w:rFonts w:ascii="宋体" w:hAnsi="宋体"/>
          <w:bCs/>
          <w:color w:val="auto"/>
          <w:sz w:val="24"/>
          <w:szCs w:val="24"/>
          <w:highlight w:val="none"/>
        </w:rPr>
      </w:pPr>
    </w:p>
    <w:p w14:paraId="368CC5D7">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0F185BC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7446EDE9">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428875FE">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根据招标文件规定及投标人提供的材料自行编写目录。</w:t>
      </w:r>
    </w:p>
    <w:p w14:paraId="7188D99F">
      <w:pPr>
        <w:snapToGrid w:val="0"/>
        <w:spacing w:before="50" w:after="120" w:afterLines="50"/>
        <w:jc w:val="left"/>
        <w:rPr>
          <w:rFonts w:ascii="宋体" w:hAnsi="宋体"/>
          <w:color w:val="auto"/>
          <w:highlight w:val="none"/>
        </w:rPr>
      </w:pPr>
    </w:p>
    <w:p w14:paraId="65FD4C0E">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570EBE00">
      <w:pPr>
        <w:snapToGrid w:val="0"/>
        <w:spacing w:before="120" w:beforeLines="50" w:after="50"/>
        <w:jc w:val="left"/>
        <w:rPr>
          <w:rFonts w:ascii="宋体" w:hAnsi="宋体"/>
          <w:b/>
          <w:color w:val="auto"/>
          <w:sz w:val="24"/>
          <w:highlight w:val="none"/>
        </w:rPr>
      </w:pPr>
    </w:p>
    <w:p w14:paraId="0D5C7CDA">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20C440AE">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5117E80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637ABB3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1AE6F366">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746448F4">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1A7EDDFF">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530770DD">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3BEF7767">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0BB179BC">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2C953FD3">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365609C0">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31E381C8">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3FF4D8E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5112347">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1C4E6B5A">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46845338">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123CC093">
      <w:pPr>
        <w:pStyle w:val="19"/>
        <w:spacing w:line="440" w:lineRule="exact"/>
        <w:ind w:firstLine="6840" w:firstLineChars="2850"/>
        <w:contextualSpacing/>
        <w:rPr>
          <w:rFonts w:hAnsi="宋体"/>
          <w:color w:val="auto"/>
          <w:sz w:val="24"/>
          <w:szCs w:val="24"/>
          <w:highlight w:val="none"/>
        </w:rPr>
      </w:pPr>
    </w:p>
    <w:p w14:paraId="684270D0">
      <w:pPr>
        <w:pStyle w:val="19"/>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14:paraId="04F735CD">
      <w:pPr>
        <w:pStyle w:val="19"/>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224BF8A8">
      <w:pPr>
        <w:snapToGrid w:val="0"/>
        <w:spacing w:before="120" w:beforeLines="50" w:after="50"/>
        <w:jc w:val="left"/>
        <w:rPr>
          <w:rFonts w:ascii="宋体" w:hAnsi="宋体"/>
          <w:b/>
          <w:color w:val="auto"/>
          <w:sz w:val="24"/>
          <w:highlight w:val="none"/>
        </w:rPr>
      </w:pPr>
    </w:p>
    <w:p w14:paraId="5BAB5E58">
      <w:pPr>
        <w:snapToGrid w:val="0"/>
        <w:spacing w:before="120" w:beforeLines="50" w:after="50"/>
        <w:jc w:val="left"/>
        <w:rPr>
          <w:rFonts w:ascii="宋体" w:hAnsi="宋体"/>
          <w:b/>
          <w:color w:val="auto"/>
          <w:sz w:val="24"/>
          <w:highlight w:val="none"/>
        </w:rPr>
      </w:pPr>
    </w:p>
    <w:p w14:paraId="47852DF6">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14:paraId="7F82EE78">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7A8D6573">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6A26CF1">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2476DE6A">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0595D627">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64CC19D0">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7083D03">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EDA369A">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6AB55A77">
      <w:pPr>
        <w:spacing w:line="500" w:lineRule="exact"/>
        <w:ind w:left="540"/>
        <w:rPr>
          <w:rFonts w:ascii="宋体" w:hAnsi="宋体"/>
          <w:color w:val="auto"/>
          <w:sz w:val="24"/>
          <w:highlight w:val="none"/>
        </w:rPr>
      </w:pPr>
    </w:p>
    <w:p w14:paraId="6727727A">
      <w:pPr>
        <w:spacing w:line="500" w:lineRule="exact"/>
        <w:ind w:left="540"/>
        <w:rPr>
          <w:rFonts w:ascii="宋体" w:hAnsi="宋体"/>
          <w:color w:val="auto"/>
          <w:sz w:val="24"/>
          <w:highlight w:val="none"/>
        </w:rPr>
      </w:pPr>
    </w:p>
    <w:p w14:paraId="321A9F57">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130CD30E">
      <w:pPr>
        <w:spacing w:line="500" w:lineRule="exact"/>
        <w:ind w:left="540"/>
        <w:rPr>
          <w:rFonts w:ascii="宋体" w:hAnsi="宋体"/>
          <w:color w:val="auto"/>
          <w:sz w:val="24"/>
          <w:highlight w:val="none"/>
        </w:rPr>
      </w:pPr>
    </w:p>
    <w:p w14:paraId="4A15BD35">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14:paraId="383A8E00">
      <w:pPr>
        <w:spacing w:line="500" w:lineRule="exact"/>
        <w:ind w:left="540"/>
        <w:jc w:val="right"/>
        <w:rPr>
          <w:rFonts w:ascii="宋体" w:hAnsi="宋体"/>
          <w:color w:val="auto"/>
          <w:sz w:val="24"/>
          <w:highlight w:val="none"/>
        </w:rPr>
      </w:pPr>
    </w:p>
    <w:p w14:paraId="4053493F">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E244F09">
      <w:pPr>
        <w:snapToGrid w:val="0"/>
        <w:spacing w:before="120" w:beforeLines="50" w:after="50"/>
        <w:jc w:val="center"/>
        <w:rPr>
          <w:rFonts w:ascii="宋体" w:hAnsi="宋体"/>
          <w:b/>
          <w:color w:val="auto"/>
          <w:sz w:val="24"/>
          <w:highlight w:val="none"/>
        </w:rPr>
      </w:pPr>
    </w:p>
    <w:p w14:paraId="23D1D3EC">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64D1C0C0">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6FAE31E5">
      <w:pPr>
        <w:snapToGrid w:val="0"/>
        <w:spacing w:before="120" w:beforeLines="50" w:after="50"/>
        <w:jc w:val="center"/>
        <w:rPr>
          <w:rFonts w:ascii="宋体" w:hAnsi="宋体"/>
          <w:b/>
          <w:color w:val="auto"/>
          <w:sz w:val="44"/>
          <w:szCs w:val="44"/>
          <w:highlight w:val="none"/>
        </w:rPr>
      </w:pPr>
    </w:p>
    <w:p w14:paraId="5AEE9EEA">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7800CCED">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4F012181">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34C1B40C">
      <w:pPr>
        <w:spacing w:line="440" w:lineRule="exact"/>
        <w:contextualSpacing/>
        <w:jc w:val="center"/>
        <w:rPr>
          <w:rFonts w:ascii="宋体" w:hAnsi="宋体"/>
          <w:b/>
          <w:color w:val="auto"/>
          <w:sz w:val="24"/>
          <w:highlight w:val="none"/>
        </w:rPr>
      </w:pPr>
    </w:p>
    <w:p w14:paraId="683DCC22">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81FA369">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2DA0B83">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59291B10">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0DD3853B">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4574B4F1">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30EE86BC">
      <w:pPr>
        <w:spacing w:line="440" w:lineRule="exact"/>
        <w:contextualSpacing/>
        <w:rPr>
          <w:rFonts w:ascii="宋体" w:hAnsi="宋体"/>
          <w:color w:val="auto"/>
          <w:sz w:val="24"/>
          <w:highlight w:val="none"/>
        </w:rPr>
      </w:pPr>
    </w:p>
    <w:p w14:paraId="583A1094">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5414501B">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5DAE814">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14:paraId="7155CB0A">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5DA74955">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56" w:name="_Hlk65851555"/>
      <w:bookmarkStart w:id="157" w:name="_Hlk65851620"/>
      <w:r>
        <w:rPr>
          <w:rFonts w:hint="eastAsia" w:ascii="宋体" w:hAnsi="宋体" w:cs="仿宋_GB2312"/>
          <w:color w:val="auto"/>
          <w:sz w:val="24"/>
          <w:highlight w:val="none"/>
        </w:rPr>
        <w:t>法定代表人必须在授权委托书上亲笔签字或者盖章，</w:t>
      </w:r>
      <w:bookmarkEnd w:id="156"/>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7"/>
    </w:p>
    <w:p w14:paraId="4A5D6F80">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AE9BC06">
      <w:pPr>
        <w:rPr>
          <w:rFonts w:ascii="宋体" w:hAnsi="宋体"/>
          <w:color w:val="auto"/>
          <w:sz w:val="24"/>
          <w:highlight w:val="none"/>
        </w:rPr>
      </w:pPr>
      <w:r>
        <w:rPr>
          <w:rFonts w:ascii="宋体" w:hAnsi="宋体"/>
          <w:color w:val="auto"/>
          <w:sz w:val="24"/>
          <w:highlight w:val="none"/>
        </w:rPr>
        <w:br w:type="page"/>
      </w:r>
    </w:p>
    <w:p w14:paraId="45FE2B88">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6BD1C057">
      <w:pPr>
        <w:snapToGrid w:val="0"/>
        <w:spacing w:before="50"/>
        <w:jc w:val="left"/>
        <w:rPr>
          <w:rFonts w:ascii="宋体" w:hAnsi="宋体"/>
          <w:color w:val="auto"/>
          <w:sz w:val="24"/>
          <w:highlight w:val="none"/>
        </w:rPr>
      </w:pPr>
    </w:p>
    <w:p w14:paraId="681FC76C">
      <w:pPr>
        <w:pStyle w:val="19"/>
        <w:rPr>
          <w:rFonts w:hint="eastAsia" w:hAnsi="宋体" w:eastAsia="宋体"/>
          <w:color w:val="auto"/>
          <w:sz w:val="24"/>
          <w:szCs w:val="24"/>
          <w:highlight w:val="none"/>
          <w:lang w:eastAsia="zh-CN"/>
        </w:rPr>
      </w:pPr>
      <w:r>
        <w:rPr>
          <w:rFonts w:hint="eastAsia" w:hAnsi="宋体"/>
          <w:color w:val="auto"/>
          <w:sz w:val="24"/>
          <w:szCs w:val="24"/>
          <w:highlight w:val="none"/>
        </w:rPr>
        <w:t>所投</w:t>
      </w:r>
      <w:r>
        <w:rPr>
          <w:rFonts w:hint="eastAsia" w:hAnsi="宋体"/>
          <w:color w:val="auto"/>
          <w:sz w:val="24"/>
          <w:szCs w:val="24"/>
          <w:highlight w:val="none"/>
          <w:lang w:val="en-US" w:eastAsia="zh-CN"/>
        </w:rPr>
        <w:t>分标</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int="eastAsia" w:hAnsi="宋体"/>
          <w:color w:val="auto"/>
          <w:sz w:val="24"/>
          <w:szCs w:val="24"/>
          <w:highlight w:val="none"/>
          <w:lang w:val="en-US" w:eastAsia="zh-CN"/>
        </w:rPr>
        <w:t xml:space="preserve"> </w:t>
      </w:r>
    </w:p>
    <w:p w14:paraId="23834ADC">
      <w:pPr>
        <w:snapToGrid w:val="0"/>
        <w:spacing w:before="50"/>
        <w:jc w:val="left"/>
        <w:rPr>
          <w:rFonts w:ascii="宋体" w:hAnsi="宋体"/>
          <w:color w:val="auto"/>
          <w:sz w:val="24"/>
          <w:highlight w:val="none"/>
          <w:u w:val="single"/>
        </w:rPr>
      </w:pPr>
    </w:p>
    <w:tbl>
      <w:tblPr>
        <w:tblStyle w:val="3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939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A659905">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70CE3C53">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33F3D9B2">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0BAECDCE">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2B3EB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2CE29D15">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5AAEA89E">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5AA8A17">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2D793D4">
            <w:pPr>
              <w:snapToGrid w:val="0"/>
              <w:spacing w:before="120" w:beforeLines="50"/>
              <w:jc w:val="center"/>
              <w:rPr>
                <w:rFonts w:ascii="宋体" w:hAnsi="宋体"/>
                <w:color w:val="auto"/>
                <w:sz w:val="24"/>
                <w:highlight w:val="none"/>
              </w:rPr>
            </w:pPr>
          </w:p>
        </w:tc>
      </w:tr>
      <w:tr w14:paraId="0A16F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4B783B0A">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43DCF7D3">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45549675">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D39F51F">
            <w:pPr>
              <w:snapToGrid w:val="0"/>
              <w:spacing w:before="120" w:beforeLines="50"/>
              <w:ind w:left="43"/>
              <w:jc w:val="center"/>
              <w:rPr>
                <w:rFonts w:ascii="宋体" w:hAnsi="宋体"/>
                <w:color w:val="auto"/>
                <w:sz w:val="24"/>
                <w:highlight w:val="none"/>
              </w:rPr>
            </w:pPr>
          </w:p>
        </w:tc>
      </w:tr>
      <w:tr w14:paraId="14B62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6F5E9ECF">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4C5BE2BA">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FAB2903">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000CEFA">
            <w:pPr>
              <w:snapToGrid w:val="0"/>
              <w:spacing w:before="120" w:beforeLines="50"/>
              <w:jc w:val="center"/>
              <w:rPr>
                <w:rFonts w:ascii="宋体" w:hAnsi="宋体"/>
                <w:color w:val="auto"/>
                <w:sz w:val="24"/>
                <w:highlight w:val="none"/>
              </w:rPr>
            </w:pPr>
          </w:p>
        </w:tc>
      </w:tr>
    </w:tbl>
    <w:p w14:paraId="6B3BC4DF">
      <w:pPr>
        <w:pStyle w:val="15"/>
        <w:rPr>
          <w:rFonts w:ascii="宋体" w:hAnsi="宋体"/>
          <w:color w:val="auto"/>
          <w:highlight w:val="none"/>
        </w:rPr>
      </w:pPr>
    </w:p>
    <w:p w14:paraId="04507A21">
      <w:pPr>
        <w:pStyle w:val="15"/>
        <w:rPr>
          <w:rFonts w:ascii="宋体" w:hAnsi="宋体"/>
          <w:color w:val="auto"/>
          <w:highlight w:val="none"/>
        </w:rPr>
      </w:pPr>
    </w:p>
    <w:p w14:paraId="64C506CC">
      <w:pPr>
        <w:pStyle w:val="15"/>
        <w:rPr>
          <w:rFonts w:ascii="宋体" w:hAnsi="宋体"/>
          <w:color w:val="auto"/>
          <w:spacing w:val="-4"/>
          <w:sz w:val="21"/>
          <w:szCs w:val="21"/>
          <w:highlight w:val="none"/>
        </w:rPr>
      </w:pPr>
      <w:r>
        <w:rPr>
          <w:rFonts w:hint="eastAsia" w:ascii="宋体" w:hAnsi="宋体"/>
          <w:color w:val="auto"/>
          <w:spacing w:val="-4"/>
          <w:sz w:val="21"/>
          <w:szCs w:val="21"/>
          <w:highlight w:val="none"/>
        </w:rPr>
        <w:t>注：</w:t>
      </w:r>
    </w:p>
    <w:p w14:paraId="025586CD">
      <w:pPr>
        <w:pStyle w:val="16"/>
        <w:spacing w:line="400" w:lineRule="exact"/>
        <w:ind w:firstLine="0"/>
        <w:rPr>
          <w:rFonts w:hAnsi="仿宋_GB2312" w:cs="仿宋_GB2312"/>
          <w:color w:val="auto"/>
          <w:sz w:val="21"/>
          <w:szCs w:val="21"/>
          <w:highlight w:val="none"/>
        </w:rPr>
      </w:pPr>
      <w:r>
        <w:rPr>
          <w:rFonts w:hint="eastAsia" w:hAnsi="宋体"/>
          <w:color w:val="auto"/>
          <w:sz w:val="21"/>
          <w:szCs w:val="21"/>
          <w:highlight w:val="none"/>
        </w:rPr>
        <w:t>1.</w:t>
      </w:r>
      <w:r>
        <w:rPr>
          <w:rFonts w:hint="eastAsia"/>
          <w:color w:val="auto"/>
          <w:sz w:val="21"/>
          <w:szCs w:val="21"/>
          <w:highlight w:val="none"/>
        </w:rPr>
        <w:t xml:space="preserve"> </w:t>
      </w:r>
      <w:r>
        <w:rPr>
          <w:rFonts w:hint="eastAsia" w:hAnsi="宋体"/>
          <w:color w:val="auto"/>
          <w:sz w:val="21"/>
          <w:szCs w:val="21"/>
          <w:highlight w:val="none"/>
        </w:rPr>
        <w:t>说明：应对照招标文件“第二章 采购需求”中的商务要求逐条作明确的投标响应，并作出偏离说明。</w:t>
      </w:r>
    </w:p>
    <w:p w14:paraId="27D7E722">
      <w:pPr>
        <w:pStyle w:val="15"/>
        <w:spacing w:after="0" w:line="400" w:lineRule="exac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投标人应根据自身的承诺，对照招标文件要求在“偏离说明”中注明“正偏离”、“负偏离”或者“无偏离”。既不属于“正偏离”也不属于“负偏离”即为“无偏离”。</w:t>
      </w:r>
    </w:p>
    <w:p w14:paraId="24A45E8D">
      <w:pPr>
        <w:snapToGrid w:val="0"/>
        <w:spacing w:line="400" w:lineRule="exact"/>
        <w:rPr>
          <w:rFonts w:ascii="宋体" w:hAnsi="宋体"/>
          <w:color w:val="auto"/>
          <w:szCs w:val="21"/>
          <w:highlight w:val="none"/>
        </w:rPr>
      </w:pPr>
    </w:p>
    <w:p w14:paraId="70EE62ED">
      <w:pPr>
        <w:snapToGrid w:val="0"/>
        <w:spacing w:line="400" w:lineRule="exact"/>
        <w:rPr>
          <w:rFonts w:ascii="宋体" w:hAnsi="宋体"/>
          <w:color w:val="auto"/>
          <w:spacing w:val="20"/>
          <w:szCs w:val="21"/>
          <w:highlight w:val="none"/>
          <w:u w:val="single"/>
        </w:rPr>
      </w:pPr>
      <w:r>
        <w:rPr>
          <w:rFonts w:hint="eastAsia" w:ascii="宋体" w:hAnsi="宋体"/>
          <w:color w:val="auto"/>
          <w:szCs w:val="21"/>
          <w:highlight w:val="none"/>
        </w:rPr>
        <w:t>法定代表人或者委托代理人</w:t>
      </w:r>
      <w:r>
        <w:rPr>
          <w:rFonts w:hint="eastAsia" w:ascii="宋体" w:hAnsi="宋体"/>
          <w:color w:val="auto"/>
          <w:spacing w:val="20"/>
          <w:szCs w:val="21"/>
          <w:highlight w:val="none"/>
        </w:rPr>
        <w:t>（签字）：</w:t>
      </w:r>
      <w:r>
        <w:rPr>
          <w:rFonts w:hint="eastAsia" w:ascii="宋体" w:hAnsi="宋体"/>
          <w:color w:val="auto"/>
          <w:spacing w:val="20"/>
          <w:szCs w:val="21"/>
          <w:highlight w:val="none"/>
          <w:u w:val="single"/>
        </w:rPr>
        <w:t xml:space="preserve">        </w:t>
      </w:r>
    </w:p>
    <w:p w14:paraId="3069BBCB">
      <w:pPr>
        <w:snapToGrid w:val="0"/>
        <w:spacing w:line="400" w:lineRule="exact"/>
        <w:rPr>
          <w:rFonts w:ascii="宋体" w:hAnsi="宋体"/>
          <w:color w:val="auto"/>
          <w:spacing w:val="20"/>
          <w:szCs w:val="21"/>
          <w:highlight w:val="none"/>
        </w:rPr>
      </w:pPr>
      <w:r>
        <w:rPr>
          <w:rFonts w:hint="eastAsia" w:ascii="宋体" w:hAnsi="宋体"/>
          <w:color w:val="auto"/>
          <w:spacing w:val="20"/>
          <w:szCs w:val="21"/>
          <w:highlight w:val="none"/>
        </w:rPr>
        <w:t>投标人盖公章：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w:t>
      </w:r>
    </w:p>
    <w:p w14:paraId="6D77A80B">
      <w:pPr>
        <w:snapToGrid w:val="0"/>
        <w:spacing w:line="400" w:lineRule="exact"/>
        <w:rPr>
          <w:rFonts w:ascii="宋体" w:hAnsi="宋体"/>
          <w:color w:val="auto"/>
          <w:szCs w:val="21"/>
          <w:highlight w:val="none"/>
        </w:rPr>
      </w:pPr>
      <w:r>
        <w:rPr>
          <w:rFonts w:hint="eastAsia" w:ascii="宋体" w:hAnsi="宋体"/>
          <w:color w:val="auto"/>
          <w:spacing w:val="20"/>
          <w:szCs w:val="21"/>
          <w:highlight w:val="none"/>
        </w:rPr>
        <w:t>日  期：</w:t>
      </w:r>
      <w:r>
        <w:rPr>
          <w:rFonts w:hint="eastAsia" w:ascii="宋体" w:hAnsi="宋体"/>
          <w:color w:val="auto"/>
          <w:spacing w:val="20"/>
          <w:szCs w:val="21"/>
          <w:highlight w:val="none"/>
          <w:u w:val="single"/>
        </w:rPr>
        <w:t xml:space="preserve">         </w:t>
      </w:r>
    </w:p>
    <w:p w14:paraId="40716FDB">
      <w:pPr>
        <w:snapToGrid w:val="0"/>
        <w:spacing w:before="120" w:beforeLines="50"/>
        <w:rPr>
          <w:rFonts w:ascii="宋体" w:hAnsi="宋体"/>
          <w:color w:val="auto"/>
          <w:sz w:val="24"/>
          <w:szCs w:val="20"/>
          <w:highlight w:val="none"/>
        </w:rPr>
      </w:pPr>
    </w:p>
    <w:p w14:paraId="5B954985">
      <w:pPr>
        <w:snapToGrid w:val="0"/>
        <w:spacing w:before="120" w:beforeLines="50" w:after="50"/>
        <w:jc w:val="left"/>
        <w:rPr>
          <w:rFonts w:ascii="宋体" w:hAnsi="宋体"/>
          <w:color w:val="auto"/>
          <w:sz w:val="24"/>
          <w:szCs w:val="20"/>
          <w:highlight w:val="none"/>
        </w:rPr>
      </w:pPr>
    </w:p>
    <w:p w14:paraId="5410C27B">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78479212">
      <w:pPr>
        <w:pStyle w:val="29"/>
        <w:snapToGrid w:val="0"/>
        <w:ind w:left="480" w:hanging="480"/>
        <w:rPr>
          <w:rFonts w:ascii="宋体" w:hAnsi="宋体"/>
          <w:color w:val="auto"/>
          <w:sz w:val="24"/>
          <w:highlight w:val="none"/>
        </w:rPr>
      </w:pPr>
    </w:p>
    <w:p w14:paraId="0235D8A3">
      <w:pPr>
        <w:pStyle w:val="29"/>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3D2A6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0AC22EDC">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FE2CA41">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4DD7942">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3F7D6400">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177E9886">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2EA549F4">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62619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3D4903BE">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1DF6BBC">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C45610A">
            <w:pPr>
              <w:jc w:val="left"/>
              <w:rPr>
                <w:rFonts w:ascii="宋体" w:hAnsi="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2264680E">
            <w:pPr>
              <w:jc w:val="left"/>
              <w:rPr>
                <w:rFonts w:ascii="宋体" w:hAnsi="宋体"/>
                <w:color w:val="auto"/>
                <w:sz w:val="24"/>
                <w:highlight w:val="none"/>
              </w:rPr>
            </w:pPr>
          </w:p>
        </w:tc>
      </w:tr>
      <w:tr w14:paraId="63FF8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7FE28942">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440CAC7">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A65E475">
            <w:pPr>
              <w:snapToGrid w:val="0"/>
              <w:spacing w:line="24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2351C91B">
            <w:pPr>
              <w:snapToGrid w:val="0"/>
              <w:spacing w:line="240" w:lineRule="exact"/>
              <w:jc w:val="left"/>
              <w:rPr>
                <w:rFonts w:ascii="宋体" w:hAnsi="宋体"/>
                <w:color w:val="auto"/>
                <w:sz w:val="24"/>
                <w:highlight w:val="none"/>
              </w:rPr>
            </w:pPr>
          </w:p>
        </w:tc>
      </w:tr>
      <w:tr w14:paraId="71D73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8451071">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7ED0529">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EAF7F36">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72C935E4">
            <w:pPr>
              <w:snapToGrid w:val="0"/>
              <w:spacing w:before="50" w:after="120" w:afterLines="50" w:line="400" w:lineRule="exact"/>
              <w:jc w:val="left"/>
              <w:rPr>
                <w:rFonts w:ascii="宋体" w:hAnsi="宋体"/>
                <w:color w:val="auto"/>
                <w:sz w:val="24"/>
                <w:highlight w:val="none"/>
              </w:rPr>
            </w:pPr>
          </w:p>
        </w:tc>
      </w:tr>
      <w:tr w14:paraId="39B76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1448DE14">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7384586">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7CE9568">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76A0200">
            <w:pPr>
              <w:snapToGrid w:val="0"/>
              <w:spacing w:before="50" w:after="120" w:afterLines="50" w:line="400" w:lineRule="exact"/>
              <w:jc w:val="left"/>
              <w:rPr>
                <w:rFonts w:ascii="宋体" w:hAnsi="宋体"/>
                <w:color w:val="auto"/>
                <w:sz w:val="24"/>
                <w:highlight w:val="none"/>
              </w:rPr>
            </w:pPr>
          </w:p>
        </w:tc>
      </w:tr>
      <w:tr w14:paraId="3E0A6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6D34940">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B3CC259">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C10C827">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50BFC1A8">
            <w:pPr>
              <w:snapToGrid w:val="0"/>
              <w:spacing w:before="50" w:after="120" w:afterLines="50" w:line="400" w:lineRule="exact"/>
              <w:jc w:val="left"/>
              <w:rPr>
                <w:rFonts w:ascii="宋体" w:hAnsi="宋体"/>
                <w:color w:val="auto"/>
                <w:sz w:val="24"/>
                <w:highlight w:val="none"/>
              </w:rPr>
            </w:pPr>
          </w:p>
        </w:tc>
      </w:tr>
      <w:tr w14:paraId="0EC6A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559D88D4">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D2BF605">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A1D1EBA">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63744B73">
            <w:pPr>
              <w:snapToGrid w:val="0"/>
              <w:spacing w:before="50" w:after="120" w:afterLines="50" w:line="400" w:lineRule="exact"/>
              <w:jc w:val="left"/>
              <w:rPr>
                <w:rFonts w:ascii="宋体" w:hAnsi="宋体"/>
                <w:color w:val="auto"/>
                <w:sz w:val="24"/>
                <w:highlight w:val="none"/>
              </w:rPr>
            </w:pPr>
          </w:p>
        </w:tc>
      </w:tr>
    </w:tbl>
    <w:p w14:paraId="093756D6">
      <w:pPr>
        <w:pStyle w:val="12"/>
        <w:spacing w:before="0" w:after="0" w:line="360" w:lineRule="auto"/>
        <w:contextualSpacing/>
        <w:rPr>
          <w:rFonts w:ascii="宋体" w:hAnsi="宋体" w:eastAsia="宋体"/>
          <w:color w:val="auto"/>
          <w:sz w:val="24"/>
          <w:szCs w:val="24"/>
          <w:highlight w:val="none"/>
        </w:rPr>
      </w:pPr>
    </w:p>
    <w:p w14:paraId="6409785F">
      <w:pPr>
        <w:pStyle w:val="12"/>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0E633223">
      <w:pPr>
        <w:pStyle w:val="12"/>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14:paraId="7F576B36">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B4CA738">
      <w:pPr>
        <w:snapToGrid w:val="0"/>
        <w:spacing w:before="50"/>
        <w:ind w:firstLine="480" w:firstLineChars="200"/>
        <w:jc w:val="left"/>
        <w:rPr>
          <w:rFonts w:ascii="宋体" w:hAnsi="宋体"/>
          <w:color w:val="auto"/>
          <w:sz w:val="24"/>
          <w:szCs w:val="20"/>
          <w:highlight w:val="none"/>
        </w:rPr>
      </w:pPr>
    </w:p>
    <w:p w14:paraId="24A058EB">
      <w:pPr>
        <w:snapToGrid w:val="0"/>
        <w:spacing w:before="50"/>
        <w:jc w:val="left"/>
        <w:rPr>
          <w:rFonts w:ascii="宋体" w:hAnsi="宋体"/>
          <w:color w:val="auto"/>
          <w:sz w:val="24"/>
          <w:highlight w:val="none"/>
        </w:rPr>
      </w:pPr>
    </w:p>
    <w:p w14:paraId="0B07AA7B">
      <w:pPr>
        <w:snapToGrid w:val="0"/>
        <w:spacing w:before="120" w:beforeLines="50"/>
        <w:rPr>
          <w:rFonts w:ascii="宋体" w:hAnsi="宋体"/>
          <w:color w:val="auto"/>
          <w:sz w:val="24"/>
          <w:szCs w:val="20"/>
          <w:highlight w:val="none"/>
        </w:rPr>
        <w:sectPr>
          <w:headerReference r:id="rId9" w:type="default"/>
          <w:footerReference r:id="rId10" w:type="default"/>
          <w:pgSz w:w="11906" w:h="16838"/>
          <w:pgMar w:top="1440" w:right="1797" w:bottom="1440" w:left="1797" w:header="851" w:footer="992" w:gutter="0"/>
          <w:cols w:space="720" w:num="1"/>
          <w:docGrid w:linePitch="312" w:charSpace="0"/>
        </w:sectPr>
      </w:pPr>
    </w:p>
    <w:p w14:paraId="6B9E5822">
      <w:pPr>
        <w:rPr>
          <w:b/>
          <w:color w:val="auto"/>
          <w:sz w:val="28"/>
          <w:szCs w:val="28"/>
          <w:highlight w:val="none"/>
        </w:rPr>
      </w:pPr>
      <w:r>
        <w:rPr>
          <w:rFonts w:hint="eastAsia"/>
          <w:b/>
          <w:color w:val="auto"/>
          <w:sz w:val="28"/>
          <w:szCs w:val="28"/>
          <w:highlight w:val="none"/>
        </w:rPr>
        <w:t>四、技术文件格式</w:t>
      </w:r>
    </w:p>
    <w:p w14:paraId="00CBD2D3">
      <w:pPr>
        <w:snapToGrid w:val="0"/>
        <w:spacing w:before="165"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14:paraId="624615C9">
      <w:pPr>
        <w:snapToGrid w:val="0"/>
        <w:spacing w:before="165"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14:paraId="3DB53B5B">
      <w:pPr>
        <w:snapToGrid w:val="0"/>
        <w:spacing w:before="165" w:beforeLines="50" w:after="50"/>
        <w:rPr>
          <w:rFonts w:ascii="宋体" w:hAnsi="宋体"/>
          <w:color w:val="auto"/>
          <w:sz w:val="24"/>
          <w:szCs w:val="20"/>
          <w:highlight w:val="none"/>
        </w:rPr>
      </w:pPr>
    </w:p>
    <w:p w14:paraId="43308A12">
      <w:pPr>
        <w:snapToGrid w:val="0"/>
        <w:spacing w:before="165" w:beforeLines="50" w:after="50"/>
        <w:rPr>
          <w:rFonts w:ascii="宋体" w:hAnsi="宋体"/>
          <w:color w:val="auto"/>
          <w:sz w:val="24"/>
          <w:szCs w:val="20"/>
          <w:highlight w:val="none"/>
        </w:rPr>
      </w:pPr>
    </w:p>
    <w:p w14:paraId="4EC54330">
      <w:pPr>
        <w:snapToGrid w:val="0"/>
        <w:spacing w:before="165"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60B6646E">
      <w:pPr>
        <w:snapToGrid w:val="0"/>
        <w:spacing w:before="165" w:beforeLines="50" w:after="50"/>
        <w:rPr>
          <w:rFonts w:ascii="宋体" w:hAnsi="宋体"/>
          <w:color w:val="auto"/>
          <w:sz w:val="24"/>
          <w:szCs w:val="20"/>
          <w:highlight w:val="none"/>
        </w:rPr>
      </w:pPr>
    </w:p>
    <w:p w14:paraId="3F312DF6">
      <w:pPr>
        <w:snapToGrid w:val="0"/>
        <w:spacing w:before="165" w:beforeLines="50" w:after="50"/>
        <w:rPr>
          <w:rFonts w:ascii="宋体" w:hAnsi="宋体"/>
          <w:color w:val="auto"/>
          <w:sz w:val="24"/>
          <w:szCs w:val="20"/>
          <w:highlight w:val="none"/>
        </w:rPr>
      </w:pPr>
    </w:p>
    <w:p w14:paraId="26971E2A">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14:paraId="5013D6B9">
      <w:pPr>
        <w:snapToGrid w:val="0"/>
        <w:spacing w:before="165" w:beforeLines="50" w:after="50"/>
        <w:rPr>
          <w:rFonts w:ascii="宋体" w:hAnsi="宋体"/>
          <w:bCs/>
          <w:color w:val="auto"/>
          <w:sz w:val="24"/>
          <w:szCs w:val="20"/>
          <w:highlight w:val="none"/>
        </w:rPr>
      </w:pPr>
    </w:p>
    <w:p w14:paraId="0FF38FD1">
      <w:pPr>
        <w:snapToGrid w:val="0"/>
        <w:spacing w:before="165" w:beforeLines="50" w:after="50"/>
        <w:rPr>
          <w:rFonts w:ascii="宋体" w:hAnsi="宋体"/>
          <w:bCs/>
          <w:color w:val="auto"/>
          <w:sz w:val="24"/>
          <w:szCs w:val="20"/>
          <w:highlight w:val="none"/>
        </w:rPr>
      </w:pPr>
    </w:p>
    <w:p w14:paraId="17938C28">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011F7208">
      <w:pPr>
        <w:snapToGrid w:val="0"/>
        <w:spacing w:before="165" w:beforeLines="50" w:after="50" w:line="400" w:lineRule="exact"/>
        <w:ind w:firstLine="360" w:firstLineChars="150"/>
        <w:rPr>
          <w:rFonts w:ascii="宋体" w:hAnsi="宋体"/>
          <w:bCs/>
          <w:color w:val="auto"/>
          <w:sz w:val="24"/>
          <w:szCs w:val="20"/>
          <w:highlight w:val="none"/>
        </w:rPr>
      </w:pPr>
    </w:p>
    <w:p w14:paraId="646B647A">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DE582E7">
      <w:pPr>
        <w:snapToGrid w:val="0"/>
        <w:spacing w:before="165" w:beforeLines="50" w:after="50" w:line="400" w:lineRule="exact"/>
        <w:ind w:firstLine="360" w:firstLineChars="150"/>
        <w:rPr>
          <w:rFonts w:ascii="宋体" w:hAnsi="宋体"/>
          <w:bCs/>
          <w:color w:val="auto"/>
          <w:sz w:val="24"/>
          <w:highlight w:val="none"/>
        </w:rPr>
      </w:pPr>
    </w:p>
    <w:p w14:paraId="4B3E79C0">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40DADF6">
      <w:pPr>
        <w:snapToGrid w:val="0"/>
        <w:spacing w:before="165" w:beforeLines="50" w:after="50" w:line="400" w:lineRule="exact"/>
        <w:ind w:firstLine="360" w:firstLineChars="150"/>
        <w:rPr>
          <w:rFonts w:ascii="宋体" w:hAnsi="宋体"/>
          <w:bCs/>
          <w:color w:val="auto"/>
          <w:sz w:val="24"/>
          <w:highlight w:val="none"/>
        </w:rPr>
      </w:pPr>
    </w:p>
    <w:p w14:paraId="73AB2816">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56C160FC">
      <w:pPr>
        <w:snapToGrid w:val="0"/>
        <w:spacing w:before="165" w:beforeLines="50" w:after="50" w:line="400" w:lineRule="exact"/>
        <w:ind w:firstLine="360" w:firstLineChars="150"/>
        <w:rPr>
          <w:rFonts w:ascii="宋体" w:hAnsi="宋体"/>
          <w:bCs/>
          <w:color w:val="auto"/>
          <w:sz w:val="24"/>
          <w:highlight w:val="none"/>
        </w:rPr>
      </w:pPr>
    </w:p>
    <w:p w14:paraId="3B56B2E5">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254F3510">
      <w:pPr>
        <w:snapToGrid w:val="0"/>
        <w:spacing w:before="165" w:beforeLines="50" w:after="50" w:line="400" w:lineRule="exact"/>
        <w:ind w:firstLine="360" w:firstLineChars="150"/>
        <w:rPr>
          <w:rFonts w:ascii="宋体" w:hAnsi="宋体"/>
          <w:bCs/>
          <w:color w:val="auto"/>
          <w:sz w:val="24"/>
          <w:highlight w:val="none"/>
        </w:rPr>
      </w:pPr>
    </w:p>
    <w:p w14:paraId="7C8953CD">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3A8A3CFE">
      <w:pPr>
        <w:snapToGrid w:val="0"/>
        <w:spacing w:before="165" w:beforeLines="50" w:after="50"/>
        <w:ind w:firstLine="645"/>
        <w:jc w:val="center"/>
        <w:rPr>
          <w:rFonts w:ascii="宋体" w:hAnsi="宋体"/>
          <w:color w:val="auto"/>
          <w:sz w:val="24"/>
          <w:highlight w:val="none"/>
        </w:rPr>
      </w:pPr>
    </w:p>
    <w:p w14:paraId="78AA9EEF">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62FC469">
      <w:pPr>
        <w:snapToGrid w:val="0"/>
        <w:spacing w:before="165" w:beforeLines="50" w:after="50"/>
        <w:ind w:firstLine="645"/>
        <w:jc w:val="center"/>
        <w:rPr>
          <w:rFonts w:ascii="宋体" w:hAnsi="宋体"/>
          <w:color w:val="auto"/>
          <w:sz w:val="24"/>
          <w:szCs w:val="20"/>
          <w:highlight w:val="none"/>
        </w:rPr>
      </w:pPr>
    </w:p>
    <w:p w14:paraId="66B30F29">
      <w:pPr>
        <w:snapToGrid w:val="0"/>
        <w:spacing w:before="165"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6976CCFB">
      <w:pPr>
        <w:snapToGrid w:val="0"/>
        <w:spacing w:before="50" w:after="165"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14:paraId="15A17090">
      <w:pPr>
        <w:snapToGrid w:val="0"/>
        <w:spacing w:before="165"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技术要求偏离表格式</w:t>
      </w:r>
    </w:p>
    <w:p w14:paraId="22A0E358">
      <w:pPr>
        <w:snapToGrid w:val="0"/>
        <w:spacing w:before="165" w:beforeLines="50" w:after="50"/>
        <w:ind w:left="142"/>
        <w:jc w:val="left"/>
        <w:rPr>
          <w:rFonts w:ascii="宋体" w:hAnsi="宋体"/>
          <w:b/>
          <w:color w:val="auto"/>
          <w:sz w:val="24"/>
          <w:highlight w:val="none"/>
        </w:rPr>
      </w:pPr>
    </w:p>
    <w:p w14:paraId="22458FEA">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5C2E9926">
      <w:pPr>
        <w:pStyle w:val="19"/>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3B6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AB71F48">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项号</w:t>
            </w:r>
          </w:p>
        </w:tc>
        <w:tc>
          <w:tcPr>
            <w:tcW w:w="2143" w:type="dxa"/>
            <w:vAlign w:val="center"/>
          </w:tcPr>
          <w:p w14:paraId="715742E2">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标的的名称</w:t>
            </w:r>
          </w:p>
        </w:tc>
        <w:tc>
          <w:tcPr>
            <w:tcW w:w="1834" w:type="dxa"/>
            <w:vAlign w:val="center"/>
          </w:tcPr>
          <w:p w14:paraId="59F76E29">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技术要求</w:t>
            </w:r>
          </w:p>
        </w:tc>
        <w:tc>
          <w:tcPr>
            <w:tcW w:w="2181" w:type="dxa"/>
            <w:vAlign w:val="center"/>
          </w:tcPr>
          <w:p w14:paraId="652CE90C">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投标响应</w:t>
            </w:r>
          </w:p>
        </w:tc>
        <w:tc>
          <w:tcPr>
            <w:tcW w:w="1934" w:type="dxa"/>
            <w:vAlign w:val="center"/>
          </w:tcPr>
          <w:p w14:paraId="61EF6A34">
            <w:pPr>
              <w:pStyle w:val="19"/>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偏离说明</w:t>
            </w:r>
          </w:p>
        </w:tc>
      </w:tr>
      <w:tr w14:paraId="0578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81EF2CF">
            <w:pPr>
              <w:pStyle w:val="19"/>
              <w:spacing w:line="600" w:lineRule="exact"/>
              <w:jc w:val="center"/>
              <w:rPr>
                <w:rFonts w:hAnsi="宋体" w:cs="Courier New"/>
                <w:color w:val="auto"/>
                <w:sz w:val="24"/>
                <w:szCs w:val="24"/>
                <w:highlight w:val="none"/>
              </w:rPr>
            </w:pPr>
          </w:p>
        </w:tc>
        <w:tc>
          <w:tcPr>
            <w:tcW w:w="2143" w:type="dxa"/>
            <w:vAlign w:val="center"/>
          </w:tcPr>
          <w:p w14:paraId="1375F6A6">
            <w:pPr>
              <w:pStyle w:val="19"/>
              <w:spacing w:line="600" w:lineRule="exact"/>
              <w:jc w:val="center"/>
              <w:rPr>
                <w:rFonts w:hAnsi="宋体" w:cs="Courier New"/>
                <w:color w:val="auto"/>
                <w:sz w:val="24"/>
                <w:szCs w:val="24"/>
                <w:highlight w:val="none"/>
              </w:rPr>
            </w:pPr>
          </w:p>
        </w:tc>
        <w:tc>
          <w:tcPr>
            <w:tcW w:w="1834" w:type="dxa"/>
            <w:vAlign w:val="center"/>
          </w:tcPr>
          <w:p w14:paraId="1052542F">
            <w:pPr>
              <w:pStyle w:val="19"/>
              <w:spacing w:line="600" w:lineRule="exact"/>
              <w:jc w:val="center"/>
              <w:rPr>
                <w:rFonts w:hAnsi="宋体" w:cs="Courier New"/>
                <w:color w:val="auto"/>
                <w:sz w:val="24"/>
                <w:szCs w:val="24"/>
                <w:highlight w:val="none"/>
              </w:rPr>
            </w:pPr>
          </w:p>
        </w:tc>
        <w:tc>
          <w:tcPr>
            <w:tcW w:w="2181" w:type="dxa"/>
            <w:vAlign w:val="center"/>
          </w:tcPr>
          <w:p w14:paraId="55231A69">
            <w:pPr>
              <w:pStyle w:val="19"/>
              <w:spacing w:line="600" w:lineRule="exact"/>
              <w:jc w:val="center"/>
              <w:rPr>
                <w:rFonts w:hAnsi="宋体" w:cs="Courier New"/>
                <w:color w:val="auto"/>
                <w:sz w:val="24"/>
                <w:szCs w:val="24"/>
                <w:highlight w:val="none"/>
              </w:rPr>
            </w:pPr>
          </w:p>
        </w:tc>
        <w:tc>
          <w:tcPr>
            <w:tcW w:w="1934" w:type="dxa"/>
            <w:vAlign w:val="center"/>
          </w:tcPr>
          <w:p w14:paraId="531E5132">
            <w:pPr>
              <w:pStyle w:val="19"/>
              <w:spacing w:line="600" w:lineRule="exact"/>
              <w:jc w:val="center"/>
              <w:rPr>
                <w:rFonts w:hAnsi="宋体" w:cs="Courier New"/>
                <w:color w:val="auto"/>
                <w:sz w:val="24"/>
                <w:szCs w:val="24"/>
                <w:highlight w:val="none"/>
              </w:rPr>
            </w:pPr>
          </w:p>
        </w:tc>
      </w:tr>
      <w:tr w14:paraId="16DC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786F115">
            <w:pPr>
              <w:pStyle w:val="19"/>
              <w:spacing w:line="600" w:lineRule="exact"/>
              <w:rPr>
                <w:rFonts w:hAnsi="宋体" w:cs="Courier New"/>
                <w:color w:val="auto"/>
                <w:sz w:val="24"/>
                <w:szCs w:val="24"/>
                <w:highlight w:val="none"/>
              </w:rPr>
            </w:pPr>
          </w:p>
        </w:tc>
        <w:tc>
          <w:tcPr>
            <w:tcW w:w="2143" w:type="dxa"/>
          </w:tcPr>
          <w:p w14:paraId="4B2D3E90">
            <w:pPr>
              <w:pStyle w:val="19"/>
              <w:spacing w:line="600" w:lineRule="exact"/>
              <w:rPr>
                <w:rFonts w:hAnsi="宋体" w:cs="Courier New"/>
                <w:color w:val="auto"/>
                <w:sz w:val="24"/>
                <w:szCs w:val="24"/>
                <w:highlight w:val="none"/>
              </w:rPr>
            </w:pPr>
          </w:p>
        </w:tc>
        <w:tc>
          <w:tcPr>
            <w:tcW w:w="1834" w:type="dxa"/>
          </w:tcPr>
          <w:p w14:paraId="2E26E450">
            <w:pPr>
              <w:pStyle w:val="19"/>
              <w:spacing w:line="600" w:lineRule="exact"/>
              <w:rPr>
                <w:rFonts w:hAnsi="宋体" w:cs="Courier New"/>
                <w:color w:val="auto"/>
                <w:sz w:val="24"/>
                <w:szCs w:val="24"/>
                <w:highlight w:val="none"/>
              </w:rPr>
            </w:pPr>
          </w:p>
        </w:tc>
        <w:tc>
          <w:tcPr>
            <w:tcW w:w="2181" w:type="dxa"/>
          </w:tcPr>
          <w:p w14:paraId="6B94E89A">
            <w:pPr>
              <w:pStyle w:val="19"/>
              <w:spacing w:line="600" w:lineRule="exact"/>
              <w:rPr>
                <w:rFonts w:hAnsi="宋体" w:cs="Courier New"/>
                <w:color w:val="auto"/>
                <w:sz w:val="24"/>
                <w:szCs w:val="24"/>
                <w:highlight w:val="none"/>
              </w:rPr>
            </w:pPr>
          </w:p>
        </w:tc>
        <w:tc>
          <w:tcPr>
            <w:tcW w:w="1934" w:type="dxa"/>
          </w:tcPr>
          <w:p w14:paraId="42758DAA">
            <w:pPr>
              <w:pStyle w:val="19"/>
              <w:spacing w:line="600" w:lineRule="exact"/>
              <w:rPr>
                <w:rFonts w:hAnsi="宋体" w:cs="Courier New"/>
                <w:color w:val="auto"/>
                <w:sz w:val="24"/>
                <w:szCs w:val="24"/>
                <w:highlight w:val="none"/>
              </w:rPr>
            </w:pPr>
          </w:p>
        </w:tc>
      </w:tr>
      <w:tr w14:paraId="6D2E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955AD5A">
            <w:pPr>
              <w:pStyle w:val="19"/>
              <w:spacing w:line="600" w:lineRule="exact"/>
              <w:rPr>
                <w:rFonts w:hAnsi="宋体" w:cs="Courier New"/>
                <w:color w:val="auto"/>
                <w:sz w:val="24"/>
                <w:szCs w:val="24"/>
                <w:highlight w:val="none"/>
              </w:rPr>
            </w:pPr>
          </w:p>
        </w:tc>
        <w:tc>
          <w:tcPr>
            <w:tcW w:w="2143" w:type="dxa"/>
          </w:tcPr>
          <w:p w14:paraId="67CCD080">
            <w:pPr>
              <w:pStyle w:val="19"/>
              <w:spacing w:line="600" w:lineRule="exact"/>
              <w:rPr>
                <w:rFonts w:hAnsi="宋体" w:cs="Courier New"/>
                <w:color w:val="auto"/>
                <w:sz w:val="24"/>
                <w:szCs w:val="24"/>
                <w:highlight w:val="none"/>
              </w:rPr>
            </w:pPr>
          </w:p>
        </w:tc>
        <w:tc>
          <w:tcPr>
            <w:tcW w:w="1834" w:type="dxa"/>
          </w:tcPr>
          <w:p w14:paraId="49C69C7C">
            <w:pPr>
              <w:pStyle w:val="19"/>
              <w:spacing w:line="600" w:lineRule="exact"/>
              <w:rPr>
                <w:rFonts w:hAnsi="宋体" w:cs="Courier New"/>
                <w:color w:val="auto"/>
                <w:sz w:val="24"/>
                <w:szCs w:val="24"/>
                <w:highlight w:val="none"/>
              </w:rPr>
            </w:pPr>
          </w:p>
        </w:tc>
        <w:tc>
          <w:tcPr>
            <w:tcW w:w="2181" w:type="dxa"/>
          </w:tcPr>
          <w:p w14:paraId="6560B68A">
            <w:pPr>
              <w:pStyle w:val="19"/>
              <w:spacing w:line="600" w:lineRule="exact"/>
              <w:rPr>
                <w:rFonts w:hAnsi="宋体" w:cs="Courier New"/>
                <w:color w:val="auto"/>
                <w:sz w:val="24"/>
                <w:szCs w:val="24"/>
                <w:highlight w:val="none"/>
              </w:rPr>
            </w:pPr>
          </w:p>
        </w:tc>
        <w:tc>
          <w:tcPr>
            <w:tcW w:w="1934" w:type="dxa"/>
          </w:tcPr>
          <w:p w14:paraId="0F9DAD93">
            <w:pPr>
              <w:pStyle w:val="19"/>
              <w:spacing w:line="600" w:lineRule="exact"/>
              <w:rPr>
                <w:rFonts w:hAnsi="宋体" w:cs="Courier New"/>
                <w:color w:val="auto"/>
                <w:sz w:val="24"/>
                <w:szCs w:val="24"/>
                <w:highlight w:val="none"/>
              </w:rPr>
            </w:pPr>
          </w:p>
        </w:tc>
      </w:tr>
      <w:tr w14:paraId="109C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F5B5233">
            <w:pPr>
              <w:pStyle w:val="19"/>
              <w:spacing w:line="600" w:lineRule="exact"/>
              <w:rPr>
                <w:rFonts w:hAnsi="宋体" w:cs="Courier New"/>
                <w:color w:val="auto"/>
                <w:sz w:val="24"/>
                <w:szCs w:val="24"/>
                <w:highlight w:val="none"/>
              </w:rPr>
            </w:pPr>
          </w:p>
        </w:tc>
        <w:tc>
          <w:tcPr>
            <w:tcW w:w="2143" w:type="dxa"/>
          </w:tcPr>
          <w:p w14:paraId="09836B37">
            <w:pPr>
              <w:pStyle w:val="19"/>
              <w:spacing w:line="600" w:lineRule="exact"/>
              <w:rPr>
                <w:rFonts w:hAnsi="宋体" w:cs="Courier New"/>
                <w:color w:val="auto"/>
                <w:sz w:val="24"/>
                <w:szCs w:val="24"/>
                <w:highlight w:val="none"/>
              </w:rPr>
            </w:pPr>
          </w:p>
        </w:tc>
        <w:tc>
          <w:tcPr>
            <w:tcW w:w="1834" w:type="dxa"/>
          </w:tcPr>
          <w:p w14:paraId="78BC56A1">
            <w:pPr>
              <w:pStyle w:val="19"/>
              <w:spacing w:line="600" w:lineRule="exact"/>
              <w:rPr>
                <w:rFonts w:hAnsi="宋体" w:cs="Courier New"/>
                <w:color w:val="auto"/>
                <w:sz w:val="24"/>
                <w:szCs w:val="24"/>
                <w:highlight w:val="none"/>
              </w:rPr>
            </w:pPr>
          </w:p>
        </w:tc>
        <w:tc>
          <w:tcPr>
            <w:tcW w:w="2181" w:type="dxa"/>
          </w:tcPr>
          <w:p w14:paraId="35FF5782">
            <w:pPr>
              <w:pStyle w:val="19"/>
              <w:spacing w:line="600" w:lineRule="exact"/>
              <w:rPr>
                <w:rFonts w:hAnsi="宋体" w:cs="Courier New"/>
                <w:color w:val="auto"/>
                <w:sz w:val="24"/>
                <w:szCs w:val="24"/>
                <w:highlight w:val="none"/>
              </w:rPr>
            </w:pPr>
          </w:p>
        </w:tc>
        <w:tc>
          <w:tcPr>
            <w:tcW w:w="1934" w:type="dxa"/>
          </w:tcPr>
          <w:p w14:paraId="67CFBA5E">
            <w:pPr>
              <w:pStyle w:val="19"/>
              <w:spacing w:line="600" w:lineRule="exact"/>
              <w:rPr>
                <w:rFonts w:hAnsi="宋体" w:cs="Courier New"/>
                <w:color w:val="auto"/>
                <w:sz w:val="24"/>
                <w:szCs w:val="24"/>
                <w:highlight w:val="none"/>
              </w:rPr>
            </w:pPr>
          </w:p>
        </w:tc>
      </w:tr>
      <w:tr w14:paraId="4444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DF76BE9">
            <w:pPr>
              <w:pStyle w:val="19"/>
              <w:spacing w:line="600" w:lineRule="exact"/>
              <w:rPr>
                <w:rFonts w:hAnsi="宋体" w:cs="Courier New"/>
                <w:color w:val="auto"/>
                <w:sz w:val="24"/>
                <w:szCs w:val="24"/>
                <w:highlight w:val="none"/>
              </w:rPr>
            </w:pPr>
          </w:p>
        </w:tc>
        <w:tc>
          <w:tcPr>
            <w:tcW w:w="2143" w:type="dxa"/>
          </w:tcPr>
          <w:p w14:paraId="3BE77E25">
            <w:pPr>
              <w:pStyle w:val="19"/>
              <w:spacing w:line="600" w:lineRule="exact"/>
              <w:rPr>
                <w:rFonts w:hAnsi="宋体" w:cs="Courier New"/>
                <w:color w:val="auto"/>
                <w:sz w:val="24"/>
                <w:szCs w:val="24"/>
                <w:highlight w:val="none"/>
              </w:rPr>
            </w:pPr>
          </w:p>
        </w:tc>
        <w:tc>
          <w:tcPr>
            <w:tcW w:w="1834" w:type="dxa"/>
          </w:tcPr>
          <w:p w14:paraId="75A679D7">
            <w:pPr>
              <w:pStyle w:val="19"/>
              <w:spacing w:line="600" w:lineRule="exact"/>
              <w:rPr>
                <w:rFonts w:hAnsi="宋体" w:cs="Courier New"/>
                <w:color w:val="auto"/>
                <w:sz w:val="24"/>
                <w:szCs w:val="24"/>
                <w:highlight w:val="none"/>
              </w:rPr>
            </w:pPr>
          </w:p>
        </w:tc>
        <w:tc>
          <w:tcPr>
            <w:tcW w:w="2181" w:type="dxa"/>
          </w:tcPr>
          <w:p w14:paraId="5EE58144">
            <w:pPr>
              <w:pStyle w:val="19"/>
              <w:spacing w:line="600" w:lineRule="exact"/>
              <w:rPr>
                <w:rFonts w:hAnsi="宋体" w:cs="Courier New"/>
                <w:color w:val="auto"/>
                <w:sz w:val="24"/>
                <w:szCs w:val="24"/>
                <w:highlight w:val="none"/>
              </w:rPr>
            </w:pPr>
          </w:p>
        </w:tc>
        <w:tc>
          <w:tcPr>
            <w:tcW w:w="1934" w:type="dxa"/>
          </w:tcPr>
          <w:p w14:paraId="059AAEFC">
            <w:pPr>
              <w:pStyle w:val="19"/>
              <w:spacing w:line="600" w:lineRule="exact"/>
              <w:rPr>
                <w:rFonts w:hAnsi="宋体" w:cs="Courier New"/>
                <w:color w:val="auto"/>
                <w:sz w:val="24"/>
                <w:szCs w:val="24"/>
                <w:highlight w:val="none"/>
              </w:rPr>
            </w:pPr>
          </w:p>
        </w:tc>
      </w:tr>
      <w:tr w14:paraId="16E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2E21B83">
            <w:pPr>
              <w:pStyle w:val="19"/>
              <w:spacing w:line="600" w:lineRule="exact"/>
              <w:rPr>
                <w:rFonts w:hAnsi="宋体" w:cs="Courier New"/>
                <w:color w:val="auto"/>
                <w:sz w:val="24"/>
                <w:szCs w:val="24"/>
                <w:highlight w:val="none"/>
              </w:rPr>
            </w:pPr>
          </w:p>
        </w:tc>
        <w:tc>
          <w:tcPr>
            <w:tcW w:w="2143" w:type="dxa"/>
          </w:tcPr>
          <w:p w14:paraId="73FF5543">
            <w:pPr>
              <w:pStyle w:val="19"/>
              <w:spacing w:line="600" w:lineRule="exact"/>
              <w:rPr>
                <w:rFonts w:hAnsi="宋体" w:cs="Courier New"/>
                <w:color w:val="auto"/>
                <w:sz w:val="24"/>
                <w:szCs w:val="24"/>
                <w:highlight w:val="none"/>
              </w:rPr>
            </w:pPr>
          </w:p>
        </w:tc>
        <w:tc>
          <w:tcPr>
            <w:tcW w:w="1834" w:type="dxa"/>
          </w:tcPr>
          <w:p w14:paraId="0FA18212">
            <w:pPr>
              <w:pStyle w:val="19"/>
              <w:spacing w:line="600" w:lineRule="exact"/>
              <w:rPr>
                <w:rFonts w:hAnsi="宋体" w:cs="Courier New"/>
                <w:color w:val="auto"/>
                <w:sz w:val="24"/>
                <w:szCs w:val="24"/>
                <w:highlight w:val="none"/>
              </w:rPr>
            </w:pPr>
          </w:p>
        </w:tc>
        <w:tc>
          <w:tcPr>
            <w:tcW w:w="2181" w:type="dxa"/>
          </w:tcPr>
          <w:p w14:paraId="7C482B48">
            <w:pPr>
              <w:pStyle w:val="19"/>
              <w:spacing w:line="600" w:lineRule="exact"/>
              <w:rPr>
                <w:rFonts w:hAnsi="宋体" w:cs="Courier New"/>
                <w:color w:val="auto"/>
                <w:sz w:val="24"/>
                <w:szCs w:val="24"/>
                <w:highlight w:val="none"/>
              </w:rPr>
            </w:pPr>
          </w:p>
        </w:tc>
        <w:tc>
          <w:tcPr>
            <w:tcW w:w="1934" w:type="dxa"/>
          </w:tcPr>
          <w:p w14:paraId="3ABB6E38">
            <w:pPr>
              <w:pStyle w:val="19"/>
              <w:spacing w:line="600" w:lineRule="exact"/>
              <w:rPr>
                <w:rFonts w:hAnsi="宋体" w:cs="Courier New"/>
                <w:color w:val="auto"/>
                <w:sz w:val="24"/>
                <w:szCs w:val="24"/>
                <w:highlight w:val="none"/>
              </w:rPr>
            </w:pPr>
          </w:p>
        </w:tc>
      </w:tr>
    </w:tbl>
    <w:p w14:paraId="6B4A31B7">
      <w:pPr>
        <w:pStyle w:val="15"/>
        <w:rPr>
          <w:rFonts w:ascii="宋体" w:hAnsi="宋体"/>
          <w:color w:val="auto"/>
          <w:highlight w:val="none"/>
        </w:rPr>
      </w:pPr>
    </w:p>
    <w:p w14:paraId="3C4F2FAD">
      <w:pPr>
        <w:pStyle w:val="15"/>
        <w:spacing w:after="0" w:line="400" w:lineRule="exact"/>
        <w:rPr>
          <w:rFonts w:ascii="宋体" w:hAnsi="宋体"/>
          <w:color w:val="auto"/>
          <w:sz w:val="21"/>
          <w:szCs w:val="21"/>
          <w:highlight w:val="none"/>
        </w:rPr>
      </w:pPr>
      <w:r>
        <w:rPr>
          <w:rFonts w:hint="eastAsia" w:ascii="宋体" w:hAnsi="宋体"/>
          <w:color w:val="auto"/>
          <w:sz w:val="21"/>
          <w:szCs w:val="21"/>
          <w:highlight w:val="none"/>
        </w:rPr>
        <w:t>注：</w:t>
      </w:r>
    </w:p>
    <w:p w14:paraId="16EC82FE">
      <w:pPr>
        <w:pStyle w:val="16"/>
        <w:spacing w:line="400" w:lineRule="exact"/>
        <w:ind w:firstLine="0"/>
        <w:contextualSpacing/>
        <w:rPr>
          <w:rFonts w:hAnsi="仿宋_GB2312" w:cs="仿宋_GB2312"/>
          <w:color w:val="auto"/>
          <w:sz w:val="21"/>
          <w:szCs w:val="21"/>
          <w:highlight w:val="none"/>
        </w:rPr>
      </w:pPr>
      <w:r>
        <w:rPr>
          <w:rFonts w:hint="eastAsia" w:hAnsi="宋体"/>
          <w:color w:val="auto"/>
          <w:sz w:val="21"/>
          <w:szCs w:val="21"/>
          <w:highlight w:val="none"/>
        </w:rPr>
        <w:t>1.说明：应对照招标文件“第二章 采购需求”中的“技术要求”逐条作明确的投标响应，并作出偏离说明。</w:t>
      </w:r>
    </w:p>
    <w:p w14:paraId="419AD7EF">
      <w:pPr>
        <w:pStyle w:val="15"/>
        <w:spacing w:after="0" w:line="400" w:lineRule="exact"/>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投标人应根据自身的承诺，对照招标文件要求，在“偏离说明”中注明“正偏离”、“负偏离”或者“无偏离”。既不属于“正偏离”也不属于“负偏离”即为“无偏离”。</w:t>
      </w:r>
    </w:p>
    <w:p w14:paraId="7F622DB0">
      <w:pPr>
        <w:snapToGrid w:val="0"/>
        <w:spacing w:line="400" w:lineRule="exact"/>
        <w:rPr>
          <w:rFonts w:ascii="宋体" w:hAnsi="宋体"/>
          <w:color w:val="auto"/>
          <w:szCs w:val="21"/>
          <w:highlight w:val="none"/>
        </w:rPr>
      </w:pPr>
    </w:p>
    <w:p w14:paraId="4FE109E7">
      <w:pPr>
        <w:snapToGrid w:val="0"/>
        <w:spacing w:line="400" w:lineRule="exact"/>
        <w:rPr>
          <w:rFonts w:ascii="宋体" w:hAnsi="宋体"/>
          <w:color w:val="auto"/>
          <w:szCs w:val="21"/>
          <w:highlight w:val="none"/>
        </w:rPr>
      </w:pPr>
    </w:p>
    <w:p w14:paraId="31C7E9E2">
      <w:pPr>
        <w:snapToGrid w:val="0"/>
        <w:spacing w:line="400" w:lineRule="exact"/>
        <w:rPr>
          <w:rFonts w:ascii="宋体" w:hAnsi="宋体"/>
          <w:color w:val="auto"/>
          <w:szCs w:val="21"/>
          <w:highlight w:val="none"/>
        </w:rPr>
      </w:pPr>
    </w:p>
    <w:p w14:paraId="1C405353">
      <w:pPr>
        <w:snapToGrid w:val="0"/>
        <w:spacing w:line="400" w:lineRule="exact"/>
        <w:rPr>
          <w:rFonts w:ascii="宋体" w:hAnsi="宋体"/>
          <w:color w:val="auto"/>
          <w:spacing w:val="20"/>
          <w:szCs w:val="21"/>
          <w:highlight w:val="none"/>
          <w:u w:val="single"/>
        </w:rPr>
      </w:pPr>
      <w:r>
        <w:rPr>
          <w:rFonts w:hint="eastAsia" w:ascii="宋体" w:hAnsi="宋体"/>
          <w:color w:val="auto"/>
          <w:szCs w:val="21"/>
          <w:highlight w:val="none"/>
        </w:rPr>
        <w:t>法定代表人或者委托代理人</w:t>
      </w:r>
      <w:r>
        <w:rPr>
          <w:rFonts w:hint="eastAsia" w:ascii="宋体" w:hAnsi="宋体"/>
          <w:color w:val="auto"/>
          <w:spacing w:val="20"/>
          <w:szCs w:val="21"/>
          <w:highlight w:val="none"/>
        </w:rPr>
        <w:t>（签字）：</w:t>
      </w:r>
      <w:r>
        <w:rPr>
          <w:rFonts w:hint="eastAsia" w:ascii="宋体" w:hAnsi="宋体"/>
          <w:color w:val="auto"/>
          <w:spacing w:val="20"/>
          <w:szCs w:val="21"/>
          <w:highlight w:val="none"/>
          <w:u w:val="single"/>
        </w:rPr>
        <w:t xml:space="preserve">        </w:t>
      </w:r>
    </w:p>
    <w:p w14:paraId="52C21C80">
      <w:pPr>
        <w:snapToGrid w:val="0"/>
        <w:spacing w:line="400" w:lineRule="exact"/>
        <w:rPr>
          <w:rFonts w:ascii="宋体" w:hAnsi="宋体"/>
          <w:color w:val="auto"/>
          <w:spacing w:val="20"/>
          <w:sz w:val="24"/>
          <w:highlight w:val="none"/>
          <w:u w:val="single"/>
        </w:rPr>
      </w:pPr>
      <w:r>
        <w:rPr>
          <w:rFonts w:hint="eastAsia" w:ascii="宋体" w:hAnsi="宋体"/>
          <w:color w:val="auto"/>
          <w:spacing w:val="20"/>
          <w:szCs w:val="21"/>
          <w:highlight w:val="none"/>
        </w:rPr>
        <w:t>投标人（盖公章）：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r>
        <w:rPr>
          <w:rFonts w:hint="eastAsia" w:ascii="宋体" w:hAnsi="宋体"/>
          <w:color w:val="auto"/>
          <w:spacing w:val="20"/>
          <w:sz w:val="24"/>
          <w:highlight w:val="none"/>
          <w:u w:val="single"/>
        </w:rPr>
        <w:t xml:space="preserve"> </w:t>
      </w:r>
    </w:p>
    <w:p w14:paraId="4EC8FD23">
      <w:pPr>
        <w:snapToGrid w:val="0"/>
        <w:spacing w:before="50" w:after="50" w:line="360" w:lineRule="auto"/>
        <w:rPr>
          <w:rFonts w:ascii="宋体" w:hAnsi="宋体"/>
          <w:color w:val="auto"/>
          <w:sz w:val="24"/>
          <w:szCs w:val="20"/>
          <w:highlight w:val="none"/>
        </w:rPr>
      </w:pPr>
    </w:p>
    <w:p w14:paraId="0BD4F80C">
      <w:pPr>
        <w:snapToGrid w:val="0"/>
        <w:spacing w:before="165"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项目实施人员一览表格式</w:t>
      </w:r>
    </w:p>
    <w:p w14:paraId="1B654210">
      <w:pPr>
        <w:snapToGrid w:val="0"/>
        <w:spacing w:before="165" w:beforeLines="50" w:after="50"/>
        <w:ind w:left="142"/>
        <w:jc w:val="left"/>
        <w:rPr>
          <w:rFonts w:ascii="宋体" w:hAnsi="宋体"/>
          <w:b/>
          <w:color w:val="auto"/>
          <w:sz w:val="24"/>
          <w:highlight w:val="none"/>
        </w:rPr>
      </w:pPr>
    </w:p>
    <w:p w14:paraId="1D285D1D">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E262B19">
      <w:pPr>
        <w:pStyle w:val="19"/>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B8E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0FC662">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7C80601">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20A070F4">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15AB7C9F">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7B9B35ED">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42CBB05A">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4C6A2480">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14EC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A614DA">
            <w:pPr>
              <w:snapToGrid w:val="0"/>
              <w:spacing w:before="50" w:after="165" w:afterLines="50"/>
              <w:jc w:val="center"/>
              <w:rPr>
                <w:rFonts w:ascii="宋体" w:hAnsi="宋体"/>
                <w:color w:val="auto"/>
                <w:sz w:val="24"/>
                <w:szCs w:val="20"/>
                <w:highlight w:val="none"/>
              </w:rPr>
            </w:pPr>
          </w:p>
        </w:tc>
        <w:tc>
          <w:tcPr>
            <w:tcW w:w="709" w:type="dxa"/>
            <w:vAlign w:val="center"/>
          </w:tcPr>
          <w:p w14:paraId="25747E30">
            <w:pPr>
              <w:snapToGrid w:val="0"/>
              <w:spacing w:before="50" w:after="165" w:afterLines="50"/>
              <w:jc w:val="center"/>
              <w:rPr>
                <w:rFonts w:ascii="宋体" w:hAnsi="宋体"/>
                <w:color w:val="auto"/>
                <w:sz w:val="24"/>
                <w:szCs w:val="20"/>
                <w:highlight w:val="none"/>
              </w:rPr>
            </w:pPr>
          </w:p>
        </w:tc>
        <w:tc>
          <w:tcPr>
            <w:tcW w:w="1701" w:type="dxa"/>
            <w:vAlign w:val="center"/>
          </w:tcPr>
          <w:p w14:paraId="0FC83944">
            <w:pPr>
              <w:snapToGrid w:val="0"/>
              <w:spacing w:before="50" w:after="165" w:afterLines="50"/>
              <w:jc w:val="center"/>
              <w:rPr>
                <w:rFonts w:ascii="宋体" w:hAnsi="宋体"/>
                <w:color w:val="auto"/>
                <w:sz w:val="24"/>
                <w:szCs w:val="20"/>
                <w:highlight w:val="none"/>
              </w:rPr>
            </w:pPr>
          </w:p>
        </w:tc>
        <w:tc>
          <w:tcPr>
            <w:tcW w:w="1420" w:type="dxa"/>
            <w:vAlign w:val="center"/>
          </w:tcPr>
          <w:p w14:paraId="623285A1">
            <w:pPr>
              <w:snapToGrid w:val="0"/>
              <w:spacing w:before="50" w:after="165" w:afterLines="50"/>
              <w:jc w:val="center"/>
              <w:rPr>
                <w:rFonts w:ascii="宋体" w:hAnsi="宋体"/>
                <w:color w:val="auto"/>
                <w:sz w:val="24"/>
                <w:szCs w:val="20"/>
                <w:highlight w:val="none"/>
              </w:rPr>
            </w:pPr>
          </w:p>
        </w:tc>
        <w:tc>
          <w:tcPr>
            <w:tcW w:w="1698" w:type="dxa"/>
            <w:vAlign w:val="center"/>
          </w:tcPr>
          <w:p w14:paraId="2822C1E0">
            <w:pPr>
              <w:snapToGrid w:val="0"/>
              <w:spacing w:before="50" w:after="165" w:afterLines="50"/>
              <w:jc w:val="center"/>
              <w:rPr>
                <w:rFonts w:ascii="宋体" w:hAnsi="宋体"/>
                <w:color w:val="auto"/>
                <w:sz w:val="24"/>
                <w:szCs w:val="20"/>
                <w:highlight w:val="none"/>
              </w:rPr>
            </w:pPr>
          </w:p>
        </w:tc>
        <w:tc>
          <w:tcPr>
            <w:tcW w:w="1843" w:type="dxa"/>
            <w:vAlign w:val="center"/>
          </w:tcPr>
          <w:p w14:paraId="2ABEE710">
            <w:pPr>
              <w:snapToGrid w:val="0"/>
              <w:spacing w:before="50" w:after="165" w:afterLines="50"/>
              <w:jc w:val="center"/>
              <w:rPr>
                <w:rFonts w:ascii="宋体" w:hAnsi="宋体"/>
                <w:color w:val="auto"/>
                <w:sz w:val="24"/>
                <w:szCs w:val="20"/>
                <w:highlight w:val="none"/>
              </w:rPr>
            </w:pPr>
          </w:p>
        </w:tc>
      </w:tr>
      <w:tr w14:paraId="6E03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4FA018">
            <w:pPr>
              <w:snapToGrid w:val="0"/>
              <w:spacing w:before="50" w:after="165" w:afterLines="50"/>
              <w:jc w:val="center"/>
              <w:rPr>
                <w:rFonts w:ascii="宋体" w:hAnsi="宋体"/>
                <w:color w:val="auto"/>
                <w:sz w:val="24"/>
                <w:szCs w:val="20"/>
                <w:highlight w:val="none"/>
              </w:rPr>
            </w:pPr>
          </w:p>
        </w:tc>
        <w:tc>
          <w:tcPr>
            <w:tcW w:w="709" w:type="dxa"/>
            <w:vAlign w:val="center"/>
          </w:tcPr>
          <w:p w14:paraId="625A0EA4">
            <w:pPr>
              <w:snapToGrid w:val="0"/>
              <w:spacing w:before="50" w:after="165" w:afterLines="50"/>
              <w:jc w:val="center"/>
              <w:rPr>
                <w:rFonts w:ascii="宋体" w:hAnsi="宋体"/>
                <w:color w:val="auto"/>
                <w:sz w:val="24"/>
                <w:szCs w:val="20"/>
                <w:highlight w:val="none"/>
              </w:rPr>
            </w:pPr>
          </w:p>
        </w:tc>
        <w:tc>
          <w:tcPr>
            <w:tcW w:w="1701" w:type="dxa"/>
            <w:vAlign w:val="center"/>
          </w:tcPr>
          <w:p w14:paraId="22CFC9A5">
            <w:pPr>
              <w:snapToGrid w:val="0"/>
              <w:spacing w:before="50" w:after="165" w:afterLines="50"/>
              <w:jc w:val="center"/>
              <w:rPr>
                <w:rFonts w:ascii="宋体" w:hAnsi="宋体"/>
                <w:color w:val="auto"/>
                <w:sz w:val="24"/>
                <w:szCs w:val="20"/>
                <w:highlight w:val="none"/>
              </w:rPr>
            </w:pPr>
          </w:p>
        </w:tc>
        <w:tc>
          <w:tcPr>
            <w:tcW w:w="1420" w:type="dxa"/>
            <w:vAlign w:val="center"/>
          </w:tcPr>
          <w:p w14:paraId="022C6148">
            <w:pPr>
              <w:snapToGrid w:val="0"/>
              <w:spacing w:before="50" w:after="165" w:afterLines="50"/>
              <w:jc w:val="center"/>
              <w:rPr>
                <w:rFonts w:ascii="宋体" w:hAnsi="宋体"/>
                <w:color w:val="auto"/>
                <w:sz w:val="24"/>
                <w:szCs w:val="20"/>
                <w:highlight w:val="none"/>
              </w:rPr>
            </w:pPr>
          </w:p>
        </w:tc>
        <w:tc>
          <w:tcPr>
            <w:tcW w:w="1698" w:type="dxa"/>
            <w:vAlign w:val="center"/>
          </w:tcPr>
          <w:p w14:paraId="4246C3AC">
            <w:pPr>
              <w:snapToGrid w:val="0"/>
              <w:spacing w:before="50" w:after="165" w:afterLines="50"/>
              <w:jc w:val="center"/>
              <w:rPr>
                <w:rFonts w:ascii="宋体" w:hAnsi="宋体"/>
                <w:color w:val="auto"/>
                <w:sz w:val="24"/>
                <w:szCs w:val="20"/>
                <w:highlight w:val="none"/>
              </w:rPr>
            </w:pPr>
          </w:p>
        </w:tc>
        <w:tc>
          <w:tcPr>
            <w:tcW w:w="1843" w:type="dxa"/>
            <w:vAlign w:val="center"/>
          </w:tcPr>
          <w:p w14:paraId="0FFE9065">
            <w:pPr>
              <w:snapToGrid w:val="0"/>
              <w:spacing w:before="50" w:after="165" w:afterLines="50"/>
              <w:jc w:val="center"/>
              <w:rPr>
                <w:rFonts w:ascii="宋体" w:hAnsi="宋体"/>
                <w:color w:val="auto"/>
                <w:sz w:val="24"/>
                <w:szCs w:val="20"/>
                <w:highlight w:val="none"/>
              </w:rPr>
            </w:pPr>
          </w:p>
        </w:tc>
      </w:tr>
      <w:tr w14:paraId="5E50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3F9039">
            <w:pPr>
              <w:snapToGrid w:val="0"/>
              <w:spacing w:before="50" w:after="165" w:afterLines="50"/>
              <w:jc w:val="center"/>
              <w:rPr>
                <w:rFonts w:ascii="宋体" w:hAnsi="宋体"/>
                <w:color w:val="auto"/>
                <w:sz w:val="24"/>
                <w:szCs w:val="20"/>
                <w:highlight w:val="none"/>
              </w:rPr>
            </w:pPr>
          </w:p>
        </w:tc>
        <w:tc>
          <w:tcPr>
            <w:tcW w:w="709" w:type="dxa"/>
            <w:vAlign w:val="center"/>
          </w:tcPr>
          <w:p w14:paraId="5089151A">
            <w:pPr>
              <w:snapToGrid w:val="0"/>
              <w:spacing w:before="50" w:after="165" w:afterLines="50"/>
              <w:jc w:val="center"/>
              <w:rPr>
                <w:rFonts w:ascii="宋体" w:hAnsi="宋体"/>
                <w:color w:val="auto"/>
                <w:sz w:val="24"/>
                <w:szCs w:val="20"/>
                <w:highlight w:val="none"/>
              </w:rPr>
            </w:pPr>
          </w:p>
        </w:tc>
        <w:tc>
          <w:tcPr>
            <w:tcW w:w="1701" w:type="dxa"/>
            <w:vAlign w:val="center"/>
          </w:tcPr>
          <w:p w14:paraId="7CEAB617">
            <w:pPr>
              <w:snapToGrid w:val="0"/>
              <w:spacing w:before="50" w:after="165" w:afterLines="50"/>
              <w:jc w:val="center"/>
              <w:rPr>
                <w:rFonts w:ascii="宋体" w:hAnsi="宋体"/>
                <w:color w:val="auto"/>
                <w:sz w:val="24"/>
                <w:szCs w:val="20"/>
                <w:highlight w:val="none"/>
              </w:rPr>
            </w:pPr>
          </w:p>
        </w:tc>
        <w:tc>
          <w:tcPr>
            <w:tcW w:w="1420" w:type="dxa"/>
            <w:vAlign w:val="center"/>
          </w:tcPr>
          <w:p w14:paraId="7BA8E409">
            <w:pPr>
              <w:snapToGrid w:val="0"/>
              <w:spacing w:before="50" w:after="165" w:afterLines="50"/>
              <w:jc w:val="center"/>
              <w:rPr>
                <w:rFonts w:ascii="宋体" w:hAnsi="宋体"/>
                <w:color w:val="auto"/>
                <w:sz w:val="24"/>
                <w:szCs w:val="20"/>
                <w:highlight w:val="none"/>
              </w:rPr>
            </w:pPr>
          </w:p>
        </w:tc>
        <w:tc>
          <w:tcPr>
            <w:tcW w:w="1698" w:type="dxa"/>
            <w:vAlign w:val="center"/>
          </w:tcPr>
          <w:p w14:paraId="56D3312B">
            <w:pPr>
              <w:snapToGrid w:val="0"/>
              <w:spacing w:before="50" w:after="165" w:afterLines="50"/>
              <w:jc w:val="center"/>
              <w:rPr>
                <w:rFonts w:ascii="宋体" w:hAnsi="宋体"/>
                <w:color w:val="auto"/>
                <w:sz w:val="24"/>
                <w:szCs w:val="20"/>
                <w:highlight w:val="none"/>
              </w:rPr>
            </w:pPr>
          </w:p>
        </w:tc>
        <w:tc>
          <w:tcPr>
            <w:tcW w:w="1843" w:type="dxa"/>
            <w:vAlign w:val="center"/>
          </w:tcPr>
          <w:p w14:paraId="1E10996B">
            <w:pPr>
              <w:snapToGrid w:val="0"/>
              <w:spacing w:before="50" w:after="165" w:afterLines="50"/>
              <w:jc w:val="center"/>
              <w:rPr>
                <w:rFonts w:ascii="宋体" w:hAnsi="宋体"/>
                <w:color w:val="auto"/>
                <w:sz w:val="24"/>
                <w:szCs w:val="20"/>
                <w:highlight w:val="none"/>
              </w:rPr>
            </w:pPr>
          </w:p>
        </w:tc>
      </w:tr>
    </w:tbl>
    <w:p w14:paraId="00A8CF8A">
      <w:pPr>
        <w:snapToGrid w:val="0"/>
        <w:spacing w:before="50" w:after="165" w:afterLines="50"/>
        <w:jc w:val="left"/>
        <w:rPr>
          <w:rFonts w:ascii="宋体" w:hAnsi="宋体"/>
          <w:color w:val="auto"/>
          <w:sz w:val="24"/>
          <w:szCs w:val="20"/>
          <w:highlight w:val="none"/>
        </w:rPr>
      </w:pPr>
    </w:p>
    <w:p w14:paraId="5AAEDDA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472FBD6F">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710AF40F">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14:paraId="724DA290">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07A68B23">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FCD5402">
      <w:pPr>
        <w:snapToGrid w:val="0"/>
        <w:spacing w:before="50" w:after="165" w:afterLines="50"/>
        <w:jc w:val="left"/>
        <w:rPr>
          <w:rFonts w:ascii="宋体" w:hAnsi="宋体"/>
          <w:color w:val="auto"/>
          <w:sz w:val="24"/>
          <w:szCs w:val="20"/>
          <w:highlight w:val="none"/>
        </w:rPr>
      </w:pPr>
    </w:p>
    <w:p w14:paraId="0C1A2B37">
      <w:pPr>
        <w:snapToGrid w:val="0"/>
        <w:spacing w:before="165" w:beforeLines="50" w:after="50"/>
        <w:ind w:left="142"/>
        <w:jc w:val="left"/>
        <w:rPr>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五、其他文书、文件格式</w:t>
      </w:r>
    </w:p>
    <w:p w14:paraId="6BF152B9">
      <w:pPr>
        <w:snapToGrid w:val="0"/>
        <w:spacing w:before="165" w:beforeLines="50" w:after="50"/>
        <w:jc w:val="left"/>
        <w:rPr>
          <w:rFonts w:ascii="宋体" w:hAnsi="宋体"/>
          <w:b/>
          <w:color w:val="auto"/>
          <w:sz w:val="24"/>
          <w:highlight w:val="none"/>
        </w:rPr>
      </w:pPr>
    </w:p>
    <w:p w14:paraId="2AB8E8D4">
      <w:pPr>
        <w:snapToGrid w:val="0"/>
        <w:spacing w:before="165" w:beforeLines="50" w:after="50"/>
        <w:jc w:val="left"/>
        <w:rPr>
          <w:color w:val="auto"/>
          <w:highlight w:val="none"/>
        </w:rPr>
      </w:pPr>
      <w:r>
        <w:rPr>
          <w:rFonts w:hint="eastAsia" w:ascii="宋体" w:hAnsi="宋体"/>
          <w:b/>
          <w:color w:val="auto"/>
          <w:sz w:val="24"/>
          <w:highlight w:val="none"/>
        </w:rPr>
        <w:t xml:space="preserve"> 1.中小企业声明函格式</w:t>
      </w:r>
    </w:p>
    <w:p w14:paraId="649F0137">
      <w:pPr>
        <w:rPr>
          <w:color w:val="auto"/>
          <w:highlight w:val="none"/>
        </w:rPr>
      </w:pPr>
    </w:p>
    <w:p w14:paraId="3DC550BD">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4FBE9D1D">
      <w:pPr>
        <w:spacing w:before="2" w:line="500" w:lineRule="exact"/>
        <w:rPr>
          <w:rFonts w:ascii="宋体" w:hAnsi="宋体" w:cs="宋体"/>
          <w:b/>
          <w:bCs/>
          <w:color w:val="auto"/>
          <w:sz w:val="27"/>
          <w:szCs w:val="27"/>
          <w:highlight w:val="none"/>
        </w:rPr>
      </w:pPr>
    </w:p>
    <w:p w14:paraId="2989E8EA">
      <w:pPr>
        <w:pStyle w:val="2"/>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7A2149EB">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w:t>
      </w:r>
      <w:r>
        <w:rPr>
          <w:rFonts w:hint="eastAsia" w:ascii="宋体" w:hAnsi="宋体"/>
          <w:color w:val="auto"/>
          <w:kern w:val="24"/>
          <w:sz w:val="24"/>
          <w:highlight w:val="none"/>
        </w:rPr>
        <w:t>承接企业</w:t>
      </w:r>
      <w:r>
        <w:rPr>
          <w:rFonts w:ascii="宋体" w:hAnsi="宋体"/>
          <w:color w:val="auto"/>
          <w:kern w:val="24"/>
          <w:sz w:val="24"/>
          <w:highlight w:val="none"/>
        </w:rPr>
        <w:t>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06335907">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w:t>
      </w:r>
      <w:r>
        <w:rPr>
          <w:rFonts w:hint="eastAsia" w:ascii="宋体" w:hAnsi="宋体"/>
          <w:color w:val="auto"/>
          <w:kern w:val="24"/>
          <w:sz w:val="24"/>
          <w:highlight w:val="none"/>
        </w:rPr>
        <w:t>承接企业</w:t>
      </w:r>
      <w:r>
        <w:rPr>
          <w:rFonts w:ascii="宋体" w:hAnsi="宋体"/>
          <w:color w:val="auto"/>
          <w:kern w:val="24"/>
          <w:sz w:val="24"/>
          <w:highlight w:val="none"/>
        </w:rPr>
        <w:t>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5AD91310">
      <w:pPr>
        <w:pStyle w:val="2"/>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228970F2">
      <w:pPr>
        <w:pStyle w:val="2"/>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013C1BE1">
      <w:pPr>
        <w:pStyle w:val="2"/>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E14B67D">
      <w:pPr>
        <w:pStyle w:val="2"/>
        <w:spacing w:line="360" w:lineRule="auto"/>
        <w:ind w:left="3960" w:right="1808"/>
        <w:contextualSpacing/>
        <w:rPr>
          <w:rFonts w:ascii="宋体" w:hAnsi="宋体"/>
          <w:color w:val="auto"/>
          <w:kern w:val="24"/>
          <w:highlight w:val="none"/>
        </w:rPr>
      </w:pPr>
    </w:p>
    <w:p w14:paraId="4777F110">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14:paraId="500DB6B2">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38011737">
      <w:pPr>
        <w:pStyle w:val="2"/>
        <w:spacing w:line="360" w:lineRule="auto"/>
        <w:ind w:left="3960" w:right="1808"/>
        <w:contextualSpacing/>
        <w:rPr>
          <w:rFonts w:ascii="宋体" w:hAnsi="宋体"/>
          <w:color w:val="auto"/>
          <w:kern w:val="24"/>
          <w:highlight w:val="none"/>
        </w:rPr>
      </w:pPr>
    </w:p>
    <w:p w14:paraId="053F7BD9">
      <w:pPr>
        <w:pStyle w:val="2"/>
        <w:spacing w:line="360" w:lineRule="auto"/>
        <w:ind w:left="3960" w:right="1808"/>
        <w:contextualSpacing/>
        <w:rPr>
          <w:rFonts w:ascii="宋体" w:hAnsi="宋体"/>
          <w:color w:val="auto"/>
          <w:kern w:val="24"/>
          <w:highlight w:val="none"/>
        </w:rPr>
      </w:pPr>
    </w:p>
    <w:p w14:paraId="6DF29EE2">
      <w:pPr>
        <w:pStyle w:val="2"/>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571F09E">
      <w:pPr>
        <w:snapToGrid w:val="0"/>
        <w:spacing w:before="165" w:beforeLines="50" w:after="50"/>
        <w:ind w:left="142"/>
        <w:jc w:val="left"/>
        <w:rPr>
          <w:rFonts w:ascii="宋体" w:hAnsi="宋体"/>
          <w:b/>
          <w:color w:val="auto"/>
          <w:sz w:val="24"/>
          <w:highlight w:val="none"/>
        </w:rPr>
      </w:pPr>
    </w:p>
    <w:p w14:paraId="7211E174">
      <w:pPr>
        <w:pStyle w:val="19"/>
        <w:jc w:val="left"/>
        <w:rPr>
          <w:rFonts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14:paraId="6BCDF176">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3049616A">
      <w:pPr>
        <w:ind w:left="1871"/>
        <w:rPr>
          <w:rFonts w:ascii="宋体" w:hAnsi="宋体" w:cs="Arial Unicode MS"/>
          <w:color w:val="auto"/>
          <w:szCs w:val="21"/>
          <w:highlight w:val="none"/>
        </w:rPr>
      </w:pPr>
    </w:p>
    <w:tbl>
      <w:tblPr>
        <w:tblStyle w:val="36"/>
        <w:tblW w:w="0" w:type="auto"/>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190D0585">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99B25D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0D6B69E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4ABDAEB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3C9CA77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5E482CA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70FEC2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24F98691">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0E10AF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2A909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0350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FB61E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0C1D0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79CD3C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4E658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E5A886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01D166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6B2BD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719E5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3E72F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AEEF6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2117F8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B61CE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0872C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C2D2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96899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3773F9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4AD1F9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44D26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3522DF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3224C9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D6FDC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28450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CEBFB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3A8509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045665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AA705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DC70E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27804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C160A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7D6210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176D89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2EBF60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86E1B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5CFF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7FEEF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E4450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35D8D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250C20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FEAEE5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36268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7C22E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9BB07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CDFF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4206C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406769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8A533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B10B7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7ED8A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E47B8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50BF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3B2018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63C105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129AED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81D6A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30995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5F5B8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1B121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5ACEE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3B249B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A0A6E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B6277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773665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F4379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3093F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69D7E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3D3C3E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F2E05E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6D112E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96F01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8C6DA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74DC5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F21CE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19B1D7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DC424F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723D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6E4A2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6F0D9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6C408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013ECE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16B621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EA68EA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5DBB5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8EC7D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147C0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97CD6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689A2B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20966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E06B71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C1145B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5481E6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1B2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8384E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150C9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65A1B4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7DA976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4BB1EB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5275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26F39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0AD6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09A9C7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03707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B20D95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5ABF9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003244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BB205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6A873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3EF71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7A8F8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BDAE3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DCBA9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D7D93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829E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D4E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6D2FC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B0AAC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CB17C0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B0CBFE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6CC61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AA236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15CA0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2F45E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0ECD4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EF9A41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21A65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1123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0A06C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72C34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F9E9E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91F7A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CBDC1D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39167F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93D4F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CC219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43EB8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4E736B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452BF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A9335D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560F7E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A87E2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CC759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40E3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36F8D8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CCDA7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0D3131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FABE3F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3A1200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6A94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E5934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F6049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84D62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4E3C5B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C4FB17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7B559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B36BD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3CD66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28348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1BBF90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EFEA7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107DCD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134923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5284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87FF7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30A62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294B21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EC33B5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A1E42E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6B764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2711B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51EF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0774A8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542935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D91E07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A792C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91063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C769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732A4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F599A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6551F4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E08F8F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CEBD9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6558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B03EA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B0269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1589FF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0185B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4533E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DD7357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129A8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810F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0C1C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8A1BC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DCF47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3614F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C8F11B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57FF2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CA5A3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AC8E0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13264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4E5380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1224CD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9CAD9D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6407DB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E6A9E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BC57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5A77D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59186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980693A">
      <w:pPr>
        <w:ind w:firstLine="525" w:firstLineChars="250"/>
        <w:rPr>
          <w:rFonts w:ascii="宋体" w:hAnsi="宋体"/>
          <w:b/>
          <w:color w:val="auto"/>
          <w:sz w:val="24"/>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2A14D5B">
      <w:pPr>
        <w:snapToGrid w:val="0"/>
        <w:spacing w:before="165"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0D36CED0">
      <w:pPr>
        <w:spacing w:line="588" w:lineRule="exact"/>
        <w:jc w:val="center"/>
        <w:rPr>
          <w:rFonts w:ascii="仿宋_GB2312" w:eastAsia="仿宋_GB2312"/>
          <w:b/>
          <w:color w:val="auto"/>
          <w:spacing w:val="6"/>
          <w:sz w:val="32"/>
          <w:szCs w:val="32"/>
          <w:highlight w:val="none"/>
        </w:rPr>
      </w:pPr>
    </w:p>
    <w:p w14:paraId="2A8564DD">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2395B72A">
      <w:pPr>
        <w:spacing w:line="360" w:lineRule="auto"/>
        <w:contextualSpacing/>
        <w:rPr>
          <w:rFonts w:ascii="仿宋_GB2312" w:eastAsia="仿宋_GB2312"/>
          <w:bCs/>
          <w:color w:val="auto"/>
          <w:spacing w:val="6"/>
          <w:sz w:val="30"/>
          <w:szCs w:val="30"/>
          <w:highlight w:val="none"/>
        </w:rPr>
      </w:pPr>
    </w:p>
    <w:p w14:paraId="3885DB81">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28490C55">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010B733">
      <w:pPr>
        <w:spacing w:line="360" w:lineRule="auto"/>
        <w:ind w:firstLine="504" w:firstLineChars="200"/>
        <w:contextualSpacing/>
        <w:rPr>
          <w:rFonts w:ascii="宋体" w:hAnsi="宋体"/>
          <w:color w:val="auto"/>
          <w:spacing w:val="6"/>
          <w:sz w:val="24"/>
          <w:highlight w:val="none"/>
        </w:rPr>
      </w:pPr>
    </w:p>
    <w:p w14:paraId="74F765EF">
      <w:pPr>
        <w:spacing w:line="360" w:lineRule="auto"/>
        <w:ind w:firstLine="504" w:firstLineChars="200"/>
        <w:contextualSpacing/>
        <w:rPr>
          <w:rFonts w:ascii="宋体" w:hAnsi="宋体"/>
          <w:color w:val="auto"/>
          <w:spacing w:val="6"/>
          <w:sz w:val="24"/>
          <w:highlight w:val="none"/>
        </w:rPr>
      </w:pPr>
    </w:p>
    <w:p w14:paraId="5AB31328">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44F94B4D">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0F53F987">
      <w:pPr>
        <w:spacing w:line="360" w:lineRule="auto"/>
        <w:contextualSpacing/>
        <w:rPr>
          <w:rFonts w:ascii="宋体" w:hAnsi="宋体"/>
          <w:color w:val="auto"/>
          <w:sz w:val="24"/>
          <w:highlight w:val="none"/>
        </w:rPr>
      </w:pPr>
    </w:p>
    <w:p w14:paraId="675F25F3">
      <w:pPr>
        <w:spacing w:line="360" w:lineRule="auto"/>
        <w:contextualSpacing/>
        <w:rPr>
          <w:rFonts w:ascii="宋体" w:hAnsi="宋体"/>
          <w:color w:val="auto"/>
          <w:sz w:val="24"/>
          <w:highlight w:val="none"/>
        </w:rPr>
      </w:pPr>
    </w:p>
    <w:p w14:paraId="0F23161C">
      <w:pPr>
        <w:spacing w:line="360" w:lineRule="auto"/>
        <w:contextualSpacing/>
        <w:rPr>
          <w:rFonts w:ascii="宋体" w:hAnsi="宋体"/>
          <w:color w:val="auto"/>
          <w:sz w:val="24"/>
          <w:highlight w:val="none"/>
        </w:rPr>
      </w:pPr>
    </w:p>
    <w:p w14:paraId="218DEA43">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79AAAB2">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43A60937">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14:paraId="13E1787D">
      <w:pPr>
        <w:pStyle w:val="19"/>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085A333A">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EBB02AD">
      <w:pPr>
        <w:pStyle w:val="19"/>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699E54">
      <w:pPr>
        <w:pStyle w:val="19"/>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399DF80">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E10576A">
      <w:pPr>
        <w:pStyle w:val="19"/>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29378AC">
      <w:pPr>
        <w:pStyle w:val="19"/>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8DC0479">
      <w:pPr>
        <w:pStyle w:val="19"/>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12C2FE13">
      <w:pPr>
        <w:pStyle w:val="19"/>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9DBAD61">
      <w:pPr>
        <w:pStyle w:val="19"/>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E27A893">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CF0ABE9">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518846A5">
      <w:pPr>
        <w:pStyle w:val="19"/>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1365D42D">
      <w:pPr>
        <w:pStyle w:val="19"/>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14:paraId="6E5A0C26">
      <w:pPr>
        <w:pStyle w:val="19"/>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14:paraId="58856C3A">
      <w:pPr>
        <w:pStyle w:val="19"/>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202B5E0D">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232E9C8">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9530BD5">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DB44A6C">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4BF9F930">
      <w:pPr>
        <w:pStyle w:val="19"/>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14:paraId="262815B3">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7928D834">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CD9130A">
      <w:pPr>
        <w:pStyle w:val="19"/>
        <w:spacing w:line="360" w:lineRule="auto"/>
        <w:ind w:left="25" w:leftChars="12" w:firstLine="352" w:firstLineChars="147"/>
        <w:rPr>
          <w:rFonts w:hAnsi="宋体"/>
          <w:color w:val="auto"/>
          <w:sz w:val="24"/>
          <w:szCs w:val="24"/>
          <w:highlight w:val="none"/>
        </w:rPr>
      </w:pPr>
    </w:p>
    <w:p w14:paraId="0427C84B">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2B98E854">
      <w:pPr>
        <w:pStyle w:val="19"/>
        <w:spacing w:line="360" w:lineRule="auto"/>
        <w:ind w:left="25" w:leftChars="12" w:firstLine="352" w:firstLineChars="147"/>
        <w:rPr>
          <w:rFonts w:hAnsi="宋体"/>
          <w:color w:val="auto"/>
          <w:sz w:val="24"/>
          <w:szCs w:val="24"/>
          <w:highlight w:val="none"/>
        </w:rPr>
      </w:pPr>
    </w:p>
    <w:p w14:paraId="2B6A238D">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CA734E6">
      <w:pPr>
        <w:pStyle w:val="19"/>
        <w:snapToGrid w:val="0"/>
        <w:spacing w:line="360" w:lineRule="auto"/>
        <w:rPr>
          <w:rFonts w:hAnsi="宋体"/>
          <w:b/>
          <w:color w:val="auto"/>
          <w:sz w:val="24"/>
          <w:szCs w:val="24"/>
          <w:highlight w:val="none"/>
        </w:rPr>
      </w:pPr>
    </w:p>
    <w:p w14:paraId="48C13A7F">
      <w:pPr>
        <w:pStyle w:val="19"/>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0F461CDF">
      <w:pPr>
        <w:pStyle w:val="19"/>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8301402">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5A116F">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6E6E63E">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3388965F">
      <w:pPr>
        <w:pStyle w:val="19"/>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12E1EC92">
      <w:pPr>
        <w:pStyle w:val="19"/>
        <w:snapToGrid w:val="0"/>
        <w:rPr>
          <w:b/>
          <w:color w:val="auto"/>
          <w:sz w:val="24"/>
          <w:szCs w:val="24"/>
          <w:highlight w:val="none"/>
        </w:rPr>
      </w:pPr>
    </w:p>
    <w:p w14:paraId="3C7778C6">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rPr>
        <w:t>4</w:t>
      </w:r>
      <w:r>
        <w:rPr>
          <w:rFonts w:hint="eastAsia" w:ascii="宋体" w:hAnsi="宋体"/>
          <w:b/>
          <w:color w:val="auto"/>
          <w:sz w:val="24"/>
          <w:highlight w:val="none"/>
        </w:rPr>
        <w:t>.投诉书格式</w:t>
      </w:r>
    </w:p>
    <w:p w14:paraId="59172C17">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14:paraId="4E451ACC">
      <w:pPr>
        <w:pStyle w:val="19"/>
        <w:snapToGrid w:val="0"/>
        <w:spacing w:line="440" w:lineRule="exact"/>
        <w:ind w:firstLine="482" w:firstLineChars="200"/>
        <w:rPr>
          <w:rFonts w:hAnsi="宋体"/>
          <w:b/>
          <w:bCs/>
          <w:color w:val="auto"/>
          <w:sz w:val="24"/>
          <w:szCs w:val="24"/>
          <w:highlight w:val="none"/>
        </w:rPr>
      </w:pPr>
    </w:p>
    <w:p w14:paraId="21517658">
      <w:pPr>
        <w:pStyle w:val="19"/>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11579AF">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35A53A">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718338F">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03388DE">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DAB7618">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E17DB0F">
      <w:pPr>
        <w:pStyle w:val="19"/>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53EA19F">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3DFD92">
      <w:pPr>
        <w:pStyle w:val="19"/>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68D7C249">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01445BEA">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E6F59E5">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3B4E67E">
      <w:pPr>
        <w:pStyle w:val="19"/>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21F9A7AB">
      <w:pPr>
        <w:pStyle w:val="19"/>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14:paraId="1FF7102D">
      <w:pPr>
        <w:pStyle w:val="19"/>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98DB124">
      <w:pPr>
        <w:pStyle w:val="19"/>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CD75BDC">
      <w:pPr>
        <w:pStyle w:val="19"/>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2F7A0CF">
      <w:pPr>
        <w:pStyle w:val="19"/>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1A10234A">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4418C83">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74910661">
      <w:pPr>
        <w:pStyle w:val="19"/>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1418993">
      <w:pPr>
        <w:pStyle w:val="19"/>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14CD800D">
      <w:pPr>
        <w:pStyle w:val="19"/>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845FD67">
      <w:pPr>
        <w:pStyle w:val="19"/>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1BFFFF3">
      <w:pPr>
        <w:pStyle w:val="19"/>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2B2D44F9">
      <w:pPr>
        <w:pStyle w:val="19"/>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041140B6">
      <w:pPr>
        <w:pStyle w:val="19"/>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5C73B00">
      <w:pPr>
        <w:pStyle w:val="19"/>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CAEBB25">
      <w:pPr>
        <w:pStyle w:val="19"/>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9E826BA">
      <w:pPr>
        <w:pStyle w:val="19"/>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C59B1D8">
      <w:pPr>
        <w:pStyle w:val="19"/>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1B8C4E0">
      <w:pPr>
        <w:pStyle w:val="19"/>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ADBA57E">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236B75C8">
      <w:pPr>
        <w:pStyle w:val="19"/>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4652258">
      <w:pPr>
        <w:pStyle w:val="19"/>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474841E">
      <w:pPr>
        <w:pStyle w:val="19"/>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250D9EA8">
      <w:pPr>
        <w:pStyle w:val="19"/>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1D4F663E">
      <w:pPr>
        <w:pStyle w:val="19"/>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C5ADDD7">
      <w:pPr>
        <w:pStyle w:val="19"/>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FE38884">
      <w:pPr>
        <w:pStyle w:val="19"/>
        <w:spacing w:line="440" w:lineRule="exact"/>
        <w:ind w:left="25" w:leftChars="12" w:firstLine="352" w:firstLineChars="147"/>
        <w:rPr>
          <w:rFonts w:hAnsi="宋体"/>
          <w:color w:val="auto"/>
          <w:sz w:val="24"/>
          <w:szCs w:val="24"/>
          <w:highlight w:val="none"/>
        </w:rPr>
      </w:pPr>
    </w:p>
    <w:p w14:paraId="1E7F5B99">
      <w:pPr>
        <w:pStyle w:val="19"/>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6B1DA746">
      <w:pPr>
        <w:pStyle w:val="19"/>
        <w:spacing w:line="440" w:lineRule="exact"/>
        <w:ind w:left="25" w:leftChars="12" w:firstLine="352" w:firstLineChars="147"/>
        <w:rPr>
          <w:rFonts w:hAnsi="宋体"/>
          <w:color w:val="auto"/>
          <w:sz w:val="24"/>
          <w:szCs w:val="24"/>
          <w:highlight w:val="none"/>
        </w:rPr>
      </w:pPr>
    </w:p>
    <w:p w14:paraId="3CC15F71">
      <w:pPr>
        <w:pStyle w:val="19"/>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44302EDA">
      <w:pPr>
        <w:pStyle w:val="19"/>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35F8397A">
      <w:pPr>
        <w:pStyle w:val="19"/>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14:paraId="6EF3E791">
      <w:pPr>
        <w:pStyle w:val="19"/>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025DDCE">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124E85">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35748D8">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6A6F15A">
      <w:pPr>
        <w:pStyle w:val="19"/>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6600E132">
      <w:pPr>
        <w:pStyle w:val="19"/>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555F6DC">
      <w:pPr>
        <w:widowControl/>
        <w:ind w:firstLine="640" w:firstLineChars="200"/>
        <w:jc w:val="left"/>
        <w:rPr>
          <w:rFonts w:ascii="仿宋_GB2312" w:hAnsi="宋体" w:eastAsia="仿宋_GB2312" w:cs="宋体"/>
          <w:color w:val="auto"/>
          <w:kern w:val="0"/>
          <w:sz w:val="32"/>
          <w:szCs w:val="32"/>
          <w:highlight w:val="none"/>
        </w:rPr>
      </w:pPr>
    </w:p>
    <w:p w14:paraId="3033AF71">
      <w:pPr>
        <w:rPr>
          <w:color w:val="auto"/>
          <w:highlight w:val="none"/>
        </w:rPr>
      </w:pPr>
    </w:p>
    <w:sectPr>
      <w:footerReference r:id="rId14" w:type="first"/>
      <w:headerReference r:id="rId11" w:type="default"/>
      <w:footerReference r:id="rId12" w:type="default"/>
      <w:footerReference r:id="rId13"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7D998D-FBF1-41D3-A765-4F4B037DD6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0B9357F0-B33E-4E4F-A96C-A6BDFE12006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5413618-50BC-4DBC-8E2F-851929A1E432}"/>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5C1EF9EC-8252-4881-AF15-148FD36D91BD}"/>
  </w:font>
  <w:font w:name="仿宋">
    <w:panose1 w:val="02010609060101010101"/>
    <w:charset w:val="86"/>
    <w:family w:val="modern"/>
    <w:pitch w:val="default"/>
    <w:sig w:usb0="800002BF" w:usb1="38CF7CFA" w:usb2="00000016" w:usb3="00000000" w:csb0="00040001" w:csb1="00000000"/>
    <w:embedRegular r:id="rId5" w:fontKey="{F5B5BFB3-D3EF-4395-9722-EC04888434BB}"/>
  </w:font>
  <w:font w:name="Arial Unicode MS">
    <w:altName w:val="宋体"/>
    <w:panose1 w:val="020B0604020202020204"/>
    <w:charset w:val="86"/>
    <w:family w:val="swiss"/>
    <w:pitch w:val="default"/>
    <w:sig w:usb0="00000000" w:usb1="00000000" w:usb2="0000003F" w:usb3="00000000" w:csb0="603F01FF" w:csb1="FFFF0000"/>
    <w:embedRegular r:id="rId6" w:fontKey="{894B2782-4780-45E7-87F5-CF29FB131747}"/>
  </w:font>
  <w:font w:name="楷体">
    <w:panose1 w:val="02010609060101010101"/>
    <w:charset w:val="86"/>
    <w:family w:val="modern"/>
    <w:pitch w:val="default"/>
    <w:sig w:usb0="800002BF" w:usb1="38CF7CFA" w:usb2="00000016" w:usb3="00000000" w:csb0="00040001" w:csb1="00000000"/>
    <w:embedRegular r:id="rId7" w:fontKey="{53A5A077-C9BD-4541-AA2D-D7C3CA1EB132}"/>
  </w:font>
  <w:font w:name="方正小标宋简体">
    <w:panose1 w:val="02000000000000000000"/>
    <w:charset w:val="86"/>
    <w:family w:val="auto"/>
    <w:pitch w:val="default"/>
    <w:sig w:usb0="00000001" w:usb1="08000000" w:usb2="00000000" w:usb3="00000000" w:csb0="00040000" w:csb1="00000000"/>
    <w:embedRegular r:id="rId8" w:fontKey="{D42A59AD-AFDE-4F14-9623-D45A553A4703}"/>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9" w:fontKey="{46ECFC0E-4F56-442C-937F-63BED60B0C5E}"/>
  </w:font>
  <w:font w:name="隶书">
    <w:panose1 w:val="02010509060101010101"/>
    <w:charset w:val="86"/>
    <w:family w:val="modern"/>
    <w:pitch w:val="default"/>
    <w:sig w:usb0="00000001" w:usb1="080E0000" w:usb2="00000000" w:usb3="00000000" w:csb0="00040000" w:csb1="00000000"/>
    <w:embedRegular r:id="rId10" w:fontKey="{99F2ED4E-8CAB-458F-B7A7-BF24661CD7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1645">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BD00">
    <w:pPr>
      <w:pStyle w:val="25"/>
      <w:framePr w:wrap="around" w:vAnchor="text" w:hAnchor="margin" w:xAlign="center" w:y="1"/>
      <w:rPr>
        <w:rStyle w:val="39"/>
        <w:sz w:val="21"/>
      </w:rPr>
    </w:pPr>
    <w:r>
      <w:rPr>
        <w:sz w:val="21"/>
      </w:rPr>
      <w:fldChar w:fldCharType="begin"/>
    </w:r>
    <w:r>
      <w:rPr>
        <w:rStyle w:val="39"/>
        <w:sz w:val="21"/>
      </w:rPr>
      <w:instrText xml:space="preserve">PAGE  </w:instrText>
    </w:r>
    <w:r>
      <w:rPr>
        <w:sz w:val="21"/>
      </w:rPr>
      <w:fldChar w:fldCharType="separate"/>
    </w:r>
    <w:r>
      <w:rPr>
        <w:rStyle w:val="39"/>
        <w:sz w:val="21"/>
      </w:rPr>
      <w:t>0</w:t>
    </w:r>
    <w:r>
      <w:rPr>
        <w:sz w:val="21"/>
      </w:rPr>
      <w:fldChar w:fldCharType="end"/>
    </w:r>
  </w:p>
  <w:p w14:paraId="235DFED5">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0A8B">
    <w:pPr>
      <w:pStyle w:val="25"/>
      <w:jc w:val="center"/>
    </w:pPr>
    <w:r>
      <w:fldChar w:fldCharType="begin"/>
    </w:r>
    <w:r>
      <w:instrText xml:space="preserve"> PAGE   \* MERGEFORMAT </w:instrText>
    </w:r>
    <w:r>
      <w:fldChar w:fldCharType="separate"/>
    </w:r>
    <w:r>
      <w:rPr>
        <w:lang w:val="zh-CN"/>
      </w:rPr>
      <w:t>10</w:t>
    </w:r>
    <w:r>
      <w:fldChar w:fldCharType="end"/>
    </w:r>
  </w:p>
  <w:p w14:paraId="60C3EB3D">
    <w:pPr>
      <w:pStyle w:val="2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48B3">
    <w:pPr>
      <w:pStyle w:val="25"/>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334E730">
                          <w:pPr>
                            <w:pStyle w:val="25"/>
                            <w:ind w:left="560" w:hanging="560"/>
                          </w:pPr>
                          <w:r>
                            <w:fldChar w:fldCharType="begin"/>
                          </w:r>
                          <w:r>
                            <w:instrText xml:space="preserve"> PAGE  \* MERGEFORMAT </w:instrText>
                          </w:r>
                          <w:r>
                            <w:fldChar w:fldCharType="separate"/>
                          </w:r>
                          <w:r>
                            <w:t>29</w:t>
                          </w:r>
                          <w: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5X5J0AAAAAMBAAAPAAAA&#10;AAAAAAEAIAAAACIAAABkcnMvZG93bnJldi54bWxQSwECFAAUAAAACACHTuJApzN9QOQBAADBAwAA&#10;DgAAAAAAAAABACAAAAAfAQAAZHJzL2Uyb0RvYy54bWxQSwUGAAAAAAYABgBZAQAAdQUAAAAA&#10;">
              <v:fill on="f" focussize="0,0"/>
              <v:stroke on="f"/>
              <v:imagedata o:title=""/>
              <o:lock v:ext="edit" aspectratio="f"/>
              <v:textbox inset="0mm,0mm,0mm,0mm" style="mso-fit-shape-to-text:t;">
                <w:txbxContent>
                  <w:p w14:paraId="1334E730">
                    <w:pPr>
                      <w:pStyle w:val="25"/>
                      <w:ind w:left="560" w:hanging="560"/>
                    </w:pPr>
                    <w:r>
                      <w:fldChar w:fldCharType="begin"/>
                    </w:r>
                    <w:r>
                      <w:instrText xml:space="preserve"> PAGE  \* MERGEFORMAT </w:instrText>
                    </w:r>
                    <w:r>
                      <w:fldChar w:fldCharType="separate"/>
                    </w:r>
                    <w:r>
                      <w:t>29</w:t>
                    </w:r>
                    <w:r>
                      <w:fldChar w:fldCharType="end"/>
                    </w:r>
                  </w:p>
                </w:txbxContent>
              </v:textbox>
            </v:shape>
          </w:pict>
        </mc:Fallback>
      </mc:AlternateContent>
    </w:r>
  </w:p>
  <w:p w14:paraId="7C7748FF">
    <w:pPr>
      <w:pStyle w:val="25"/>
      <w:ind w:left="560" w:hanging="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0134">
    <w:pPr>
      <w:pStyle w:val="25"/>
      <w:jc w:val="center"/>
    </w:pPr>
    <w:r>
      <w:fldChar w:fldCharType="begin"/>
    </w:r>
    <w:r>
      <w:instrText xml:space="preserve"> PAGE   \* MERGEFORMAT </w:instrText>
    </w:r>
    <w:r>
      <w:fldChar w:fldCharType="separate"/>
    </w:r>
    <w:r>
      <w:rPr>
        <w:lang w:val="zh-CN"/>
      </w:rPr>
      <w:t>171</w:t>
    </w:r>
    <w:r>
      <w:fldChar w:fldCharType="end"/>
    </w:r>
  </w:p>
  <w:p w14:paraId="3BAF2072">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0AD1">
    <w:pPr>
      <w:pStyle w:val="25"/>
      <w:jc w:val="center"/>
    </w:pPr>
    <w:r>
      <w:fldChar w:fldCharType="begin"/>
    </w:r>
    <w:r>
      <w:instrText xml:space="preserve"> PAGE   \* MERGEFORMAT </w:instrText>
    </w:r>
    <w:r>
      <w:fldChar w:fldCharType="separate"/>
    </w:r>
    <w:r>
      <w:rPr>
        <w:lang w:val="zh-CN"/>
      </w:rPr>
      <w:t>183</w:t>
    </w:r>
    <w:r>
      <w:fldChar w:fldCharType="end"/>
    </w:r>
  </w:p>
  <w:p w14:paraId="642E7AAD">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D817">
    <w:pPr>
      <w:pStyle w:val="25"/>
      <w:framePr w:wrap="around" w:vAnchor="text" w:hAnchor="margin" w:xAlign="center" w:y="1"/>
      <w:rPr>
        <w:rStyle w:val="39"/>
      </w:rPr>
    </w:pPr>
    <w:r>
      <w:fldChar w:fldCharType="begin"/>
    </w:r>
    <w:r>
      <w:rPr>
        <w:rStyle w:val="39"/>
      </w:rPr>
      <w:instrText xml:space="preserve">PAGE  </w:instrText>
    </w:r>
    <w:r>
      <w:fldChar w:fldCharType="end"/>
    </w:r>
  </w:p>
  <w:p w14:paraId="27EBD0D2">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00E8">
    <w:pPr>
      <w:pStyle w:val="25"/>
      <w:framePr w:wrap="around" w:vAnchor="text" w:hAnchor="margin" w:xAlign="right" w:y="1"/>
      <w:rPr>
        <w:rStyle w:val="39"/>
      </w:rPr>
    </w:pPr>
    <w:r>
      <w:fldChar w:fldCharType="begin"/>
    </w:r>
    <w:r>
      <w:rPr>
        <w:rStyle w:val="39"/>
      </w:rPr>
      <w:instrText xml:space="preserve">PAGE  </w:instrText>
    </w:r>
    <w:r>
      <w:fldChar w:fldCharType="separate"/>
    </w:r>
    <w:r>
      <w:rPr>
        <w:rStyle w:val="39"/>
      </w:rPr>
      <w:t>122</w:t>
    </w:r>
    <w:r>
      <w:fldChar w:fldCharType="end"/>
    </w:r>
  </w:p>
  <w:p w14:paraId="1207A8F9">
    <w:pPr>
      <w:pStyle w:val="2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621D">
    <w:pPr>
      <w:pStyle w:val="26"/>
      <w:tabs>
        <w:tab w:val="center" w:pos="0"/>
        <w:tab w:val="clear" w:pos="4153"/>
      </w:tabs>
    </w:pPr>
    <w:r>
      <w:rPr>
        <w:rFonts w:hint="eastAsia"/>
      </w:rPr>
      <w:t>广西壮族自治区政府采购公开招标采购文件（项目编号：</w:t>
    </w:r>
    <w:r>
      <w:rPr>
        <w:rFonts w:hint="eastAsia"/>
        <w:lang w:eastAsia="zh-CN"/>
      </w:rPr>
      <w:t>GGZC2024-G3-210515-JGJD</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9973">
    <w:pPr>
      <w:pStyle w:val="26"/>
      <w:jc w:val="both"/>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26C4">
    <w:pPr>
      <w:pStyle w:val="26"/>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D8BB">
    <w:pPr>
      <w:pStyle w:val="26"/>
      <w:tabs>
        <w:tab w:val="center" w:pos="0"/>
        <w:tab w:val="clear" w:pos="4153"/>
      </w:tabs>
    </w:pPr>
    <w:r>
      <w:rPr>
        <w:rFonts w:hint="eastAsia"/>
      </w:rPr>
      <w:t>项目编号：@采购文件模板实体.项目编号1@</w:t>
    </w:r>
  </w:p>
  <w:p w14:paraId="4674B4D5">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99C29"/>
    <w:multiLevelType w:val="singleLevel"/>
    <w:tmpl w:val="D7499C29"/>
    <w:lvl w:ilvl="0" w:tentative="0">
      <w:start w:val="1"/>
      <w:numFmt w:val="decimal"/>
      <w:lvlText w:val="(%1)"/>
      <w:lvlJc w:val="left"/>
      <w:pPr>
        <w:tabs>
          <w:tab w:val="left" w:pos="312"/>
        </w:tabs>
      </w:pPr>
    </w:lvl>
  </w:abstractNum>
  <w:abstractNum w:abstractNumId="1">
    <w:nsid w:val="F047E60F"/>
    <w:multiLevelType w:val="singleLevel"/>
    <w:tmpl w:val="F047E60F"/>
    <w:lvl w:ilvl="0" w:tentative="0">
      <w:start w:val="1"/>
      <w:numFmt w:val="decimal"/>
      <w:suff w:val="nothing"/>
      <w:lvlText w:val="（%1）"/>
      <w:lvlJc w:val="left"/>
    </w:lvl>
  </w:abstractNum>
  <w:abstractNum w:abstractNumId="2">
    <w:nsid w:val="09A8FFF4"/>
    <w:multiLevelType w:val="singleLevel"/>
    <w:tmpl w:val="09A8FFF4"/>
    <w:lvl w:ilvl="0" w:tentative="0">
      <w:start w:val="2"/>
      <w:numFmt w:val="chineseCounting"/>
      <w:suff w:val="nothing"/>
      <w:lvlText w:val="（%1）"/>
      <w:lvlJc w:val="left"/>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2962756"/>
    <w:multiLevelType w:val="multilevel"/>
    <w:tmpl w:val="72962756"/>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8D16CD"/>
    <w:multiLevelType w:val="multilevel"/>
    <w:tmpl w:val="748D16CD"/>
    <w:lvl w:ilvl="0" w:tentative="0">
      <w:start w:val="1"/>
      <w:numFmt w:val="decimal"/>
      <w:pStyle w:val="13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xNDQ3YTRmMmE0ZmUwNWRjOThkNGUzMGE5ODFlNDkifQ=="/>
  </w:docVars>
  <w:rsids>
    <w:rsidRoot w:val="00643DE5"/>
    <w:rsid w:val="0000096C"/>
    <w:rsid w:val="00000CDB"/>
    <w:rsid w:val="00001CDA"/>
    <w:rsid w:val="00004344"/>
    <w:rsid w:val="00005909"/>
    <w:rsid w:val="000207D5"/>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273B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B6ABF"/>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3DE5"/>
    <w:rsid w:val="00644AAD"/>
    <w:rsid w:val="00653CDE"/>
    <w:rsid w:val="00656442"/>
    <w:rsid w:val="00661DA0"/>
    <w:rsid w:val="006632E6"/>
    <w:rsid w:val="00670E85"/>
    <w:rsid w:val="0067703D"/>
    <w:rsid w:val="006831E3"/>
    <w:rsid w:val="00691B1A"/>
    <w:rsid w:val="00695425"/>
    <w:rsid w:val="006A04FC"/>
    <w:rsid w:val="006A101B"/>
    <w:rsid w:val="006A6DC8"/>
    <w:rsid w:val="006C015A"/>
    <w:rsid w:val="006C2360"/>
    <w:rsid w:val="006C55A9"/>
    <w:rsid w:val="006C5999"/>
    <w:rsid w:val="006D0A1B"/>
    <w:rsid w:val="006D6A62"/>
    <w:rsid w:val="006F0015"/>
    <w:rsid w:val="00707FF2"/>
    <w:rsid w:val="00715456"/>
    <w:rsid w:val="00717D53"/>
    <w:rsid w:val="0072047C"/>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7223B"/>
    <w:rsid w:val="008732C7"/>
    <w:rsid w:val="008811BB"/>
    <w:rsid w:val="00884C48"/>
    <w:rsid w:val="0089747C"/>
    <w:rsid w:val="008974F2"/>
    <w:rsid w:val="008A2454"/>
    <w:rsid w:val="008A2903"/>
    <w:rsid w:val="008C4798"/>
    <w:rsid w:val="008D3FFB"/>
    <w:rsid w:val="008D43F8"/>
    <w:rsid w:val="008E268A"/>
    <w:rsid w:val="008E3451"/>
    <w:rsid w:val="008E53FF"/>
    <w:rsid w:val="00904A9B"/>
    <w:rsid w:val="00905884"/>
    <w:rsid w:val="00912D5E"/>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310F"/>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5482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4C7B"/>
    <w:rsid w:val="00FE5FE9"/>
    <w:rsid w:val="00FF0F02"/>
    <w:rsid w:val="014B3630"/>
    <w:rsid w:val="019172A1"/>
    <w:rsid w:val="021F1C6E"/>
    <w:rsid w:val="037A1066"/>
    <w:rsid w:val="03D219E6"/>
    <w:rsid w:val="03F47F88"/>
    <w:rsid w:val="0442138C"/>
    <w:rsid w:val="04674D68"/>
    <w:rsid w:val="04B05854"/>
    <w:rsid w:val="04FC07BA"/>
    <w:rsid w:val="059B029F"/>
    <w:rsid w:val="05D848B3"/>
    <w:rsid w:val="06435D68"/>
    <w:rsid w:val="06FD2FAE"/>
    <w:rsid w:val="070619D4"/>
    <w:rsid w:val="08901822"/>
    <w:rsid w:val="094B5940"/>
    <w:rsid w:val="09CD219B"/>
    <w:rsid w:val="09ED576F"/>
    <w:rsid w:val="0A36039E"/>
    <w:rsid w:val="0A450A48"/>
    <w:rsid w:val="0A57659C"/>
    <w:rsid w:val="0B14138C"/>
    <w:rsid w:val="0B154424"/>
    <w:rsid w:val="0B6F0366"/>
    <w:rsid w:val="0B7A589E"/>
    <w:rsid w:val="0B8E6234"/>
    <w:rsid w:val="0C347173"/>
    <w:rsid w:val="0C7739DA"/>
    <w:rsid w:val="0C7E427E"/>
    <w:rsid w:val="0CA27F6D"/>
    <w:rsid w:val="0D150F86"/>
    <w:rsid w:val="0DC603F7"/>
    <w:rsid w:val="0DC71F50"/>
    <w:rsid w:val="0E977180"/>
    <w:rsid w:val="0E9C7E2D"/>
    <w:rsid w:val="0F2A5DFB"/>
    <w:rsid w:val="0F8C0B97"/>
    <w:rsid w:val="0FB36372"/>
    <w:rsid w:val="0FF63438"/>
    <w:rsid w:val="1077652B"/>
    <w:rsid w:val="107F27B9"/>
    <w:rsid w:val="1107712A"/>
    <w:rsid w:val="11415A97"/>
    <w:rsid w:val="11A00946"/>
    <w:rsid w:val="11B76268"/>
    <w:rsid w:val="11CE72AB"/>
    <w:rsid w:val="11DA1F57"/>
    <w:rsid w:val="11E1165F"/>
    <w:rsid w:val="13747240"/>
    <w:rsid w:val="13CD626C"/>
    <w:rsid w:val="14AA3E63"/>
    <w:rsid w:val="1500444F"/>
    <w:rsid w:val="16FB63CD"/>
    <w:rsid w:val="17CE7E68"/>
    <w:rsid w:val="17E40848"/>
    <w:rsid w:val="181E6DC2"/>
    <w:rsid w:val="18BF1E0D"/>
    <w:rsid w:val="193E71E8"/>
    <w:rsid w:val="199F72DD"/>
    <w:rsid w:val="19D44C1D"/>
    <w:rsid w:val="1B900DD2"/>
    <w:rsid w:val="1BE5548B"/>
    <w:rsid w:val="1C7F5342"/>
    <w:rsid w:val="1CBA0B37"/>
    <w:rsid w:val="1CF4520D"/>
    <w:rsid w:val="1D050FD1"/>
    <w:rsid w:val="1D33172A"/>
    <w:rsid w:val="1DA67191"/>
    <w:rsid w:val="1DB74A19"/>
    <w:rsid w:val="1DDD20AB"/>
    <w:rsid w:val="1E9B1CEE"/>
    <w:rsid w:val="1EB63404"/>
    <w:rsid w:val="1EB73147"/>
    <w:rsid w:val="1F4D7FB9"/>
    <w:rsid w:val="1FCD5DC0"/>
    <w:rsid w:val="1FD746B4"/>
    <w:rsid w:val="1FDB341E"/>
    <w:rsid w:val="202F10B6"/>
    <w:rsid w:val="20A22BE1"/>
    <w:rsid w:val="2129347A"/>
    <w:rsid w:val="216750D4"/>
    <w:rsid w:val="2291024E"/>
    <w:rsid w:val="24084702"/>
    <w:rsid w:val="245B3C6C"/>
    <w:rsid w:val="24635513"/>
    <w:rsid w:val="24803A88"/>
    <w:rsid w:val="25100723"/>
    <w:rsid w:val="25904EF9"/>
    <w:rsid w:val="25C36217"/>
    <w:rsid w:val="25C805EC"/>
    <w:rsid w:val="25E9677D"/>
    <w:rsid w:val="26AE4434"/>
    <w:rsid w:val="26C36085"/>
    <w:rsid w:val="26EC20B9"/>
    <w:rsid w:val="271700BC"/>
    <w:rsid w:val="289D3C13"/>
    <w:rsid w:val="29742782"/>
    <w:rsid w:val="298F7323"/>
    <w:rsid w:val="29C07BD4"/>
    <w:rsid w:val="29FB1396"/>
    <w:rsid w:val="2A1805FD"/>
    <w:rsid w:val="2A214D7D"/>
    <w:rsid w:val="2A2A1006"/>
    <w:rsid w:val="2A4B3E25"/>
    <w:rsid w:val="2A5C258F"/>
    <w:rsid w:val="2A9E278A"/>
    <w:rsid w:val="2B207AD9"/>
    <w:rsid w:val="2B2B3862"/>
    <w:rsid w:val="2C135336"/>
    <w:rsid w:val="2CC057FC"/>
    <w:rsid w:val="2CF448EE"/>
    <w:rsid w:val="2D220E22"/>
    <w:rsid w:val="2F624935"/>
    <w:rsid w:val="2FE12F14"/>
    <w:rsid w:val="30523B14"/>
    <w:rsid w:val="309704E6"/>
    <w:rsid w:val="31D02253"/>
    <w:rsid w:val="321532B5"/>
    <w:rsid w:val="32F64F2A"/>
    <w:rsid w:val="33D74D57"/>
    <w:rsid w:val="3419398D"/>
    <w:rsid w:val="341B76FD"/>
    <w:rsid w:val="34D70BD6"/>
    <w:rsid w:val="357E0FAD"/>
    <w:rsid w:val="35C566EC"/>
    <w:rsid w:val="35FF3220"/>
    <w:rsid w:val="36605302"/>
    <w:rsid w:val="36A12147"/>
    <w:rsid w:val="36A62816"/>
    <w:rsid w:val="37165CDA"/>
    <w:rsid w:val="37983F3B"/>
    <w:rsid w:val="37D12AAF"/>
    <w:rsid w:val="37DD476B"/>
    <w:rsid w:val="37DE3C9F"/>
    <w:rsid w:val="37EB063E"/>
    <w:rsid w:val="382D75D2"/>
    <w:rsid w:val="3890394B"/>
    <w:rsid w:val="389341A7"/>
    <w:rsid w:val="38B83253"/>
    <w:rsid w:val="38D3711B"/>
    <w:rsid w:val="38D6668F"/>
    <w:rsid w:val="390A08CA"/>
    <w:rsid w:val="393E6C7B"/>
    <w:rsid w:val="39577F3F"/>
    <w:rsid w:val="396B3311"/>
    <w:rsid w:val="39741D0B"/>
    <w:rsid w:val="39C95141"/>
    <w:rsid w:val="39FC2913"/>
    <w:rsid w:val="3AC12518"/>
    <w:rsid w:val="3BED730D"/>
    <w:rsid w:val="3C5F6722"/>
    <w:rsid w:val="3C757998"/>
    <w:rsid w:val="3CA24510"/>
    <w:rsid w:val="3CB313E5"/>
    <w:rsid w:val="3CF63839"/>
    <w:rsid w:val="3D1D4A94"/>
    <w:rsid w:val="3D607618"/>
    <w:rsid w:val="3DC62C68"/>
    <w:rsid w:val="3DEB1AF2"/>
    <w:rsid w:val="3E440AB7"/>
    <w:rsid w:val="3E540005"/>
    <w:rsid w:val="3E8624E0"/>
    <w:rsid w:val="3EC4249A"/>
    <w:rsid w:val="3EEA20AF"/>
    <w:rsid w:val="3FAA6B8E"/>
    <w:rsid w:val="3FB672B0"/>
    <w:rsid w:val="3FC306F2"/>
    <w:rsid w:val="407A652F"/>
    <w:rsid w:val="419D26F2"/>
    <w:rsid w:val="41E75A03"/>
    <w:rsid w:val="41F83A9E"/>
    <w:rsid w:val="42426637"/>
    <w:rsid w:val="42B34AC9"/>
    <w:rsid w:val="4374336C"/>
    <w:rsid w:val="44C13E7D"/>
    <w:rsid w:val="44CA4BFA"/>
    <w:rsid w:val="44FD5630"/>
    <w:rsid w:val="453223B0"/>
    <w:rsid w:val="4638232C"/>
    <w:rsid w:val="465B7E10"/>
    <w:rsid w:val="46DC3AA0"/>
    <w:rsid w:val="48123996"/>
    <w:rsid w:val="483F42E6"/>
    <w:rsid w:val="489F2FD7"/>
    <w:rsid w:val="496962ED"/>
    <w:rsid w:val="49713D0D"/>
    <w:rsid w:val="499A1D67"/>
    <w:rsid w:val="49D04324"/>
    <w:rsid w:val="4A306ED6"/>
    <w:rsid w:val="4A934476"/>
    <w:rsid w:val="4ACC1D2F"/>
    <w:rsid w:val="4B344526"/>
    <w:rsid w:val="4B46773A"/>
    <w:rsid w:val="4B8D6ED7"/>
    <w:rsid w:val="4B9C1A50"/>
    <w:rsid w:val="4BDB2578"/>
    <w:rsid w:val="4C1E1226"/>
    <w:rsid w:val="4C796CF2"/>
    <w:rsid w:val="4CF02842"/>
    <w:rsid w:val="4DE92CB2"/>
    <w:rsid w:val="4E3862A7"/>
    <w:rsid w:val="4E555EE6"/>
    <w:rsid w:val="4E8B206D"/>
    <w:rsid w:val="4F876573"/>
    <w:rsid w:val="504970E8"/>
    <w:rsid w:val="50D158FB"/>
    <w:rsid w:val="513053A2"/>
    <w:rsid w:val="519F19E3"/>
    <w:rsid w:val="533D58C6"/>
    <w:rsid w:val="54EE6540"/>
    <w:rsid w:val="54F32F13"/>
    <w:rsid w:val="54FA6652"/>
    <w:rsid w:val="55047789"/>
    <w:rsid w:val="553E3FA3"/>
    <w:rsid w:val="5575670C"/>
    <w:rsid w:val="55B045B8"/>
    <w:rsid w:val="55FC4375"/>
    <w:rsid w:val="560D439C"/>
    <w:rsid w:val="563F226F"/>
    <w:rsid w:val="565B036A"/>
    <w:rsid w:val="56B01738"/>
    <w:rsid w:val="56D56B38"/>
    <w:rsid w:val="56F410BB"/>
    <w:rsid w:val="57067E06"/>
    <w:rsid w:val="57162345"/>
    <w:rsid w:val="574E096A"/>
    <w:rsid w:val="5765192D"/>
    <w:rsid w:val="587570FD"/>
    <w:rsid w:val="59940185"/>
    <w:rsid w:val="59FA5928"/>
    <w:rsid w:val="5A1804DF"/>
    <w:rsid w:val="5AA6271A"/>
    <w:rsid w:val="5AA86375"/>
    <w:rsid w:val="5AEC7235"/>
    <w:rsid w:val="5BEE0D55"/>
    <w:rsid w:val="5C221AFD"/>
    <w:rsid w:val="5C776F19"/>
    <w:rsid w:val="5CD96437"/>
    <w:rsid w:val="5D373670"/>
    <w:rsid w:val="5D3970FE"/>
    <w:rsid w:val="5DED6477"/>
    <w:rsid w:val="5E7A44C7"/>
    <w:rsid w:val="5F0F7118"/>
    <w:rsid w:val="5F5A7717"/>
    <w:rsid w:val="60CF38D6"/>
    <w:rsid w:val="612B236F"/>
    <w:rsid w:val="61B85533"/>
    <w:rsid w:val="62194FB3"/>
    <w:rsid w:val="62291F2D"/>
    <w:rsid w:val="625E0FA6"/>
    <w:rsid w:val="62A02B74"/>
    <w:rsid w:val="631A6E47"/>
    <w:rsid w:val="63FD4217"/>
    <w:rsid w:val="64A77044"/>
    <w:rsid w:val="64D50799"/>
    <w:rsid w:val="64EE7E45"/>
    <w:rsid w:val="65064C8A"/>
    <w:rsid w:val="650D176A"/>
    <w:rsid w:val="65DC4CFC"/>
    <w:rsid w:val="66AF66E1"/>
    <w:rsid w:val="66B050FF"/>
    <w:rsid w:val="670F6C2E"/>
    <w:rsid w:val="674F5770"/>
    <w:rsid w:val="67603B6A"/>
    <w:rsid w:val="67EB7A2C"/>
    <w:rsid w:val="686869CF"/>
    <w:rsid w:val="698C56C9"/>
    <w:rsid w:val="69F4798A"/>
    <w:rsid w:val="6A783F72"/>
    <w:rsid w:val="6AE55AA5"/>
    <w:rsid w:val="6D6F36C4"/>
    <w:rsid w:val="6D717DF0"/>
    <w:rsid w:val="6DAA43B3"/>
    <w:rsid w:val="6DD5159A"/>
    <w:rsid w:val="6E1E5F9D"/>
    <w:rsid w:val="6E490C7C"/>
    <w:rsid w:val="6EA2269B"/>
    <w:rsid w:val="6EFD5A0E"/>
    <w:rsid w:val="6FA86B63"/>
    <w:rsid w:val="6FE27CE1"/>
    <w:rsid w:val="701557F7"/>
    <w:rsid w:val="7206464C"/>
    <w:rsid w:val="720B67F9"/>
    <w:rsid w:val="722C2ADE"/>
    <w:rsid w:val="725C23B8"/>
    <w:rsid w:val="72A07DCF"/>
    <w:rsid w:val="730646C5"/>
    <w:rsid w:val="73397F19"/>
    <w:rsid w:val="739A002C"/>
    <w:rsid w:val="73B85401"/>
    <w:rsid w:val="73E9220F"/>
    <w:rsid w:val="74303CED"/>
    <w:rsid w:val="743E34FF"/>
    <w:rsid w:val="74797928"/>
    <w:rsid w:val="74F6547D"/>
    <w:rsid w:val="75457F23"/>
    <w:rsid w:val="75CC16D6"/>
    <w:rsid w:val="75F91E5D"/>
    <w:rsid w:val="765A4953"/>
    <w:rsid w:val="769073B7"/>
    <w:rsid w:val="76F0722E"/>
    <w:rsid w:val="776A5B6D"/>
    <w:rsid w:val="776E1C43"/>
    <w:rsid w:val="77776584"/>
    <w:rsid w:val="778D0871"/>
    <w:rsid w:val="77A574CA"/>
    <w:rsid w:val="790629DF"/>
    <w:rsid w:val="79817FDA"/>
    <w:rsid w:val="79B7063E"/>
    <w:rsid w:val="7A0C6AE0"/>
    <w:rsid w:val="7A6F7BC0"/>
    <w:rsid w:val="7A901431"/>
    <w:rsid w:val="7A9837D2"/>
    <w:rsid w:val="7AD9B659"/>
    <w:rsid w:val="7B044D7B"/>
    <w:rsid w:val="7B205624"/>
    <w:rsid w:val="7BE91E19"/>
    <w:rsid w:val="7C006F3B"/>
    <w:rsid w:val="7C9F4740"/>
    <w:rsid w:val="7CCB62E2"/>
    <w:rsid w:val="7CD304F9"/>
    <w:rsid w:val="7CFBB5C4"/>
    <w:rsid w:val="7E1E6FF0"/>
    <w:rsid w:val="7E694138"/>
    <w:rsid w:val="7FD21E32"/>
    <w:rsid w:val="7FE37A28"/>
    <w:rsid w:val="7FFD5BDC"/>
    <w:rsid w:val="BD9FD219"/>
    <w:rsid w:val="DDB72AE1"/>
    <w:rsid w:val="FFFF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4">
    <w:name w:val="heading 2"/>
    <w:basedOn w:val="1"/>
    <w:next w:val="5"/>
    <w:link w:val="56"/>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7">
    <w:name w:val="heading 4"/>
    <w:basedOn w:val="1"/>
    <w:next w:val="1"/>
    <w:link w:val="5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9"/>
    <w:qFormat/>
    <w:uiPriority w:val="9"/>
    <w:pPr>
      <w:keepNext/>
      <w:keepLines/>
      <w:spacing w:before="280" w:after="290" w:line="376" w:lineRule="auto"/>
      <w:outlineLvl w:val="4"/>
    </w:pPr>
    <w:rPr>
      <w:b/>
      <w:bCs/>
      <w:sz w:val="28"/>
      <w:szCs w:val="28"/>
    </w:rPr>
  </w:style>
  <w:style w:type="paragraph" w:styleId="10">
    <w:name w:val="heading 6"/>
    <w:basedOn w:val="1"/>
    <w:next w:val="1"/>
    <w:qFormat/>
    <w:uiPriority w:val="99"/>
    <w:pPr>
      <w:keepNext/>
      <w:keepLines/>
      <w:spacing w:before="240" w:after="64" w:line="320" w:lineRule="auto"/>
      <w:outlineLvl w:val="5"/>
    </w:pPr>
    <w:rPr>
      <w:rFonts w:ascii="Arial" w:hAnsi="Arial" w:eastAsia="黑体" w:cs="Arial"/>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unhideWhenUsed/>
    <w:qFormat/>
    <w:uiPriority w:val="99"/>
    <w:pPr>
      <w:spacing w:after="120"/>
    </w:pPr>
  </w:style>
  <w:style w:type="paragraph" w:customStyle="1" w:styleId="5">
    <w:name w:val="正文-2字符首行缩进"/>
    <w:basedOn w:val="1"/>
    <w:qFormat/>
    <w:uiPriority w:val="99"/>
    <w:pPr>
      <w:ind w:firstLine="200"/>
    </w:pPr>
  </w:style>
  <w:style w:type="paragraph" w:styleId="9">
    <w:name w:val="Normal Indent"/>
    <w:basedOn w:val="1"/>
    <w:qFormat/>
    <w:uiPriority w:val="0"/>
    <w:pPr>
      <w:ind w:firstLine="420"/>
    </w:pPr>
    <w:rPr>
      <w:szCs w:val="20"/>
    </w:rPr>
  </w:style>
  <w:style w:type="paragraph" w:styleId="11">
    <w:name w:val="toc 7"/>
    <w:basedOn w:val="1"/>
    <w:next w:val="1"/>
    <w:unhideWhenUsed/>
    <w:qFormat/>
    <w:uiPriority w:val="39"/>
    <w:pPr>
      <w:jc w:val="left"/>
    </w:pPr>
    <w:rPr>
      <w:rFonts w:ascii="Calibri" w:hAnsi="Calibri"/>
      <w:sz w:val="22"/>
      <w:szCs w:val="22"/>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60"/>
    <w:qFormat/>
    <w:uiPriority w:val="0"/>
    <w:rPr>
      <w:rFonts w:ascii="宋体"/>
      <w:sz w:val="18"/>
      <w:szCs w:val="18"/>
    </w:rPr>
  </w:style>
  <w:style w:type="paragraph" w:styleId="14">
    <w:name w:val="annotation text"/>
    <w:basedOn w:val="1"/>
    <w:link w:val="61"/>
    <w:qFormat/>
    <w:uiPriority w:val="0"/>
    <w:pPr>
      <w:jc w:val="left"/>
    </w:pPr>
  </w:style>
  <w:style w:type="paragraph" w:styleId="15">
    <w:name w:val="Body Text 3"/>
    <w:basedOn w:val="1"/>
    <w:link w:val="62"/>
    <w:unhideWhenUsed/>
    <w:qFormat/>
    <w:uiPriority w:val="99"/>
    <w:pPr>
      <w:spacing w:after="120"/>
    </w:pPr>
    <w:rPr>
      <w:sz w:val="16"/>
      <w:szCs w:val="16"/>
    </w:rPr>
  </w:style>
  <w:style w:type="paragraph" w:styleId="16">
    <w:name w:val="Body Text Indent"/>
    <w:basedOn w:val="1"/>
    <w:link w:val="54"/>
    <w:qFormat/>
    <w:uiPriority w:val="0"/>
    <w:pPr>
      <w:spacing w:line="200" w:lineRule="exact"/>
      <w:ind w:firstLine="301"/>
    </w:pPr>
    <w:rPr>
      <w:rFonts w:ascii="宋体" w:hAnsi="Courier New"/>
      <w:spacing w:val="-4"/>
      <w:sz w:val="18"/>
      <w:szCs w:val="20"/>
    </w:rPr>
  </w:style>
  <w:style w:type="paragraph" w:styleId="17">
    <w:name w:val="toc 5"/>
    <w:basedOn w:val="1"/>
    <w:next w:val="1"/>
    <w:unhideWhenUsed/>
    <w:qFormat/>
    <w:uiPriority w:val="39"/>
    <w:pPr>
      <w:jc w:val="left"/>
    </w:pPr>
    <w:rPr>
      <w:rFonts w:ascii="Calibri" w:hAnsi="Calibri"/>
      <w:sz w:val="22"/>
      <w:szCs w:val="22"/>
    </w:rPr>
  </w:style>
  <w:style w:type="paragraph" w:styleId="18">
    <w:name w:val="toc 3"/>
    <w:basedOn w:val="1"/>
    <w:next w:val="1"/>
    <w:unhideWhenUsed/>
    <w:qFormat/>
    <w:uiPriority w:val="39"/>
    <w:pPr>
      <w:jc w:val="left"/>
    </w:pPr>
    <w:rPr>
      <w:rFonts w:ascii="Calibri" w:hAnsi="Calibri"/>
      <w:smallCaps/>
      <w:sz w:val="22"/>
      <w:szCs w:val="22"/>
    </w:rPr>
  </w:style>
  <w:style w:type="paragraph" w:styleId="19">
    <w:name w:val="Plain Text"/>
    <w:basedOn w:val="1"/>
    <w:next w:val="20"/>
    <w:link w:val="63"/>
    <w:qFormat/>
    <w:uiPriority w:val="0"/>
    <w:rPr>
      <w:rFonts w:ascii="宋体" w:hAnsi="Courier New"/>
      <w:szCs w:val="20"/>
    </w:rPr>
  </w:style>
  <w:style w:type="paragraph" w:customStyle="1" w:styleId="20">
    <w:name w:val="toc 12"/>
    <w:next w:val="1"/>
    <w:qFormat/>
    <w:uiPriority w:val="0"/>
    <w:pPr>
      <w:wordWrap w:val="0"/>
      <w:jc w:val="both"/>
    </w:pPr>
    <w:rPr>
      <w:rFonts w:ascii="宋体" w:hAnsi="宋体" w:eastAsia="宋体" w:cs="Times New Roman"/>
      <w:sz w:val="21"/>
      <w:lang w:val="en-US" w:eastAsia="zh-CN" w:bidi="ar-SA"/>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4"/>
    <w:qFormat/>
    <w:uiPriority w:val="0"/>
    <w:pPr>
      <w:ind w:left="100" w:leftChars="2500"/>
    </w:pPr>
  </w:style>
  <w:style w:type="paragraph" w:styleId="23">
    <w:name w:val="Body Text Indent 2"/>
    <w:basedOn w:val="1"/>
    <w:link w:val="65"/>
    <w:qFormat/>
    <w:uiPriority w:val="0"/>
    <w:pPr>
      <w:spacing w:after="120" w:line="480" w:lineRule="auto"/>
      <w:ind w:left="420" w:leftChars="200"/>
    </w:pPr>
  </w:style>
  <w:style w:type="paragraph" w:styleId="24">
    <w:name w:val="Balloon Text"/>
    <w:basedOn w:val="1"/>
    <w:link w:val="66"/>
    <w:qFormat/>
    <w:uiPriority w:val="0"/>
    <w:rPr>
      <w:sz w:val="18"/>
      <w:szCs w:val="18"/>
    </w:rPr>
  </w:style>
  <w:style w:type="paragraph" w:styleId="25">
    <w:name w:val="footer"/>
    <w:basedOn w:val="1"/>
    <w:next w:val="1"/>
    <w:link w:val="67"/>
    <w:qFormat/>
    <w:uiPriority w:val="99"/>
    <w:pPr>
      <w:tabs>
        <w:tab w:val="center" w:pos="4153"/>
        <w:tab w:val="right" w:pos="8306"/>
      </w:tabs>
      <w:snapToGrid w:val="0"/>
      <w:jc w:val="left"/>
    </w:pPr>
    <w:rPr>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qFormat/>
    <w:uiPriority w:val="0"/>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unhideWhenUsed/>
    <w:qFormat/>
    <w:uiPriority w:val="99"/>
    <w:pPr>
      <w:spacing w:before="75" w:after="75"/>
      <w:jc w:val="left"/>
    </w:pPr>
    <w:rPr>
      <w:kern w:val="0"/>
      <w:sz w:val="24"/>
    </w:rPr>
  </w:style>
  <w:style w:type="paragraph" w:styleId="34">
    <w:name w:val="annotation subject"/>
    <w:basedOn w:val="14"/>
    <w:next w:val="14"/>
    <w:link w:val="69"/>
    <w:unhideWhenUsed/>
    <w:qFormat/>
    <w:uiPriority w:val="99"/>
    <w:rPr>
      <w:b/>
      <w:bCs/>
    </w:rPr>
  </w:style>
  <w:style w:type="paragraph" w:styleId="35">
    <w:name w:val="Body Text First Indent 2"/>
    <w:basedOn w:val="16"/>
    <w:unhideWhenUsed/>
    <w:qFormat/>
    <w:uiPriority w:val="0"/>
    <w:pPr>
      <w:spacing w:after="120" w:line="240" w:lineRule="auto"/>
      <w:ind w:left="420" w:leftChars="200" w:firstLine="210" w:firstLineChars="200"/>
    </w:pPr>
    <w:rPr>
      <w:rFonts w:hAnsi="宋体"/>
      <w:sz w:val="28"/>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basedOn w:val="38"/>
    <w:qFormat/>
    <w:uiPriority w:val="20"/>
  </w:style>
  <w:style w:type="character" w:styleId="42">
    <w:name w:val="HTML Definition"/>
    <w:basedOn w:val="38"/>
    <w:semiHidden/>
    <w:unhideWhenUsed/>
    <w:qFormat/>
    <w:uiPriority w:val="99"/>
  </w:style>
  <w:style w:type="character" w:styleId="43">
    <w:name w:val="HTML Typewriter"/>
    <w:basedOn w:val="38"/>
    <w:semiHidden/>
    <w:unhideWhenUsed/>
    <w:qFormat/>
    <w:uiPriority w:val="99"/>
    <w:rPr>
      <w:rFonts w:ascii="monospace" w:hAnsi="monospace" w:eastAsia="monospace" w:cs="monospace"/>
      <w:sz w:val="20"/>
    </w:rPr>
  </w:style>
  <w:style w:type="character" w:styleId="44">
    <w:name w:val="HTML Acronym"/>
    <w:basedOn w:val="38"/>
    <w:semiHidden/>
    <w:unhideWhenUsed/>
    <w:qFormat/>
    <w:uiPriority w:val="99"/>
  </w:style>
  <w:style w:type="character" w:styleId="45">
    <w:name w:val="HTML Variable"/>
    <w:basedOn w:val="38"/>
    <w:semiHidden/>
    <w:unhideWhenUsed/>
    <w:qFormat/>
    <w:uiPriority w:val="99"/>
  </w:style>
  <w:style w:type="character" w:styleId="46">
    <w:name w:val="Hyperlink"/>
    <w:basedOn w:val="38"/>
    <w:qFormat/>
    <w:uiPriority w:val="99"/>
    <w:rPr>
      <w:color w:val="0000FF"/>
      <w:u w:val="single"/>
    </w:rPr>
  </w:style>
  <w:style w:type="character" w:styleId="47">
    <w:name w:val="HTML Code"/>
    <w:basedOn w:val="38"/>
    <w:semiHidden/>
    <w:unhideWhenUsed/>
    <w:qFormat/>
    <w:uiPriority w:val="99"/>
    <w:rPr>
      <w:rFonts w:hint="default" w:ascii="monospace" w:hAnsi="monospace" w:eastAsia="monospace" w:cs="monospace"/>
      <w:sz w:val="20"/>
    </w:rPr>
  </w:style>
  <w:style w:type="character" w:styleId="48">
    <w:name w:val="annotation reference"/>
    <w:qFormat/>
    <w:uiPriority w:val="99"/>
    <w:rPr>
      <w:sz w:val="21"/>
      <w:szCs w:val="21"/>
    </w:rPr>
  </w:style>
  <w:style w:type="character" w:styleId="49">
    <w:name w:val="HTML Cite"/>
    <w:basedOn w:val="38"/>
    <w:semiHidden/>
    <w:unhideWhenUsed/>
    <w:qFormat/>
    <w:uiPriority w:val="99"/>
  </w:style>
  <w:style w:type="character" w:styleId="50">
    <w:name w:val="HTML Keyboard"/>
    <w:basedOn w:val="38"/>
    <w:semiHidden/>
    <w:unhideWhenUsed/>
    <w:qFormat/>
    <w:uiPriority w:val="99"/>
    <w:rPr>
      <w:rFonts w:hint="default" w:ascii="monospace" w:hAnsi="monospace" w:eastAsia="monospace" w:cs="monospace"/>
      <w:sz w:val="20"/>
    </w:rPr>
  </w:style>
  <w:style w:type="character" w:styleId="51">
    <w:name w:val="HTML Sample"/>
    <w:basedOn w:val="38"/>
    <w:semiHidden/>
    <w:unhideWhenUsed/>
    <w:qFormat/>
    <w:uiPriority w:val="99"/>
    <w:rPr>
      <w:rFonts w:hint="default" w:ascii="monospace" w:hAnsi="monospace" w:eastAsia="monospace" w:cs="monospace"/>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正文文本 字符1"/>
    <w:link w:val="2"/>
    <w:qFormat/>
    <w:uiPriority w:val="99"/>
    <w:rPr>
      <w:kern w:val="2"/>
      <w:sz w:val="21"/>
      <w:szCs w:val="24"/>
    </w:rPr>
  </w:style>
  <w:style w:type="character" w:customStyle="1" w:styleId="54">
    <w:name w:val="正文文本缩进 字符1"/>
    <w:link w:val="16"/>
    <w:qFormat/>
    <w:uiPriority w:val="0"/>
    <w:rPr>
      <w:rFonts w:ascii="宋体" w:hAnsi="Courier New" w:eastAsia="宋体"/>
      <w:spacing w:val="-4"/>
      <w:kern w:val="2"/>
      <w:sz w:val="18"/>
      <w:lang w:val="en-US" w:eastAsia="zh-CN" w:bidi="ar-SA"/>
    </w:rPr>
  </w:style>
  <w:style w:type="character" w:customStyle="1" w:styleId="55">
    <w:name w:val="标题 1 字符1"/>
    <w:link w:val="3"/>
    <w:qFormat/>
    <w:uiPriority w:val="0"/>
    <w:rPr>
      <w:b/>
      <w:bCs/>
      <w:kern w:val="44"/>
      <w:sz w:val="44"/>
      <w:szCs w:val="44"/>
    </w:rPr>
  </w:style>
  <w:style w:type="character" w:customStyle="1" w:styleId="56">
    <w:name w:val="标题 2 字符1"/>
    <w:link w:val="4"/>
    <w:qFormat/>
    <w:uiPriority w:val="0"/>
    <w:rPr>
      <w:rFonts w:ascii="Arial" w:hAnsi="Arial" w:eastAsia="黑体"/>
      <w:b/>
      <w:bCs/>
      <w:kern w:val="2"/>
      <w:sz w:val="32"/>
      <w:szCs w:val="32"/>
    </w:rPr>
  </w:style>
  <w:style w:type="character" w:customStyle="1" w:styleId="57">
    <w:name w:val="标题 3 字符1"/>
    <w:link w:val="6"/>
    <w:qFormat/>
    <w:uiPriority w:val="0"/>
    <w:rPr>
      <w:b/>
      <w:bCs/>
      <w:kern w:val="2"/>
      <w:sz w:val="32"/>
      <w:szCs w:val="32"/>
    </w:rPr>
  </w:style>
  <w:style w:type="character" w:customStyle="1" w:styleId="58">
    <w:name w:val="标题 4 字符1"/>
    <w:link w:val="7"/>
    <w:qFormat/>
    <w:uiPriority w:val="0"/>
    <w:rPr>
      <w:rFonts w:ascii="Arial" w:eastAsia="黑体"/>
      <w:sz w:val="28"/>
    </w:rPr>
  </w:style>
  <w:style w:type="character" w:customStyle="1" w:styleId="59">
    <w:name w:val="标题 5 字符1"/>
    <w:link w:val="8"/>
    <w:qFormat/>
    <w:uiPriority w:val="9"/>
    <w:rPr>
      <w:b/>
      <w:bCs/>
      <w:kern w:val="2"/>
      <w:sz w:val="28"/>
      <w:szCs w:val="28"/>
    </w:rPr>
  </w:style>
  <w:style w:type="character" w:customStyle="1" w:styleId="60">
    <w:name w:val="文档结构图 字符1"/>
    <w:link w:val="13"/>
    <w:qFormat/>
    <w:uiPriority w:val="0"/>
    <w:rPr>
      <w:rFonts w:ascii="宋体"/>
      <w:kern w:val="2"/>
      <w:sz w:val="18"/>
      <w:szCs w:val="18"/>
    </w:rPr>
  </w:style>
  <w:style w:type="character" w:customStyle="1" w:styleId="61">
    <w:name w:val="批注文字 字符2"/>
    <w:link w:val="14"/>
    <w:qFormat/>
    <w:uiPriority w:val="0"/>
    <w:rPr>
      <w:kern w:val="2"/>
      <w:sz w:val="21"/>
      <w:szCs w:val="24"/>
    </w:rPr>
  </w:style>
  <w:style w:type="character" w:customStyle="1" w:styleId="62">
    <w:name w:val="正文文本 3 字符1"/>
    <w:link w:val="15"/>
    <w:qFormat/>
    <w:uiPriority w:val="99"/>
    <w:rPr>
      <w:kern w:val="2"/>
      <w:sz w:val="16"/>
      <w:szCs w:val="16"/>
    </w:rPr>
  </w:style>
  <w:style w:type="character" w:customStyle="1" w:styleId="63">
    <w:name w:val="纯文本 字符3"/>
    <w:link w:val="19"/>
    <w:qFormat/>
    <w:uiPriority w:val="0"/>
    <w:rPr>
      <w:rFonts w:ascii="宋体" w:hAnsi="Courier New" w:eastAsia="宋体"/>
      <w:kern w:val="2"/>
      <w:sz w:val="21"/>
      <w:lang w:val="en-US" w:eastAsia="zh-CN" w:bidi="ar-SA"/>
    </w:rPr>
  </w:style>
  <w:style w:type="character" w:customStyle="1" w:styleId="64">
    <w:name w:val="日期 字符1"/>
    <w:link w:val="22"/>
    <w:qFormat/>
    <w:uiPriority w:val="0"/>
    <w:rPr>
      <w:kern w:val="2"/>
      <w:sz w:val="21"/>
      <w:szCs w:val="24"/>
    </w:rPr>
  </w:style>
  <w:style w:type="character" w:customStyle="1" w:styleId="65">
    <w:name w:val="正文文本缩进 2 字符1"/>
    <w:link w:val="23"/>
    <w:qFormat/>
    <w:uiPriority w:val="0"/>
    <w:rPr>
      <w:kern w:val="2"/>
      <w:sz w:val="21"/>
      <w:szCs w:val="24"/>
    </w:rPr>
  </w:style>
  <w:style w:type="character" w:customStyle="1" w:styleId="66">
    <w:name w:val="批注框文本 字符1"/>
    <w:link w:val="24"/>
    <w:qFormat/>
    <w:uiPriority w:val="0"/>
    <w:rPr>
      <w:kern w:val="2"/>
      <w:sz w:val="18"/>
      <w:szCs w:val="18"/>
    </w:rPr>
  </w:style>
  <w:style w:type="character" w:customStyle="1" w:styleId="67">
    <w:name w:val="页脚 字符2"/>
    <w:link w:val="25"/>
    <w:qFormat/>
    <w:uiPriority w:val="99"/>
    <w:rPr>
      <w:kern w:val="2"/>
      <w:sz w:val="18"/>
      <w:szCs w:val="18"/>
    </w:rPr>
  </w:style>
  <w:style w:type="character" w:customStyle="1" w:styleId="68">
    <w:name w:val="页眉 字符2"/>
    <w:link w:val="26"/>
    <w:qFormat/>
    <w:uiPriority w:val="99"/>
    <w:rPr>
      <w:kern w:val="2"/>
      <w:sz w:val="18"/>
      <w:szCs w:val="18"/>
    </w:rPr>
  </w:style>
  <w:style w:type="character" w:customStyle="1" w:styleId="69">
    <w:name w:val="批注主题 字符1"/>
    <w:link w:val="34"/>
    <w:qFormat/>
    <w:uiPriority w:val="99"/>
    <w:rPr>
      <w:b/>
      <w:bCs/>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日期 字符"/>
    <w:qFormat/>
    <w:uiPriority w:val="0"/>
    <w:rPr>
      <w:kern w:val="2"/>
      <w:sz w:val="21"/>
      <w:szCs w:val="24"/>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rPr>
      <w:rFonts w:ascii="宋体" w:hAnsi="Courier New"/>
      <w:szCs w:val="21"/>
    </w:rPr>
  </w:style>
  <w:style w:type="character" w:customStyle="1" w:styleId="74">
    <w:name w:val="NormalCharacter"/>
    <w:qFormat/>
    <w:uiPriority w:val="0"/>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页眉 字符1"/>
    <w:qFormat/>
    <w:uiPriority w:val="99"/>
    <w:rPr>
      <w:kern w:val="2"/>
      <w:sz w:val="18"/>
      <w:szCs w:val="18"/>
    </w:rPr>
  </w:style>
  <w:style w:type="character" w:customStyle="1" w:styleId="80">
    <w:name w:val="批注框文本 字符"/>
    <w:qFormat/>
    <w:uiPriority w:val="0"/>
    <w:rPr>
      <w:kern w:val="2"/>
      <w:sz w:val="18"/>
      <w:szCs w:val="18"/>
    </w:rPr>
  </w:style>
  <w:style w:type="character" w:customStyle="1" w:styleId="81">
    <w:name w:val="标题 3 字符"/>
    <w:qFormat/>
    <w:uiPriority w:val="0"/>
    <w:rPr>
      <w:b/>
      <w:bCs/>
      <w:kern w:val="2"/>
      <w:sz w:val="32"/>
      <w:szCs w:val="32"/>
    </w:rPr>
  </w:style>
  <w:style w:type="character" w:customStyle="1" w:styleId="82">
    <w:name w:val="页眉 字符"/>
    <w:qFormat/>
    <w:uiPriority w:val="99"/>
    <w:rPr>
      <w:rFonts w:ascii="Times New Roman" w:hAnsi="Times New Roman"/>
      <w:kern w:val="2"/>
      <w:sz w:val="18"/>
      <w:szCs w:val="18"/>
    </w:rPr>
  </w:style>
  <w:style w:type="character" w:customStyle="1" w:styleId="83">
    <w:name w:val="标题 4 字符"/>
    <w:qFormat/>
    <w:uiPriority w:val="0"/>
    <w:rPr>
      <w:rFonts w:ascii="Arial" w:eastAsia="黑体"/>
      <w:sz w:val="28"/>
    </w:rPr>
  </w:style>
  <w:style w:type="character" w:customStyle="1" w:styleId="84">
    <w:name w:val="批注主题 字符"/>
    <w:qFormat/>
    <w:uiPriority w:val="99"/>
    <w:rPr>
      <w:b/>
      <w:bCs/>
      <w:kern w:val="2"/>
      <w:sz w:val="21"/>
      <w:szCs w:val="24"/>
    </w:rPr>
  </w:style>
  <w:style w:type="character" w:customStyle="1" w:styleId="85">
    <w:name w:val="正文文本 字符"/>
    <w:qFormat/>
    <w:uiPriority w:val="99"/>
    <w:rPr>
      <w:kern w:val="2"/>
      <w:sz w:val="21"/>
      <w:szCs w:val="24"/>
    </w:rPr>
  </w:style>
  <w:style w:type="character" w:customStyle="1" w:styleId="86">
    <w:name w:val="标题 1 字符"/>
    <w:qFormat/>
    <w:uiPriority w:val="0"/>
    <w:rPr>
      <w:b/>
      <w:bCs/>
      <w:kern w:val="44"/>
      <w:sz w:val="44"/>
      <w:szCs w:val="44"/>
    </w:rPr>
  </w:style>
  <w:style w:type="character" w:customStyle="1" w:styleId="87">
    <w:name w:val="文档结构图 字符"/>
    <w:qFormat/>
    <w:uiPriority w:val="0"/>
    <w:rPr>
      <w:rFonts w:ascii="宋体"/>
      <w:kern w:val="2"/>
      <w:sz w:val="18"/>
      <w:szCs w:val="18"/>
    </w:rPr>
  </w:style>
  <w:style w:type="character" w:customStyle="1" w:styleId="88">
    <w:name w:val="纯文本 字符1"/>
    <w:semiHidden/>
    <w:qFormat/>
    <w:locked/>
    <w:uiPriority w:val="0"/>
    <w:rPr>
      <w:rFonts w:ascii="宋体" w:hAnsi="Courier New"/>
      <w:kern w:val="2"/>
      <w:sz w:val="21"/>
    </w:rPr>
  </w:style>
  <w:style w:type="character" w:customStyle="1" w:styleId="89">
    <w:name w:val="标题 5 字符"/>
    <w:qFormat/>
    <w:uiPriority w:val="9"/>
    <w:rPr>
      <w:b/>
      <w:bCs/>
      <w:kern w:val="2"/>
      <w:sz w:val="28"/>
      <w:szCs w:val="28"/>
    </w:rPr>
  </w:style>
  <w:style w:type="character" w:customStyle="1" w:styleId="90">
    <w:name w:val="纯文本 字符"/>
    <w:qFormat/>
    <w:uiPriority w:val="0"/>
    <w:rPr>
      <w:rFonts w:ascii="宋体" w:hAnsi="Courier New"/>
      <w:kern w:val="2"/>
      <w:sz w:val="21"/>
    </w:rPr>
  </w:style>
  <w:style w:type="character" w:customStyle="1" w:styleId="91">
    <w:name w:val="批注文字 字符"/>
    <w:qFormat/>
    <w:uiPriority w:val="0"/>
    <w:rPr>
      <w:kern w:val="2"/>
      <w:sz w:val="21"/>
      <w:szCs w:val="24"/>
    </w:rPr>
  </w:style>
  <w:style w:type="character" w:customStyle="1" w:styleId="92">
    <w:name w:val="正文文本缩进 2 字符"/>
    <w:qFormat/>
    <w:uiPriority w:val="0"/>
    <w:rPr>
      <w:kern w:val="2"/>
      <w:sz w:val="21"/>
      <w:szCs w:val="24"/>
    </w:rPr>
  </w:style>
  <w:style w:type="character" w:customStyle="1" w:styleId="93">
    <w:name w:val="批注文字 字符1"/>
    <w:qFormat/>
    <w:uiPriority w:val="0"/>
    <w:rPr>
      <w:rFonts w:ascii="Times New Roman" w:hAnsi="Times New Roman"/>
      <w:kern w:val="2"/>
      <w:sz w:val="21"/>
      <w:szCs w:val="24"/>
    </w:rPr>
  </w:style>
  <w:style w:type="character" w:customStyle="1" w:styleId="9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5">
    <w:name w:val="页脚 字符1"/>
    <w:qFormat/>
    <w:uiPriority w:val="99"/>
    <w:rPr>
      <w:kern w:val="2"/>
      <w:sz w:val="18"/>
      <w:szCs w:val="18"/>
    </w:rPr>
  </w:style>
  <w:style w:type="character" w:customStyle="1" w:styleId="96">
    <w:name w:val="标题 2 字符"/>
    <w:qFormat/>
    <w:uiPriority w:val="0"/>
    <w:rPr>
      <w:rFonts w:ascii="Arial" w:hAnsi="Arial" w:eastAsia="黑体"/>
      <w:b/>
      <w:bCs/>
      <w:kern w:val="2"/>
      <w:sz w:val="32"/>
      <w:szCs w:val="32"/>
    </w:rPr>
  </w:style>
  <w:style w:type="character" w:customStyle="1" w:styleId="97">
    <w:name w:val="正文文本缩进 字符"/>
    <w:qFormat/>
    <w:uiPriority w:val="0"/>
    <w:rPr>
      <w:rFonts w:ascii="宋体" w:hAnsi="Courier New"/>
      <w:spacing w:val="-4"/>
      <w:kern w:val="2"/>
      <w:sz w:val="18"/>
    </w:rPr>
  </w:style>
  <w:style w:type="character" w:customStyle="1" w:styleId="98">
    <w:name w:val="正文2 Char Char"/>
    <w:link w:val="99"/>
    <w:qFormat/>
    <w:uiPriority w:val="0"/>
    <w:rPr>
      <w:kern w:val="2"/>
      <w:sz w:val="24"/>
    </w:rPr>
  </w:style>
  <w:style w:type="paragraph" w:customStyle="1" w:styleId="99">
    <w:name w:val="正文2"/>
    <w:basedOn w:val="1"/>
    <w:link w:val="98"/>
    <w:qFormat/>
    <w:uiPriority w:val="0"/>
    <w:pPr>
      <w:adjustRightInd w:val="0"/>
      <w:spacing w:before="156" w:line="360" w:lineRule="auto"/>
      <w:ind w:firstLine="510" w:firstLineChars="200"/>
    </w:pPr>
    <w:rPr>
      <w:sz w:val="24"/>
      <w:szCs w:val="20"/>
    </w:rPr>
  </w:style>
  <w:style w:type="character" w:customStyle="1" w:styleId="100">
    <w:name w:val="页脚 字符"/>
    <w:qFormat/>
    <w:uiPriority w:val="99"/>
    <w:rPr>
      <w:sz w:val="18"/>
      <w:szCs w:val="18"/>
    </w:rPr>
  </w:style>
  <w:style w:type="character" w:customStyle="1" w:styleId="101">
    <w:name w:val="批注文字 Char1"/>
    <w:qFormat/>
    <w:uiPriority w:val="0"/>
    <w:rPr>
      <w:rFonts w:ascii="Times New Roman" w:hAnsi="Times New Roman"/>
      <w:kern w:val="2"/>
      <w:sz w:val="21"/>
      <w:szCs w:val="24"/>
    </w:rPr>
  </w:style>
  <w:style w:type="character" w:customStyle="1" w:styleId="102">
    <w:name w:val="纯文本 Char1"/>
    <w:link w:val="103"/>
    <w:qFormat/>
    <w:uiPriority w:val="0"/>
    <w:rPr>
      <w:rFonts w:ascii="宋体" w:hAnsi="Courier New" w:eastAsia="宋体"/>
      <w:kern w:val="2"/>
      <w:sz w:val="21"/>
      <w:lang w:val="en-US" w:eastAsia="zh-CN" w:bidi="ar-SA"/>
    </w:rPr>
  </w:style>
  <w:style w:type="paragraph" w:customStyle="1" w:styleId="103">
    <w:name w:val="纯文本1"/>
    <w:basedOn w:val="1"/>
    <w:link w:val="102"/>
    <w:qFormat/>
    <w:uiPriority w:val="0"/>
    <w:rPr>
      <w:rFonts w:ascii="宋体" w:hAnsi="Courier New"/>
      <w:szCs w:val="20"/>
    </w:rPr>
  </w:style>
  <w:style w:type="character" w:customStyle="1" w:styleId="104">
    <w:name w:val="正文文本 3 字符"/>
    <w:qFormat/>
    <w:uiPriority w:val="99"/>
    <w:rPr>
      <w:kern w:val="2"/>
      <w:sz w:val="16"/>
      <w:szCs w:val="16"/>
    </w:rPr>
  </w:style>
  <w:style w:type="paragraph" w:customStyle="1" w:styleId="105">
    <w:name w:val="正文段"/>
    <w:basedOn w:val="1"/>
    <w:qFormat/>
    <w:uiPriority w:val="0"/>
    <w:pPr>
      <w:widowControl/>
      <w:snapToGrid w:val="0"/>
      <w:spacing w:after="156" w:afterLines="50"/>
      <w:ind w:firstLine="200" w:firstLineChars="200"/>
    </w:pPr>
    <w:rPr>
      <w:kern w:val="0"/>
      <w:sz w:val="24"/>
      <w:szCs w:val="20"/>
    </w:rPr>
  </w:style>
  <w:style w:type="paragraph" w:customStyle="1" w:styleId="106">
    <w:name w:val="列出段落1"/>
    <w:basedOn w:val="1"/>
    <w:qFormat/>
    <w:uiPriority w:val="34"/>
    <w:pPr>
      <w:spacing w:before="100" w:beforeAutospacing="1" w:after="100" w:afterAutospacing="1" w:line="360" w:lineRule="auto"/>
      <w:ind w:firstLine="420" w:firstLineChars="200"/>
    </w:pPr>
  </w:style>
  <w:style w:type="paragraph" w:customStyle="1" w:styleId="107">
    <w:name w:val="Char Char Char Char Char Char Char"/>
    <w:basedOn w:val="1"/>
    <w:qFormat/>
    <w:uiPriority w:val="0"/>
  </w:style>
  <w:style w:type="paragraph" w:customStyle="1" w:styleId="108">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Char Char Char Char"/>
    <w:basedOn w:val="1"/>
    <w:qFormat/>
    <w:uiPriority w:val="0"/>
    <w:pPr>
      <w:widowControl/>
      <w:spacing w:after="160" w:line="240" w:lineRule="exact"/>
      <w:jc w:val="left"/>
    </w:p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表格文字"/>
    <w:basedOn w:val="1"/>
    <w:next w:val="2"/>
    <w:qFormat/>
    <w:uiPriority w:val="0"/>
    <w:pPr>
      <w:adjustRightInd w:val="0"/>
      <w:spacing w:line="420" w:lineRule="atLeast"/>
      <w:jc w:val="left"/>
      <w:textAlignment w:val="baseline"/>
    </w:pPr>
    <w:rPr>
      <w:kern w:val="0"/>
    </w:rPr>
  </w:style>
  <w:style w:type="paragraph" w:customStyle="1" w:styleId="114">
    <w:name w:val="_Style 10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5">
    <w:name w:val="Char Char Char1 Char Char Char Char Char Char Char"/>
    <w:basedOn w:val="1"/>
    <w:qFormat/>
    <w:uiPriority w:val="0"/>
  </w:style>
  <w:style w:type="paragraph" w:customStyle="1" w:styleId="116">
    <w:name w:val="Char Char Char Char Char Char Char1"/>
    <w:basedOn w:val="1"/>
    <w:qFormat/>
    <w:uiPriority w:val="0"/>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Char Char Char Char Char Char Char Char Char Char Char Char"/>
    <w:basedOn w:val="1"/>
    <w:qFormat/>
    <w:uiPriority w:val="0"/>
    <w:pPr>
      <w:widowControl/>
      <w:spacing w:after="160" w:line="240" w:lineRule="exact"/>
      <w:jc w:val="left"/>
    </w:pPr>
  </w:style>
  <w:style w:type="paragraph" w:styleId="119">
    <w:name w:val="List Paragraph"/>
    <w:basedOn w:val="1"/>
    <w:qFormat/>
    <w:uiPriority w:val="34"/>
    <w:pPr>
      <w:ind w:firstLine="420" w:firstLineChars="200"/>
    </w:pPr>
  </w:style>
  <w:style w:type="paragraph" w:customStyle="1" w:styleId="120">
    <w:name w:val="_Style 108"/>
    <w:qFormat/>
    <w:uiPriority w:val="0"/>
    <w:rPr>
      <w:rFonts w:ascii="Times New Roman" w:hAnsi="Times New Roman" w:eastAsia="宋体" w:cs="Times New Roman"/>
      <w:kern w:val="2"/>
      <w:sz w:val="21"/>
      <w:szCs w:val="24"/>
      <w:lang w:val="en-US" w:eastAsia="zh-CN" w:bidi="ar-SA"/>
    </w:rPr>
  </w:style>
  <w:style w:type="paragraph" w:customStyle="1" w:styleId="121">
    <w:name w:val="标书二级标题，自动编号"/>
    <w:basedOn w:val="1"/>
    <w:qFormat/>
    <w:uiPriority w:val="0"/>
    <w:pPr>
      <w:keepNext/>
      <w:keepLines/>
      <w:tabs>
        <w:tab w:val="left" w:pos="720"/>
      </w:tabs>
      <w:spacing w:before="160" w:after="160" w:line="415" w:lineRule="auto"/>
      <w:ind w:left="720"/>
      <w:jc w:val="left"/>
      <w:outlineLvl w:val="2"/>
    </w:pPr>
    <w:rPr>
      <w:bCs/>
      <w:sz w:val="28"/>
      <w:szCs w:val="32"/>
    </w:rPr>
  </w:style>
  <w:style w:type="paragraph" w:customStyle="1" w:styleId="122">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23">
    <w:name w:val="Char Char Char"/>
    <w:basedOn w:val="1"/>
    <w:qFormat/>
    <w:uiPriority w:val="0"/>
    <w:rPr>
      <w:szCs w:val="20"/>
    </w:rPr>
  </w:style>
  <w:style w:type="paragraph" w:customStyle="1" w:styleId="124">
    <w:name w:val="Char"/>
    <w:basedOn w:val="1"/>
    <w:qFormat/>
    <w:uiPriority w:val="0"/>
    <w:rPr>
      <w:szCs w:val="21"/>
    </w:rPr>
  </w:style>
  <w:style w:type="paragraph" w:customStyle="1" w:styleId="125">
    <w:name w:val="Char1"/>
    <w:basedOn w:val="1"/>
    <w:qFormat/>
    <w:uiPriority w:val="0"/>
  </w:style>
  <w:style w:type="paragraph" w:customStyle="1" w:styleId="126">
    <w:name w:val="Char Char Char Char Char Char Char Char Char Char Char Char1"/>
    <w:basedOn w:val="1"/>
    <w:qFormat/>
    <w:uiPriority w:val="0"/>
    <w:pPr>
      <w:widowControl/>
      <w:spacing w:after="160" w:line="240" w:lineRule="exact"/>
      <w:jc w:val="left"/>
    </w:pPr>
  </w:style>
  <w:style w:type="paragraph" w:customStyle="1" w:styleId="127">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128">
    <w:name w:val="p0"/>
    <w:basedOn w:val="1"/>
    <w:qFormat/>
    <w:uiPriority w:val="0"/>
    <w:pPr>
      <w:widowControl/>
    </w:pPr>
    <w:rPr>
      <w:kern w:val="0"/>
      <w:szCs w:val="21"/>
    </w:rPr>
  </w:style>
  <w:style w:type="paragraph" w:customStyle="1" w:styleId="1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30">
    <w:name w:val="Char Char Char Char1"/>
    <w:basedOn w:val="1"/>
    <w:qFormat/>
    <w:uiPriority w:val="0"/>
    <w:pPr>
      <w:widowControl/>
      <w:spacing w:after="160" w:line="240" w:lineRule="exact"/>
      <w:jc w:val="left"/>
    </w:pPr>
  </w:style>
  <w:style w:type="character" w:customStyle="1" w:styleId="131">
    <w:name w:val="bookmark-item uuid-1595940713919 code-am01400046 editdisable single-line-text-input-box-cls readonly"/>
    <w:qFormat/>
    <w:uiPriority w:val="0"/>
  </w:style>
  <w:style w:type="character" w:customStyle="1" w:styleId="132">
    <w:name w:val="bookmark-item uuid-1594624424199 code-23012 addword single-line-text-input-box-cls readonly"/>
    <w:qFormat/>
    <w:uiPriority w:val="0"/>
  </w:style>
  <w:style w:type="character" w:customStyle="1" w:styleId="133">
    <w:name w:val="bookmark-item uuid-1589194982864 code-31006 addword multi-line-text-input-box-cls"/>
    <w:qFormat/>
    <w:uiPriority w:val="0"/>
    <w:rPr>
      <w:rFonts w:ascii="Times New Roman" w:hAnsi="Times New Roman" w:eastAsia="宋体" w:cs="Times New Roman"/>
    </w:rPr>
  </w:style>
  <w:style w:type="paragraph" w:customStyle="1" w:styleId="13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table" w:customStyle="1" w:styleId="135">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first-child"/>
    <w:basedOn w:val="38"/>
    <w:qFormat/>
    <w:uiPriority w:val="0"/>
  </w:style>
  <w:style w:type="character" w:customStyle="1" w:styleId="137">
    <w:name w:val="layui-layer-tabnow"/>
    <w:basedOn w:val="38"/>
    <w:qFormat/>
    <w:uiPriority w:val="0"/>
    <w:rPr>
      <w:bdr w:val="single" w:color="CCCCCC" w:sz="6" w:space="0"/>
      <w:shd w:val="clear" w:color="auto" w:fill="FFFFFF"/>
    </w:rPr>
  </w:style>
  <w:style w:type="paragraph" w:customStyle="1" w:styleId="138">
    <w:name w:val="引言二级条标题"/>
    <w:basedOn w:val="139"/>
    <w:next w:val="140"/>
    <w:qFormat/>
    <w:uiPriority w:val="0"/>
    <w:pPr>
      <w:numPr>
        <w:ilvl w:val="1"/>
        <w:numId w:val="0"/>
      </w:numPr>
      <w:tabs>
        <w:tab w:val="left" w:pos="360"/>
        <w:tab w:val="left" w:pos="1200"/>
      </w:tabs>
    </w:pPr>
    <w:rPr>
      <w:rFonts w:ascii="宋体" w:hAnsi="宋体"/>
      <w:b w:val="0"/>
      <w:szCs w:val="20"/>
    </w:rPr>
  </w:style>
  <w:style w:type="paragraph" w:customStyle="1" w:styleId="139">
    <w:name w:val="引言一级条标题"/>
    <w:basedOn w:val="1"/>
    <w:next w:val="140"/>
    <w:qFormat/>
    <w:uiPriority w:val="0"/>
    <w:pPr>
      <w:widowControl/>
      <w:numPr>
        <w:ilvl w:val="0"/>
        <w:numId w:val="1"/>
      </w:numPr>
    </w:pPr>
    <w:rPr>
      <w:rFonts w:eastAsia="黑体"/>
      <w:b/>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84</Pages>
  <Words>3185</Words>
  <Characters>3803</Characters>
  <Lines>990</Lines>
  <Paragraphs>278</Paragraphs>
  <TotalTime>11</TotalTime>
  <ScaleCrop>false</ScaleCrop>
  <LinksUpToDate>false</LinksUpToDate>
  <CharactersWithSpaces>3922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2024-05-31T06:36:00Z</dcterms:created>
  <dc:creator>丁琳</dc:creator>
  <cp:lastModifiedBy>/</cp:lastModifiedBy>
  <cp:lastPrinted>2021-08-18T11:26:00Z</cp:lastPrinted>
  <dcterms:modified xsi:type="dcterms:W3CDTF">2025-01-08T07:43:41Z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42ECC8AF0B7F4FCD8A471618AE3B2E55_13</vt:lpwstr>
  </property>
  <property fmtid="{D5CDD505-2E9C-101B-9397-08002B2CF9AE}" pid="4" name="KSOTemplateDocerSaveRecord">
    <vt:lpwstr>eyJoZGlkIjoiNDZhMDIyNmU4ZTg3YTRlNjI0YTAzNjQwYjBlMDVmMzkiLCJ1c2VySWQiOiIyOTc2OTEyMjcifQ==</vt:lpwstr>
  </property>
</Properties>
</file>