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D56C7">
      <w:pPr>
        <w:spacing w:before="312" w:beforeLines="100" w:after="156" w:afterLines="50"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梧州市政府采购</w:t>
      </w:r>
    </w:p>
    <w:p w14:paraId="608871D7">
      <w:pPr>
        <w:pStyle w:val="11"/>
        <w:rPr>
          <w:color w:val="auto"/>
          <w:highlight w:val="none"/>
        </w:rPr>
      </w:pPr>
    </w:p>
    <w:p w14:paraId="3D90FDDB">
      <w:pPr>
        <w:pStyle w:val="12"/>
        <w:rPr>
          <w:color w:val="auto"/>
          <w:highlight w:val="none"/>
        </w:rPr>
      </w:pPr>
    </w:p>
    <w:p w14:paraId="66BB150D">
      <w:pPr>
        <w:pStyle w:val="28"/>
        <w:rPr>
          <w:color w:val="auto"/>
          <w:highlight w:val="none"/>
        </w:rPr>
      </w:pPr>
    </w:p>
    <w:p w14:paraId="6681D025">
      <w:pPr>
        <w:rPr>
          <w:color w:val="auto"/>
          <w:highlight w:val="none"/>
        </w:rPr>
      </w:pPr>
    </w:p>
    <w:p w14:paraId="286DFC7C">
      <w:pPr>
        <w:rPr>
          <w:color w:val="auto"/>
          <w:highlight w:val="none"/>
        </w:rPr>
      </w:pPr>
    </w:p>
    <w:p w14:paraId="63C468BC">
      <w:pPr>
        <w:rPr>
          <w:color w:val="auto"/>
          <w:highlight w:val="none"/>
        </w:rPr>
      </w:pPr>
    </w:p>
    <w:p w14:paraId="1827B895">
      <w:pPr>
        <w:rPr>
          <w:color w:val="auto"/>
          <w:highlight w:val="none"/>
        </w:rPr>
      </w:pPr>
    </w:p>
    <w:p w14:paraId="2FD975C2">
      <w:pPr>
        <w:snapToGrid w:val="0"/>
        <w:spacing w:before="156" w:beforeLines="50" w:line="360" w:lineRule="auto"/>
        <w:jc w:val="center"/>
        <w:rPr>
          <w:rFonts w:ascii="宋体" w:hAnsi="宋体" w:cs="宋体"/>
          <w:b/>
          <w:color w:val="auto"/>
          <w:sz w:val="32"/>
          <w:szCs w:val="32"/>
          <w:highlight w:val="none"/>
        </w:rPr>
      </w:pPr>
      <w:r>
        <w:rPr>
          <w:rFonts w:hint="eastAsia" w:ascii="宋体" w:hAnsi="宋体" w:cs="宋体"/>
          <w:color w:val="auto"/>
          <w:sz w:val="72"/>
          <w:szCs w:val="72"/>
          <w:highlight w:val="none"/>
        </w:rPr>
        <w:t>竞争性磋商文件</w:t>
      </w:r>
    </w:p>
    <w:p w14:paraId="70CD5F82">
      <w:pPr>
        <w:pStyle w:val="11"/>
        <w:rPr>
          <w:color w:val="auto"/>
          <w:highlight w:val="none"/>
        </w:rPr>
      </w:pPr>
    </w:p>
    <w:p w14:paraId="1F1D2D1A">
      <w:pPr>
        <w:pStyle w:val="12"/>
        <w:rPr>
          <w:color w:val="auto"/>
          <w:highlight w:val="none"/>
        </w:rPr>
      </w:pPr>
    </w:p>
    <w:p w14:paraId="2CDF4E70">
      <w:pPr>
        <w:pStyle w:val="28"/>
        <w:rPr>
          <w:color w:val="auto"/>
          <w:highlight w:val="none"/>
        </w:rPr>
      </w:pPr>
    </w:p>
    <w:p w14:paraId="2B20E0D2">
      <w:pPr>
        <w:rPr>
          <w:color w:val="auto"/>
          <w:highlight w:val="none"/>
        </w:rPr>
      </w:pPr>
    </w:p>
    <w:p w14:paraId="2921A50A">
      <w:pPr>
        <w:rPr>
          <w:color w:val="auto"/>
          <w:highlight w:val="none"/>
        </w:rPr>
      </w:pPr>
    </w:p>
    <w:p w14:paraId="6B7E1598">
      <w:pPr>
        <w:pStyle w:val="12"/>
        <w:adjustRightInd w:val="0"/>
        <w:snapToGrid/>
        <w:ind w:firstLine="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项目编号：WZZC2024-C3-990618-GXTZ</w:t>
      </w:r>
    </w:p>
    <w:p w14:paraId="68F3D2AA">
      <w:pPr>
        <w:adjustRightInd w:val="0"/>
        <w:spacing w:before="156" w:beforeLines="50"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项目名称：</w:t>
      </w:r>
      <w:bookmarkStart w:id="168" w:name="_GoBack"/>
      <w:r>
        <w:rPr>
          <w:rFonts w:hint="eastAsia" w:ascii="宋体" w:hAnsi="宋体" w:eastAsia="宋体" w:cs="宋体"/>
          <w:b/>
          <w:bCs/>
          <w:color w:val="auto"/>
          <w:sz w:val="30"/>
          <w:szCs w:val="30"/>
          <w:highlight w:val="none"/>
        </w:rPr>
        <w:t>梧州市流域面积50km²以下河道管理范围成果再复核调整工作服务采购</w:t>
      </w:r>
      <w:bookmarkEnd w:id="168"/>
    </w:p>
    <w:p w14:paraId="68C55BCD">
      <w:pPr>
        <w:adjustRightInd w:val="0"/>
        <w:spacing w:before="156" w:beforeLines="50" w:line="360" w:lineRule="auto"/>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采 购 人：梧州市水利局</w:t>
      </w:r>
    </w:p>
    <w:p w14:paraId="45F251ED">
      <w:pPr>
        <w:adjustRightInd w:val="0"/>
        <w:spacing w:line="480" w:lineRule="auto"/>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t>采购代理机构：</w:t>
      </w:r>
      <w:r>
        <w:rPr>
          <w:rFonts w:hint="eastAsia" w:ascii="宋体" w:hAnsi="宋体" w:eastAsia="宋体" w:cs="宋体"/>
          <w:b/>
          <w:bCs/>
          <w:color w:val="auto"/>
          <w:sz w:val="30"/>
          <w:szCs w:val="30"/>
          <w:highlight w:val="none"/>
        </w:rPr>
        <w:t>广西同泽工程项目管理股份有限公司</w:t>
      </w:r>
    </w:p>
    <w:p w14:paraId="43E4133D">
      <w:pPr>
        <w:rPr>
          <w:rFonts w:ascii="宋体" w:hAnsi="宋体" w:cs="宋体"/>
          <w:color w:val="auto"/>
          <w:highlight w:val="none"/>
        </w:rPr>
      </w:pPr>
    </w:p>
    <w:p w14:paraId="64AE5C8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2024年12月</w:t>
      </w:r>
    </w:p>
    <w:p w14:paraId="3F406566">
      <w:pPr>
        <w:spacing w:line="360" w:lineRule="auto"/>
        <w:jc w:val="center"/>
        <w:rPr>
          <w:rFonts w:ascii="宋体" w:hAnsi="宋体" w:cs="宋体"/>
          <w:b/>
          <w:color w:val="auto"/>
          <w:sz w:val="44"/>
          <w:szCs w:val="44"/>
          <w:highlight w:val="none"/>
        </w:rPr>
      </w:pPr>
      <w:r>
        <w:rPr>
          <w:rFonts w:hint="eastAsia" w:ascii="宋体" w:hAnsi="宋体" w:cs="宋体"/>
          <w:b/>
          <w:color w:val="auto"/>
          <w:sz w:val="32"/>
          <w:szCs w:val="32"/>
          <w:highlight w:val="none"/>
        </w:rPr>
        <w:br w:type="page"/>
      </w:r>
      <w:r>
        <w:rPr>
          <w:rFonts w:hint="eastAsia" w:ascii="宋体" w:hAnsi="宋体" w:cs="宋体"/>
          <w:b/>
          <w:color w:val="auto"/>
          <w:sz w:val="44"/>
          <w:szCs w:val="44"/>
          <w:highlight w:val="none"/>
        </w:rPr>
        <w:tab/>
      </w:r>
      <w:r>
        <w:rPr>
          <w:rFonts w:hint="eastAsia" w:ascii="宋体" w:hAnsi="宋体" w:cs="宋体"/>
          <w:b/>
          <w:color w:val="auto"/>
          <w:sz w:val="44"/>
          <w:szCs w:val="44"/>
          <w:highlight w:val="none"/>
        </w:rPr>
        <w:t>目   录</w:t>
      </w:r>
      <w:r>
        <w:rPr>
          <w:rFonts w:hint="eastAsia" w:ascii="宋体" w:hAnsi="宋体" w:cs="宋体"/>
          <w:b/>
          <w:color w:val="auto"/>
          <w:sz w:val="44"/>
          <w:szCs w:val="44"/>
          <w:highlight w:val="none"/>
        </w:rPr>
        <w:tab/>
      </w:r>
    </w:p>
    <w:p w14:paraId="23B3A5BC">
      <w:pPr>
        <w:spacing w:line="400" w:lineRule="exact"/>
        <w:jc w:val="center"/>
        <w:rPr>
          <w:rFonts w:ascii="宋体" w:hAnsi="宋体" w:cs="宋体"/>
          <w:b/>
          <w:color w:val="auto"/>
          <w:sz w:val="44"/>
          <w:szCs w:val="44"/>
          <w:highlight w:val="none"/>
        </w:rPr>
      </w:pPr>
    </w:p>
    <w:p w14:paraId="61068662">
      <w:pPr>
        <w:pStyle w:val="19"/>
        <w:spacing w:line="360" w:lineRule="auto"/>
        <w:rPr>
          <w:rFonts w:ascii="宋体" w:hAnsi="宋体" w:cs="宋体"/>
          <w:color w:val="auto"/>
          <w:szCs w:val="22"/>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r>
        <w:rPr>
          <w:color w:val="auto"/>
          <w:highlight w:val="none"/>
        </w:rPr>
        <w:fldChar w:fldCharType="begin"/>
      </w:r>
      <w:r>
        <w:rPr>
          <w:color w:val="auto"/>
          <w:highlight w:val="none"/>
        </w:rPr>
        <w:instrText xml:space="preserve"> HYPERLINK \l "_Toc44229877" </w:instrText>
      </w:r>
      <w:r>
        <w:rPr>
          <w:color w:val="auto"/>
          <w:highlight w:val="none"/>
        </w:rPr>
        <w:fldChar w:fldCharType="separate"/>
      </w:r>
      <w:r>
        <w:rPr>
          <w:rStyle w:val="24"/>
          <w:rFonts w:hint="eastAsia" w:ascii="宋体" w:hAnsi="宋体" w:cs="宋体"/>
          <w:color w:val="auto"/>
          <w:highlight w:val="none"/>
        </w:rPr>
        <w:t>第一章 竞争性磋商</w:t>
      </w:r>
      <w:bookmarkStart w:id="0" w:name="_Hlt129339761"/>
      <w:r>
        <w:rPr>
          <w:rStyle w:val="24"/>
          <w:rFonts w:hint="eastAsia" w:ascii="宋体" w:hAnsi="宋体" w:cs="宋体"/>
          <w:color w:val="auto"/>
          <w:highlight w:val="none"/>
        </w:rPr>
        <w:t>公</w:t>
      </w:r>
      <w:bookmarkEnd w:id="0"/>
      <w:r>
        <w:rPr>
          <w:rStyle w:val="24"/>
          <w:rFonts w:hint="eastAsia" w:ascii="宋体" w:hAnsi="宋体" w:cs="宋体"/>
          <w:color w:val="auto"/>
          <w:highlight w:val="none"/>
        </w:rPr>
        <w:t>告</w:t>
      </w:r>
      <w:r>
        <w:rPr>
          <w:rFonts w:hint="eastAsia" w:ascii="宋体" w:hAnsi="宋体" w:cs="宋体"/>
          <w:color w:val="auto"/>
          <w:highlight w:val="none"/>
        </w:rPr>
        <w:tab/>
      </w:r>
      <w:r>
        <w:rPr>
          <w:rFonts w:hint="eastAsia" w:ascii="宋体" w:hAnsi="宋体" w:cs="宋体"/>
          <w:color w:val="auto"/>
          <w:highlight w:val="none"/>
        </w:rPr>
        <w:t>1</w:t>
      </w:r>
      <w:r>
        <w:rPr>
          <w:rFonts w:hint="eastAsia" w:ascii="宋体" w:hAnsi="宋体" w:cs="宋体"/>
          <w:color w:val="auto"/>
          <w:highlight w:val="none"/>
        </w:rPr>
        <w:fldChar w:fldCharType="end"/>
      </w:r>
    </w:p>
    <w:p w14:paraId="3E55030D">
      <w:pPr>
        <w:pStyle w:val="19"/>
        <w:spacing w:line="36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"_Toc44229894" </w:instrText>
      </w:r>
      <w:r>
        <w:rPr>
          <w:color w:val="auto"/>
          <w:highlight w:val="none"/>
        </w:rPr>
        <w:fldChar w:fldCharType="separate"/>
      </w:r>
      <w:r>
        <w:rPr>
          <w:rStyle w:val="24"/>
          <w:rFonts w:hint="eastAsia" w:ascii="宋体" w:hAnsi="宋体" w:cs="宋体"/>
          <w:color w:val="auto"/>
          <w:highlight w:val="none"/>
        </w:rPr>
        <w:t>第二章 供应商须</w:t>
      </w:r>
      <w:bookmarkStart w:id="1" w:name="_Hlt45187173"/>
      <w:bookmarkStart w:id="2" w:name="_Hlt45187174"/>
      <w:r>
        <w:rPr>
          <w:rStyle w:val="24"/>
          <w:rFonts w:hint="eastAsia" w:ascii="宋体" w:hAnsi="宋体" w:cs="宋体"/>
          <w:color w:val="auto"/>
          <w:highlight w:val="none"/>
        </w:rPr>
        <w:t>知</w:t>
      </w:r>
      <w:bookmarkEnd w:id="1"/>
      <w:bookmarkEnd w:id="2"/>
      <w:r>
        <w:rPr>
          <w:rFonts w:hint="eastAsia" w:ascii="宋体" w:hAnsi="宋体" w:cs="宋体"/>
          <w:color w:val="auto"/>
          <w:highlight w:val="none"/>
        </w:rPr>
        <w:tab/>
      </w:r>
      <w:r>
        <w:rPr>
          <w:rFonts w:hint="eastAsia" w:ascii="宋体" w:hAnsi="宋体" w:cs="宋体"/>
          <w:color w:val="auto"/>
          <w:highlight w:val="none"/>
        </w:rPr>
        <w:t>5</w:t>
      </w:r>
      <w:r>
        <w:rPr>
          <w:rFonts w:hint="eastAsia" w:ascii="宋体" w:hAnsi="宋体" w:cs="宋体"/>
          <w:color w:val="auto"/>
          <w:highlight w:val="none"/>
        </w:rPr>
        <w:fldChar w:fldCharType="end"/>
      </w:r>
    </w:p>
    <w:p w14:paraId="6112586B">
      <w:pPr>
        <w:pStyle w:val="19"/>
        <w:spacing w:line="36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"_Toc44229895" </w:instrText>
      </w:r>
      <w:r>
        <w:rPr>
          <w:color w:val="auto"/>
          <w:highlight w:val="none"/>
        </w:rPr>
        <w:fldChar w:fldCharType="separate"/>
      </w:r>
      <w:r>
        <w:rPr>
          <w:rStyle w:val="24"/>
          <w:rFonts w:hint="eastAsia" w:ascii="宋体" w:hAnsi="宋体" w:cs="宋体"/>
          <w:color w:val="auto"/>
          <w:highlight w:val="none"/>
        </w:rPr>
        <w:t>第三章 采购需</w:t>
      </w:r>
      <w:bookmarkStart w:id="3" w:name="_Hlt129339760"/>
      <w:bookmarkStart w:id="4" w:name="_Hlt129339759"/>
      <w:r>
        <w:rPr>
          <w:rStyle w:val="24"/>
          <w:rFonts w:hint="eastAsia" w:ascii="宋体" w:hAnsi="宋体" w:cs="宋体"/>
          <w:color w:val="auto"/>
          <w:highlight w:val="none"/>
        </w:rPr>
        <w:t>求</w:t>
      </w:r>
      <w:bookmarkEnd w:id="3"/>
      <w:bookmarkEnd w:id="4"/>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_Toc44229895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8460062">
      <w:pPr>
        <w:pStyle w:val="19"/>
        <w:spacing w:line="36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"_Toc44229896" </w:instrText>
      </w:r>
      <w:r>
        <w:rPr>
          <w:color w:val="auto"/>
          <w:highlight w:val="none"/>
        </w:rPr>
        <w:fldChar w:fldCharType="separate"/>
      </w:r>
      <w:r>
        <w:rPr>
          <w:rStyle w:val="24"/>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t>9</w:t>
      </w:r>
    </w:p>
    <w:p w14:paraId="1AADA311">
      <w:pPr>
        <w:pStyle w:val="19"/>
        <w:spacing w:line="36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"_Toc44229897" </w:instrText>
      </w:r>
      <w:r>
        <w:rPr>
          <w:color w:val="auto"/>
          <w:highlight w:val="none"/>
        </w:rPr>
        <w:fldChar w:fldCharType="separate"/>
      </w:r>
      <w:r>
        <w:rPr>
          <w:rStyle w:val="24"/>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t>7</w:t>
      </w:r>
    </w:p>
    <w:p w14:paraId="05B20B73">
      <w:pPr>
        <w:pStyle w:val="19"/>
        <w:spacing w:line="36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"_Toc44229900" </w:instrText>
      </w:r>
      <w:r>
        <w:rPr>
          <w:color w:val="auto"/>
          <w:highlight w:val="none"/>
        </w:rPr>
        <w:fldChar w:fldCharType="separate"/>
      </w:r>
      <w:r>
        <w:rPr>
          <w:rStyle w:val="24"/>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t>7</w:t>
      </w:r>
    </w:p>
    <w:p w14:paraId="0D4DB846">
      <w:pPr>
        <w:pStyle w:val="19"/>
        <w:rPr>
          <w:rFonts w:ascii="宋体" w:hAnsi="宋体" w:cs="宋体"/>
          <w:color w:val="auto"/>
          <w:sz w:val="28"/>
          <w:szCs w:val="28"/>
          <w:highlight w:val="none"/>
        </w:rPr>
      </w:pPr>
      <w:r>
        <w:rPr>
          <w:rFonts w:hint="eastAsia" w:ascii="宋体" w:hAnsi="宋体" w:cs="宋体"/>
          <w:b/>
          <w:color w:val="auto"/>
          <w:sz w:val="30"/>
          <w:szCs w:val="30"/>
          <w:highlight w:val="none"/>
        </w:rPr>
        <w:fldChar w:fldCharType="end"/>
      </w:r>
    </w:p>
    <w:p w14:paraId="577CFF4E">
      <w:pPr>
        <w:spacing w:line="400" w:lineRule="exact"/>
        <w:jc w:val="left"/>
        <w:rPr>
          <w:rFonts w:ascii="宋体" w:hAnsi="宋体" w:cs="宋体"/>
          <w:b/>
          <w:color w:val="auto"/>
          <w:sz w:val="32"/>
          <w:szCs w:val="32"/>
          <w:highlight w:val="none"/>
        </w:rPr>
      </w:pPr>
    </w:p>
    <w:p w14:paraId="25823913">
      <w:pPr>
        <w:spacing w:line="400" w:lineRule="exact"/>
        <w:jc w:val="center"/>
        <w:rPr>
          <w:rFonts w:ascii="宋体" w:hAnsi="宋体" w:cs="宋体"/>
          <w:b/>
          <w:color w:val="auto"/>
          <w:sz w:val="32"/>
          <w:szCs w:val="32"/>
          <w:highlight w:val="none"/>
        </w:rPr>
      </w:pPr>
    </w:p>
    <w:p w14:paraId="2B20972F">
      <w:pPr>
        <w:spacing w:line="400" w:lineRule="exact"/>
        <w:jc w:val="center"/>
        <w:rPr>
          <w:rFonts w:ascii="宋体" w:hAnsi="宋体" w:cs="宋体"/>
          <w:b/>
          <w:color w:val="auto"/>
          <w:sz w:val="32"/>
          <w:szCs w:val="32"/>
          <w:highlight w:val="none"/>
        </w:rPr>
      </w:pPr>
    </w:p>
    <w:p w14:paraId="3D5EA2CA">
      <w:pPr>
        <w:spacing w:line="400" w:lineRule="exact"/>
        <w:jc w:val="center"/>
        <w:rPr>
          <w:rFonts w:ascii="宋体" w:hAnsi="宋体" w:cs="宋体"/>
          <w:b/>
          <w:color w:val="auto"/>
          <w:sz w:val="32"/>
          <w:szCs w:val="32"/>
          <w:highlight w:val="none"/>
        </w:rPr>
      </w:pPr>
    </w:p>
    <w:p w14:paraId="3DBE0963">
      <w:pPr>
        <w:spacing w:line="400" w:lineRule="exact"/>
        <w:jc w:val="center"/>
        <w:rPr>
          <w:rFonts w:ascii="宋体" w:hAnsi="宋体" w:cs="宋体"/>
          <w:b/>
          <w:color w:val="auto"/>
          <w:sz w:val="32"/>
          <w:szCs w:val="32"/>
          <w:highlight w:val="none"/>
        </w:rPr>
      </w:pPr>
    </w:p>
    <w:p w14:paraId="63E002E5">
      <w:pPr>
        <w:spacing w:line="400" w:lineRule="exact"/>
        <w:rPr>
          <w:rFonts w:ascii="宋体" w:hAnsi="宋体" w:cs="宋体"/>
          <w:b/>
          <w:color w:val="auto"/>
          <w:sz w:val="32"/>
          <w:szCs w:val="32"/>
          <w:highlight w:val="none"/>
        </w:rPr>
        <w:sectPr>
          <w:headerReference r:id="rId3" w:type="default"/>
          <w:pgSz w:w="11906" w:h="16838"/>
          <w:pgMar w:top="1440" w:right="1440" w:bottom="1440" w:left="1587" w:header="851" w:footer="992" w:gutter="0"/>
          <w:cols w:space="720" w:num="1"/>
          <w:titlePg/>
          <w:docGrid w:type="lines" w:linePitch="312" w:charSpace="0"/>
        </w:sectPr>
      </w:pPr>
    </w:p>
    <w:p w14:paraId="1F77AEDB">
      <w:pPr>
        <w:pStyle w:val="3"/>
        <w:jc w:val="center"/>
        <w:rPr>
          <w:rFonts w:ascii="宋体" w:hAnsi="宋体" w:cs="宋体"/>
          <w:color w:val="auto"/>
          <w:highlight w:val="none"/>
        </w:rPr>
      </w:pPr>
      <w:bookmarkStart w:id="5" w:name="_Toc44229877"/>
      <w:r>
        <w:rPr>
          <w:rFonts w:hint="eastAsia" w:ascii="宋体" w:hAnsi="宋体" w:cs="宋体"/>
          <w:color w:val="auto"/>
          <w:highlight w:val="none"/>
        </w:rPr>
        <w:t>第一章 竞争性磋商公</w:t>
      </w:r>
      <w:bookmarkEnd w:id="5"/>
      <w:r>
        <w:rPr>
          <w:rFonts w:hint="eastAsia" w:ascii="宋体" w:hAnsi="宋体" w:cs="宋体"/>
          <w:color w:val="auto"/>
          <w:highlight w:val="none"/>
        </w:rPr>
        <w:t>告</w:t>
      </w:r>
    </w:p>
    <w:p w14:paraId="53E88C55">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s="宋体"/>
          <w:color w:val="auto"/>
          <w:szCs w:val="21"/>
          <w:highlight w:val="none"/>
        </w:rPr>
      </w:pPr>
      <w:bookmarkStart w:id="6" w:name="_Hlk37430271"/>
      <w:r>
        <w:rPr>
          <w:rFonts w:hint="eastAsia" w:ascii="宋体" w:hAnsi="宋体" w:cs="宋体"/>
          <w:color w:val="auto"/>
          <w:szCs w:val="21"/>
          <w:highlight w:val="none"/>
        </w:rPr>
        <w:t>项目概况</w:t>
      </w:r>
    </w:p>
    <w:p w14:paraId="25CB9DC0">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梧州市流域面积50km²以下河道管理范围成果再复核调整工作服务采购的潜在供应商应通过广西政府采购云平台完成报名获取竞争性磋商文件，并</w:t>
      </w:r>
      <w:r>
        <w:rPr>
          <w:rFonts w:hint="eastAsia" w:ascii="宋体" w:hAnsi="宋体"/>
          <w:color w:val="auto"/>
          <w:szCs w:val="21"/>
          <w:highlight w:val="none"/>
        </w:rPr>
        <w:t>于</w:t>
      </w:r>
      <w:r>
        <w:rPr>
          <w:rFonts w:hint="eastAsia" w:ascii="宋体" w:hAnsi="宋体"/>
          <w:color w:val="auto"/>
          <w:szCs w:val="21"/>
          <w:highlight w:val="none"/>
        </w:rPr>
        <w:t>2024年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31</w:t>
      </w:r>
      <w:r>
        <w:rPr>
          <w:rFonts w:hint="eastAsia" w:ascii="宋体" w:hAnsi="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 点</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 分</w:t>
      </w:r>
      <w:r>
        <w:rPr>
          <w:rFonts w:hint="eastAsia" w:ascii="宋体" w:hAnsi="宋体" w:cs="宋体"/>
          <w:color w:val="auto"/>
          <w:szCs w:val="21"/>
          <w:highlight w:val="none"/>
        </w:rPr>
        <w:t>（北京时间）前提交响应文件。</w:t>
      </w:r>
    </w:p>
    <w:p w14:paraId="4B8348AE">
      <w:pPr>
        <w:pStyle w:val="3"/>
        <w:wordWrap w:val="0"/>
        <w:spacing w:before="0" w:after="0" w:line="360" w:lineRule="auto"/>
        <w:ind w:firstLine="422" w:firstLineChars="200"/>
        <w:rPr>
          <w:rFonts w:ascii="宋体" w:hAnsi="宋体" w:cs="宋体"/>
          <w:bCs w:val="0"/>
          <w:color w:val="auto"/>
          <w:sz w:val="21"/>
          <w:szCs w:val="21"/>
          <w:highlight w:val="none"/>
        </w:rPr>
      </w:pPr>
      <w:bookmarkStart w:id="7" w:name="_Toc28359089"/>
      <w:bookmarkStart w:id="8" w:name="_Toc44229878"/>
      <w:bookmarkStart w:id="9" w:name="_Toc35393629"/>
      <w:bookmarkStart w:id="10" w:name="_Toc28359012"/>
      <w:bookmarkStart w:id="11" w:name="_Toc35393798"/>
      <w:r>
        <w:rPr>
          <w:rFonts w:hint="eastAsia" w:ascii="宋体" w:hAnsi="宋体" w:cs="宋体"/>
          <w:bCs w:val="0"/>
          <w:color w:val="auto"/>
          <w:sz w:val="21"/>
          <w:szCs w:val="21"/>
          <w:highlight w:val="none"/>
        </w:rPr>
        <w:t>一、项目基本情况</w:t>
      </w:r>
      <w:bookmarkEnd w:id="7"/>
      <w:bookmarkEnd w:id="8"/>
      <w:bookmarkEnd w:id="9"/>
      <w:bookmarkEnd w:id="10"/>
      <w:bookmarkEnd w:id="11"/>
    </w:p>
    <w:p w14:paraId="6A5232B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1.项目编号：WZZC2024-C3-990618-GXTZ</w:t>
      </w:r>
    </w:p>
    <w:p w14:paraId="08C1D02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2.项目名称：梧州市流域面积50km²以下河道管理范围成果再复核调整工作服务采购</w:t>
      </w:r>
    </w:p>
    <w:p w14:paraId="37D102F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73847F5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4.预算金额：人民币（大写）壹佰伍拾万元整（¥1500000.00元）</w:t>
      </w:r>
    </w:p>
    <w:p w14:paraId="49ADF24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5.最高限价：人民币（大写）壹佰伍拾万元整（¥1500000.00元）</w:t>
      </w:r>
    </w:p>
    <w:p w14:paraId="695DAFFE">
      <w:pPr>
        <w:wordWrap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6.采购需求：</w:t>
      </w:r>
      <w:r>
        <w:rPr>
          <w:rFonts w:hint="eastAsia" w:ascii="宋体" w:hAnsi="宋体"/>
          <w:color w:val="auto"/>
          <w:szCs w:val="21"/>
          <w:highlight w:val="none"/>
        </w:rPr>
        <w:t>梧州市流域面积50km²以下河道管理范围成果再复核调整工作服务采购一项，具体内容详见采购需求。</w:t>
      </w:r>
    </w:p>
    <w:p w14:paraId="6FC86DD0">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7.成果提交时间：2025年1月31日前。</w:t>
      </w:r>
    </w:p>
    <w:p w14:paraId="58322647">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8.合同履行期限：自合同签订之日起至项目成果通过广西水利厅 审查之日止，但最长不超过 2025 年12月31日。</w:t>
      </w:r>
    </w:p>
    <w:p w14:paraId="1DA4D09C">
      <w:pPr>
        <w:pStyle w:val="11"/>
        <w:wordWrap w:val="0"/>
        <w:spacing w:line="360" w:lineRule="auto"/>
        <w:rPr>
          <w:rFonts w:ascii="宋体" w:hAnsi="宋体"/>
          <w:color w:val="auto"/>
          <w:szCs w:val="21"/>
          <w:highlight w:val="none"/>
        </w:rPr>
      </w:pPr>
      <w:r>
        <w:rPr>
          <w:rFonts w:hint="eastAsia" w:ascii="宋体" w:hAnsi="宋体" w:cs="宋体"/>
          <w:color w:val="auto"/>
          <w:szCs w:val="21"/>
          <w:highlight w:val="none"/>
        </w:rPr>
        <w:t xml:space="preserve">    9.本项目不接受联合体。</w:t>
      </w:r>
    </w:p>
    <w:p w14:paraId="3EE099AC">
      <w:pPr>
        <w:pStyle w:val="3"/>
        <w:wordWrap w:val="0"/>
        <w:spacing w:before="0" w:after="0" w:line="360" w:lineRule="auto"/>
        <w:ind w:firstLine="422" w:firstLineChars="200"/>
        <w:rPr>
          <w:rFonts w:ascii="宋体" w:hAnsi="宋体" w:cs="宋体"/>
          <w:bCs w:val="0"/>
          <w:color w:val="auto"/>
          <w:sz w:val="21"/>
          <w:szCs w:val="21"/>
          <w:highlight w:val="none"/>
        </w:rPr>
      </w:pPr>
      <w:bookmarkStart w:id="12" w:name="_Toc28359090"/>
      <w:bookmarkStart w:id="13" w:name="_Toc44229879"/>
      <w:bookmarkStart w:id="14" w:name="_Toc35393630"/>
      <w:bookmarkStart w:id="15" w:name="_Toc35393799"/>
      <w:bookmarkStart w:id="16" w:name="_Toc28359013"/>
      <w:r>
        <w:rPr>
          <w:rFonts w:hint="eastAsia" w:ascii="宋体" w:hAnsi="宋体" w:cs="宋体"/>
          <w:bCs w:val="0"/>
          <w:color w:val="auto"/>
          <w:sz w:val="21"/>
          <w:szCs w:val="21"/>
          <w:highlight w:val="none"/>
        </w:rPr>
        <w:t>二、供应商的资格条件：</w:t>
      </w:r>
      <w:bookmarkEnd w:id="12"/>
      <w:bookmarkEnd w:id="13"/>
      <w:bookmarkEnd w:id="14"/>
      <w:bookmarkEnd w:id="15"/>
      <w:bookmarkEnd w:id="16"/>
    </w:p>
    <w:p w14:paraId="5EE949A6">
      <w:pPr>
        <w:wordWrap w:val="0"/>
        <w:spacing w:line="360" w:lineRule="auto"/>
        <w:ind w:firstLine="420" w:firstLineChars="200"/>
        <w:rPr>
          <w:rFonts w:ascii="宋体" w:hAnsi="宋体" w:cs="宋体"/>
          <w:color w:val="auto"/>
          <w:szCs w:val="21"/>
          <w:highlight w:val="none"/>
        </w:rPr>
      </w:pPr>
      <w:bookmarkStart w:id="17" w:name="_Toc35393800"/>
      <w:bookmarkStart w:id="18" w:name="_Toc28359014"/>
      <w:bookmarkStart w:id="19" w:name="_Toc35393631"/>
      <w:bookmarkStart w:id="20" w:name="_Toc28359091"/>
      <w:bookmarkStart w:id="21" w:name="_Toc44229880"/>
      <w:r>
        <w:rPr>
          <w:rFonts w:hint="eastAsia" w:ascii="宋体" w:hAnsi="宋体" w:cs="宋体"/>
          <w:color w:val="auto"/>
          <w:szCs w:val="21"/>
          <w:highlight w:val="none"/>
        </w:rPr>
        <w:t>1.满足《中华人民共和国政府采购法》第二十二条规定；</w:t>
      </w:r>
    </w:p>
    <w:p w14:paraId="24860FA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color w:val="auto"/>
          <w:highlight w:val="none"/>
        </w:rPr>
        <w:t>落实政府采购政策需满足的资格要求</w:t>
      </w:r>
      <w:r>
        <w:rPr>
          <w:rFonts w:hint="eastAsia" w:ascii="宋体" w:hAnsi="宋体" w:cs="宋体"/>
          <w:color w:val="auto"/>
          <w:szCs w:val="21"/>
          <w:highlight w:val="none"/>
        </w:rPr>
        <w:t>：无。</w:t>
      </w:r>
    </w:p>
    <w:p w14:paraId="2CD258A3">
      <w:pPr>
        <w:wordWrap w:val="0"/>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本项目的特定资格要求：无。</w:t>
      </w:r>
    </w:p>
    <w:p w14:paraId="5B4A923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.本项目的特定条件：无。</w:t>
      </w:r>
    </w:p>
    <w:p w14:paraId="3A3D696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812741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99E9D07">
      <w:pPr>
        <w:pStyle w:val="3"/>
        <w:wordWrap w:val="0"/>
        <w:spacing w:before="0" w:after="0" w:line="360" w:lineRule="auto"/>
        <w:ind w:firstLine="422" w:firstLineChars="200"/>
        <w:rPr>
          <w:rFonts w:ascii="宋体" w:hAnsi="宋体" w:cs="宋体"/>
          <w:bCs w:val="0"/>
          <w:color w:val="auto"/>
          <w:sz w:val="21"/>
          <w:szCs w:val="21"/>
          <w:highlight w:val="none"/>
        </w:rPr>
      </w:pPr>
      <w:r>
        <w:rPr>
          <w:rFonts w:hint="eastAsia" w:ascii="宋体" w:hAnsi="宋体" w:cs="宋体"/>
          <w:bCs w:val="0"/>
          <w:color w:val="auto"/>
          <w:sz w:val="21"/>
          <w:szCs w:val="21"/>
          <w:highlight w:val="none"/>
        </w:rPr>
        <w:t>三、获取竞争性磋商文件</w:t>
      </w:r>
      <w:bookmarkEnd w:id="17"/>
      <w:bookmarkEnd w:id="18"/>
      <w:bookmarkEnd w:id="19"/>
      <w:bookmarkEnd w:id="20"/>
      <w:bookmarkEnd w:id="21"/>
    </w:p>
    <w:p w14:paraId="769B1E33">
      <w:pPr>
        <w:wordWrap w:val="0"/>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时间：2024年</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rPr>
        <w:t>日 至 2024 年</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 xml:space="preserve"> 月</w:t>
      </w:r>
      <w:r>
        <w:rPr>
          <w:rFonts w:hint="eastAsia" w:ascii="宋体" w:hAnsi="宋体" w:cs="宋体"/>
          <w:bCs/>
          <w:color w:val="auto"/>
          <w:kern w:val="0"/>
          <w:szCs w:val="21"/>
          <w:highlight w:val="none"/>
          <w:lang w:val="en-US" w:eastAsia="zh-CN"/>
        </w:rPr>
        <w:t>31</w:t>
      </w:r>
      <w:r>
        <w:rPr>
          <w:rFonts w:hint="eastAsia" w:ascii="宋体" w:hAnsi="宋体" w:cs="宋体"/>
          <w:bCs/>
          <w:color w:val="auto"/>
          <w:kern w:val="0"/>
          <w:szCs w:val="21"/>
          <w:highlight w:val="none"/>
        </w:rPr>
        <w:t>日，每天00：00-23:59（北京时间，法定节假日除外）</w:t>
      </w:r>
    </w:p>
    <w:p w14:paraId="54BF7AE3">
      <w:pPr>
        <w:wordWrap w:val="0"/>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地点：广西政府采购云平台完成报名下载（</w:t>
      </w:r>
      <w:r>
        <w:rPr>
          <w:rFonts w:ascii="宋体" w:hAnsi="宋体" w:cs="宋体"/>
          <w:color w:val="auto"/>
          <w:szCs w:val="21"/>
          <w:highlight w:val="none"/>
        </w:rPr>
        <w:t>https://www.gcy.zfcg.gxzf.gov.cn/</w:t>
      </w:r>
      <w:r>
        <w:rPr>
          <w:rFonts w:hint="eastAsia" w:ascii="宋体" w:hAnsi="宋体" w:cs="宋体"/>
          <w:bCs/>
          <w:color w:val="auto"/>
          <w:kern w:val="0"/>
          <w:szCs w:val="21"/>
          <w:highlight w:val="none"/>
        </w:rPr>
        <w:t>）获取磋商文件。</w:t>
      </w:r>
    </w:p>
    <w:p w14:paraId="1D8CE5C3">
      <w:pPr>
        <w:wordWrap w:val="0"/>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方式：广西政府采购云平台完成报名下载（</w:t>
      </w:r>
      <w:r>
        <w:rPr>
          <w:rFonts w:ascii="宋体" w:hAnsi="宋体" w:cs="宋体"/>
          <w:color w:val="auto"/>
          <w:szCs w:val="21"/>
          <w:highlight w:val="none"/>
        </w:rPr>
        <w:t>https://www.gcy.zfcg.gxzf.gov.cn/</w:t>
      </w:r>
      <w:r>
        <w:rPr>
          <w:rFonts w:hint="eastAsia" w:ascii="宋体" w:hAnsi="宋体" w:cs="宋体"/>
          <w:bCs/>
          <w:color w:val="auto"/>
          <w:kern w:val="0"/>
          <w:szCs w:val="21"/>
          <w:highlight w:val="none"/>
        </w:rPr>
        <w:t>）获取磋商文件。</w:t>
      </w:r>
    </w:p>
    <w:p w14:paraId="4AC25230">
      <w:pPr>
        <w:wordWrap w:val="0"/>
        <w:spacing w:line="360" w:lineRule="auto"/>
        <w:ind w:left="567" w:leftChars="27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2AB28F83">
      <w:pPr>
        <w:pStyle w:val="3"/>
        <w:wordWrap w:val="0"/>
        <w:spacing w:before="0" w:after="0" w:line="360" w:lineRule="auto"/>
        <w:ind w:firstLine="422" w:firstLineChars="200"/>
        <w:rPr>
          <w:rFonts w:ascii="宋体" w:hAnsi="宋体" w:cs="宋体"/>
          <w:bCs w:val="0"/>
          <w:color w:val="auto"/>
          <w:sz w:val="21"/>
          <w:szCs w:val="21"/>
          <w:highlight w:val="none"/>
        </w:rPr>
      </w:pPr>
      <w:bookmarkStart w:id="22" w:name="_Toc35393632"/>
      <w:bookmarkStart w:id="23" w:name="_Toc28359092"/>
      <w:bookmarkStart w:id="24" w:name="_Toc35393801"/>
      <w:bookmarkStart w:id="25" w:name="_Toc28359015"/>
      <w:bookmarkStart w:id="26" w:name="_Toc44229881"/>
      <w:r>
        <w:rPr>
          <w:rFonts w:hint="eastAsia" w:ascii="宋体" w:hAnsi="宋体" w:cs="宋体"/>
          <w:bCs w:val="0"/>
          <w:color w:val="auto"/>
          <w:sz w:val="21"/>
          <w:szCs w:val="21"/>
          <w:highlight w:val="none"/>
        </w:rPr>
        <w:t>四、响应文件提交</w:t>
      </w:r>
      <w:bookmarkEnd w:id="22"/>
      <w:bookmarkEnd w:id="23"/>
      <w:bookmarkEnd w:id="24"/>
      <w:bookmarkEnd w:id="25"/>
      <w:bookmarkEnd w:id="26"/>
    </w:p>
    <w:p w14:paraId="4394D598">
      <w:pPr>
        <w:wordWrap w:val="0"/>
        <w:spacing w:line="360" w:lineRule="auto"/>
        <w:ind w:firstLine="540"/>
        <w:rPr>
          <w:rFonts w:hint="eastAsia" w:ascii="宋体" w:hAnsi="宋体" w:cs="宋体"/>
          <w:bCs/>
          <w:color w:val="auto"/>
          <w:kern w:val="0"/>
          <w:szCs w:val="21"/>
          <w:highlight w:val="none"/>
        </w:rPr>
      </w:pPr>
      <w:bookmarkStart w:id="27" w:name="_Toc28359093"/>
      <w:bookmarkStart w:id="28" w:name="_Toc28359016"/>
      <w:bookmarkStart w:id="29" w:name="_Toc35393802"/>
      <w:bookmarkStart w:id="30" w:name="_Toc44229882"/>
      <w:bookmarkStart w:id="31" w:name="_Toc35393633"/>
      <w:r>
        <w:rPr>
          <w:rFonts w:hint="eastAsia" w:ascii="宋体" w:hAnsi="宋体" w:cs="宋体"/>
          <w:bCs/>
          <w:color w:val="auto"/>
          <w:kern w:val="0"/>
          <w:szCs w:val="21"/>
          <w:highlight w:val="none"/>
        </w:rPr>
        <w:t>提交投标文件截止时间和开标时间：2024 年</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31</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 xml:space="preserve">时 </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0 分（北京时间）</w:t>
      </w:r>
    </w:p>
    <w:p w14:paraId="17EEF4A8">
      <w:pPr>
        <w:wordWrap w:val="0"/>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投标和开标地点：广西政府采购云平台（https://www.gcy.zfcg.gxzf.gov.cn/）</w:t>
      </w:r>
    </w:p>
    <w:p w14:paraId="39DCDD3F">
      <w:pPr>
        <w:wordWrap w:val="0"/>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14:paraId="3B7197EA">
      <w:pPr>
        <w:pStyle w:val="3"/>
        <w:wordWrap w:val="0"/>
        <w:spacing w:before="0" w:after="0" w:line="360" w:lineRule="auto"/>
        <w:ind w:firstLine="422" w:firstLineChars="200"/>
        <w:rPr>
          <w:rFonts w:ascii="宋体" w:hAnsi="宋体" w:cs="宋体"/>
          <w:bCs w:val="0"/>
          <w:color w:val="auto"/>
          <w:sz w:val="21"/>
          <w:szCs w:val="21"/>
          <w:highlight w:val="none"/>
        </w:rPr>
      </w:pPr>
      <w:r>
        <w:rPr>
          <w:rFonts w:hint="eastAsia" w:ascii="宋体" w:hAnsi="宋体" w:cs="宋体"/>
          <w:bCs w:val="0"/>
          <w:color w:val="auto"/>
          <w:sz w:val="21"/>
          <w:szCs w:val="21"/>
          <w:highlight w:val="none"/>
        </w:rPr>
        <w:t>五、开启</w:t>
      </w:r>
      <w:bookmarkEnd w:id="27"/>
      <w:bookmarkEnd w:id="28"/>
      <w:bookmarkEnd w:id="29"/>
      <w:bookmarkEnd w:id="30"/>
      <w:bookmarkEnd w:id="31"/>
    </w:p>
    <w:p w14:paraId="0CC1B975">
      <w:pPr>
        <w:wordWrap w:val="0"/>
        <w:spacing w:line="360" w:lineRule="auto"/>
        <w:ind w:firstLine="540"/>
        <w:rPr>
          <w:rFonts w:hint="eastAsia" w:ascii="宋体" w:hAnsi="宋体" w:cs="宋体"/>
          <w:bCs/>
          <w:color w:val="auto"/>
          <w:kern w:val="0"/>
          <w:szCs w:val="21"/>
          <w:highlight w:val="none"/>
        </w:rPr>
      </w:pPr>
      <w:bookmarkStart w:id="32" w:name="_Toc28359017"/>
      <w:bookmarkStart w:id="33" w:name="_Toc28359094"/>
      <w:bookmarkStart w:id="34" w:name="_Toc35393803"/>
      <w:bookmarkStart w:id="35" w:name="_Toc35393634"/>
      <w:bookmarkStart w:id="36" w:name="_Toc44229883"/>
      <w:r>
        <w:rPr>
          <w:rFonts w:hint="eastAsia" w:ascii="宋体" w:hAnsi="宋体" w:cs="宋体"/>
          <w:bCs/>
          <w:color w:val="auto"/>
          <w:kern w:val="0"/>
          <w:szCs w:val="21"/>
          <w:highlight w:val="none"/>
        </w:rPr>
        <w:t>1.时间：2024 年</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31</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 xml:space="preserve">时 </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0 分（北京时间）</w:t>
      </w:r>
    </w:p>
    <w:p w14:paraId="44464754">
      <w:pPr>
        <w:wordWrap w:val="0"/>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2.地点：广西政府采购云平台（https://www.gcy.zfcg.gxzf.gov.cn/）</w:t>
      </w:r>
    </w:p>
    <w:p w14:paraId="47C4264A">
      <w:pPr>
        <w:wordWrap w:val="0"/>
        <w:spacing w:line="360" w:lineRule="auto"/>
        <w:ind w:firstLine="54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六、公告期限</w:t>
      </w:r>
      <w:bookmarkEnd w:id="32"/>
      <w:bookmarkEnd w:id="33"/>
      <w:bookmarkEnd w:id="34"/>
      <w:bookmarkEnd w:id="35"/>
      <w:bookmarkEnd w:id="36"/>
    </w:p>
    <w:p w14:paraId="2A762C7D">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6EC0BAB">
      <w:pPr>
        <w:pStyle w:val="3"/>
        <w:wordWrap w:val="0"/>
        <w:spacing w:before="0" w:after="0" w:line="360" w:lineRule="auto"/>
        <w:ind w:firstLine="422" w:firstLineChars="200"/>
        <w:rPr>
          <w:rFonts w:ascii="宋体" w:hAnsi="宋体" w:cs="宋体"/>
          <w:bCs w:val="0"/>
          <w:color w:val="auto"/>
          <w:sz w:val="21"/>
          <w:szCs w:val="21"/>
          <w:highlight w:val="none"/>
        </w:rPr>
      </w:pPr>
      <w:bookmarkStart w:id="37" w:name="_Toc35393804"/>
      <w:bookmarkStart w:id="38" w:name="_Toc44229884"/>
      <w:bookmarkStart w:id="39" w:name="_Toc35393635"/>
      <w:r>
        <w:rPr>
          <w:rFonts w:hint="eastAsia" w:ascii="宋体" w:hAnsi="宋体" w:cs="宋体"/>
          <w:bCs w:val="0"/>
          <w:color w:val="auto"/>
          <w:sz w:val="21"/>
          <w:szCs w:val="21"/>
          <w:highlight w:val="none"/>
        </w:rPr>
        <w:t>七、其他补充事宜</w:t>
      </w:r>
      <w:bookmarkEnd w:id="37"/>
      <w:bookmarkEnd w:id="38"/>
      <w:bookmarkEnd w:id="39"/>
    </w:p>
    <w:p w14:paraId="6CCEA6F1">
      <w:pPr>
        <w:wordWrap w:val="0"/>
        <w:spacing w:line="360" w:lineRule="auto"/>
        <w:ind w:firstLine="420" w:firstLineChars="200"/>
        <w:rPr>
          <w:rFonts w:ascii="宋体" w:hAnsi="宋体" w:cs="宋体"/>
          <w:color w:val="auto"/>
          <w:kern w:val="0"/>
          <w:szCs w:val="21"/>
          <w:highlight w:val="none"/>
        </w:rPr>
      </w:pPr>
      <w:bookmarkStart w:id="40" w:name="_Hlk37429595"/>
      <w:bookmarkStart w:id="41" w:name="_Hlk37429585"/>
      <w:r>
        <w:rPr>
          <w:rFonts w:hint="eastAsia" w:ascii="宋体" w:hAnsi="宋体" w:cs="宋体"/>
          <w:color w:val="auto"/>
          <w:kern w:val="0"/>
          <w:szCs w:val="21"/>
          <w:highlight w:val="none"/>
        </w:rPr>
        <w:t>1.网上查询地址</w:t>
      </w:r>
    </w:p>
    <w:bookmarkEnd w:id="40"/>
    <w:bookmarkEnd w:id="41"/>
    <w:p w14:paraId="730B080A">
      <w:pPr>
        <w:wordWrap w:val="0"/>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中国政府采购网、广西壮族自治区政府采购网、梧州市政府采购网。</w:t>
      </w:r>
    </w:p>
    <w:p w14:paraId="43CCD0E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2.磋商保证金（人民币）：无。</w:t>
      </w:r>
    </w:p>
    <w:p w14:paraId="39237FFB">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3DB28D56">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B1414B3">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4F47546">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22B7EC3">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5C3B2EAA">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14490CDF">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（6）政府采购扶持不发达地区和少数民族地区政策。</w:t>
      </w:r>
    </w:p>
    <w:p w14:paraId="69D4A9DA">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4.其他注意事项 ：</w:t>
      </w:r>
    </w:p>
    <w:p w14:paraId="473E2498">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实行电子投标，供应商应按照本项目招标文件和政采云平台的要求编制、加密并提交投标文件。供应商在使用系统参与投标过程中遇到涉及平台使用的任何问题，可致电政采云平台技术支持热线咨询，联系方式：95763。如出现CA数字证书问题，咨询电话：4000771110</w:t>
      </w:r>
    </w:p>
    <w:p w14:paraId="69F716FA">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kern w:val="0"/>
          <w:szCs w:val="21"/>
          <w:highlight w:val="none"/>
        </w:rPr>
        <w:t>https://service.zcygov.cn/#/knowledges/tree?tag=AG1DtGwBFdiHxlNdhY0r</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w:t>
      </w:r>
    </w:p>
    <w:p w14:paraId="741FA71B">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（3）供应商应及时完成CA申领和绑定（见广西壮族自治区政府采购网—办事服务—下载专区-政采云CA证书办理操作指南）</w:t>
      </w:r>
    </w:p>
    <w:p w14:paraId="318133C1">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14:paraId="5051CD52">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（5）因未注册入库、未办理CA数字证书、CA证书故障、操作不当等原因造成无法投标或投标失败等后果由供应商自行承担。</w:t>
      </w:r>
    </w:p>
    <w:p w14:paraId="6494DB41">
      <w:pPr>
        <w:wordWrap w:val="0"/>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14:paraId="793315D8">
      <w:pPr>
        <w:pStyle w:val="3"/>
        <w:wordWrap w:val="0"/>
        <w:spacing w:before="0" w:after="0" w:line="360" w:lineRule="auto"/>
        <w:ind w:firstLine="422" w:firstLineChars="200"/>
        <w:rPr>
          <w:rFonts w:ascii="宋体" w:hAnsi="宋体" w:cs="宋体"/>
          <w:bCs w:val="0"/>
          <w:color w:val="auto"/>
          <w:sz w:val="21"/>
          <w:szCs w:val="21"/>
          <w:highlight w:val="none"/>
        </w:rPr>
      </w:pPr>
      <w:bookmarkStart w:id="42" w:name="_Toc35393805"/>
      <w:bookmarkStart w:id="43" w:name="_Toc44229885"/>
      <w:bookmarkStart w:id="44" w:name="_Toc28359018"/>
      <w:bookmarkStart w:id="45" w:name="_Toc35393636"/>
      <w:bookmarkStart w:id="46" w:name="_Toc28359095"/>
      <w:r>
        <w:rPr>
          <w:rFonts w:hint="eastAsia" w:ascii="宋体" w:hAnsi="宋体" w:cs="宋体"/>
          <w:bCs w:val="0"/>
          <w:color w:val="auto"/>
          <w:sz w:val="21"/>
          <w:szCs w:val="21"/>
          <w:highlight w:val="none"/>
        </w:rPr>
        <w:t>八、凡对本次采购提出询问，请按以下方式联系。</w:t>
      </w:r>
      <w:bookmarkEnd w:id="42"/>
      <w:bookmarkEnd w:id="43"/>
      <w:bookmarkEnd w:id="44"/>
      <w:bookmarkEnd w:id="45"/>
      <w:bookmarkEnd w:id="46"/>
    </w:p>
    <w:p w14:paraId="23EDAF16">
      <w:pPr>
        <w:wordWrap w:val="0"/>
        <w:spacing w:line="360" w:lineRule="auto"/>
        <w:ind w:firstLine="420" w:firstLineChars="200"/>
        <w:rPr>
          <w:rFonts w:ascii="宋体" w:hAnsi="宋体" w:cs="宋体"/>
          <w:color w:val="auto"/>
          <w:kern w:val="0"/>
          <w:szCs w:val="21"/>
          <w:highlight w:val="none"/>
        </w:rPr>
      </w:pPr>
      <w:bookmarkStart w:id="47" w:name="_Toc35393637"/>
      <w:bookmarkStart w:id="48" w:name="_Toc35393806"/>
      <w:bookmarkStart w:id="49" w:name="_Toc28359019"/>
      <w:bookmarkStart w:id="50" w:name="_Toc28359096"/>
      <w:r>
        <w:rPr>
          <w:rFonts w:hint="eastAsia" w:ascii="宋体" w:hAnsi="宋体" w:cs="宋体"/>
          <w:color w:val="auto"/>
          <w:kern w:val="0"/>
          <w:szCs w:val="21"/>
          <w:highlight w:val="none"/>
        </w:rPr>
        <w:t>1.采购人信息</w:t>
      </w:r>
      <w:bookmarkEnd w:id="47"/>
      <w:bookmarkEnd w:id="48"/>
      <w:bookmarkEnd w:id="49"/>
      <w:bookmarkEnd w:id="50"/>
    </w:p>
    <w:p w14:paraId="2C6E6E7A">
      <w:pPr>
        <w:tabs>
          <w:tab w:val="left" w:pos="3420"/>
        </w:tabs>
        <w:wordWrap w:val="0"/>
        <w:spacing w:line="360" w:lineRule="auto"/>
        <w:ind w:firstLine="44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名称：梧州市水利局</w:t>
      </w:r>
    </w:p>
    <w:p w14:paraId="4B72ABE4">
      <w:pPr>
        <w:tabs>
          <w:tab w:val="left" w:pos="3420"/>
        </w:tabs>
        <w:wordWrap w:val="0"/>
        <w:spacing w:line="360" w:lineRule="auto"/>
        <w:ind w:firstLine="440" w:firstLineChars="200"/>
        <w:rPr>
          <w:rFonts w:ascii="宋体" w:hAnsi="宋体" w:cs="宋体"/>
          <w:color w:val="auto"/>
          <w:szCs w:val="21"/>
          <w:highlight w:val="none"/>
        </w:rPr>
      </w:pPr>
      <w:r>
        <w:rPr>
          <w:rFonts w:hint="eastAsia" w:ascii="宋体" w:hAnsi="宋体" w:cs="宋体"/>
          <w:color w:val="auto"/>
          <w:spacing w:val="5"/>
          <w:szCs w:val="21"/>
          <w:highlight w:val="none"/>
        </w:rPr>
        <w:t>地址：梧州市西堤一路38号</w:t>
      </w:r>
    </w:p>
    <w:p w14:paraId="52AC4F49">
      <w:pPr>
        <w:tabs>
          <w:tab w:val="left" w:pos="3420"/>
        </w:tabs>
        <w:wordWrap w:val="0"/>
        <w:spacing w:line="360" w:lineRule="auto"/>
        <w:ind w:firstLine="44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联系方式：关科0774-3861061</w:t>
      </w:r>
    </w:p>
    <w:p w14:paraId="75D6E576">
      <w:pPr>
        <w:tabs>
          <w:tab w:val="left" w:pos="3420"/>
        </w:tabs>
        <w:wordWrap w:val="0"/>
        <w:spacing w:line="360" w:lineRule="auto"/>
        <w:ind w:firstLine="44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2.采购代理机构信息</w:t>
      </w:r>
    </w:p>
    <w:p w14:paraId="5D4FCE98">
      <w:pPr>
        <w:tabs>
          <w:tab w:val="left" w:pos="3420"/>
        </w:tabs>
        <w:wordWrap w:val="0"/>
        <w:spacing w:line="360" w:lineRule="auto"/>
        <w:ind w:firstLine="44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名称：广西同泽工程项目管理股份有限公司</w:t>
      </w:r>
    </w:p>
    <w:p w14:paraId="7D48E9D9">
      <w:pPr>
        <w:tabs>
          <w:tab w:val="left" w:pos="3420"/>
        </w:tabs>
        <w:wordWrap w:val="0"/>
        <w:spacing w:line="360" w:lineRule="auto"/>
        <w:ind w:firstLine="44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地址：广西壮族自治区梧州市长洲区新兴二路御山帝景1栋3单元402房</w:t>
      </w:r>
    </w:p>
    <w:p w14:paraId="56501DCD">
      <w:pPr>
        <w:wordWrap w:val="0"/>
        <w:spacing w:line="360" w:lineRule="auto"/>
        <w:ind w:firstLine="440" w:firstLineChars="200"/>
        <w:rPr>
          <w:rFonts w:ascii="宋体" w:hAnsi="宋体" w:cs="宋体"/>
          <w:color w:val="auto"/>
          <w:spacing w:val="5"/>
          <w:kern w:val="0"/>
          <w:szCs w:val="21"/>
          <w:highlight w:val="none"/>
        </w:rPr>
      </w:pPr>
      <w:r>
        <w:rPr>
          <w:rFonts w:hint="eastAsia" w:ascii="宋体" w:hAnsi="宋体" w:cs="宋体"/>
          <w:color w:val="auto"/>
          <w:spacing w:val="5"/>
          <w:kern w:val="0"/>
          <w:szCs w:val="21"/>
          <w:highlight w:val="none"/>
        </w:rPr>
        <w:t>项目联系人：胡工</w:t>
      </w:r>
    </w:p>
    <w:p w14:paraId="67F1F0C2">
      <w:pPr>
        <w:wordWrap w:val="0"/>
        <w:spacing w:line="360" w:lineRule="auto"/>
        <w:ind w:firstLine="440" w:firstLineChars="200"/>
        <w:rPr>
          <w:rFonts w:ascii="宋体" w:hAnsi="宋体" w:cs="宋体"/>
          <w:color w:val="auto"/>
          <w:spacing w:val="5"/>
          <w:kern w:val="0"/>
          <w:szCs w:val="21"/>
          <w:highlight w:val="none"/>
        </w:rPr>
      </w:pPr>
      <w:r>
        <w:rPr>
          <w:rFonts w:hint="eastAsia" w:ascii="宋体" w:hAnsi="宋体" w:cs="宋体"/>
          <w:color w:val="auto"/>
          <w:spacing w:val="5"/>
          <w:kern w:val="0"/>
          <w:szCs w:val="21"/>
          <w:highlight w:val="none"/>
        </w:rPr>
        <w:t>联系方式：0771-3181854</w:t>
      </w:r>
    </w:p>
    <w:p w14:paraId="127583C5">
      <w:pPr>
        <w:wordWrap w:val="0"/>
        <w:spacing w:line="360" w:lineRule="auto"/>
        <w:ind w:firstLine="420" w:firstLineChars="200"/>
        <w:rPr>
          <w:rFonts w:ascii="宋体" w:hAnsi="宋体" w:cs="宋体"/>
          <w:color w:val="auto"/>
          <w:spacing w:val="5"/>
          <w:kern w:val="0"/>
          <w:szCs w:val="21"/>
          <w:highlight w:val="none"/>
        </w:rPr>
      </w:pPr>
      <w:r>
        <w:rPr>
          <w:rFonts w:hint="eastAsia"/>
          <w:color w:val="auto"/>
          <w:highlight w:val="none"/>
        </w:rPr>
        <w:t xml:space="preserve">监督部门：梧州市财政局   </w:t>
      </w:r>
      <w:r>
        <w:rPr>
          <w:rFonts w:hint="eastAsia" w:ascii="宋体" w:hAnsi="宋体" w:cs="宋体"/>
          <w:color w:val="auto"/>
          <w:spacing w:val="5"/>
          <w:kern w:val="0"/>
          <w:szCs w:val="21"/>
          <w:highlight w:val="none"/>
        </w:rPr>
        <w:t>0774-3866434</w:t>
      </w:r>
    </w:p>
    <w:p w14:paraId="0307AD30">
      <w:pPr>
        <w:wordWrap w:val="0"/>
        <w:spacing w:line="360" w:lineRule="auto"/>
        <w:rPr>
          <w:rFonts w:ascii="宋体" w:hAnsi="宋体" w:cs="宋体"/>
          <w:color w:val="auto"/>
          <w:szCs w:val="21"/>
          <w:highlight w:val="none"/>
        </w:rPr>
      </w:pPr>
    </w:p>
    <w:p w14:paraId="6B6CEF7C">
      <w:pPr>
        <w:spacing w:line="360" w:lineRule="auto"/>
        <w:ind w:firstLine="630" w:firstLineChars="300"/>
        <w:jc w:val="right"/>
        <w:rPr>
          <w:rFonts w:ascii="宋体" w:hAnsi="宋体" w:cs="宋体"/>
          <w:color w:val="auto"/>
          <w:szCs w:val="21"/>
          <w:highlight w:val="none"/>
        </w:rPr>
      </w:pPr>
    </w:p>
    <w:p w14:paraId="4BCA3DAB">
      <w:pPr>
        <w:wordWrap w:val="0"/>
        <w:spacing w:line="360" w:lineRule="auto"/>
        <w:ind w:firstLine="630" w:firstLineChars="300"/>
        <w:jc w:val="center"/>
        <w:rPr>
          <w:rFonts w:ascii="宋体" w:hAnsi="宋体" w:cs="宋体"/>
          <w:color w:val="auto"/>
          <w:szCs w:val="21"/>
          <w:highlight w:val="none"/>
        </w:rPr>
      </w:pPr>
      <w:r>
        <w:rPr>
          <w:rFonts w:hint="eastAsia" w:ascii="宋体" w:hAnsi="宋体" w:cs="宋体"/>
          <w:color w:val="auto"/>
          <w:szCs w:val="21"/>
          <w:highlight w:val="none"/>
        </w:rPr>
        <w:t>广西同泽工程项目管理股份有限公司</w:t>
      </w:r>
    </w:p>
    <w:p w14:paraId="2BCC0975">
      <w:pPr>
        <w:wordWrap w:val="0"/>
        <w:spacing w:line="360" w:lineRule="auto"/>
        <w:jc w:val="center"/>
        <w:rPr>
          <w:rFonts w:ascii="宋体" w:hAnsi="宋体" w:cs="宋体"/>
          <w:color w:val="auto"/>
          <w:highlight w:val="none"/>
        </w:rPr>
      </w:pP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bookmarkEnd w:id="6"/>
      <w:bookmarkStart w:id="51" w:name="_Toc44229894"/>
      <w:r>
        <w:rPr>
          <w:rFonts w:hint="eastAsia" w:ascii="宋体" w:hAnsi="宋体" w:cs="宋体"/>
          <w:color w:val="auto"/>
          <w:highlight w:val="none"/>
        </w:rPr>
        <w:br w:type="page"/>
      </w:r>
      <w:r>
        <w:rPr>
          <w:rFonts w:hint="eastAsia" w:ascii="宋体" w:hAnsi="宋体" w:cs="宋体"/>
          <w:color w:val="auto"/>
          <w:highlight w:val="none"/>
        </w:rPr>
        <w:t>第二章 供应商须知</w:t>
      </w:r>
      <w:bookmarkEnd w:id="51"/>
    </w:p>
    <w:p w14:paraId="475EF2D1">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p w14:paraId="4B24A57C">
      <w:pPr>
        <w:spacing w:line="400" w:lineRule="exact"/>
        <w:jc w:val="center"/>
        <w:rPr>
          <w:rFonts w:ascii="宋体" w:hAnsi="宋体" w:cs="宋体"/>
          <w:b/>
          <w:color w:val="auto"/>
          <w:sz w:val="32"/>
          <w:szCs w:val="32"/>
          <w:highlight w:val="none"/>
        </w:rPr>
      </w:pPr>
    </w:p>
    <w:tbl>
      <w:tblPr>
        <w:tblStyle w:val="21"/>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64E8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89F2D0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2CA5006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63E68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A969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0FC906CB">
            <w:pPr>
              <w:spacing w:line="360" w:lineRule="auto"/>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72140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6BDB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726428B0">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22089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961B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7912" w:type="dxa"/>
            <w:vAlign w:val="center"/>
          </w:tcPr>
          <w:p w14:paraId="46250A91">
            <w:pPr>
              <w:spacing w:line="360" w:lineRule="auto"/>
              <w:rPr>
                <w:rFonts w:ascii="宋体" w:hAnsi="宋体" w:cs="宋体"/>
                <w:color w:val="auto"/>
                <w:szCs w:val="21"/>
                <w:highlight w:val="none"/>
              </w:rPr>
            </w:pPr>
            <w:r>
              <w:rPr>
                <w:rFonts w:hint="eastAsia" w:ascii="宋体" w:hAnsi="宋体" w:cs="宋体"/>
                <w:color w:val="auto"/>
                <w:szCs w:val="21"/>
                <w:highlight w:val="none"/>
              </w:rPr>
              <w:t>如接受联合体竞标，联合体竞标要求如下：无</w:t>
            </w:r>
          </w:p>
        </w:tc>
      </w:tr>
      <w:tr w14:paraId="345B3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EE9D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3B99CE83">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tc>
      </w:tr>
      <w:tr w14:paraId="2FCE2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DCF0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7912" w:type="dxa"/>
            <w:vAlign w:val="center"/>
          </w:tcPr>
          <w:p w14:paraId="3C3C63E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3753CB98">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1.供应商为法人或者其他组织的提供其营业执照及资信证书等证明文件；（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95E7B3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2024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AB77CB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 [2024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3F1EC6">
            <w:pPr>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w:t>4.供应商财务状况报告[</w:t>
            </w:r>
            <w:r>
              <w:rPr>
                <w:rFonts w:ascii="宋体" w:hAnsi="宋体" w:cs="宋体"/>
                <w:color w:val="auto"/>
                <w:szCs w:val="21"/>
                <w:highlight w:val="none"/>
              </w:rPr>
              <w:t>202</w:t>
            </w:r>
            <w:r>
              <w:rPr>
                <w:rFonts w:hint="eastAsia" w:ascii="宋体" w:hAnsi="宋体" w:cs="宋体"/>
                <w:color w:val="auto"/>
                <w:szCs w:val="21"/>
                <w:highlight w:val="none"/>
              </w:rPr>
              <w:t>3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 （</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EAB3CD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ADF94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2168F8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olor w:val="auto"/>
                <w:kern w:val="0"/>
                <w:highlight w:val="none"/>
              </w:rPr>
              <w:t>参加政府采购活动前三年内在经营活动中没有</w:t>
            </w:r>
            <w:r>
              <w:rPr>
                <w:rFonts w:hint="eastAsia" w:ascii="宋体" w:hAnsi="宋体"/>
                <w:b/>
                <w:bCs/>
                <w:color w:val="auto"/>
                <w:kern w:val="0"/>
                <w:highlight w:val="none"/>
              </w:rPr>
              <w:t>重大违法记录</w:t>
            </w:r>
            <w:r>
              <w:rPr>
                <w:rFonts w:hint="eastAsia" w:ascii="宋体" w:hAnsi="宋体"/>
                <w:color w:val="auto"/>
                <w:kern w:val="0"/>
                <w:highlight w:val="none"/>
              </w:rPr>
              <w:t>的</w:t>
            </w:r>
            <w:r>
              <w:rPr>
                <w:rFonts w:hint="eastAsia" w:ascii="宋体" w:hAnsi="宋体"/>
                <w:b/>
                <w:bCs/>
                <w:color w:val="auto"/>
                <w:kern w:val="0"/>
                <w:highlight w:val="none"/>
              </w:rPr>
              <w:t>书面声明</w:t>
            </w:r>
            <w:r>
              <w:rPr>
                <w:rFonts w:hint="eastAsia" w:ascii="宋体" w:hAnsi="宋体"/>
                <w:color w:val="auto"/>
                <w:kern w:val="0"/>
                <w:highlight w:val="none"/>
              </w:rPr>
              <w:t>；</w:t>
            </w:r>
            <w:r>
              <w:rPr>
                <w:rFonts w:hint="eastAsia" w:ascii="宋体" w:hAnsi="宋体"/>
                <w:bCs/>
                <w:color w:val="auto"/>
                <w:highlight w:val="none"/>
              </w:rPr>
              <w:t>（格式自拟）</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650D33B">
            <w:pPr>
              <w:snapToGrid w:val="0"/>
              <w:spacing w:line="360" w:lineRule="auto"/>
              <w:jc w:val="left"/>
              <w:rPr>
                <w:rFonts w:ascii="宋体" w:hAnsi="宋体" w:cs="宋体"/>
                <w:color w:val="auto"/>
                <w:szCs w:val="21"/>
                <w:highlight w:val="none"/>
              </w:rPr>
            </w:pPr>
            <w:r>
              <w:rPr>
                <w:rFonts w:hint="eastAsia" w:ascii="宋体" w:hAnsi="宋体"/>
                <w:color w:val="auto"/>
                <w:highlight w:val="none"/>
              </w:rPr>
              <w:t>8.</w:t>
            </w:r>
            <w:r>
              <w:rPr>
                <w:rFonts w:hint="eastAsia" w:ascii="宋体" w:hAnsi="宋体"/>
                <w:color w:val="auto"/>
                <w:kern w:val="0"/>
                <w:highlight w:val="none"/>
              </w:rPr>
              <w:t>中小型企业声明函（</w:t>
            </w:r>
            <w:r>
              <w:rPr>
                <w:rFonts w:hint="eastAsia" w:ascii="宋体" w:hAnsi="宋体" w:cs="宋体"/>
                <w:color w:val="auto"/>
                <w:szCs w:val="21"/>
                <w:highlight w:val="none"/>
              </w:rPr>
              <w:t>格式后附</w:t>
            </w:r>
            <w:r>
              <w:rPr>
                <w:rFonts w:hint="eastAsia" w:ascii="宋体" w:hAnsi="宋体"/>
                <w:color w:val="auto"/>
                <w:kern w:val="0"/>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83D51B6">
            <w:pPr>
              <w:snapToGrid w:val="0"/>
              <w:spacing w:line="360" w:lineRule="auto"/>
              <w:jc w:val="left"/>
              <w:rPr>
                <w:rFonts w:ascii="宋体" w:hAnsi="宋体" w:cs="宋体"/>
                <w:color w:val="auto"/>
                <w:szCs w:val="21"/>
                <w:highlight w:val="none"/>
              </w:rPr>
            </w:pPr>
            <w:r>
              <w:rPr>
                <w:rFonts w:hint="eastAsia" w:ascii="宋体" w:hAnsi="宋体"/>
                <w:color w:val="auto"/>
                <w:kern w:val="0"/>
                <w:highlight w:val="none"/>
              </w:rPr>
              <w:t>9.</w:t>
            </w:r>
            <w:r>
              <w:rPr>
                <w:rFonts w:hint="eastAsia" w:ascii="宋体" w:hAnsi="宋体" w:cs="宋体"/>
                <w:color w:val="auto"/>
                <w:szCs w:val="21"/>
                <w:highlight w:val="none"/>
              </w:rPr>
              <w:t>除磋商文件规定必须提供以外，供应商认为需要提供的其他证明材料；</w:t>
            </w:r>
          </w:p>
          <w:p w14:paraId="42460B3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注：1. 以上标明“必须提供”的材料属于复印件的，必须加盖投标人公章，否则按无效投标处理。</w:t>
            </w:r>
          </w:p>
          <w:p w14:paraId="59E0247F">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2.竞标声明必须由法定代表人或者委托代理人在规定签章处签字并加盖投标人公章，否则按无效投标处理。</w:t>
            </w:r>
          </w:p>
          <w:p w14:paraId="620D46A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3.投标人直接控股、管理关系信息表必须由法定代表人或者委托代理人在规定签章处签字并加盖投标人公章，否则按无效投标处理。</w:t>
            </w:r>
          </w:p>
          <w:p w14:paraId="7E780F8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0B07C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391D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60A4FBA2">
            <w:pPr>
              <w:spacing w:line="440" w:lineRule="exact"/>
              <w:rPr>
                <w:rFonts w:ascii="宋体" w:hAnsi="宋体" w:cs="宋体"/>
                <w:color w:val="auto"/>
                <w:szCs w:val="21"/>
                <w:highlight w:val="none"/>
              </w:rPr>
            </w:pPr>
            <w:r>
              <w:rPr>
                <w:rFonts w:hint="eastAsia" w:ascii="宋体" w:hAnsi="宋体" w:cs="宋体"/>
                <w:color w:val="auto"/>
                <w:szCs w:val="21"/>
                <w:highlight w:val="none"/>
              </w:rPr>
              <w:t>报价商务技术文件</w:t>
            </w:r>
          </w:p>
          <w:p w14:paraId="1D5A0436">
            <w:pPr>
              <w:spacing w:line="440" w:lineRule="exact"/>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bCs/>
                <w:color w:val="auto"/>
                <w:szCs w:val="21"/>
                <w:highlight w:val="none"/>
              </w:rPr>
              <w:t>（必须提供，否则响应文件按无效响应处理）</w:t>
            </w:r>
          </w:p>
          <w:p w14:paraId="21069E65">
            <w:pPr>
              <w:pStyle w:val="16"/>
              <w:spacing w:line="440" w:lineRule="exact"/>
              <w:rPr>
                <w:rFonts w:ascii="宋体" w:hAnsi="宋体" w:cs="宋体"/>
                <w:b/>
                <w:bCs/>
                <w:color w:val="auto"/>
                <w:kern w:val="2"/>
                <w:sz w:val="21"/>
                <w:szCs w:val="21"/>
                <w:highlight w:val="none"/>
              </w:rPr>
            </w:pPr>
            <w:r>
              <w:rPr>
                <w:rFonts w:hint="eastAsia" w:ascii="宋体" w:hAnsi="宋体" w:cs="宋体"/>
                <w:color w:val="auto"/>
                <w:kern w:val="2"/>
                <w:sz w:val="21"/>
                <w:szCs w:val="21"/>
                <w:highlight w:val="none"/>
              </w:rPr>
              <w:t>2.竞标报价明细表</w:t>
            </w:r>
            <w:r>
              <w:rPr>
                <w:rFonts w:hint="eastAsia" w:ascii="宋体" w:hAnsi="宋体" w:cs="宋体"/>
                <w:b/>
                <w:bCs/>
                <w:color w:val="auto"/>
                <w:kern w:val="2"/>
                <w:sz w:val="21"/>
                <w:szCs w:val="21"/>
                <w:highlight w:val="none"/>
              </w:rPr>
              <w:t>（格式自拟，必须提供，否则响应文件按无效响应处理）</w:t>
            </w:r>
          </w:p>
          <w:p w14:paraId="31CDE0D0">
            <w:pPr>
              <w:spacing w:line="440" w:lineRule="exact"/>
              <w:rPr>
                <w:rFonts w:ascii="宋体" w:hAnsi="宋体" w:cs="宋体"/>
                <w:b/>
                <w:bCs/>
                <w:color w:val="auto"/>
                <w:szCs w:val="21"/>
                <w:highlight w:val="none"/>
              </w:rPr>
            </w:pPr>
            <w:r>
              <w:rPr>
                <w:rFonts w:hint="eastAsia" w:ascii="宋体" w:hAnsi="宋体" w:cs="宋体"/>
                <w:color w:val="auto"/>
                <w:szCs w:val="21"/>
                <w:highlight w:val="none"/>
              </w:rPr>
              <w:t>3.无串通竞标行为的承诺函（格式后附）；</w:t>
            </w:r>
            <w:r>
              <w:rPr>
                <w:rFonts w:hint="eastAsia" w:ascii="宋体" w:hAnsi="宋体" w:cs="宋体"/>
                <w:b/>
                <w:bCs/>
                <w:color w:val="auto"/>
                <w:szCs w:val="21"/>
                <w:highlight w:val="none"/>
              </w:rPr>
              <w:t>（必须提供，否则响应文件按无效响应处理）</w:t>
            </w:r>
          </w:p>
          <w:p w14:paraId="05DFDB34">
            <w:pPr>
              <w:snapToGrid w:val="0"/>
              <w:spacing w:line="440" w:lineRule="exact"/>
              <w:jc w:val="left"/>
              <w:rPr>
                <w:rFonts w:ascii="宋体" w:hAnsi="宋体" w:cs="宋体"/>
                <w:b/>
                <w:bCs/>
                <w:color w:val="auto"/>
                <w:szCs w:val="21"/>
                <w:highlight w:val="none"/>
              </w:rPr>
            </w:pPr>
            <w:r>
              <w:rPr>
                <w:rFonts w:hint="eastAsia" w:ascii="宋体" w:hAnsi="宋体" w:cs="宋体"/>
                <w:color w:val="auto"/>
                <w:szCs w:val="21"/>
                <w:highlight w:val="none"/>
              </w:rPr>
              <w:t>4.法定代表人身份证明书及法定代表人有效身份证正反面复印件（格式后附）；</w:t>
            </w:r>
            <w:r>
              <w:rPr>
                <w:rFonts w:hint="eastAsia" w:ascii="宋体" w:hAnsi="宋体" w:cs="宋体"/>
                <w:b/>
                <w:bCs/>
                <w:color w:val="auto"/>
                <w:szCs w:val="21"/>
                <w:highlight w:val="none"/>
              </w:rPr>
              <w:t>（除自然人竞标外必须提供，否则响应文件按无效响应处理）</w:t>
            </w:r>
          </w:p>
          <w:p w14:paraId="3BAC90DE">
            <w:pPr>
              <w:snapToGrid w:val="0"/>
              <w:spacing w:line="440" w:lineRule="exact"/>
              <w:jc w:val="left"/>
              <w:rPr>
                <w:rFonts w:ascii="宋体" w:hAnsi="宋体" w:cs="宋体"/>
                <w:b/>
                <w:bCs/>
                <w:color w:val="auto"/>
                <w:szCs w:val="21"/>
                <w:highlight w:val="none"/>
              </w:rPr>
            </w:pPr>
            <w:r>
              <w:rPr>
                <w:rFonts w:hint="eastAsia" w:ascii="宋体" w:hAnsi="宋体" w:cs="宋体"/>
                <w:color w:val="auto"/>
                <w:szCs w:val="21"/>
                <w:highlight w:val="none"/>
              </w:rPr>
              <w:t>5.法定代表人授权委托书及委托代理人有效身份证正反面复印件（格式后附）；</w:t>
            </w:r>
            <w:r>
              <w:rPr>
                <w:rFonts w:hint="eastAsia" w:ascii="宋体" w:hAnsi="宋体" w:cs="宋体"/>
                <w:b/>
                <w:bCs/>
                <w:color w:val="auto"/>
                <w:szCs w:val="21"/>
                <w:highlight w:val="none"/>
              </w:rPr>
              <w:t>（委托时必须提供，否则响应文件按无效响应处理）</w:t>
            </w:r>
          </w:p>
          <w:p w14:paraId="1314B0C6">
            <w:pPr>
              <w:pStyle w:val="18"/>
              <w:spacing w:line="440" w:lineRule="exact"/>
              <w:rPr>
                <w:rFonts w:ascii="宋体" w:hAnsi="宋体" w:cs="宋体"/>
                <w:b/>
                <w:bCs/>
                <w:color w:val="auto"/>
                <w:szCs w:val="21"/>
                <w:highlight w:val="none"/>
              </w:rPr>
            </w:pPr>
            <w:r>
              <w:rPr>
                <w:rFonts w:hint="eastAsia" w:ascii="宋体" w:hAnsi="宋体" w:cs="宋体"/>
                <w:color w:val="auto"/>
                <w:szCs w:val="21"/>
                <w:highlight w:val="none"/>
              </w:rPr>
              <w:t>6.商务技术条款偏离表（格式后附）；</w:t>
            </w:r>
            <w:r>
              <w:rPr>
                <w:rFonts w:hint="eastAsia" w:ascii="宋体" w:hAnsi="宋体" w:cs="宋体"/>
                <w:b/>
                <w:bCs/>
                <w:color w:val="auto"/>
                <w:szCs w:val="21"/>
                <w:highlight w:val="none"/>
              </w:rPr>
              <w:t>（必须提供，否则响应文件按无效响应处理）</w:t>
            </w:r>
          </w:p>
          <w:p w14:paraId="78196908">
            <w:pPr>
              <w:spacing w:line="440" w:lineRule="exact"/>
              <w:rPr>
                <w:rFonts w:ascii="宋体" w:hAnsi="宋体" w:cs="宋体"/>
                <w:color w:val="auto"/>
                <w:szCs w:val="21"/>
                <w:highlight w:val="none"/>
              </w:rPr>
            </w:pPr>
            <w:r>
              <w:rPr>
                <w:rFonts w:hint="eastAsia" w:ascii="宋体" w:hAnsi="宋体" w:cs="宋体"/>
                <w:color w:val="auto"/>
                <w:szCs w:val="21"/>
                <w:highlight w:val="none"/>
              </w:rPr>
              <w:t>7.服务方案（由投标人根据本项目服务采购需求自行编写，如有请提供）；</w:t>
            </w:r>
          </w:p>
          <w:p w14:paraId="273709A4">
            <w:pPr>
              <w:spacing w:line="440" w:lineRule="exact"/>
              <w:rPr>
                <w:rFonts w:ascii="宋体" w:hAnsi="宋体" w:cs="宋体"/>
                <w:color w:val="auto"/>
                <w:szCs w:val="21"/>
                <w:highlight w:val="none"/>
              </w:rPr>
            </w:pPr>
            <w:r>
              <w:rPr>
                <w:rFonts w:hint="eastAsia" w:ascii="宋体" w:hAnsi="宋体" w:cs="宋体"/>
                <w:color w:val="auto"/>
                <w:szCs w:val="21"/>
                <w:highlight w:val="none"/>
              </w:rPr>
              <w:t>8.拟投入项目实施人员一览表（格式后附，如有请提供）；</w:t>
            </w:r>
          </w:p>
          <w:p w14:paraId="24C630AA">
            <w:pPr>
              <w:spacing w:line="440" w:lineRule="exact"/>
              <w:rPr>
                <w:rFonts w:ascii="宋体" w:hAnsi="宋体" w:cs="宋体"/>
                <w:color w:val="auto"/>
                <w:szCs w:val="21"/>
                <w:highlight w:val="none"/>
              </w:rPr>
            </w:pPr>
            <w:r>
              <w:rPr>
                <w:rFonts w:hint="eastAsia" w:ascii="宋体" w:hAnsi="宋体" w:cs="宋体"/>
                <w:color w:val="auto"/>
                <w:szCs w:val="21"/>
                <w:highlight w:val="none"/>
              </w:rPr>
              <w:t>9.服务承诺书(由投标人根据本项目服务采购需求、特点及投标人自身的处理能力自行编写，承诺书内容至少应包括“服务采购需求”中的所有服务条款，如有请提供) ；</w:t>
            </w:r>
          </w:p>
          <w:p w14:paraId="20F82DF0">
            <w:pPr>
              <w:spacing w:line="440" w:lineRule="exact"/>
              <w:rPr>
                <w:rFonts w:ascii="宋体" w:hAnsi="宋体" w:cs="宋体"/>
                <w:color w:val="auto"/>
                <w:szCs w:val="21"/>
                <w:highlight w:val="none"/>
              </w:rPr>
            </w:pPr>
            <w:r>
              <w:rPr>
                <w:rFonts w:hint="eastAsia" w:ascii="宋体" w:hAnsi="宋体" w:cs="宋体"/>
                <w:color w:val="auto"/>
                <w:szCs w:val="21"/>
                <w:highlight w:val="none"/>
              </w:rPr>
              <w:t>10.对应采购需求的技术需求、商务条款提供的其他文件资料；</w:t>
            </w:r>
          </w:p>
          <w:p w14:paraId="2753446B">
            <w:pPr>
              <w:spacing w:line="440" w:lineRule="exact"/>
              <w:rPr>
                <w:rFonts w:ascii="宋体" w:hAnsi="宋体" w:cs="宋体"/>
                <w:color w:val="auto"/>
                <w:szCs w:val="21"/>
                <w:highlight w:val="none"/>
              </w:rPr>
            </w:pPr>
            <w:r>
              <w:rPr>
                <w:rFonts w:hint="eastAsia" w:ascii="宋体" w:hAnsi="宋体" w:cs="宋体"/>
                <w:color w:val="auto"/>
                <w:szCs w:val="21"/>
                <w:highlight w:val="none"/>
              </w:rPr>
              <w:t>11.供应商认为需要提供的其他有关资料。</w:t>
            </w:r>
          </w:p>
          <w:p w14:paraId="7019ADFC">
            <w:pPr>
              <w:snapToGrid w:val="0"/>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注： 1.授权委托书必须由法定代表人及委托代理人签字，并加盖投标人公章，否则按无效投标处理。</w:t>
            </w:r>
          </w:p>
          <w:p w14:paraId="51CE09F9">
            <w:pPr>
              <w:snapToGrid w:val="0"/>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 以上标明“必须提供”的材料属于复印件的，必须加盖投标人公章，否则按无效投标处理。</w:t>
            </w:r>
          </w:p>
          <w:p w14:paraId="00B39D4B">
            <w:pPr>
              <w:spacing w:line="44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43DD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80A6B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275E0BE9">
            <w:pPr>
              <w:spacing w:line="440" w:lineRule="exact"/>
              <w:rPr>
                <w:rFonts w:ascii="宋体" w:hAnsi="宋体" w:cs="宋体"/>
                <w:b/>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color w:val="auto"/>
                <w:szCs w:val="21"/>
                <w:highlight w:val="none"/>
              </w:rPr>
              <w:t>（采购需求另有约定的，从其约定。）</w:t>
            </w:r>
          </w:p>
        </w:tc>
      </w:tr>
      <w:tr w14:paraId="5F305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53DF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7912" w:type="dxa"/>
            <w:vAlign w:val="center"/>
          </w:tcPr>
          <w:p w14:paraId="751922DC">
            <w:pPr>
              <w:pStyle w:val="8"/>
              <w:tabs>
                <w:tab w:val="left" w:pos="720"/>
                <w:tab w:val="left" w:pos="840"/>
              </w:tabs>
              <w:snapToGrid w:val="0"/>
              <w:spacing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竞标有效期：自首次响应文件提交截止之日起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3BB4E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069F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408BC8E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磋商保证金的交纳方式：无需缴纳。 </w:t>
            </w:r>
          </w:p>
          <w:p w14:paraId="6EB04CD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磋商保证金的金额：/。</w:t>
            </w:r>
          </w:p>
          <w:p w14:paraId="036D7C5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5629A5F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 </w:t>
            </w:r>
            <w:r>
              <w:rPr>
                <w:rFonts w:hint="eastAsia" w:ascii="宋体" w:hAnsi="宋体" w:cs="宋体"/>
                <w:b/>
                <w:bCs/>
                <w:color w:val="auto"/>
                <w:kern w:val="0"/>
                <w:szCs w:val="21"/>
                <w:highlight w:val="none"/>
              </w:rPr>
              <w:t>开户名称务必填写完整，如因填写不完整而造成保证金在截标时间前无法到达我中心指定账户，由此造成的后果由供应商自负。</w:t>
            </w:r>
          </w:p>
          <w:p w14:paraId="125D8823">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2.投标保证金在投标截止时间后提交的，或者不按规定交纳方式交纳的，或者未足额交纳的（包含保函额度不足的），视为无效投标保证金。</w:t>
            </w:r>
          </w:p>
          <w:p w14:paraId="1004F0D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3.投标人采用现钞方式或者从个人账户（自然人投标除外）转出的投标保证金，视为无效投标保证金。</w:t>
            </w:r>
          </w:p>
          <w:p w14:paraId="0F247A75">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4.支票、汇票或者本票出现无效或者背书情形的，视为无效投标保证金。</w:t>
            </w:r>
          </w:p>
          <w:p w14:paraId="0420CBB0">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5.保函有效期低于投标有效期的，视为无效投标保证金。</w:t>
            </w:r>
          </w:p>
          <w:p w14:paraId="2A3DA9F0">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6.采用银行、保险机构出具保函的，必须为无条件保函，否则视为无效投标保证金。</w:t>
            </w:r>
          </w:p>
        </w:tc>
      </w:tr>
      <w:tr w14:paraId="26F95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430D3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18.2</w:t>
            </w:r>
          </w:p>
        </w:tc>
        <w:tc>
          <w:tcPr>
            <w:tcW w:w="7912" w:type="dxa"/>
            <w:vAlign w:val="center"/>
          </w:tcPr>
          <w:p w14:paraId="2DA721F2">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响应文件编制按资格证明文件、报价文件、商务技术文件分别编制</w:t>
            </w:r>
          </w:p>
        </w:tc>
      </w:tr>
      <w:tr w14:paraId="57EE6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9B5B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27C3063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1.提交响应文件截止时间：见磋商公告</w:t>
            </w:r>
          </w:p>
          <w:p w14:paraId="574DE873">
            <w:pPr>
              <w:spacing w:line="360" w:lineRule="auto"/>
              <w:rPr>
                <w:rFonts w:ascii="宋体" w:hAnsi="宋体" w:cs="宋体"/>
                <w:color w:val="auto"/>
                <w:szCs w:val="21"/>
                <w:highlight w:val="none"/>
              </w:rPr>
            </w:pPr>
            <w:r>
              <w:rPr>
                <w:rFonts w:hint="eastAsia" w:ascii="宋体" w:hAnsi="宋体" w:cs="宋体"/>
                <w:color w:val="auto"/>
                <w:szCs w:val="21"/>
                <w:highlight w:val="none"/>
              </w:rPr>
              <w:t>2.投标地点：广西政府采购云平台在线投标</w:t>
            </w:r>
          </w:p>
        </w:tc>
      </w:tr>
      <w:tr w14:paraId="52EF9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B0E4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72E256D1">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1B455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19ECF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7912" w:type="dxa"/>
            <w:vAlign w:val="center"/>
          </w:tcPr>
          <w:p w14:paraId="5F4B91D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商务条款评审中允许负偏离的条款数为：0项</w:t>
            </w:r>
          </w:p>
          <w:p w14:paraId="0EEF969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技术需求评审中允许负偏离的条款数为：0项</w:t>
            </w:r>
          </w:p>
        </w:tc>
      </w:tr>
      <w:tr w14:paraId="3BA40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5EF6840">
            <w:pPr>
              <w:spacing w:line="360" w:lineRule="auto"/>
              <w:jc w:val="center"/>
              <w:rPr>
                <w:rFonts w:ascii="宋体" w:hAnsi="宋体" w:cs="宋体"/>
                <w:color w:val="auto"/>
                <w:szCs w:val="21"/>
                <w:highlight w:val="none"/>
              </w:rPr>
            </w:pPr>
          </w:p>
        </w:tc>
        <w:tc>
          <w:tcPr>
            <w:tcW w:w="7912" w:type="dxa"/>
            <w:vAlign w:val="center"/>
          </w:tcPr>
          <w:p w14:paraId="3EF238E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磋商的顺序：</w:t>
            </w:r>
          </w:p>
          <w:p w14:paraId="4BDAB23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tc>
      </w:tr>
      <w:tr w14:paraId="734F2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BF8C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7912" w:type="dxa"/>
            <w:vAlign w:val="center"/>
          </w:tcPr>
          <w:p w14:paraId="6322556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履约保证金金额：不收取</w:t>
            </w:r>
          </w:p>
        </w:tc>
      </w:tr>
      <w:tr w14:paraId="48F6A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0851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7912" w:type="dxa"/>
            <w:vAlign w:val="center"/>
          </w:tcPr>
          <w:p w14:paraId="0308D86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1017540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10DF22E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77EB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706E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7912" w:type="dxa"/>
            <w:vAlign w:val="center"/>
          </w:tcPr>
          <w:p w14:paraId="40681CA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7B0C887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质疑联系部门及联系方式：广西同泽工程项目管理股份有限公司，联系电话：0771-3181854，通讯地址：广西壮族自治区梧州市长洲区新兴二路御山帝景1栋3单元402房</w:t>
            </w:r>
          </w:p>
          <w:p w14:paraId="6332C63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highlight w:val="none"/>
              </w:rPr>
              <w:t>现场提交质疑办理业务时间：每天上午9时到12时，下午13时到16时30分，双休日和法定节假日不办理业务。</w:t>
            </w:r>
          </w:p>
        </w:tc>
      </w:tr>
      <w:tr w14:paraId="11FAA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6214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7912" w:type="dxa"/>
            <w:vAlign w:val="center"/>
          </w:tcPr>
          <w:p w14:paraId="1104CEEB">
            <w:pPr>
              <w:snapToGrid w:val="0"/>
              <w:spacing w:line="300" w:lineRule="auto"/>
              <w:ind w:left="420" w:leftChars="200"/>
              <w:rPr>
                <w:color w:val="auto"/>
                <w:highlight w:val="none"/>
              </w:rPr>
            </w:pPr>
            <w:r>
              <w:rPr>
                <w:rFonts w:hint="eastAsia" w:ascii="宋体" w:hAnsi="宋体" w:cs="宋体"/>
                <w:color w:val="auto"/>
                <w:szCs w:val="21"/>
                <w:highlight w:val="none"/>
              </w:rPr>
              <w:t xml:space="preserve">1.采购代理费支付方式：委托代理服务费参照《国家发展改革委关于降低部分建设项目收费标准规范收费行为等有关问题的通知》（发改价格〔2011〕534号）及《广西壮族自治区物价局转发国家发展改革委关于降低部分建设项目收费标准规范收费行为等有关问题的通知》（桂价费〔2011〕55号）（服务类）向中标人收取；中标人和采购人签订合同前，由成交人向采购代理机构支付。 </w:t>
            </w:r>
          </w:p>
          <w:p w14:paraId="1304E16E">
            <w:pPr>
              <w:snapToGrid w:val="0"/>
              <w:spacing w:line="300" w:lineRule="auto"/>
              <w:ind w:left="420" w:leftChars="200"/>
              <w:rPr>
                <w:rFonts w:ascii="宋体" w:hAnsi="宋体" w:cs="宋体"/>
                <w:color w:val="auto"/>
                <w:szCs w:val="21"/>
                <w:highlight w:val="none"/>
              </w:rPr>
            </w:pPr>
            <w:r>
              <w:rPr>
                <w:rFonts w:hint="eastAsia" w:ascii="宋体" w:hAnsi="宋体" w:cs="宋体"/>
                <w:color w:val="auto"/>
                <w:szCs w:val="21"/>
                <w:highlight w:val="none"/>
              </w:rPr>
              <w:t>2.采购代理费收取银行账户</w:t>
            </w:r>
          </w:p>
          <w:p w14:paraId="60BC53B6">
            <w:pPr>
              <w:snapToGrid w:val="0"/>
              <w:spacing w:line="300" w:lineRule="auto"/>
              <w:ind w:left="420" w:leftChars="200"/>
              <w:rPr>
                <w:rFonts w:ascii="宋体" w:hAnsi="宋体" w:cs="宋体"/>
                <w:color w:val="auto"/>
                <w:szCs w:val="21"/>
                <w:highlight w:val="none"/>
              </w:rPr>
            </w:pPr>
            <w:r>
              <w:rPr>
                <w:rFonts w:hint="eastAsia" w:ascii="宋体" w:hAnsi="宋体" w:cs="宋体"/>
                <w:color w:val="auto"/>
                <w:szCs w:val="21"/>
                <w:highlight w:val="none"/>
              </w:rPr>
              <w:t>开户名称：广西同泽工程项目管理股份有限公司南宁第二分公司</w:t>
            </w:r>
          </w:p>
          <w:p w14:paraId="09BFA06C">
            <w:pPr>
              <w:snapToGrid w:val="0"/>
              <w:spacing w:line="300" w:lineRule="auto"/>
              <w:ind w:left="420" w:leftChars="200"/>
              <w:rPr>
                <w:rFonts w:ascii="宋体" w:hAnsi="宋体" w:cs="宋体"/>
                <w:color w:val="auto"/>
                <w:szCs w:val="21"/>
                <w:highlight w:val="none"/>
              </w:rPr>
            </w:pPr>
            <w:r>
              <w:rPr>
                <w:rFonts w:hint="eastAsia" w:ascii="宋体" w:hAnsi="宋体" w:cs="宋体"/>
                <w:color w:val="auto"/>
                <w:szCs w:val="21"/>
                <w:highlight w:val="none"/>
              </w:rPr>
              <w:t>开户银行：工商银行南宁五象支行</w:t>
            </w:r>
          </w:p>
          <w:p w14:paraId="2064503B">
            <w:pPr>
              <w:snapToGrid w:val="0"/>
              <w:spacing w:line="300" w:lineRule="auto"/>
              <w:ind w:left="420" w:leftChars="200"/>
              <w:rPr>
                <w:color w:val="auto"/>
                <w:highlight w:val="none"/>
              </w:rPr>
            </w:pPr>
            <w:r>
              <w:rPr>
                <w:rFonts w:hint="eastAsia" w:ascii="宋体" w:hAnsi="宋体" w:cs="宋体"/>
                <w:color w:val="auto"/>
                <w:szCs w:val="21"/>
                <w:highlight w:val="none"/>
              </w:rPr>
              <w:t xml:space="preserve">银行账号：2102116019300170843 </w:t>
            </w:r>
          </w:p>
        </w:tc>
      </w:tr>
      <w:tr w14:paraId="19E74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F43C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7912" w:type="dxa"/>
            <w:vAlign w:val="center"/>
          </w:tcPr>
          <w:p w14:paraId="679054C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49CBD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39A9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780C7B3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19C116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14:paraId="1823436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3.本磋商文件中描述投标人的“签字”是指投标人的法定代表人或者委托代理人亲自在文件规定签字处亲笔写上个人的名字的行为，私章、签字章、印鉴、影印等其他形式均不能代替亲笔签字。</w:t>
            </w:r>
          </w:p>
          <w:p w14:paraId="5B9A543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4.自然人投标的，磋商文件规定盖公章处由自然人摁手指指印。</w:t>
            </w:r>
          </w:p>
          <w:p w14:paraId="748CC89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5.本磋商文件所称的“以上”“以下”“以内”“届满”，包括本数；所称的“不满”“超过”“以外”，不包括本数。</w:t>
            </w:r>
          </w:p>
        </w:tc>
      </w:tr>
    </w:tbl>
    <w:p w14:paraId="73C074E0">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5401B0B7">
      <w:pPr>
        <w:spacing w:line="400" w:lineRule="exact"/>
        <w:jc w:val="center"/>
        <w:rPr>
          <w:rFonts w:ascii="宋体" w:hAnsi="宋体" w:cs="宋体"/>
          <w:b/>
          <w:color w:val="auto"/>
          <w:sz w:val="32"/>
          <w:szCs w:val="32"/>
          <w:highlight w:val="none"/>
        </w:rPr>
      </w:pPr>
    </w:p>
    <w:p w14:paraId="6C7F7966">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14:paraId="3AB9298D">
      <w:pPr>
        <w:spacing w:line="400" w:lineRule="exact"/>
        <w:rPr>
          <w:rFonts w:ascii="宋体" w:hAnsi="宋体" w:cs="宋体"/>
          <w:color w:val="auto"/>
          <w:szCs w:val="21"/>
          <w:highlight w:val="none"/>
        </w:rPr>
      </w:pPr>
    </w:p>
    <w:p w14:paraId="14E9D54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03C7B5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31F1E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409EAB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57E02C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61202FC6">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219D68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139FC2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083ED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7EEB7E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2A528E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14E4E3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7D33E6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3F836E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1D000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05AC54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5B5EA1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2.13“评审价”是指供应商提交的最后报价并经修正（如有）和政策功能价格扣除（如有）后的价格。</w:t>
      </w:r>
    </w:p>
    <w:p w14:paraId="21DA20D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14DCCA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13CBACD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4F8E4D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17E3C0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05C5CC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42D4F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0B0533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6D202B6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0DF729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47DA01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02B61F5E">
      <w:pPr>
        <w:spacing w:line="360" w:lineRule="auto"/>
        <w:ind w:firstLine="482" w:firstLineChars="200"/>
        <w:rPr>
          <w:rFonts w:ascii="宋体" w:hAnsi="宋体" w:cs="宋体"/>
          <w:b/>
          <w:bCs/>
          <w:color w:val="auto"/>
          <w:sz w:val="24"/>
          <w:highlight w:val="none"/>
        </w:rPr>
      </w:pPr>
      <w:bookmarkStart w:id="52" w:name="_Toc254970673"/>
      <w:bookmarkStart w:id="53" w:name="_Toc254970532"/>
      <w:r>
        <w:rPr>
          <w:rFonts w:hint="eastAsia" w:ascii="宋体" w:hAnsi="宋体" w:cs="宋体"/>
          <w:b/>
          <w:bCs/>
          <w:color w:val="auto"/>
          <w:sz w:val="24"/>
          <w:highlight w:val="none"/>
        </w:rPr>
        <w:t>7.特别说明</w:t>
      </w:r>
      <w:bookmarkEnd w:id="52"/>
      <w:bookmarkEnd w:id="53"/>
    </w:p>
    <w:p w14:paraId="0AF927DA">
      <w:pPr>
        <w:spacing w:line="360" w:lineRule="auto"/>
        <w:ind w:firstLine="420" w:firstLineChars="200"/>
        <w:rPr>
          <w:rFonts w:ascii="宋体" w:hAnsi="宋体" w:cs="宋体"/>
          <w:color w:val="auto"/>
          <w:szCs w:val="21"/>
          <w:highlight w:val="none"/>
        </w:rPr>
      </w:pPr>
      <w:bookmarkStart w:id="54" w:name="_8.1提供相同品牌产品且通过资格审查、符合性审查的不同投标人参加同一合"/>
      <w:bookmarkEnd w:id="54"/>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21CAD7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6E8492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A0227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0197DB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471B1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A5F0F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3F89C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79F7C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8DA58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2946D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1236F3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1F6BDD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C1CE8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AC12B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74C5A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88AAB80">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37C34F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6A3F50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55229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D2230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FACB4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1EAF8D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9F9FA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C074F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2C1038A7">
      <w:pPr>
        <w:spacing w:line="360" w:lineRule="auto"/>
        <w:ind w:firstLine="420" w:firstLineChars="200"/>
        <w:rPr>
          <w:rFonts w:ascii="宋体" w:hAnsi="宋体" w:cs="宋体"/>
          <w:color w:val="auto"/>
          <w:szCs w:val="21"/>
          <w:highlight w:val="none"/>
        </w:rPr>
      </w:pPr>
    </w:p>
    <w:p w14:paraId="29B7CB12">
      <w:pPr>
        <w:spacing w:line="360" w:lineRule="auto"/>
        <w:ind w:left="1" w:firstLine="417" w:firstLineChars="199"/>
        <w:jc w:val="center"/>
        <w:rPr>
          <w:rFonts w:ascii="宋体" w:hAnsi="宋体" w:cs="宋体"/>
          <w:color w:val="auto"/>
          <w:highlight w:val="none"/>
        </w:rPr>
      </w:pPr>
      <w:bookmarkStart w:id="55" w:name="_Toc254970534"/>
      <w:bookmarkStart w:id="56" w:name="_Toc254970675"/>
    </w:p>
    <w:p w14:paraId="4FD31EF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二、磋商文件</w:t>
      </w:r>
      <w:bookmarkEnd w:id="55"/>
      <w:bookmarkEnd w:id="56"/>
    </w:p>
    <w:p w14:paraId="0E724B99">
      <w:pPr>
        <w:spacing w:line="360" w:lineRule="auto"/>
        <w:jc w:val="center"/>
        <w:rPr>
          <w:rFonts w:ascii="宋体" w:hAnsi="宋体" w:cs="宋体"/>
          <w:color w:val="auto"/>
          <w:szCs w:val="21"/>
          <w:highlight w:val="none"/>
        </w:rPr>
      </w:pPr>
    </w:p>
    <w:p w14:paraId="75EDA2C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55C9CE8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14:paraId="2B5DC8A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5A3CC44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6B7E7A7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14:paraId="182CD0A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14:paraId="58DD1E6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14:paraId="7982CEF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777BEC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4487CAB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1AF0A3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0BBBE306">
      <w:pPr>
        <w:spacing w:line="360" w:lineRule="auto"/>
        <w:rPr>
          <w:rFonts w:ascii="宋体" w:hAnsi="宋体" w:cs="宋体"/>
          <w:color w:val="auto"/>
          <w:szCs w:val="21"/>
          <w:highlight w:val="none"/>
        </w:rPr>
      </w:pPr>
    </w:p>
    <w:p w14:paraId="62791F8F">
      <w:pPr>
        <w:spacing w:line="360" w:lineRule="auto"/>
        <w:jc w:val="center"/>
        <w:rPr>
          <w:rFonts w:ascii="宋体" w:hAnsi="宋体" w:cs="宋体"/>
          <w:b/>
          <w:bCs/>
          <w:color w:val="auto"/>
          <w:szCs w:val="21"/>
          <w:highlight w:val="none"/>
        </w:rPr>
      </w:pPr>
      <w:r>
        <w:rPr>
          <w:rFonts w:hint="eastAsia" w:ascii="宋体" w:hAnsi="宋体" w:cs="宋体"/>
          <w:b/>
          <w:bCs/>
          <w:color w:val="auto"/>
          <w:sz w:val="32"/>
          <w:szCs w:val="32"/>
          <w:highlight w:val="none"/>
        </w:rPr>
        <w:t>三、响应文件的编制</w:t>
      </w:r>
    </w:p>
    <w:p w14:paraId="5E456789">
      <w:pPr>
        <w:spacing w:line="360" w:lineRule="auto"/>
        <w:rPr>
          <w:rFonts w:ascii="宋体" w:hAnsi="宋体" w:cs="宋体"/>
          <w:color w:val="auto"/>
          <w:szCs w:val="21"/>
          <w:highlight w:val="none"/>
        </w:rPr>
      </w:pPr>
    </w:p>
    <w:p w14:paraId="26D67A5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38D854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58C125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65244C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7B63D595">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49FACA45">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14:paraId="654BE2E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5D23D1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835401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36621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4A3DA9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15.竞标报价要求和构成</w:t>
      </w:r>
    </w:p>
    <w:p w14:paraId="4D1DBD9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7F34F3E5">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14:paraId="3CD27929">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387FD0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5A14CA6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1EA15EBE">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0808E6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3B6383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15.3.2竞标报价（包含首次报价、最后报价）超过所竞标分标规定的采购预算金额或者最高限价的，其响应文件将作无效处理。</w:t>
      </w:r>
    </w:p>
    <w:p w14:paraId="5D192E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7"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57"/>
    <w:p w14:paraId="3238EBF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70C14D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454C7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A3CF4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C5389F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2499058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1B64BA3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6C9BEC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17.2.1保证金在法律法规规定时间内办理退还</w:t>
      </w:r>
      <w:r>
        <w:rPr>
          <w:rFonts w:hint="eastAsia" w:ascii="宋体" w:hAnsi="宋体" w:cs="宋体"/>
          <w:color w:val="auto"/>
          <w:spacing w:val="-6"/>
          <w:szCs w:val="21"/>
          <w:highlight w:val="none"/>
        </w:rPr>
        <w:t>，退还方式如下：</w:t>
      </w:r>
    </w:p>
    <w:p w14:paraId="063170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67E23FBB">
      <w:pPr>
        <w:pStyle w:val="7"/>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（2）采用支票、汇票、本票或者金融、担保机构出具的保函方式的，由供应商代表持相关授权证明材料至采购人或者采购代理机构办理支票、汇票、本票或者金融、担保机构出具的保函原件退还手续。</w:t>
      </w:r>
    </w:p>
    <w:p w14:paraId="6EB17E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17.2.2本项目</w:t>
      </w:r>
      <w:r>
        <w:rPr>
          <w:rFonts w:hint="eastAsia" w:ascii="宋体" w:hAnsi="宋体" w:cs="宋体"/>
          <w:color w:val="auto"/>
          <w:highlight w:val="none"/>
        </w:rPr>
        <w:t>无需缴纳履约保证金，竞标保证金在广西政府采购云平台上签订线上合同后，在</w:t>
      </w:r>
      <w:r>
        <w:rPr>
          <w:rFonts w:hint="eastAsia" w:ascii="宋体" w:hAnsi="宋体" w:cs="宋体"/>
          <w:color w:val="auto"/>
          <w:szCs w:val="21"/>
          <w:highlight w:val="none"/>
        </w:rPr>
        <w:t>法律法规规定时间内办理退还</w:t>
      </w:r>
      <w:r>
        <w:rPr>
          <w:rFonts w:hint="eastAsia" w:ascii="宋体" w:hAnsi="宋体" w:cs="宋体"/>
          <w:color w:val="auto"/>
          <w:highlight w:val="none"/>
        </w:rPr>
        <w:t>。</w:t>
      </w:r>
    </w:p>
    <w:p w14:paraId="756C03D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327FF7B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08D32BB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78BB088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18DBBB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7375519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5901E29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0561F9C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3950C9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18.1 供应商应先安装“政采云电子交易客户端”（请自行前往“政采云”平台进行下载）， 并按照本项目磋商文件规定的格式和顺序和“政采云”平台的要求编制并加密。响应文件内容不完整、编排混乱导致响应文件被误读、漏读或者查找不到相关内容的，由此引发的后果由供应商承担。 </w:t>
      </w:r>
    </w:p>
    <w:p w14:paraId="17D62D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18.2 为确保网上操作合法、有效和安全，供应商应当在提交响应文件截止时间前完成在“政 采云”平台的身份认证，确保在电子竞标过程中能够对相关数据电文进行加密和使用电子签章。 </w:t>
      </w:r>
    </w:p>
    <w:p w14:paraId="228A3E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18.3 响应文件须由供应商在规定位置签字、盖章（具体以供应商须知前附表或响应文件格式 规定为准），否则按无效响应处理。 </w:t>
      </w:r>
    </w:p>
    <w:p w14:paraId="56A07C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14:paraId="503BC8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 响应文件应尽量避免涂改、行间插字或者删除。如果出现上述情况，改动之处应由供应 商的法定代表人或者其委托代理人签字（或者电子签名）或者加盖公章或者加盖电子签章。响应文件因涂改、行间插字或者删除导致字迹潦草或者表达不清所引起的后果由供应商承担。</w:t>
      </w:r>
    </w:p>
    <w:p w14:paraId="1D4B9D7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19.电子备份响应文件</w:t>
      </w:r>
    </w:p>
    <w:p w14:paraId="09F0EC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电子备份响应文件是指通过“政采云电子投标客户端”在线编制生成且后缀名为“bfbs”的文件，是否接受电子备份响应文件详见在“供应商须知前附表”。</w:t>
      </w:r>
    </w:p>
    <w:p w14:paraId="0E1334A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26B316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认证锁）进行电子签章、加密，然后通过网络将加密的电子响应文件提交至“政采云”平台。</w:t>
      </w:r>
    </w:p>
    <w:p w14:paraId="1E5F25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未在规定时间内提交或者未按照磋商文件要求加密的电子响应文件，“政采云”平台将拒收。</w:t>
      </w:r>
    </w:p>
    <w:p w14:paraId="37D29C7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15CD91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补充、修改或者撤回方式可登陆“政采云”平台，进入“服务中心”中查看 “电子投标文件制作与投送教程”）</w:t>
      </w:r>
    </w:p>
    <w:p w14:paraId="1BD87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 在提交响应文件截止时间前，除供应商补充、修改或者撤回响应文件外，任何单位和个人不得解密或提取响应文件。</w:t>
      </w:r>
    </w:p>
    <w:p w14:paraId="03409DC2">
      <w:pPr>
        <w:spacing w:line="360" w:lineRule="auto"/>
        <w:ind w:firstLine="482" w:firstLineChars="200"/>
        <w:rPr>
          <w:rFonts w:ascii="宋体" w:hAnsi="宋体" w:cs="宋体"/>
          <w:b/>
          <w:bCs/>
          <w:color w:val="auto"/>
          <w:sz w:val="24"/>
          <w:highlight w:val="none"/>
        </w:rPr>
      </w:pPr>
      <w:bookmarkStart w:id="58" w:name="_Hlk45702405"/>
      <w:r>
        <w:rPr>
          <w:rFonts w:hint="eastAsia" w:ascii="宋体" w:hAnsi="宋体" w:cs="宋体"/>
          <w:b/>
          <w:bCs/>
          <w:color w:val="auto"/>
          <w:sz w:val="24"/>
          <w:highlight w:val="none"/>
        </w:rPr>
        <w:t>22. 首次响应文件的退回</w:t>
      </w:r>
    </w:p>
    <w:p w14:paraId="41E902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30AD8B0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744E32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58"/>
    <w:p w14:paraId="0E86E18A">
      <w:pPr>
        <w:spacing w:line="360" w:lineRule="auto"/>
        <w:rPr>
          <w:rFonts w:ascii="宋体" w:hAnsi="宋体" w:cs="宋体"/>
          <w:color w:val="auto"/>
          <w:szCs w:val="21"/>
          <w:highlight w:val="none"/>
        </w:rPr>
      </w:pPr>
    </w:p>
    <w:p w14:paraId="2C814EE4">
      <w:pPr>
        <w:spacing w:line="360" w:lineRule="auto"/>
        <w:ind w:left="420" w:firstLine="42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2D8916A3">
      <w:pPr>
        <w:spacing w:line="360" w:lineRule="auto"/>
        <w:ind w:left="420" w:firstLine="420"/>
        <w:rPr>
          <w:rFonts w:ascii="宋体" w:hAnsi="宋体" w:cs="宋体"/>
          <w:color w:val="auto"/>
          <w:szCs w:val="21"/>
          <w:highlight w:val="none"/>
        </w:rPr>
      </w:pPr>
    </w:p>
    <w:p w14:paraId="2F13380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689AAE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26FCE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6FC7B6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700AB7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采购代理机构将在“供应商须知前附表”规定的时间通过电子交易平台组织响应文件开启，供应商的法定代表人或其委托代理人须携带加密时所用的 CA 锁，按平台提示和磋商文件的规定登录到“政采云”平台电子开标大厅签到，采购代理机构依托“政采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14:paraId="3B02E53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0C18DE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26.1 本项目的评审方法为综合评分法。 </w:t>
      </w:r>
    </w:p>
    <w:p w14:paraId="7B2493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26.2 磋商小组按照“第四章 评审程序、评审方法和评审标准”规定的方法、评审因素、标准和程序对响应文件进行评审。 </w:t>
      </w:r>
    </w:p>
    <w:p w14:paraId="20846B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26.3 商务/技术要求允许负偏离的条款数详见“供应商须知前附表”。 </w:t>
      </w:r>
    </w:p>
    <w:p w14:paraId="17E022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14:paraId="16D98C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14:paraId="6736B1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035900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3BDA60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73FD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号）规定的中小企业扶持政策的，采购人、采购代理机构应当随成交结果公开成交供应商的《中小企业声明函》。</w:t>
      </w:r>
    </w:p>
    <w:p w14:paraId="10235D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 出现下列情形之一的，采购人或者采购代理机构应当终止竞争性磋商采购活动，发布项目终止公告并说明原因，重新开展采购活动：</w:t>
      </w:r>
    </w:p>
    <w:p w14:paraId="7B8023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0941D6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39E4EC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（3）除“第四章 评审程序、评审方法和评审标准”第 4.3 条规定的情形外，在采购过程中</w:t>
      </w:r>
    </w:p>
    <w:p w14:paraId="11D142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符合要求的供应商或者报价未超过采购预算的供应商不足 3 家的。</w:t>
      </w:r>
    </w:p>
    <w:p w14:paraId="4CB763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 在采购活动中因重大变故，采购任务取消的，采购人或者采购代理机构应当终止采购活</w:t>
      </w:r>
    </w:p>
    <w:p w14:paraId="728921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动，通知所有参加采购活动的供应商，并将项目实施情况和采购任务取消原因报送本级财政部门。</w:t>
      </w:r>
    </w:p>
    <w:p w14:paraId="21FC4D9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47B44F9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3F737DD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14:paraId="773EF6A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2E6534F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3AA1A5F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29.1成交供应商在收到成交通知书后，应当在签订合同时向采购人出示相关证明材料，具体内容详见 “供应商须知前附表”，经采购人核验合格后方可签订合同。</w:t>
      </w:r>
    </w:p>
    <w:p w14:paraId="3F445C9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w:t>
      </w:r>
    </w:p>
    <w:p w14:paraId="253B681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6532516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76308A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9BB08E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69948E3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2330E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60396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413FDEC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CF46CB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97E819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5039B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225DBB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4433EB5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ED9A0D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21AC32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0CF3A1C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598810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07890AE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FE961F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239A90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DDE5C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EA1FEB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D06B1B0">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5E0C89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2B7FBEB9">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32.1代理服务收费标准及缴费账户详见“供应商须知前附表”，供应商为联合体的，可以由联合体中的一方或者多方共同交纳代理服务费。</w:t>
      </w:r>
    </w:p>
    <w:p w14:paraId="3693ABEB">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32.2代理服务费收费计算标准：无须收取代理服务费。</w:t>
      </w:r>
    </w:p>
    <w:p w14:paraId="3A04291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4ACCE9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33.1本磋商文件解释规则详见“供应商须知前附表”。</w:t>
      </w:r>
    </w:p>
    <w:p w14:paraId="3A54C35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33.2 其他事项详见“供应商须知前附表”。</w:t>
      </w:r>
    </w:p>
    <w:p w14:paraId="49E426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33.3</w:t>
      </w:r>
      <w:r>
        <w:rPr>
          <w:rFonts w:hint="eastAsia" w:ascii="宋体" w:hAnsi="宋体" w:cs="宋体"/>
          <w:bCs/>
          <w:color w:val="auto"/>
          <w:highlight w:val="none"/>
        </w:rPr>
        <w:t>根据《民法典》第十二条“中华人民共和国领域内的民事活动，适用中华人民共和国法律。法律另有规定的，依照其规定。”规定，所有采购当事人的行为或其提供相关资料均应符合中华人民共和国法律的规定。</w:t>
      </w:r>
      <w:r>
        <w:rPr>
          <w:rFonts w:hint="eastAsia" w:ascii="宋体" w:hAnsi="宋体" w:cs="宋体"/>
          <w:b/>
          <w:color w:val="auto"/>
          <w:highlight w:val="none"/>
        </w:rPr>
        <w:br w:type="page"/>
      </w:r>
      <w:r>
        <w:rPr>
          <w:rFonts w:hint="eastAsia" w:ascii="宋体" w:hAnsi="宋体" w:cs="宋体"/>
          <w:bCs/>
          <w:color w:val="auto"/>
          <w:sz w:val="32"/>
          <w:szCs w:val="32"/>
          <w:highlight w:val="none"/>
        </w:rPr>
        <w:t>附件1：</w:t>
      </w:r>
    </w:p>
    <w:p w14:paraId="1C294A54">
      <w:pPr>
        <w:widowControl/>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663E00E9">
      <w:pPr>
        <w:widowControl/>
        <w:shd w:val="clear" w:color="auto" w:fill="FFFFFF"/>
        <w:spacing w:line="480" w:lineRule="atLeast"/>
        <w:jc w:val="center"/>
        <w:rPr>
          <w:rFonts w:ascii="宋体" w:hAnsi="宋体" w:cs="宋体"/>
          <w:color w:val="auto"/>
          <w:kern w:val="0"/>
          <w:sz w:val="32"/>
          <w:szCs w:val="32"/>
          <w:highlight w:val="none"/>
        </w:rPr>
      </w:pPr>
    </w:p>
    <w:p w14:paraId="0089806B">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6DB27417">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32FAC3C">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4FCA69EC">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委托验收</w:t>
            </w:r>
          </w:p>
        </w:tc>
      </w:tr>
      <w:tr w14:paraId="35B8C85B">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295DDCFB">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0BB301C4">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2E656405">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C67C5B6">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35CB310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5A3FDA9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B73DB44">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4484B61">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43AEA3C">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1207CDD">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C80F4F9">
            <w:pPr>
              <w:widowControl/>
              <w:spacing w:before="100" w:beforeAutospacing="1" w:after="100" w:afterAutospacing="1" w:line="240" w:lineRule="atLeast"/>
              <w:jc w:val="center"/>
              <w:rPr>
                <w:rFonts w:ascii="宋体" w:hAnsi="宋体" w:cs="宋体"/>
                <w:color w:val="auto"/>
                <w:kern w:val="0"/>
                <w:szCs w:val="21"/>
                <w:highlight w:val="none"/>
              </w:rPr>
            </w:pPr>
          </w:p>
        </w:tc>
      </w:tr>
      <w:tr w14:paraId="2078306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3A4FAA4">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B66CB46">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F7A7BC8">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68E5545">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1169C16">
            <w:pPr>
              <w:widowControl/>
              <w:spacing w:before="100" w:beforeAutospacing="1" w:after="100" w:afterAutospacing="1" w:line="240" w:lineRule="atLeast"/>
              <w:jc w:val="center"/>
              <w:rPr>
                <w:rFonts w:ascii="宋体" w:hAnsi="宋体" w:cs="宋体"/>
                <w:color w:val="auto"/>
                <w:kern w:val="0"/>
                <w:szCs w:val="21"/>
                <w:highlight w:val="none"/>
              </w:rPr>
            </w:pPr>
          </w:p>
        </w:tc>
      </w:tr>
      <w:tr w14:paraId="173C7E4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69C0B92">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4F330E39">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2E67D06">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E2E916F">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D69E918">
            <w:pPr>
              <w:widowControl/>
              <w:spacing w:before="100" w:beforeAutospacing="1" w:after="100" w:afterAutospacing="1" w:line="240" w:lineRule="atLeast"/>
              <w:jc w:val="center"/>
              <w:rPr>
                <w:rFonts w:ascii="宋体" w:hAnsi="宋体" w:cs="宋体"/>
                <w:color w:val="auto"/>
                <w:kern w:val="0"/>
                <w:szCs w:val="21"/>
                <w:highlight w:val="none"/>
              </w:rPr>
            </w:pPr>
          </w:p>
        </w:tc>
      </w:tr>
      <w:tr w14:paraId="38720D50">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9732473">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1B9790CD">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7353975">
            <w:pPr>
              <w:widowControl/>
              <w:spacing w:before="100" w:beforeAutospacing="1" w:after="100" w:afterAutospacing="1" w:line="240" w:lineRule="atLeast"/>
              <w:jc w:val="center"/>
              <w:rPr>
                <w:rFonts w:ascii="宋体" w:hAnsi="宋体" w:cs="宋体"/>
                <w:color w:val="auto"/>
                <w:kern w:val="0"/>
                <w:szCs w:val="21"/>
                <w:highlight w:val="none"/>
              </w:rPr>
            </w:pPr>
          </w:p>
        </w:tc>
      </w:tr>
      <w:tr w14:paraId="690DA39A">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7F6EE65">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495128DF">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76F2D37">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71EF8CDA">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649C43B3">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EBD1C12">
            <w:pPr>
              <w:widowControl/>
              <w:spacing w:before="100" w:beforeAutospacing="1" w:after="100" w:afterAutospacing="1" w:line="240" w:lineRule="atLeast"/>
              <w:jc w:val="center"/>
              <w:rPr>
                <w:rFonts w:ascii="宋体" w:hAnsi="宋体" w:cs="宋体"/>
                <w:color w:val="auto"/>
                <w:kern w:val="0"/>
                <w:szCs w:val="21"/>
                <w:highlight w:val="none"/>
              </w:rPr>
            </w:pPr>
          </w:p>
        </w:tc>
      </w:tr>
      <w:tr w14:paraId="232349CC">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994396">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066977B">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777ECBE9">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489009">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1C00362C">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5820F18C">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68093A69">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7F0925B7">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1EF6DB8A">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7C117792">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BB84FA">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639CBD83">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239C9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36077D41">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0068EA76">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2CB64C34">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0B9A7580">
            <w:pPr>
              <w:widowControl/>
              <w:spacing w:before="100" w:beforeAutospacing="1" w:after="100" w:afterAutospacing="1" w:line="320" w:lineRule="atLeast"/>
              <w:jc w:val="left"/>
              <w:rPr>
                <w:rFonts w:ascii="宋体" w:hAnsi="宋体" w:cs="宋体"/>
                <w:color w:val="auto"/>
                <w:kern w:val="0"/>
                <w:szCs w:val="21"/>
                <w:highlight w:val="none"/>
              </w:rPr>
            </w:pPr>
          </w:p>
          <w:p w14:paraId="5C3C72C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4C8A48A2">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63B2C125">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7515D44B">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1295F491">
      <w:pPr>
        <w:pStyle w:val="12"/>
        <w:rPr>
          <w:color w:val="auto"/>
          <w:highlight w:val="none"/>
        </w:rPr>
      </w:pPr>
      <w:r>
        <w:rPr>
          <w:rFonts w:hint="eastAsia"/>
          <w:color w:val="auto"/>
          <w:highlight w:val="none"/>
        </w:rPr>
        <w:br w:type="page"/>
      </w:r>
      <w:r>
        <w:rPr>
          <w:rFonts w:hint="eastAsia"/>
          <w:color w:val="auto"/>
          <w:highlight w:val="none"/>
        </w:rPr>
        <w:t>附件2：</w:t>
      </w:r>
    </w:p>
    <w:p w14:paraId="479F49E8">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14:paraId="6F28E267">
      <w:pPr>
        <w:jc w:val="center"/>
        <w:rPr>
          <w:rFonts w:ascii="宋体" w:hAnsi="宋体" w:cs="宋体"/>
          <w:color w:val="auto"/>
          <w:sz w:val="36"/>
          <w:szCs w:val="36"/>
          <w:highlight w:val="none"/>
        </w:rPr>
      </w:pPr>
    </w:p>
    <w:tbl>
      <w:tblPr>
        <w:tblStyle w:val="2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587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0A5B6B3A">
            <w:pPr>
              <w:jc w:val="center"/>
              <w:rPr>
                <w:rFonts w:ascii="宋体" w:hAnsi="宋体" w:cs="宋体"/>
                <w:color w:val="auto"/>
                <w:sz w:val="24"/>
                <w:highlight w:val="none"/>
              </w:rPr>
            </w:pPr>
            <w:r>
              <w:rPr>
                <w:rFonts w:hint="eastAsia" w:ascii="宋体" w:hAnsi="宋体" w:cs="宋体"/>
                <w:color w:val="auto"/>
                <w:sz w:val="24"/>
                <w:highlight w:val="none"/>
              </w:rPr>
              <w:t>供</w:t>
            </w:r>
          </w:p>
          <w:p w14:paraId="1807F0A0">
            <w:pPr>
              <w:jc w:val="center"/>
              <w:rPr>
                <w:rFonts w:ascii="宋体" w:hAnsi="宋体" w:cs="宋体"/>
                <w:color w:val="auto"/>
                <w:sz w:val="24"/>
                <w:highlight w:val="none"/>
              </w:rPr>
            </w:pPr>
            <w:r>
              <w:rPr>
                <w:rFonts w:hint="eastAsia" w:ascii="宋体" w:hAnsi="宋体" w:cs="宋体"/>
                <w:color w:val="auto"/>
                <w:sz w:val="24"/>
                <w:highlight w:val="none"/>
              </w:rPr>
              <w:t>应</w:t>
            </w:r>
          </w:p>
          <w:p w14:paraId="3C0CC1FE">
            <w:pPr>
              <w:jc w:val="center"/>
              <w:rPr>
                <w:rFonts w:ascii="宋体" w:hAnsi="宋体" w:cs="宋体"/>
                <w:color w:val="auto"/>
                <w:sz w:val="24"/>
                <w:highlight w:val="none"/>
              </w:rPr>
            </w:pPr>
            <w:r>
              <w:rPr>
                <w:rFonts w:hint="eastAsia" w:ascii="宋体" w:hAnsi="宋体" w:cs="宋体"/>
                <w:color w:val="auto"/>
                <w:sz w:val="24"/>
                <w:highlight w:val="none"/>
              </w:rPr>
              <w:t>商</w:t>
            </w:r>
          </w:p>
          <w:p w14:paraId="3414869C">
            <w:pPr>
              <w:jc w:val="center"/>
              <w:rPr>
                <w:rFonts w:ascii="宋体" w:hAnsi="宋体" w:cs="宋体"/>
                <w:color w:val="auto"/>
                <w:sz w:val="24"/>
                <w:highlight w:val="none"/>
              </w:rPr>
            </w:pPr>
            <w:r>
              <w:rPr>
                <w:rFonts w:hint="eastAsia" w:ascii="宋体" w:hAnsi="宋体" w:cs="宋体"/>
                <w:color w:val="auto"/>
                <w:sz w:val="24"/>
                <w:highlight w:val="none"/>
              </w:rPr>
              <w:t>申</w:t>
            </w:r>
          </w:p>
          <w:p w14:paraId="25B5DD0C">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009" w:type="dxa"/>
            <w:vAlign w:val="center"/>
          </w:tcPr>
          <w:p w14:paraId="78FE81DE">
            <w:pPr>
              <w:rPr>
                <w:rFonts w:ascii="宋体" w:hAnsi="宋体" w:cs="宋体"/>
                <w:color w:val="auto"/>
                <w:sz w:val="24"/>
                <w:highlight w:val="none"/>
              </w:rPr>
            </w:pPr>
            <w:r>
              <w:rPr>
                <w:rFonts w:hint="eastAsia" w:ascii="宋体" w:hAnsi="宋体" w:cs="宋体"/>
                <w:color w:val="auto"/>
                <w:sz w:val="24"/>
                <w:highlight w:val="none"/>
              </w:rPr>
              <w:t>项目编号：</w:t>
            </w:r>
          </w:p>
        </w:tc>
      </w:tr>
      <w:tr w14:paraId="13ED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6144C6E6">
            <w:pPr>
              <w:rPr>
                <w:rFonts w:ascii="宋体" w:hAnsi="宋体" w:cs="宋体"/>
                <w:color w:val="auto"/>
                <w:sz w:val="24"/>
                <w:highlight w:val="none"/>
              </w:rPr>
            </w:pPr>
          </w:p>
        </w:tc>
        <w:tc>
          <w:tcPr>
            <w:tcW w:w="8009" w:type="dxa"/>
            <w:vAlign w:val="center"/>
          </w:tcPr>
          <w:p w14:paraId="02B93F9F">
            <w:pPr>
              <w:rPr>
                <w:rFonts w:ascii="宋体" w:hAnsi="宋体" w:cs="宋体"/>
                <w:color w:val="auto"/>
                <w:sz w:val="24"/>
                <w:highlight w:val="none"/>
              </w:rPr>
            </w:pPr>
            <w:r>
              <w:rPr>
                <w:rFonts w:hint="eastAsia" w:ascii="宋体" w:hAnsi="宋体" w:cs="宋体"/>
                <w:color w:val="auto"/>
                <w:sz w:val="24"/>
                <w:highlight w:val="none"/>
              </w:rPr>
              <w:t>项目名称：</w:t>
            </w:r>
          </w:p>
        </w:tc>
      </w:tr>
      <w:tr w14:paraId="0DF3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1A0F979E">
            <w:pPr>
              <w:rPr>
                <w:rFonts w:ascii="宋体" w:hAnsi="宋体" w:cs="宋体"/>
                <w:color w:val="auto"/>
                <w:sz w:val="24"/>
                <w:highlight w:val="none"/>
              </w:rPr>
            </w:pPr>
          </w:p>
        </w:tc>
        <w:tc>
          <w:tcPr>
            <w:tcW w:w="8009" w:type="dxa"/>
          </w:tcPr>
          <w:p w14:paraId="5AEB9FDD">
            <w:pPr>
              <w:rPr>
                <w:rFonts w:ascii="宋体" w:hAnsi="宋体" w:cs="宋体"/>
                <w:color w:val="auto"/>
                <w:sz w:val="24"/>
                <w:highlight w:val="none"/>
              </w:rPr>
            </w:pPr>
          </w:p>
          <w:p w14:paraId="7042A255">
            <w:pPr>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该项目已于年月日验收并交付使用。根据合同规定，该项目的履约保证金期限于年月日已满，请将履约保证金</w:t>
            </w:r>
          </w:p>
          <w:p w14:paraId="7E945F0B">
            <w:pPr>
              <w:rPr>
                <w:rFonts w:ascii="宋体" w:hAnsi="宋体" w:cs="宋体"/>
                <w:color w:val="auto"/>
                <w:sz w:val="24"/>
                <w:highlight w:val="none"/>
              </w:rPr>
            </w:pPr>
            <w:r>
              <w:rPr>
                <w:rFonts w:hint="eastAsia" w:ascii="宋体" w:hAnsi="宋体" w:cs="宋体"/>
                <w:color w:val="auto"/>
                <w:sz w:val="24"/>
                <w:highlight w:val="none"/>
              </w:rPr>
              <w:t>（大写）¥（小写）退付到达以下帐户。</w:t>
            </w:r>
          </w:p>
          <w:p w14:paraId="235D70C2">
            <w:pPr>
              <w:rPr>
                <w:rFonts w:ascii="宋体" w:hAnsi="宋体" w:cs="宋体"/>
                <w:color w:val="auto"/>
                <w:sz w:val="24"/>
                <w:highlight w:val="none"/>
              </w:rPr>
            </w:pPr>
            <w:r>
              <w:rPr>
                <w:rFonts w:hint="eastAsia" w:ascii="宋体" w:hAnsi="宋体" w:cs="宋体"/>
                <w:color w:val="auto"/>
                <w:sz w:val="24"/>
                <w:highlight w:val="none"/>
              </w:rPr>
              <w:t>单位名称：</w:t>
            </w:r>
          </w:p>
          <w:p w14:paraId="45EE8025">
            <w:pPr>
              <w:rPr>
                <w:rFonts w:ascii="宋体" w:hAnsi="宋体" w:cs="宋体"/>
                <w:color w:val="auto"/>
                <w:sz w:val="24"/>
                <w:highlight w:val="none"/>
              </w:rPr>
            </w:pPr>
            <w:r>
              <w:rPr>
                <w:rFonts w:hint="eastAsia" w:ascii="宋体" w:hAnsi="宋体" w:cs="宋体"/>
                <w:color w:val="auto"/>
                <w:sz w:val="24"/>
                <w:highlight w:val="none"/>
              </w:rPr>
              <w:t>开户银行：</w:t>
            </w:r>
          </w:p>
          <w:p w14:paraId="73716B6D">
            <w:pPr>
              <w:rPr>
                <w:rFonts w:ascii="宋体" w:hAnsi="宋体" w:cs="宋体"/>
                <w:color w:val="auto"/>
                <w:sz w:val="24"/>
                <w:highlight w:val="none"/>
              </w:rPr>
            </w:pPr>
            <w:r>
              <w:rPr>
                <w:rFonts w:hint="eastAsia" w:ascii="宋体" w:hAnsi="宋体" w:cs="宋体"/>
                <w:color w:val="auto"/>
                <w:sz w:val="24"/>
                <w:highlight w:val="none"/>
              </w:rPr>
              <w:t>帐    号：</w:t>
            </w:r>
          </w:p>
          <w:p w14:paraId="044922A8">
            <w:pPr>
              <w:rPr>
                <w:rFonts w:ascii="宋体" w:hAnsi="宋体" w:cs="宋体"/>
                <w:color w:val="auto"/>
                <w:sz w:val="24"/>
                <w:highlight w:val="none"/>
              </w:rPr>
            </w:pPr>
            <w:r>
              <w:rPr>
                <w:rFonts w:hint="eastAsia" w:ascii="宋体" w:hAnsi="宋体" w:cs="宋体"/>
                <w:color w:val="auto"/>
                <w:sz w:val="24"/>
                <w:highlight w:val="none"/>
              </w:rPr>
              <w:t>联系人及电话：</w:t>
            </w:r>
          </w:p>
          <w:p w14:paraId="4B872EC9">
            <w:pPr>
              <w:rPr>
                <w:rFonts w:ascii="宋体" w:hAnsi="宋体" w:cs="宋体"/>
                <w:color w:val="auto"/>
                <w:sz w:val="24"/>
                <w:highlight w:val="none"/>
              </w:rPr>
            </w:pPr>
          </w:p>
          <w:p w14:paraId="606830DE">
            <w:pPr>
              <w:jc w:val="center"/>
              <w:rPr>
                <w:rFonts w:ascii="宋体" w:hAnsi="宋体" w:cs="宋体"/>
                <w:color w:val="auto"/>
                <w:sz w:val="24"/>
                <w:highlight w:val="none"/>
              </w:rPr>
            </w:pPr>
            <w:r>
              <w:rPr>
                <w:rFonts w:hint="eastAsia" w:ascii="宋体" w:hAnsi="宋体" w:cs="宋体"/>
                <w:color w:val="auto"/>
                <w:sz w:val="24"/>
                <w:highlight w:val="none"/>
              </w:rPr>
              <w:t xml:space="preserve">                           供应商签章：</w:t>
            </w:r>
          </w:p>
          <w:p w14:paraId="18682290">
            <w:pPr>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25F0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412C1485">
            <w:pPr>
              <w:jc w:val="center"/>
              <w:rPr>
                <w:rFonts w:ascii="宋体" w:hAnsi="宋体" w:cs="宋体"/>
                <w:color w:val="auto"/>
                <w:sz w:val="24"/>
                <w:highlight w:val="none"/>
              </w:rPr>
            </w:pPr>
            <w:r>
              <w:rPr>
                <w:rFonts w:hint="eastAsia" w:ascii="宋体" w:hAnsi="宋体" w:cs="宋体"/>
                <w:color w:val="auto"/>
                <w:sz w:val="24"/>
                <w:highlight w:val="none"/>
              </w:rPr>
              <w:t>采</w:t>
            </w:r>
          </w:p>
          <w:p w14:paraId="29122522">
            <w:pPr>
              <w:jc w:val="center"/>
              <w:rPr>
                <w:rFonts w:ascii="宋体" w:hAnsi="宋体" w:cs="宋体"/>
                <w:color w:val="auto"/>
                <w:sz w:val="24"/>
                <w:highlight w:val="none"/>
              </w:rPr>
            </w:pPr>
            <w:r>
              <w:rPr>
                <w:rFonts w:hint="eastAsia" w:ascii="宋体" w:hAnsi="宋体" w:cs="宋体"/>
                <w:color w:val="auto"/>
                <w:sz w:val="24"/>
                <w:highlight w:val="none"/>
              </w:rPr>
              <w:t>购</w:t>
            </w:r>
          </w:p>
          <w:p w14:paraId="3B5154B1">
            <w:pPr>
              <w:jc w:val="center"/>
              <w:rPr>
                <w:rFonts w:ascii="宋体" w:hAnsi="宋体" w:cs="宋体"/>
                <w:color w:val="auto"/>
                <w:sz w:val="24"/>
                <w:highlight w:val="none"/>
              </w:rPr>
            </w:pPr>
            <w:r>
              <w:rPr>
                <w:rFonts w:hint="eastAsia" w:ascii="宋体" w:hAnsi="宋体" w:cs="宋体"/>
                <w:color w:val="auto"/>
                <w:sz w:val="24"/>
                <w:highlight w:val="none"/>
              </w:rPr>
              <w:t>单</w:t>
            </w:r>
          </w:p>
          <w:p w14:paraId="4FF754C9">
            <w:pPr>
              <w:jc w:val="center"/>
              <w:rPr>
                <w:rFonts w:ascii="宋体" w:hAnsi="宋体" w:cs="宋体"/>
                <w:color w:val="auto"/>
                <w:sz w:val="24"/>
                <w:highlight w:val="none"/>
              </w:rPr>
            </w:pPr>
            <w:r>
              <w:rPr>
                <w:rFonts w:hint="eastAsia" w:ascii="宋体" w:hAnsi="宋体" w:cs="宋体"/>
                <w:color w:val="auto"/>
                <w:sz w:val="24"/>
                <w:highlight w:val="none"/>
              </w:rPr>
              <w:t>位</w:t>
            </w:r>
          </w:p>
          <w:p w14:paraId="0FE403BB">
            <w:pPr>
              <w:jc w:val="center"/>
              <w:rPr>
                <w:rFonts w:ascii="宋体" w:hAnsi="宋体" w:cs="宋体"/>
                <w:color w:val="auto"/>
                <w:sz w:val="24"/>
                <w:highlight w:val="none"/>
              </w:rPr>
            </w:pPr>
            <w:r>
              <w:rPr>
                <w:rFonts w:hint="eastAsia" w:ascii="宋体" w:hAnsi="宋体" w:cs="宋体"/>
                <w:color w:val="auto"/>
                <w:sz w:val="24"/>
                <w:highlight w:val="none"/>
              </w:rPr>
              <w:t>意</w:t>
            </w:r>
          </w:p>
          <w:p w14:paraId="2630C644">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009" w:type="dxa"/>
          </w:tcPr>
          <w:p w14:paraId="37110C50">
            <w:pPr>
              <w:rPr>
                <w:rFonts w:ascii="宋体" w:hAnsi="宋体" w:cs="宋体"/>
                <w:color w:val="auto"/>
                <w:sz w:val="24"/>
                <w:highlight w:val="none"/>
              </w:rPr>
            </w:pPr>
          </w:p>
          <w:p w14:paraId="36E89EB2">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7F340C15">
            <w:pPr>
              <w:rPr>
                <w:rFonts w:ascii="宋体" w:hAnsi="宋体" w:cs="宋体"/>
                <w:color w:val="auto"/>
                <w:sz w:val="24"/>
                <w:highlight w:val="none"/>
              </w:rPr>
            </w:pPr>
          </w:p>
          <w:p w14:paraId="3F09AC60">
            <w:pPr>
              <w:rPr>
                <w:rFonts w:ascii="宋体" w:hAnsi="宋体" w:cs="宋体"/>
                <w:color w:val="auto"/>
                <w:sz w:val="24"/>
                <w:highlight w:val="none"/>
              </w:rPr>
            </w:pPr>
          </w:p>
          <w:p w14:paraId="34DB92B7">
            <w:pPr>
              <w:rPr>
                <w:rFonts w:ascii="宋体" w:hAnsi="宋体" w:cs="宋体"/>
                <w:color w:val="auto"/>
                <w:sz w:val="24"/>
                <w:highlight w:val="none"/>
              </w:rPr>
            </w:pPr>
            <w:r>
              <w:rPr>
                <w:rFonts w:hint="eastAsia" w:ascii="宋体" w:hAnsi="宋体" w:cs="宋体"/>
                <w:color w:val="auto"/>
                <w:sz w:val="24"/>
                <w:highlight w:val="none"/>
              </w:rPr>
              <w:t xml:space="preserve">联系人及电话：                                </w:t>
            </w:r>
          </w:p>
          <w:p w14:paraId="07C62219">
            <w:pPr>
              <w:rPr>
                <w:rFonts w:ascii="宋体" w:hAnsi="宋体" w:cs="宋体"/>
                <w:color w:val="auto"/>
                <w:sz w:val="24"/>
                <w:highlight w:val="none"/>
              </w:rPr>
            </w:pPr>
          </w:p>
          <w:p w14:paraId="7D625FC2">
            <w:pPr>
              <w:ind w:firstLine="4560" w:firstLineChars="1900"/>
              <w:rPr>
                <w:rFonts w:ascii="宋体" w:hAnsi="宋体" w:cs="宋体"/>
                <w:color w:val="auto"/>
                <w:sz w:val="24"/>
                <w:highlight w:val="none"/>
              </w:rPr>
            </w:pPr>
            <w:r>
              <w:rPr>
                <w:rFonts w:hint="eastAsia" w:ascii="宋体" w:hAnsi="宋体" w:cs="宋体"/>
                <w:color w:val="auto"/>
                <w:sz w:val="24"/>
                <w:highlight w:val="none"/>
              </w:rPr>
              <w:t xml:space="preserve"> 采购人签章：</w:t>
            </w:r>
          </w:p>
          <w:p w14:paraId="3054E709">
            <w:pPr>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08F4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54FA3527">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009" w:type="dxa"/>
          </w:tcPr>
          <w:p w14:paraId="7E8FB10B">
            <w:pPr>
              <w:rPr>
                <w:rFonts w:ascii="宋体" w:hAnsi="宋体" w:cs="宋体"/>
                <w:color w:val="auto"/>
                <w:sz w:val="24"/>
                <w:highlight w:val="none"/>
              </w:rPr>
            </w:pPr>
          </w:p>
        </w:tc>
      </w:tr>
    </w:tbl>
    <w:p w14:paraId="28922EB4">
      <w:pPr>
        <w:pStyle w:val="11"/>
        <w:ind w:left="1" w:firstLine="2" w:firstLineChars="1"/>
        <w:rPr>
          <w:rFonts w:ascii="宋体" w:hAnsi="宋体" w:cs="宋体"/>
          <w:b/>
          <w:bCs/>
          <w:color w:val="auto"/>
          <w:sz w:val="18"/>
          <w:szCs w:val="18"/>
          <w:highlight w:val="none"/>
        </w:rPr>
      </w:pPr>
      <w:r>
        <w:rPr>
          <w:rFonts w:hint="eastAsia" w:ascii="宋体" w:hAnsi="宋体" w:cs="宋体"/>
          <w:b/>
          <w:bCs/>
          <w:color w:val="auto"/>
          <w:sz w:val="18"/>
          <w:szCs w:val="18"/>
          <w:highlight w:val="none"/>
        </w:rPr>
        <w:t>注：供应商凭经采购人审批的退付意见书到履约保证金收取单位财务部门办理履约保证金退付事宜。</w:t>
      </w:r>
    </w:p>
    <w:p w14:paraId="44887C88">
      <w:pPr>
        <w:pStyle w:val="12"/>
        <w:rPr>
          <w:color w:val="auto"/>
          <w:highlight w:val="none"/>
        </w:rPr>
      </w:pPr>
    </w:p>
    <w:p w14:paraId="697CED84">
      <w:pPr>
        <w:jc w:val="left"/>
        <w:rPr>
          <w:rFonts w:ascii="宋体" w:hAnsi="宋体" w:cs="宋体"/>
          <w:b/>
          <w:color w:val="auto"/>
          <w:sz w:val="32"/>
          <w:szCs w:val="32"/>
          <w:highlight w:val="none"/>
        </w:rPr>
      </w:pPr>
    </w:p>
    <w:p w14:paraId="2182C4A5">
      <w:pPr>
        <w:pStyle w:val="3"/>
        <w:numPr>
          <w:ilvl w:val="0"/>
          <w:numId w:val="2"/>
        </w:numPr>
        <w:jc w:val="center"/>
        <w:rPr>
          <w:rFonts w:ascii="宋体" w:hAnsi="宋体" w:cs="宋体"/>
          <w:color w:val="auto"/>
          <w:highlight w:val="none"/>
        </w:rPr>
      </w:pPr>
      <w:bookmarkStart w:id="59" w:name="_Toc44229895"/>
      <w:r>
        <w:rPr>
          <w:rFonts w:hint="eastAsia" w:ascii="宋体" w:hAnsi="宋体" w:cs="宋体"/>
          <w:color w:val="auto"/>
          <w:highlight w:val="none"/>
        </w:rPr>
        <w:t>采购需求</w:t>
      </w:r>
      <w:bookmarkEnd w:id="59"/>
    </w:p>
    <w:tbl>
      <w:tblPr>
        <w:tblStyle w:val="21"/>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243"/>
        <w:gridCol w:w="33"/>
        <w:gridCol w:w="850"/>
        <w:gridCol w:w="851"/>
        <w:gridCol w:w="5156"/>
      </w:tblGrid>
      <w:tr w14:paraId="7E761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vAlign w:val="center"/>
          </w:tcPr>
          <w:p w14:paraId="5AF7D464">
            <w:pPr>
              <w:tabs>
                <w:tab w:val="left" w:pos="180"/>
                <w:tab w:val="left" w:pos="1620"/>
              </w:tabs>
              <w:spacing w:line="360" w:lineRule="exact"/>
              <w:jc w:val="center"/>
              <w:rPr>
                <w:rFonts w:ascii="宋体" w:hAnsi="宋体" w:cs="宋体"/>
                <w:color w:val="auto"/>
                <w:szCs w:val="21"/>
                <w:highlight w:val="none"/>
              </w:rPr>
            </w:pPr>
            <w:bookmarkStart w:id="60" w:name="_Toc254970548"/>
            <w:bookmarkStart w:id="61" w:name="_Toc74323514"/>
            <w:bookmarkStart w:id="62" w:name="_Toc330456896"/>
            <w:bookmarkStart w:id="63" w:name="_Toc254970689"/>
            <w:r>
              <w:rPr>
                <w:rFonts w:hint="eastAsia" w:ascii="宋体" w:hAnsi="宋体" w:cs="宋体"/>
                <w:color w:val="auto"/>
                <w:szCs w:val="21"/>
                <w:highlight w:val="none"/>
              </w:rPr>
              <w:t>序号</w:t>
            </w:r>
          </w:p>
        </w:tc>
        <w:tc>
          <w:tcPr>
            <w:tcW w:w="1276" w:type="dxa"/>
            <w:gridSpan w:val="2"/>
            <w:vAlign w:val="center"/>
          </w:tcPr>
          <w:p w14:paraId="2E0629D0">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50" w:type="dxa"/>
            <w:vAlign w:val="center"/>
          </w:tcPr>
          <w:p w14:paraId="5D8FF3E7">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851" w:type="dxa"/>
            <w:vAlign w:val="center"/>
          </w:tcPr>
          <w:p w14:paraId="41EF7722">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1EF494AC">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156" w:type="dxa"/>
            <w:vAlign w:val="center"/>
          </w:tcPr>
          <w:p w14:paraId="04CCFF98">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51A16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21F88C30">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6" w:type="dxa"/>
            <w:gridSpan w:val="2"/>
            <w:vAlign w:val="center"/>
          </w:tcPr>
          <w:p w14:paraId="1DC5C00E">
            <w:pPr>
              <w:widowControl/>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梧州市流域面积50km²以下河道管理范围成果再复核调整工作服务采购</w:t>
            </w:r>
          </w:p>
        </w:tc>
        <w:tc>
          <w:tcPr>
            <w:tcW w:w="850" w:type="dxa"/>
            <w:vAlign w:val="center"/>
          </w:tcPr>
          <w:p w14:paraId="41523A7D">
            <w:pPr>
              <w:spacing w:line="360" w:lineRule="exact"/>
              <w:jc w:val="center"/>
              <w:rPr>
                <w:rFonts w:ascii="宋体" w:hAnsi="宋体" w:cs="宋体"/>
                <w:color w:val="auto"/>
                <w:highlight w:val="none"/>
              </w:rPr>
            </w:pPr>
            <w:r>
              <w:rPr>
                <w:rFonts w:hint="eastAsia" w:ascii="宋体" w:hAnsi="宋体" w:cs="宋体"/>
                <w:color w:val="auto"/>
                <w:highlight w:val="none"/>
              </w:rPr>
              <w:t>1项</w:t>
            </w:r>
          </w:p>
        </w:tc>
        <w:tc>
          <w:tcPr>
            <w:tcW w:w="851" w:type="dxa"/>
            <w:vAlign w:val="center"/>
          </w:tcPr>
          <w:p w14:paraId="5D4164A9">
            <w:pPr>
              <w:tabs>
                <w:tab w:val="left" w:pos="180"/>
                <w:tab w:val="left" w:pos="1620"/>
              </w:tabs>
              <w:spacing w:line="360" w:lineRule="exact"/>
              <w:jc w:val="center"/>
              <w:rPr>
                <w:rFonts w:ascii="宋体" w:hAnsi="宋体" w:cs="宋体"/>
                <w:color w:val="auto"/>
                <w:szCs w:val="21"/>
                <w:highlight w:val="none"/>
              </w:rPr>
            </w:pPr>
            <w:r>
              <w:rPr>
                <w:rFonts w:ascii="宋体" w:hAnsi="宋体" w:cs="宋体"/>
                <w:color w:val="auto"/>
                <w:szCs w:val="21"/>
                <w:highlight w:val="none"/>
              </w:rPr>
              <w:t>其他水利管理服务</w:t>
            </w:r>
          </w:p>
        </w:tc>
        <w:tc>
          <w:tcPr>
            <w:tcW w:w="5156" w:type="dxa"/>
            <w:vAlign w:val="center"/>
          </w:tcPr>
          <w:p w14:paraId="153FD566">
            <w:pPr>
              <w:widowControl/>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一、项目背景</w:t>
            </w:r>
          </w:p>
          <w:p w14:paraId="4D93460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河湖管理范围线划定是河湖管理的基础性工作，是全面推行河长制湖长制的重要工作内容，也是作为推动河长制湖长制从“有名”向“有实”到“有能”转变的重要抓手。根据《水利部关于开展河湖管理范围和水利工程管理与保护范围划定工作的通知》（水建管[2014]285号）、《水利部关于加快推进河湖管理范围划定工作的通知》（水河湖[2018]314号）等要求，河湖管理范围划定工作必须在2020年前基本完成。</w:t>
            </w:r>
          </w:p>
          <w:p w14:paraId="4A16ABE1">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按照水利部相关工作部署、区水利厅具体工作要求，梧州市已完成了全市河湖管理范围成果划定工作。为深入贯彻落实党中央、国务院和自治区党委、自治区人民政府决策部署，强化落实河湖长制。2024年4月，广西壮族自治区河长制办公室印发了《2024年全区河湖长制工作要点》（以下简称《工作要点》）。《工作要点》要求全面完成流域面积50平方公里以下河流划界成果再复核工作，依法依规纠正发现的河道管理范围划定问题，夯实河湖长制基础。2024年9月，广西壮族自治区河长制办公室印发了《关于做好水利普查名录外河道管理范围划定成果上图报送工作的通知》，要求广西各市认真梳理河道管理范围划定成果，结合河湖管理实际需求，进一步认真复核划界成果合规性、合理性、真实性，在不降低设计洪水标准、不缩窄河道管理范围、不避让建筑物、不偏离河道位置的原则上，对存在“划错”、“漏划”等情况的河道管理范围划定成果进行修改完善，修改完善后成果应由县级以上人民政府向社会公告或批复。</w:t>
            </w:r>
          </w:p>
          <w:p w14:paraId="69FF2549">
            <w:pPr>
              <w:widowControl/>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二、项目介绍</w:t>
            </w:r>
          </w:p>
          <w:p w14:paraId="0ADA24D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2024年全区河湖长制工作要点》，对梧州市296条50平方公里以下河道管理范围在再复核。具体包括：按照相关法律法规和技术规范对复核后的成果调整、编制河道管理范围复核调整成果报告、制作复核调整后的河道管理范围矢量文件、填报相关系统和协助履行成果的政府公告等。</w:t>
            </w:r>
          </w:p>
        </w:tc>
      </w:tr>
      <w:tr w14:paraId="0B05D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tcPr>
          <w:p w14:paraId="3695A3E4">
            <w:pPr>
              <w:spacing w:line="360" w:lineRule="exact"/>
              <w:rPr>
                <w:rFonts w:ascii="宋体" w:hAnsi="宋体" w:cs="宋体"/>
                <w:color w:val="auto"/>
                <w:szCs w:val="21"/>
                <w:highlight w:val="none"/>
              </w:rPr>
            </w:pPr>
            <w:r>
              <w:rPr>
                <w:rFonts w:hint="eastAsia" w:ascii="宋体" w:hAnsi="宋体" w:cs="宋体"/>
                <w:b/>
                <w:color w:val="auto"/>
                <w:szCs w:val="21"/>
                <w:highlight w:val="none"/>
              </w:rPr>
              <w:t>一、商务要求</w:t>
            </w:r>
          </w:p>
        </w:tc>
      </w:tr>
      <w:tr w14:paraId="4BE86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8" w:type="dxa"/>
            <w:gridSpan w:val="3"/>
            <w:tcBorders>
              <w:top w:val="single" w:color="auto" w:sz="4" w:space="0"/>
              <w:left w:val="single" w:color="auto" w:sz="4" w:space="0"/>
              <w:bottom w:val="single" w:color="auto" w:sz="4" w:space="0"/>
              <w:right w:val="single" w:color="auto" w:sz="4" w:space="0"/>
            </w:tcBorders>
            <w:vAlign w:val="center"/>
          </w:tcPr>
          <w:p w14:paraId="0D6659DC">
            <w:pPr>
              <w:spacing w:line="360" w:lineRule="exact"/>
              <w:rPr>
                <w:rFonts w:ascii="宋体" w:hAnsi="宋体" w:cs="宋体"/>
                <w:color w:val="auto"/>
                <w:szCs w:val="21"/>
                <w:highlight w:val="none"/>
              </w:rPr>
            </w:pPr>
            <w:r>
              <w:rPr>
                <w:rFonts w:hint="eastAsia" w:ascii="宋体" w:hAnsi="宋体" w:cs="宋体"/>
                <w:color w:val="auto"/>
                <w:szCs w:val="21"/>
                <w:highlight w:val="none"/>
              </w:rPr>
              <w:t>合同签订期</w:t>
            </w:r>
          </w:p>
        </w:tc>
        <w:tc>
          <w:tcPr>
            <w:tcW w:w="6857" w:type="dxa"/>
            <w:gridSpan w:val="3"/>
            <w:tcBorders>
              <w:top w:val="single" w:color="auto" w:sz="4" w:space="0"/>
              <w:left w:val="single" w:color="auto" w:sz="4" w:space="0"/>
              <w:bottom w:val="single" w:color="auto" w:sz="4" w:space="0"/>
              <w:right w:val="single" w:color="auto" w:sz="4" w:space="0"/>
            </w:tcBorders>
            <w:vAlign w:val="center"/>
          </w:tcPr>
          <w:p w14:paraId="487818D0">
            <w:pPr>
              <w:spacing w:line="360" w:lineRule="exact"/>
              <w:rPr>
                <w:rFonts w:ascii="宋体" w:hAnsi="宋体" w:cs="宋体"/>
                <w:color w:val="auto"/>
                <w:szCs w:val="21"/>
                <w:highlight w:val="none"/>
              </w:rPr>
            </w:pPr>
            <w:r>
              <w:rPr>
                <w:rFonts w:hint="eastAsia" w:ascii="宋体" w:hAnsi="宋体" w:cs="宋体"/>
                <w:color w:val="auto"/>
                <w:szCs w:val="21"/>
                <w:highlight w:val="none"/>
              </w:rPr>
              <w:t>自成交通知书发出之日起25日内。</w:t>
            </w:r>
          </w:p>
        </w:tc>
      </w:tr>
      <w:tr w14:paraId="004D9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8" w:type="dxa"/>
            <w:gridSpan w:val="3"/>
            <w:tcBorders>
              <w:top w:val="single" w:color="auto" w:sz="4" w:space="0"/>
              <w:left w:val="single" w:color="auto" w:sz="4" w:space="0"/>
              <w:bottom w:val="single" w:color="auto" w:sz="4" w:space="0"/>
              <w:right w:val="single" w:color="auto" w:sz="4" w:space="0"/>
            </w:tcBorders>
            <w:vAlign w:val="center"/>
          </w:tcPr>
          <w:p w14:paraId="70D161B2">
            <w:pPr>
              <w:spacing w:line="360" w:lineRule="exact"/>
              <w:rPr>
                <w:rFonts w:ascii="宋体" w:hAnsi="宋体" w:cs="宋体"/>
                <w:color w:val="auto"/>
                <w:szCs w:val="21"/>
                <w:highlight w:val="none"/>
              </w:rPr>
            </w:pPr>
            <w:r>
              <w:rPr>
                <w:rFonts w:hint="eastAsia" w:ascii="宋体" w:hAnsi="宋体" w:cs="宋体"/>
                <w:color w:val="auto"/>
                <w:szCs w:val="21"/>
                <w:highlight w:val="none"/>
              </w:rPr>
              <w:t>成果提交时间</w:t>
            </w:r>
          </w:p>
        </w:tc>
        <w:tc>
          <w:tcPr>
            <w:tcW w:w="6857" w:type="dxa"/>
            <w:gridSpan w:val="3"/>
            <w:tcBorders>
              <w:top w:val="single" w:color="auto" w:sz="4" w:space="0"/>
              <w:left w:val="single" w:color="auto" w:sz="4" w:space="0"/>
              <w:bottom w:val="single" w:color="auto" w:sz="4" w:space="0"/>
              <w:right w:val="single" w:color="auto" w:sz="4" w:space="0"/>
            </w:tcBorders>
            <w:vAlign w:val="center"/>
          </w:tcPr>
          <w:p w14:paraId="2B1316C4">
            <w:pPr>
              <w:spacing w:line="360" w:lineRule="exact"/>
              <w:rPr>
                <w:rFonts w:ascii="宋体" w:hAnsi="宋体" w:cs="宋体"/>
                <w:color w:val="auto"/>
                <w:szCs w:val="21"/>
                <w:highlight w:val="none"/>
              </w:rPr>
            </w:pPr>
            <w:r>
              <w:rPr>
                <w:rFonts w:hint="eastAsia" w:ascii="宋体" w:hAnsi="宋体" w:cs="宋体"/>
                <w:color w:val="auto"/>
                <w:szCs w:val="21"/>
                <w:highlight w:val="none"/>
              </w:rPr>
              <w:t>2025年1月31日前</w:t>
            </w:r>
          </w:p>
        </w:tc>
      </w:tr>
      <w:tr w14:paraId="2875E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8" w:type="dxa"/>
            <w:gridSpan w:val="3"/>
            <w:tcBorders>
              <w:top w:val="single" w:color="auto" w:sz="4" w:space="0"/>
              <w:left w:val="single" w:color="auto" w:sz="4" w:space="0"/>
              <w:bottom w:val="single" w:color="auto" w:sz="4" w:space="0"/>
              <w:right w:val="single" w:color="auto" w:sz="4" w:space="0"/>
            </w:tcBorders>
            <w:vAlign w:val="center"/>
          </w:tcPr>
          <w:p w14:paraId="4FA88450">
            <w:pPr>
              <w:spacing w:line="360" w:lineRule="exact"/>
              <w:rPr>
                <w:rFonts w:ascii="宋体" w:hAnsi="宋体" w:cs="宋体"/>
                <w:color w:val="auto"/>
                <w:szCs w:val="21"/>
                <w:highlight w:val="none"/>
              </w:rPr>
            </w:pPr>
            <w:r>
              <w:rPr>
                <w:rFonts w:hint="eastAsia" w:ascii="宋体" w:hAnsi="宋体" w:cs="宋体"/>
                <w:color w:val="auto"/>
                <w:szCs w:val="21"/>
                <w:highlight w:val="none"/>
              </w:rPr>
              <w:t>服务期限及地点</w:t>
            </w:r>
          </w:p>
        </w:tc>
        <w:tc>
          <w:tcPr>
            <w:tcW w:w="6857" w:type="dxa"/>
            <w:gridSpan w:val="3"/>
            <w:tcBorders>
              <w:top w:val="single" w:color="auto" w:sz="4" w:space="0"/>
              <w:left w:val="single" w:color="auto" w:sz="4" w:space="0"/>
              <w:bottom w:val="single" w:color="auto" w:sz="4" w:space="0"/>
              <w:right w:val="single" w:color="auto" w:sz="4" w:space="0"/>
            </w:tcBorders>
            <w:vAlign w:val="center"/>
          </w:tcPr>
          <w:p w14:paraId="614BBB07">
            <w:pPr>
              <w:spacing w:line="360" w:lineRule="exact"/>
              <w:rPr>
                <w:rFonts w:ascii="宋体" w:hAnsi="宋体" w:cs="宋体"/>
                <w:color w:val="auto"/>
                <w:szCs w:val="21"/>
                <w:highlight w:val="none"/>
              </w:rPr>
            </w:pPr>
            <w:r>
              <w:rPr>
                <w:rFonts w:hint="eastAsia" w:ascii="宋体" w:hAnsi="宋体" w:cs="宋体"/>
                <w:color w:val="auto"/>
                <w:szCs w:val="21"/>
                <w:highlight w:val="none"/>
              </w:rPr>
              <w:t>1.服务期：</w:t>
            </w:r>
            <w:r>
              <w:rPr>
                <w:rFonts w:hint="eastAsia"/>
                <w:color w:val="auto"/>
                <w:highlight w:val="none"/>
              </w:rPr>
              <w:t>自合同签订之日起至项目成果通过广西水利厅 审查之日止，但最长不超过2025年12月 31日</w:t>
            </w:r>
            <w:r>
              <w:rPr>
                <w:rFonts w:hint="eastAsia" w:ascii="宋体" w:hAnsi="宋体" w:cs="宋体"/>
                <w:color w:val="auto"/>
                <w:szCs w:val="21"/>
                <w:highlight w:val="none"/>
              </w:rPr>
              <w:t>。</w:t>
            </w:r>
          </w:p>
          <w:p w14:paraId="0F821999">
            <w:pPr>
              <w:spacing w:line="360" w:lineRule="exact"/>
              <w:rPr>
                <w:rFonts w:ascii="宋体" w:hAnsi="宋体" w:cs="宋体"/>
                <w:color w:val="auto"/>
                <w:szCs w:val="21"/>
                <w:highlight w:val="none"/>
              </w:rPr>
            </w:pPr>
            <w:r>
              <w:rPr>
                <w:rFonts w:hint="eastAsia" w:ascii="宋体" w:hAnsi="宋体" w:cs="宋体"/>
                <w:color w:val="auto"/>
                <w:szCs w:val="21"/>
                <w:highlight w:val="none"/>
              </w:rPr>
              <w:t>2.服务地点：采购人指定地点。</w:t>
            </w:r>
          </w:p>
        </w:tc>
      </w:tr>
      <w:tr w14:paraId="457B7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8" w:type="dxa"/>
            <w:gridSpan w:val="3"/>
            <w:tcBorders>
              <w:top w:val="single" w:color="auto" w:sz="4" w:space="0"/>
              <w:left w:val="single" w:color="auto" w:sz="4" w:space="0"/>
              <w:bottom w:val="single" w:color="auto" w:sz="4" w:space="0"/>
              <w:right w:val="single" w:color="auto" w:sz="4" w:space="0"/>
            </w:tcBorders>
            <w:vAlign w:val="center"/>
          </w:tcPr>
          <w:p w14:paraId="61660866">
            <w:pPr>
              <w:spacing w:line="360" w:lineRule="exact"/>
              <w:rPr>
                <w:rFonts w:ascii="宋体" w:hAnsi="宋体" w:cs="宋体"/>
                <w:color w:val="auto"/>
                <w:szCs w:val="21"/>
                <w:highlight w:val="none"/>
              </w:rPr>
            </w:pPr>
            <w:r>
              <w:rPr>
                <w:rFonts w:hint="eastAsia" w:ascii="宋体" w:hAnsi="宋体" w:cs="宋体"/>
                <w:color w:val="auto"/>
                <w:szCs w:val="21"/>
                <w:highlight w:val="none"/>
              </w:rPr>
              <w:t>售后服务要求</w:t>
            </w:r>
          </w:p>
        </w:tc>
        <w:tc>
          <w:tcPr>
            <w:tcW w:w="6857" w:type="dxa"/>
            <w:gridSpan w:val="3"/>
            <w:tcBorders>
              <w:top w:val="single" w:color="auto" w:sz="4" w:space="0"/>
              <w:left w:val="single" w:color="auto" w:sz="4" w:space="0"/>
              <w:bottom w:val="single" w:color="auto" w:sz="4" w:space="0"/>
              <w:right w:val="single" w:color="auto" w:sz="4" w:space="0"/>
            </w:tcBorders>
            <w:vAlign w:val="center"/>
          </w:tcPr>
          <w:p w14:paraId="6E01AE0E">
            <w:pPr>
              <w:spacing w:line="360" w:lineRule="exact"/>
              <w:rPr>
                <w:rFonts w:ascii="宋体" w:hAnsi="宋体" w:cs="宋体"/>
                <w:color w:val="auto"/>
                <w:szCs w:val="21"/>
                <w:highlight w:val="none"/>
              </w:rPr>
            </w:pPr>
            <w:r>
              <w:rPr>
                <w:rFonts w:hint="eastAsia" w:ascii="宋体" w:hAnsi="宋体" w:cs="宋体"/>
                <w:color w:val="auto"/>
                <w:szCs w:val="21"/>
                <w:highlight w:val="none"/>
              </w:rPr>
              <w:t>处理问题响应时间：接到采购人处理问题通知后 4小时内到达采购人指定现场。</w:t>
            </w:r>
          </w:p>
        </w:tc>
      </w:tr>
      <w:tr w14:paraId="265A3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8" w:type="dxa"/>
            <w:gridSpan w:val="3"/>
            <w:tcBorders>
              <w:top w:val="single" w:color="auto" w:sz="4" w:space="0"/>
              <w:left w:val="single" w:color="auto" w:sz="4" w:space="0"/>
              <w:bottom w:val="single" w:color="auto" w:sz="4" w:space="0"/>
              <w:right w:val="single" w:color="auto" w:sz="4" w:space="0"/>
            </w:tcBorders>
            <w:vAlign w:val="center"/>
          </w:tcPr>
          <w:p w14:paraId="326C7956">
            <w:pPr>
              <w:spacing w:line="360" w:lineRule="exact"/>
              <w:rPr>
                <w:rFonts w:ascii="宋体" w:hAnsi="宋体" w:cs="宋体"/>
                <w:color w:val="auto"/>
                <w:szCs w:val="21"/>
                <w:highlight w:val="none"/>
              </w:rPr>
            </w:pPr>
            <w:r>
              <w:rPr>
                <w:rFonts w:hint="eastAsia" w:ascii="宋体" w:hAnsi="宋体" w:cs="宋体"/>
                <w:color w:val="auto"/>
                <w:szCs w:val="21"/>
                <w:highlight w:val="none"/>
              </w:rPr>
              <w:t>付款方式</w:t>
            </w:r>
          </w:p>
        </w:tc>
        <w:tc>
          <w:tcPr>
            <w:tcW w:w="6857" w:type="dxa"/>
            <w:gridSpan w:val="3"/>
            <w:tcBorders>
              <w:top w:val="single" w:color="auto" w:sz="4" w:space="0"/>
              <w:left w:val="single" w:color="auto" w:sz="4" w:space="0"/>
              <w:bottom w:val="single" w:color="auto" w:sz="4" w:space="0"/>
              <w:right w:val="single" w:color="auto" w:sz="4" w:space="0"/>
            </w:tcBorders>
            <w:vAlign w:val="center"/>
          </w:tcPr>
          <w:p w14:paraId="1D0E6D87">
            <w:pPr>
              <w:snapToGrid w:val="0"/>
              <w:spacing w:line="400" w:lineRule="atLeast"/>
              <w:rPr>
                <w:rFonts w:ascii="宋体" w:hAnsi="宋体" w:cs="宋体"/>
                <w:color w:val="auto"/>
                <w:szCs w:val="21"/>
                <w:highlight w:val="none"/>
              </w:rPr>
            </w:pPr>
            <w:r>
              <w:rPr>
                <w:rFonts w:hint="eastAsia" w:ascii="宋体" w:hAnsi="宋体" w:cs="宋体"/>
                <w:color w:val="auto"/>
                <w:szCs w:val="21"/>
                <w:highlight w:val="none"/>
              </w:rPr>
              <w:t>采购人与成交供应商在合同签订时商定支付比例。</w:t>
            </w:r>
          </w:p>
        </w:tc>
      </w:tr>
      <w:tr w14:paraId="5DEFB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0AFB88CF">
            <w:pPr>
              <w:spacing w:line="360" w:lineRule="exact"/>
              <w:rPr>
                <w:rFonts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14:paraId="05596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454740FA">
            <w:pPr>
              <w:tabs>
                <w:tab w:val="left" w:pos="180"/>
                <w:tab w:val="left" w:pos="1620"/>
              </w:tabs>
              <w:spacing w:line="360" w:lineRule="exact"/>
              <w:rPr>
                <w:rFonts w:ascii="宋体" w:hAnsi="宋体" w:cs="宋体"/>
                <w:bCs/>
                <w:color w:val="auto"/>
                <w:szCs w:val="21"/>
                <w:highlight w:val="none"/>
              </w:rPr>
            </w:pPr>
            <w:r>
              <w:rPr>
                <w:rFonts w:hint="eastAsia" w:ascii="宋体" w:hAnsi="宋体" w:cs="宋体"/>
                <w:b/>
                <w:color w:val="auto"/>
                <w:szCs w:val="21"/>
                <w:highlight w:val="none"/>
              </w:rPr>
              <w:t>（一）验收标准</w:t>
            </w:r>
          </w:p>
        </w:tc>
      </w:tr>
      <w:tr w14:paraId="1780B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E00CB3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1.提供的服务内容与采购合同一致。</w:t>
            </w:r>
          </w:p>
          <w:p w14:paraId="38BE1A1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2.验收过程中所产生的一切费用均由成交供应商承担。报价时应考虑相关费用。</w:t>
            </w:r>
          </w:p>
          <w:p w14:paraId="5650B95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5F4B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767A88F6">
            <w:pPr>
              <w:spacing w:line="360" w:lineRule="exact"/>
              <w:rPr>
                <w:rFonts w:ascii="宋体" w:hAnsi="宋体" w:cs="宋体"/>
                <w:color w:val="auto"/>
                <w:szCs w:val="21"/>
                <w:highlight w:val="none"/>
              </w:rPr>
            </w:pPr>
            <w:r>
              <w:rPr>
                <w:rFonts w:hint="eastAsia" w:ascii="宋体" w:hAnsi="宋体" w:cs="宋体"/>
                <w:b/>
                <w:color w:val="auto"/>
                <w:szCs w:val="21"/>
                <w:highlight w:val="none"/>
              </w:rPr>
              <w:t>（二）其他</w:t>
            </w:r>
          </w:p>
        </w:tc>
      </w:tr>
      <w:tr w14:paraId="15008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15" w:type="dxa"/>
            <w:gridSpan w:val="2"/>
            <w:tcBorders>
              <w:top w:val="single" w:color="auto" w:sz="4" w:space="0"/>
              <w:left w:val="single" w:color="auto" w:sz="4" w:space="0"/>
              <w:bottom w:val="single" w:color="auto" w:sz="4" w:space="0"/>
              <w:right w:val="single" w:color="auto" w:sz="4" w:space="0"/>
            </w:tcBorders>
            <w:vAlign w:val="center"/>
          </w:tcPr>
          <w:p w14:paraId="1069B5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磋商说明</w:t>
            </w:r>
          </w:p>
        </w:tc>
        <w:tc>
          <w:tcPr>
            <w:tcW w:w="6890" w:type="dxa"/>
            <w:gridSpan w:val="4"/>
            <w:tcBorders>
              <w:top w:val="single" w:color="auto" w:sz="4" w:space="0"/>
              <w:left w:val="single" w:color="auto" w:sz="4" w:space="0"/>
              <w:bottom w:val="single" w:color="auto" w:sz="4" w:space="0"/>
              <w:right w:val="single" w:color="auto" w:sz="4" w:space="0"/>
            </w:tcBorders>
            <w:vAlign w:val="center"/>
          </w:tcPr>
          <w:p w14:paraId="5F77D6D7">
            <w:pPr>
              <w:spacing w:line="360" w:lineRule="exact"/>
              <w:rPr>
                <w:rFonts w:ascii="宋体" w:hAnsi="宋体" w:cs="宋体"/>
                <w:color w:val="auto"/>
                <w:szCs w:val="21"/>
                <w:highlight w:val="none"/>
              </w:rPr>
            </w:pPr>
            <w:r>
              <w:rPr>
                <w:rFonts w:hint="eastAsia" w:ascii="宋体" w:hAnsi="宋体" w:cs="宋体"/>
                <w:color w:val="auto"/>
                <w:szCs w:val="21"/>
                <w:highlight w:val="none"/>
              </w:rPr>
              <w:t>　  在磋商过程中，磋商小组可能会根据磋商文件和磋商情况实质性变动采购需求中的技术、服务要求以及合同草案条款，对磋商文件作出的实质性变动是磋商文件的有效组成部分，磋商小组以书面形式同时通知所有参加磋商的供应商。请各供应商做好磋商应答准备。</w:t>
            </w:r>
          </w:p>
        </w:tc>
      </w:tr>
      <w:tr w14:paraId="1741B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15" w:type="dxa"/>
            <w:gridSpan w:val="2"/>
            <w:tcBorders>
              <w:top w:val="single" w:color="auto" w:sz="4" w:space="0"/>
              <w:left w:val="single" w:color="auto" w:sz="4" w:space="0"/>
              <w:bottom w:val="single" w:color="auto" w:sz="4" w:space="0"/>
              <w:right w:val="single" w:color="auto" w:sz="4" w:space="0"/>
            </w:tcBorders>
            <w:vAlign w:val="center"/>
          </w:tcPr>
          <w:p w14:paraId="5D545AE9">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▲最高限价</w:t>
            </w:r>
          </w:p>
        </w:tc>
        <w:tc>
          <w:tcPr>
            <w:tcW w:w="6890" w:type="dxa"/>
            <w:gridSpan w:val="4"/>
            <w:tcBorders>
              <w:top w:val="single" w:color="auto" w:sz="4" w:space="0"/>
              <w:left w:val="single" w:color="auto" w:sz="4" w:space="0"/>
              <w:bottom w:val="single" w:color="auto" w:sz="4" w:space="0"/>
              <w:right w:val="single" w:color="auto" w:sz="4" w:space="0"/>
            </w:tcBorders>
            <w:vAlign w:val="center"/>
          </w:tcPr>
          <w:p w14:paraId="20E7F27A">
            <w:pPr>
              <w:spacing w:line="360" w:lineRule="atLeast"/>
              <w:rPr>
                <w:rFonts w:ascii="宋体" w:hAnsi="宋体" w:cs="宋体"/>
                <w:b/>
                <w:color w:val="auto"/>
                <w:szCs w:val="21"/>
                <w:highlight w:val="none"/>
              </w:rPr>
            </w:pPr>
            <w:r>
              <w:rPr>
                <w:rFonts w:hint="eastAsia" w:ascii="宋体" w:hAnsi="宋体" w:cs="宋体"/>
                <w:color w:val="auto"/>
                <w:szCs w:val="21"/>
                <w:highlight w:val="none"/>
              </w:rPr>
              <w:t>本项目评标时以预算金额为最高限价，</w:t>
            </w:r>
            <w:r>
              <w:rPr>
                <w:rFonts w:hint="eastAsia" w:ascii="宋体" w:hAnsi="宋体" w:cs="宋体"/>
                <w:b/>
                <w:color w:val="auto"/>
                <w:szCs w:val="21"/>
                <w:highlight w:val="none"/>
              </w:rPr>
              <w:t>竞标报价超最高限价的作无效竞标处理。</w:t>
            </w:r>
          </w:p>
        </w:tc>
      </w:tr>
    </w:tbl>
    <w:p w14:paraId="0DC0C71B">
      <w:pPr>
        <w:spacing w:line="360" w:lineRule="auto"/>
        <w:ind w:firstLine="420" w:firstLineChars="200"/>
        <w:rPr>
          <w:rFonts w:ascii="宋体" w:hAnsi="宋体"/>
          <w:color w:val="auto"/>
          <w:highlight w:val="none"/>
        </w:rPr>
      </w:pPr>
      <w:r>
        <w:rPr>
          <w:color w:val="auto"/>
          <w:highlight w:val="none"/>
        </w:rPr>
        <w:br w:type="page"/>
      </w:r>
    </w:p>
    <w:p w14:paraId="4BA0E49A">
      <w:pPr>
        <w:pStyle w:val="3"/>
        <w:jc w:val="center"/>
        <w:rPr>
          <w:color w:val="auto"/>
          <w:highlight w:val="none"/>
        </w:rPr>
      </w:pPr>
      <w:r>
        <w:rPr>
          <w:rFonts w:hint="eastAsia"/>
          <w:color w:val="auto"/>
          <w:highlight w:val="none"/>
        </w:rPr>
        <w:t>第四章评标方法及评标标准</w:t>
      </w:r>
      <w:bookmarkEnd w:id="60"/>
      <w:bookmarkEnd w:id="61"/>
      <w:bookmarkEnd w:id="62"/>
      <w:bookmarkEnd w:id="63"/>
    </w:p>
    <w:p w14:paraId="2EDAAD9B">
      <w:pPr>
        <w:pStyle w:val="4"/>
        <w:keepNext w:val="0"/>
        <w:keepLines w:val="0"/>
        <w:jc w:val="left"/>
        <w:rPr>
          <w:rFonts w:ascii="宋体" w:hAnsi="宋体"/>
          <w:b w:val="0"/>
          <w:bCs w:val="0"/>
          <w:color w:val="auto"/>
          <w:sz w:val="21"/>
          <w:szCs w:val="21"/>
          <w:highlight w:val="none"/>
        </w:rPr>
      </w:pPr>
      <w:r>
        <w:rPr>
          <w:rFonts w:hint="eastAsia" w:ascii="宋体" w:hAnsi="宋体"/>
          <w:b w:val="0"/>
          <w:bCs w:val="0"/>
          <w:color w:val="auto"/>
          <w:sz w:val="21"/>
          <w:szCs w:val="21"/>
          <w:highlight w:val="none"/>
        </w:rPr>
        <w:t>一、评标方法</w:t>
      </w:r>
    </w:p>
    <w:p w14:paraId="60C29E43">
      <w:pPr>
        <w:pStyle w:val="12"/>
        <w:rPr>
          <w:b w:val="0"/>
          <w:color w:val="auto"/>
          <w:sz w:val="21"/>
          <w:szCs w:val="21"/>
          <w:highlight w:val="none"/>
        </w:rPr>
      </w:pPr>
      <w:r>
        <w:rPr>
          <w:rFonts w:hint="eastAsia"/>
          <w:b w:val="0"/>
          <w:color w:val="auto"/>
          <w:sz w:val="21"/>
          <w:szCs w:val="21"/>
          <w:highlight w:val="none"/>
        </w:rPr>
        <w:t>综合评分法，是指投标文件满足招标文件全部实质性要求，且按照评审因素的量化指标评审得分最高的投标人为投标候选人的评标方法。</w:t>
      </w:r>
    </w:p>
    <w:p w14:paraId="418564D7">
      <w:pPr>
        <w:pStyle w:val="12"/>
        <w:rPr>
          <w:b w:val="0"/>
          <w:color w:val="auto"/>
          <w:sz w:val="21"/>
          <w:szCs w:val="21"/>
          <w:highlight w:val="none"/>
        </w:rPr>
      </w:pPr>
      <w:r>
        <w:rPr>
          <w:rFonts w:hint="eastAsia"/>
          <w:b w:val="0"/>
          <w:color w:val="auto"/>
          <w:sz w:val="21"/>
          <w:szCs w:val="21"/>
          <w:highlight w:val="none"/>
        </w:rPr>
        <w:t>最低评标报价法，是指投标文件满足招标文件全部实质性要求，且投标报价最低的投标人为投标候选人的评标方法。</w:t>
      </w:r>
    </w:p>
    <w:p w14:paraId="05281EC5">
      <w:pPr>
        <w:pStyle w:val="4"/>
        <w:keepNext w:val="0"/>
        <w:keepLines w:val="0"/>
        <w:jc w:val="left"/>
        <w:rPr>
          <w:rFonts w:ascii="宋体" w:hAnsi="宋体"/>
          <w:b w:val="0"/>
          <w:bCs w:val="0"/>
          <w:color w:val="auto"/>
          <w:sz w:val="21"/>
          <w:szCs w:val="21"/>
          <w:highlight w:val="none"/>
        </w:rPr>
      </w:pPr>
      <w:r>
        <w:rPr>
          <w:rFonts w:hint="eastAsia" w:ascii="宋体" w:hAnsi="宋体"/>
          <w:b w:val="0"/>
          <w:bCs w:val="0"/>
          <w:color w:val="auto"/>
          <w:sz w:val="21"/>
          <w:szCs w:val="21"/>
          <w:highlight w:val="none"/>
        </w:rPr>
        <w:t>二、评标程序</w:t>
      </w:r>
    </w:p>
    <w:p w14:paraId="01E420A3">
      <w:pPr>
        <w:pStyle w:val="6"/>
        <w:rPr>
          <w:bCs/>
          <w:color w:val="auto"/>
          <w:highlight w:val="none"/>
        </w:rPr>
      </w:pPr>
      <w:r>
        <w:rPr>
          <w:rFonts w:hint="eastAsia"/>
          <w:color w:val="auto"/>
          <w:highlight w:val="none"/>
        </w:rPr>
        <w:t>1.符合性审查</w:t>
      </w:r>
    </w:p>
    <w:p w14:paraId="571BD87D">
      <w:pPr>
        <w:pStyle w:val="12"/>
        <w:rPr>
          <w:b w:val="0"/>
          <w:color w:val="auto"/>
          <w:sz w:val="21"/>
          <w:szCs w:val="21"/>
          <w:highlight w:val="none"/>
        </w:rPr>
      </w:pPr>
      <w:r>
        <w:rPr>
          <w:rFonts w:hint="eastAsia"/>
          <w:b w:val="0"/>
          <w:color w:val="auto"/>
          <w:sz w:val="21"/>
          <w:szCs w:val="21"/>
          <w:highlight w:val="none"/>
        </w:rPr>
        <w:t>评标委员会应当对符合资格的投标人的投标文件进行投标报价、商务、技术等实质性内容符合性审查，以确定其是否满足招标文件的实质性要求。</w:t>
      </w:r>
    </w:p>
    <w:p w14:paraId="7FFE4011">
      <w:pPr>
        <w:pStyle w:val="6"/>
        <w:rPr>
          <w:color w:val="auto"/>
          <w:highlight w:val="none"/>
        </w:rPr>
      </w:pPr>
      <w:r>
        <w:rPr>
          <w:rFonts w:hint="eastAsia"/>
          <w:color w:val="auto"/>
          <w:highlight w:val="none"/>
        </w:rPr>
        <w:t>2</w:t>
      </w:r>
      <w:r>
        <w:rPr>
          <w:color w:val="auto"/>
          <w:highlight w:val="none"/>
        </w:rPr>
        <w:t>.</w:t>
      </w:r>
      <w:r>
        <w:rPr>
          <w:rFonts w:hint="eastAsia"/>
          <w:color w:val="auto"/>
          <w:highlight w:val="none"/>
        </w:rPr>
        <w:t>符合性审查不通过而导致投标无效的情形</w:t>
      </w:r>
    </w:p>
    <w:p w14:paraId="4B25BC2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77FB55FC">
      <w:pPr>
        <w:pStyle w:val="6"/>
        <w:rPr>
          <w:color w:val="auto"/>
          <w:highlight w:val="none"/>
        </w:rPr>
      </w:pPr>
      <w:r>
        <w:rPr>
          <w:rFonts w:hint="eastAsia"/>
          <w:color w:val="auto"/>
          <w:highlight w:val="none"/>
        </w:rPr>
        <w:t>2.1在报价评审时，如发现下列情形之一的，将被视为投标无效：</w:t>
      </w:r>
    </w:p>
    <w:p w14:paraId="4E6A7E53">
      <w:pPr>
        <w:pStyle w:val="7"/>
        <w:numPr>
          <w:ilvl w:val="0"/>
          <w:numId w:val="3"/>
        </w:numPr>
        <w:spacing w:line="360" w:lineRule="auto"/>
        <w:ind w:firstLine="396" w:firstLineChars="200"/>
        <w:rPr>
          <w:rFonts w:ascii="宋体" w:hAnsi="宋体"/>
          <w:color w:val="auto"/>
          <w:spacing w:val="-6"/>
          <w:szCs w:val="21"/>
          <w:highlight w:val="none"/>
        </w:rPr>
      </w:pPr>
      <w:r>
        <w:rPr>
          <w:rFonts w:hint="eastAsia" w:ascii="宋体" w:hAnsi="宋体"/>
          <w:color w:val="auto"/>
          <w:spacing w:val="-6"/>
          <w:szCs w:val="21"/>
          <w:highlight w:val="none"/>
        </w:rPr>
        <w:t>投标文件未提供“投标人须知前附表”第13.1条规定中“必须提供”的文件资料的;</w:t>
      </w:r>
    </w:p>
    <w:p w14:paraId="6FEE9725">
      <w:pPr>
        <w:pStyle w:val="7"/>
        <w:numPr>
          <w:ilvl w:val="0"/>
          <w:numId w:val="3"/>
        </w:numPr>
        <w:spacing w:line="360" w:lineRule="auto"/>
        <w:ind w:firstLineChars="200"/>
        <w:rPr>
          <w:rFonts w:ascii="宋体" w:hAnsi="宋体"/>
          <w:color w:val="auto"/>
          <w:szCs w:val="21"/>
          <w:highlight w:val="none"/>
        </w:rPr>
      </w:pPr>
      <w:r>
        <w:rPr>
          <w:rFonts w:hint="eastAsia" w:ascii="宋体" w:hAnsi="宋体"/>
          <w:color w:val="auto"/>
          <w:szCs w:val="21"/>
          <w:highlight w:val="none"/>
        </w:rPr>
        <w:t>未采用人民币报价或者未按照招标文件标明的币种报价的；</w:t>
      </w:r>
    </w:p>
    <w:p w14:paraId="1FC3F632">
      <w:pPr>
        <w:pStyle w:val="7"/>
        <w:numPr>
          <w:ilvl w:val="0"/>
          <w:numId w:val="3"/>
        </w:numPr>
        <w:spacing w:line="360" w:lineRule="auto"/>
        <w:ind w:left="-2" w:firstLine="422"/>
        <w:rPr>
          <w:rFonts w:ascii="宋体" w:hAnsi="宋体"/>
          <w:color w:val="auto"/>
          <w:spacing w:val="-6"/>
          <w:szCs w:val="21"/>
          <w:highlight w:val="none"/>
        </w:rPr>
      </w:pPr>
      <w:r>
        <w:rPr>
          <w:rFonts w:hint="eastAsia" w:ascii="宋体" w:hAnsi="宋体"/>
          <w:color w:val="auto"/>
          <w:spacing w:val="-6"/>
          <w:szCs w:val="21"/>
          <w:highlight w:val="none"/>
        </w:rPr>
        <w:t>各分标报价超出招标文件相应分标规定最高限价，或者超出相应分标采购预算金额的；</w:t>
      </w:r>
    </w:p>
    <w:p w14:paraId="64B41DCF">
      <w:pPr>
        <w:pStyle w:val="7"/>
        <w:numPr>
          <w:ilvl w:val="0"/>
          <w:numId w:val="3"/>
        </w:numPr>
        <w:spacing w:line="360" w:lineRule="auto"/>
        <w:ind w:firstLineChars="200"/>
        <w:rPr>
          <w:rFonts w:ascii="宋体" w:hAnsi="宋体"/>
          <w:color w:val="auto"/>
          <w:szCs w:val="21"/>
          <w:highlight w:val="none"/>
        </w:rPr>
      </w:pPr>
      <w:r>
        <w:rPr>
          <w:rFonts w:hint="eastAsia" w:ascii="宋体" w:hAnsi="宋体"/>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D1698B2">
      <w:pPr>
        <w:pStyle w:val="7"/>
        <w:numPr>
          <w:ilvl w:val="0"/>
          <w:numId w:val="3"/>
        </w:numPr>
        <w:spacing w:line="360" w:lineRule="auto"/>
        <w:ind w:firstLineChars="200"/>
        <w:rPr>
          <w:rFonts w:ascii="宋体" w:hAnsi="宋体"/>
          <w:color w:val="auto"/>
          <w:szCs w:val="21"/>
          <w:highlight w:val="none"/>
        </w:rPr>
      </w:pPr>
      <w:r>
        <w:rPr>
          <w:rFonts w:hint="eastAsia" w:ascii="宋体" w:hAnsi="宋体"/>
          <w:color w:val="auto"/>
          <w:szCs w:val="21"/>
          <w:highlight w:val="none"/>
        </w:rPr>
        <w:t>修正后的报价，投标人不确认的；</w:t>
      </w:r>
    </w:p>
    <w:p w14:paraId="2B95878D">
      <w:pPr>
        <w:pStyle w:val="7"/>
        <w:numPr>
          <w:ilvl w:val="0"/>
          <w:numId w:val="3"/>
        </w:numPr>
        <w:spacing w:line="360" w:lineRule="auto"/>
        <w:ind w:firstLineChars="200"/>
        <w:rPr>
          <w:rFonts w:ascii="宋体" w:hAnsi="宋体"/>
          <w:color w:val="auto"/>
          <w:szCs w:val="21"/>
          <w:highlight w:val="none"/>
        </w:rPr>
      </w:pPr>
      <w:r>
        <w:rPr>
          <w:rFonts w:hint="eastAsia" w:ascii="宋体" w:hAnsi="宋体"/>
          <w:color w:val="auto"/>
          <w:szCs w:val="21"/>
          <w:highlight w:val="none"/>
        </w:rPr>
        <w:t>投标人属于本章第</w:t>
      </w:r>
      <w:r>
        <w:rPr>
          <w:rFonts w:ascii="宋体" w:hAnsi="宋体"/>
          <w:color w:val="auto"/>
          <w:szCs w:val="21"/>
          <w:highlight w:val="none"/>
        </w:rPr>
        <w:t>5</w:t>
      </w:r>
      <w:r>
        <w:rPr>
          <w:rFonts w:hint="eastAsia" w:ascii="宋体" w:hAnsi="宋体"/>
          <w:color w:val="auto"/>
          <w:szCs w:val="21"/>
          <w:highlight w:val="none"/>
        </w:rPr>
        <w:t>条第（2）项情形的。</w:t>
      </w:r>
    </w:p>
    <w:p w14:paraId="7920313F">
      <w:pPr>
        <w:pStyle w:val="7"/>
        <w:numPr>
          <w:ilvl w:val="0"/>
          <w:numId w:val="3"/>
        </w:numPr>
        <w:spacing w:line="360" w:lineRule="auto"/>
        <w:ind w:firstLineChars="200"/>
        <w:rPr>
          <w:rFonts w:ascii="宋体" w:hAnsi="宋体"/>
          <w:color w:val="auto"/>
          <w:szCs w:val="21"/>
          <w:highlight w:val="none"/>
        </w:rPr>
      </w:pPr>
      <w:r>
        <w:rPr>
          <w:rFonts w:hint="eastAsia" w:ascii="宋体" w:hAnsi="宋体"/>
          <w:color w:val="auto"/>
          <w:szCs w:val="21"/>
          <w:highlight w:val="none"/>
        </w:rPr>
        <w:t>投标文件响应的标的数量及单位与招标文件要求实质性不一致的。</w:t>
      </w:r>
    </w:p>
    <w:p w14:paraId="56F875F2">
      <w:pPr>
        <w:pStyle w:val="6"/>
        <w:rPr>
          <w:color w:val="auto"/>
          <w:highlight w:val="none"/>
        </w:rPr>
      </w:pPr>
      <w:r>
        <w:rPr>
          <w:rFonts w:hint="eastAsia"/>
          <w:color w:val="auto"/>
          <w:highlight w:val="none"/>
        </w:rPr>
        <w:t>2.2在商务评审时，如发现下列情形之一的，将被视为投标无效：</w:t>
      </w:r>
    </w:p>
    <w:p w14:paraId="3F42A370">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投标文件未按招标文件要求签署、盖章的；</w:t>
      </w:r>
    </w:p>
    <w:p w14:paraId="6C945EE3">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委托代理人未能出具有效身份证明或者出具的身份证明与授权委托书中的信息不符的； </w:t>
      </w:r>
    </w:p>
    <w:p w14:paraId="5F457818">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为无效投标保证金的或者未按照招标文件的规定提交投标保证金的；</w:t>
      </w:r>
    </w:p>
    <w:p w14:paraId="517B827E">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投标文件未提供“投标人须知前附表”第13.</w:t>
      </w:r>
      <w:r>
        <w:rPr>
          <w:rFonts w:ascii="宋体" w:hAnsi="宋体"/>
          <w:color w:val="auto"/>
          <w:szCs w:val="21"/>
          <w:highlight w:val="none"/>
        </w:rPr>
        <w:t>1</w:t>
      </w:r>
      <w:r>
        <w:rPr>
          <w:rFonts w:hint="eastAsia" w:ascii="宋体" w:hAnsi="宋体"/>
          <w:color w:val="auto"/>
          <w:szCs w:val="21"/>
          <w:highlight w:val="none"/>
        </w:rPr>
        <w:t>条规定中“必须提供”或者“委托时必须提供”的文件资料的;</w:t>
      </w:r>
    </w:p>
    <w:p w14:paraId="105135B3">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商务条款评审允许负偏离的条款数超过“投标人须知前附表”规定项数的。</w:t>
      </w:r>
    </w:p>
    <w:p w14:paraId="2453AA36">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投标文件的实质性内容未使用中文表述、使用计量单位不符合招标文件要求的；</w:t>
      </w:r>
    </w:p>
    <w:p w14:paraId="3E594761">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投标文件中的文件资料因填写不齐全或者内容虚假或者出现其他情形而导致被评标委员会认定无效的；</w:t>
      </w:r>
    </w:p>
    <w:p w14:paraId="17E1BBE9">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投标文件含有采购人不能接受的附加条件的；</w:t>
      </w:r>
    </w:p>
    <w:p w14:paraId="49F3B857">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属于投标人须知正文第</w:t>
      </w:r>
      <w:r>
        <w:rPr>
          <w:rFonts w:ascii="宋体" w:hAnsi="宋体"/>
          <w:color w:val="auto"/>
          <w:szCs w:val="21"/>
          <w:highlight w:val="none"/>
        </w:rPr>
        <w:t>9.2</w:t>
      </w:r>
      <w:r>
        <w:rPr>
          <w:rFonts w:hint="eastAsia" w:ascii="宋体" w:hAnsi="宋体"/>
          <w:color w:val="auto"/>
          <w:szCs w:val="21"/>
          <w:highlight w:val="none"/>
        </w:rPr>
        <w:t>条情形的；</w:t>
      </w:r>
    </w:p>
    <w:p w14:paraId="213FBC22">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投标文件标注的项目名称或者项目编号与招标文件标注的项目名称或者项目编号不一致的；</w:t>
      </w:r>
    </w:p>
    <w:p w14:paraId="2A44F2F4">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未响应招标文件实质性要求的；</w:t>
      </w:r>
    </w:p>
    <w:p w14:paraId="13521A92">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法律、法规和招标文件规定的其他无效情形。</w:t>
      </w:r>
    </w:p>
    <w:p w14:paraId="1C69EDA3">
      <w:pPr>
        <w:pStyle w:val="6"/>
        <w:rPr>
          <w:color w:val="auto"/>
          <w:highlight w:val="none"/>
        </w:rPr>
      </w:pPr>
      <w:r>
        <w:rPr>
          <w:rFonts w:hint="eastAsia"/>
          <w:color w:val="auto"/>
          <w:highlight w:val="none"/>
        </w:rPr>
        <w:t>2.3在技术评审时，如发现下列情形之一的，将被视为投标无效：</w:t>
      </w:r>
    </w:p>
    <w:p w14:paraId="5CCC8443">
      <w:pPr>
        <w:pStyle w:val="13"/>
        <w:snapToGrid w:val="0"/>
        <w:spacing w:line="360" w:lineRule="auto"/>
        <w:ind w:firstLine="411" w:firstLineChars="196"/>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（1）明显不满足招标文件要求的服务内容、技术要求、安全、质量标准；</w:t>
      </w:r>
    </w:p>
    <w:p w14:paraId="34105504">
      <w:pPr>
        <w:pStyle w:val="13"/>
        <w:snapToGrid w:val="0"/>
        <w:spacing w:line="360" w:lineRule="auto"/>
        <w:ind w:firstLine="411" w:firstLineChars="196"/>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（2）服务需求评审允许负偏离的条款数超过“投标人须知前附表”规定项数的；</w:t>
      </w:r>
    </w:p>
    <w:p w14:paraId="6DCB77E7">
      <w:pPr>
        <w:pStyle w:val="13"/>
        <w:snapToGrid w:val="0"/>
        <w:spacing w:line="360" w:lineRule="auto"/>
        <w:ind w:firstLine="411" w:firstLineChars="196"/>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（3）投标文件未提供“投标人须知前附表”第13.</w:t>
      </w:r>
      <w:r>
        <w:rPr>
          <w:rFonts w:ascii="宋体" w:hAnsi="宋体" w:eastAsia="宋体"/>
          <w:color w:val="auto"/>
          <w:kern w:val="2"/>
          <w:sz w:val="21"/>
          <w:szCs w:val="21"/>
          <w:highlight w:val="none"/>
        </w:rPr>
        <w:t>1</w:t>
      </w:r>
      <w:r>
        <w:rPr>
          <w:rFonts w:hint="eastAsia" w:ascii="宋体" w:hAnsi="宋体" w:eastAsia="宋体"/>
          <w:color w:val="auto"/>
          <w:kern w:val="2"/>
          <w:sz w:val="21"/>
          <w:szCs w:val="21"/>
          <w:highlight w:val="none"/>
        </w:rPr>
        <w:t>条规定中“必须提供”的文件资料的;</w:t>
      </w:r>
    </w:p>
    <w:p w14:paraId="41AF9CE3">
      <w:pPr>
        <w:pStyle w:val="13"/>
        <w:snapToGrid w:val="0"/>
        <w:spacing w:line="360" w:lineRule="auto"/>
        <w:ind w:firstLine="411" w:firstLineChars="196"/>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（4）虚假投标，或者出现其他情形而导致被评标委员会认定无效的；</w:t>
      </w:r>
    </w:p>
    <w:p w14:paraId="1FFF61EC">
      <w:pPr>
        <w:pStyle w:val="13"/>
        <w:snapToGrid w:val="0"/>
        <w:spacing w:line="360" w:lineRule="auto"/>
        <w:ind w:firstLine="411" w:firstLineChars="196"/>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（5）</w:t>
      </w:r>
      <w:bookmarkStart w:id="64" w:name="_Hlk71706244"/>
      <w:r>
        <w:rPr>
          <w:rFonts w:hint="eastAsia" w:ascii="宋体" w:hAnsi="宋体" w:eastAsia="宋体"/>
          <w:color w:val="auto"/>
          <w:kern w:val="2"/>
          <w:sz w:val="21"/>
          <w:szCs w:val="21"/>
          <w:highlight w:val="none"/>
        </w:rPr>
        <w:t>招标文件未载明允许提供备选（替代）投标方案或明确不允许提供备选（替代）投标方案时，投标人提供了备选（替代）投标方案的；</w:t>
      </w:r>
      <w:bookmarkEnd w:id="64"/>
    </w:p>
    <w:p w14:paraId="2C8C97DE">
      <w:pPr>
        <w:pStyle w:val="13"/>
        <w:snapToGrid w:val="0"/>
        <w:spacing w:line="360" w:lineRule="auto"/>
        <w:ind w:firstLine="411" w:firstLineChars="196"/>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（6）未响应招标文件实质性要求的。</w:t>
      </w:r>
    </w:p>
    <w:p w14:paraId="44B0703C">
      <w:pPr>
        <w:pStyle w:val="6"/>
        <w:rPr>
          <w:color w:val="auto"/>
          <w:highlight w:val="none"/>
        </w:rPr>
      </w:pPr>
      <w:r>
        <w:rPr>
          <w:rFonts w:hint="eastAsia"/>
          <w:color w:val="auto"/>
          <w:highlight w:val="none"/>
        </w:rPr>
        <w:t>3</w:t>
      </w:r>
      <w:r>
        <w:rPr>
          <w:color w:val="auto"/>
          <w:highlight w:val="none"/>
        </w:rPr>
        <w:t>.</w:t>
      </w:r>
      <w:r>
        <w:rPr>
          <w:rFonts w:hint="eastAsia"/>
          <w:color w:val="auto"/>
          <w:highlight w:val="none"/>
        </w:rPr>
        <w:t>澄清补正</w:t>
      </w:r>
    </w:p>
    <w:p w14:paraId="2465A5BE">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141FE1BA">
      <w:pPr>
        <w:pStyle w:val="6"/>
        <w:rPr>
          <w:color w:val="auto"/>
          <w:highlight w:val="none"/>
        </w:rPr>
      </w:pPr>
      <w:r>
        <w:rPr>
          <w:color w:val="auto"/>
          <w:highlight w:val="none"/>
        </w:rPr>
        <w:t>4.</w:t>
      </w:r>
      <w:r>
        <w:rPr>
          <w:rFonts w:hint="eastAsia"/>
          <w:color w:val="auto"/>
          <w:highlight w:val="none"/>
        </w:rPr>
        <w:t>投标文件修正</w:t>
      </w:r>
    </w:p>
    <w:p w14:paraId="75A6823E">
      <w:pPr>
        <w:pStyle w:val="6"/>
        <w:rPr>
          <w:b/>
          <w:color w:val="auto"/>
          <w:highlight w:val="none"/>
        </w:rPr>
      </w:pPr>
      <w:r>
        <w:rPr>
          <w:color w:val="auto"/>
          <w:highlight w:val="none"/>
        </w:rPr>
        <w:t>4</w:t>
      </w:r>
      <w:r>
        <w:rPr>
          <w:rFonts w:hint="eastAsia"/>
          <w:color w:val="auto"/>
          <w:highlight w:val="none"/>
        </w:rPr>
        <w:t xml:space="preserve">.1投标文件报价出现前后不一致的，按照下列规定修正： </w:t>
      </w:r>
    </w:p>
    <w:p w14:paraId="19D60FFF">
      <w:pPr>
        <w:pStyle w:val="12"/>
        <w:rPr>
          <w:rFonts w:cs="Courier New"/>
          <w:b w:val="0"/>
          <w:color w:val="auto"/>
          <w:sz w:val="21"/>
          <w:szCs w:val="21"/>
          <w:highlight w:val="none"/>
        </w:rPr>
      </w:pPr>
      <w:r>
        <w:rPr>
          <w:rFonts w:hint="eastAsia" w:cs="Courier New"/>
          <w:b w:val="0"/>
          <w:color w:val="auto"/>
          <w:sz w:val="21"/>
          <w:szCs w:val="21"/>
          <w:highlight w:val="none"/>
        </w:rPr>
        <w:t>（1）投标文件中开标一览表（报价表）内容与投标文件中相应内容不一致的，以开标一览表（报价表）为准；</w:t>
      </w:r>
    </w:p>
    <w:p w14:paraId="5FBE6ABF">
      <w:pPr>
        <w:pStyle w:val="12"/>
        <w:rPr>
          <w:rFonts w:cs="Courier New"/>
          <w:b w:val="0"/>
          <w:color w:val="auto"/>
          <w:sz w:val="21"/>
          <w:szCs w:val="21"/>
          <w:highlight w:val="none"/>
        </w:rPr>
      </w:pPr>
      <w:r>
        <w:rPr>
          <w:rFonts w:hint="eastAsia" w:cs="Courier New"/>
          <w:b w:val="0"/>
          <w:color w:val="auto"/>
          <w:sz w:val="21"/>
          <w:szCs w:val="21"/>
          <w:highlight w:val="none"/>
        </w:rPr>
        <w:t>（2）大写金额和小写金额不一致的，以大写金额为准；</w:t>
      </w:r>
    </w:p>
    <w:p w14:paraId="5DFAE3AF">
      <w:pPr>
        <w:pStyle w:val="12"/>
        <w:rPr>
          <w:rFonts w:cs="Courier New"/>
          <w:b w:val="0"/>
          <w:color w:val="auto"/>
          <w:sz w:val="21"/>
          <w:szCs w:val="21"/>
          <w:highlight w:val="none"/>
        </w:rPr>
      </w:pPr>
      <w:r>
        <w:rPr>
          <w:rFonts w:hint="eastAsia" w:cs="Courier New"/>
          <w:b w:val="0"/>
          <w:color w:val="auto"/>
          <w:sz w:val="21"/>
          <w:szCs w:val="21"/>
          <w:highlight w:val="none"/>
        </w:rPr>
        <w:t>（3）单价金额小数点或者百分比有明显错位的，以开标一览表的总价为准，并修改单价；</w:t>
      </w:r>
    </w:p>
    <w:p w14:paraId="39E527E1">
      <w:pPr>
        <w:pStyle w:val="12"/>
        <w:rPr>
          <w:rFonts w:cs="Courier New"/>
          <w:b w:val="0"/>
          <w:color w:val="auto"/>
          <w:sz w:val="21"/>
          <w:szCs w:val="21"/>
          <w:highlight w:val="none"/>
        </w:rPr>
      </w:pPr>
      <w:r>
        <w:rPr>
          <w:rFonts w:hint="eastAsia" w:cs="Courier New"/>
          <w:b w:val="0"/>
          <w:color w:val="auto"/>
          <w:sz w:val="21"/>
          <w:szCs w:val="21"/>
          <w:highlight w:val="none"/>
        </w:rPr>
        <w:t>（4）总价金额与按单价汇总金额不一致的，以单价金额计算结果为准。</w:t>
      </w:r>
    </w:p>
    <w:p w14:paraId="02F5A1A5">
      <w:pPr>
        <w:pStyle w:val="12"/>
        <w:rPr>
          <w:rFonts w:cs="Courier New"/>
          <w:b w:val="0"/>
          <w:color w:val="auto"/>
          <w:sz w:val="21"/>
          <w:szCs w:val="21"/>
          <w:highlight w:val="none"/>
        </w:rPr>
      </w:pPr>
      <w:r>
        <w:rPr>
          <w:rFonts w:hint="eastAsia" w:cs="Courier New"/>
          <w:b w:val="0"/>
          <w:color w:val="auto"/>
          <w:sz w:val="21"/>
          <w:szCs w:val="21"/>
          <w:highlight w:val="none"/>
        </w:rPr>
        <w:t>同时出现两种以上不一致的，按照以上（1）-（4）规定的顺序修正。修正后的报价经投标人确认后产生约束力，投标人不确认的，其投标无效。</w:t>
      </w:r>
    </w:p>
    <w:p w14:paraId="43807D32">
      <w:pPr>
        <w:pStyle w:val="6"/>
        <w:rPr>
          <w:color w:val="auto"/>
          <w:highlight w:val="none"/>
        </w:rPr>
      </w:pPr>
      <w:r>
        <w:rPr>
          <w:color w:val="auto"/>
          <w:highlight w:val="none"/>
        </w:rPr>
        <w:t>4</w:t>
      </w:r>
      <w:r>
        <w:rPr>
          <w:rFonts w:hint="eastAsia"/>
          <w:color w:val="auto"/>
          <w:highlight w:val="none"/>
        </w:rPr>
        <w:t>.2经投标人确认修正后的报价若超过采购预算金额或者最高限价，其投标无效。</w:t>
      </w:r>
    </w:p>
    <w:p w14:paraId="1C05759B">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251AA9D5">
      <w:pPr>
        <w:pStyle w:val="6"/>
        <w:rPr>
          <w:color w:val="auto"/>
          <w:highlight w:val="none"/>
        </w:rPr>
      </w:pPr>
      <w:r>
        <w:rPr>
          <w:color w:val="auto"/>
          <w:highlight w:val="none"/>
        </w:rPr>
        <w:t>5.</w:t>
      </w:r>
      <w:r>
        <w:rPr>
          <w:rFonts w:hint="eastAsia"/>
          <w:color w:val="auto"/>
          <w:highlight w:val="none"/>
        </w:rPr>
        <w:t>比较与评价</w:t>
      </w:r>
    </w:p>
    <w:p w14:paraId="2D83D89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418CE4E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7ED6A72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159D478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E587EB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18DA706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774FCEF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（5）评标委员会按照招标文件中的规定推荐投标候选人。</w:t>
      </w:r>
    </w:p>
    <w:p w14:paraId="48738E8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7DB2D4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最低评标报价法</w:t>
      </w:r>
      <w:r>
        <w:rPr>
          <w:rFonts w:hint="eastAsia" w:ascii="宋体" w:hAnsi="宋体"/>
          <w:color w:val="auto"/>
          <w:szCs w:val="21"/>
          <w:highlight w:val="none"/>
        </w:rPr>
        <w:t>的</w:t>
      </w:r>
    </w:p>
    <w:p w14:paraId="58506FDF">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1016DACF">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88C4749">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（3）评标委员会按照招标文件中的规定推荐投标候选人。</w:t>
      </w:r>
    </w:p>
    <w:p w14:paraId="69C73C0B">
      <w:pPr>
        <w:snapToGrid w:val="0"/>
        <w:spacing w:line="360" w:lineRule="auto"/>
        <w:ind w:firstLine="424" w:firstLineChars="202"/>
        <w:jc w:val="center"/>
        <w:rPr>
          <w:rFonts w:hAnsi="宋体"/>
          <w:color w:val="auto"/>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color w:val="auto"/>
          <w:highlight w:val="none"/>
        </w:rPr>
        <w:br w:type="page"/>
      </w:r>
      <w:bookmarkStart w:id="65" w:name="_Hlk71707917"/>
    </w:p>
    <w:p w14:paraId="7C3BC703">
      <w:pPr>
        <w:snapToGrid w:val="0"/>
        <w:spacing w:line="360" w:lineRule="auto"/>
        <w:ind w:firstLine="649" w:firstLineChars="202"/>
        <w:jc w:val="center"/>
        <w:rPr>
          <w:color w:val="auto"/>
          <w:highlight w:val="none"/>
        </w:rPr>
      </w:pPr>
      <w:r>
        <w:rPr>
          <w:rFonts w:hint="eastAsia"/>
          <w:b/>
          <w:bCs/>
          <w:color w:val="auto"/>
          <w:sz w:val="32"/>
          <w:szCs w:val="32"/>
          <w:highlight w:val="none"/>
        </w:rPr>
        <w:t>三、评标标准</w:t>
      </w:r>
      <w:bookmarkEnd w:id="65"/>
    </w:p>
    <w:tbl>
      <w:tblPr>
        <w:tblStyle w:val="22"/>
        <w:tblpPr w:leftFromText="180" w:rightFromText="180" w:vertAnchor="text" w:horzAnchor="page" w:tblpXSpec="center" w:tblpY="404"/>
        <w:tblOverlap w:val="never"/>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63"/>
        <w:gridCol w:w="1028"/>
        <w:gridCol w:w="6120"/>
        <w:gridCol w:w="900"/>
      </w:tblGrid>
      <w:tr w14:paraId="3B62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14:paraId="065A3BA6">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序号</w:t>
            </w:r>
          </w:p>
        </w:tc>
        <w:tc>
          <w:tcPr>
            <w:tcW w:w="863" w:type="dxa"/>
            <w:tcBorders>
              <w:top w:val="single" w:color="auto" w:sz="4" w:space="0"/>
              <w:left w:val="single" w:color="auto" w:sz="4" w:space="0"/>
              <w:bottom w:val="single" w:color="auto" w:sz="4" w:space="0"/>
              <w:right w:val="single" w:color="auto" w:sz="4" w:space="0"/>
            </w:tcBorders>
          </w:tcPr>
          <w:p w14:paraId="72196B66">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包名</w:t>
            </w:r>
          </w:p>
        </w:tc>
        <w:tc>
          <w:tcPr>
            <w:tcW w:w="1028" w:type="dxa"/>
            <w:tcBorders>
              <w:top w:val="single" w:color="auto" w:sz="4" w:space="0"/>
              <w:left w:val="single" w:color="auto" w:sz="4" w:space="0"/>
              <w:bottom w:val="single" w:color="auto" w:sz="4" w:space="0"/>
              <w:right w:val="single" w:color="auto" w:sz="4" w:space="0"/>
            </w:tcBorders>
          </w:tcPr>
          <w:p w14:paraId="12CF6233">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评分类型</w:t>
            </w:r>
          </w:p>
        </w:tc>
        <w:tc>
          <w:tcPr>
            <w:tcW w:w="6120" w:type="dxa"/>
            <w:tcBorders>
              <w:top w:val="single" w:color="auto" w:sz="4" w:space="0"/>
              <w:left w:val="single" w:color="auto" w:sz="4" w:space="0"/>
              <w:bottom w:val="single" w:color="auto" w:sz="4" w:space="0"/>
              <w:right w:val="single" w:color="auto" w:sz="4" w:space="0"/>
            </w:tcBorders>
            <w:vAlign w:val="center"/>
          </w:tcPr>
          <w:p w14:paraId="1E5A3430">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评分标准</w:t>
            </w:r>
          </w:p>
        </w:tc>
        <w:tc>
          <w:tcPr>
            <w:tcW w:w="900" w:type="dxa"/>
            <w:tcBorders>
              <w:left w:val="single" w:color="auto" w:sz="4" w:space="0"/>
            </w:tcBorders>
            <w:vAlign w:val="center"/>
          </w:tcPr>
          <w:p w14:paraId="6B8DBFE7">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分值</w:t>
            </w:r>
          </w:p>
        </w:tc>
      </w:tr>
      <w:tr w14:paraId="3F6D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14:paraId="30A745B3">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2C155834">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梧州市流域面积50km²以下河道管理范围成果再复核调整工作服务采购</w:t>
            </w:r>
          </w:p>
        </w:tc>
        <w:tc>
          <w:tcPr>
            <w:tcW w:w="1028" w:type="dxa"/>
            <w:tcBorders>
              <w:top w:val="single" w:color="auto" w:sz="4" w:space="0"/>
              <w:left w:val="single" w:color="auto" w:sz="4" w:space="0"/>
              <w:bottom w:val="single" w:color="auto" w:sz="4" w:space="0"/>
              <w:right w:val="single" w:color="auto" w:sz="4" w:space="0"/>
            </w:tcBorders>
            <w:vAlign w:val="center"/>
          </w:tcPr>
          <w:p w14:paraId="589C137F">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价格分</w:t>
            </w:r>
          </w:p>
          <w:p w14:paraId="77AF02FF">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（满分10分）</w:t>
            </w:r>
          </w:p>
        </w:tc>
        <w:tc>
          <w:tcPr>
            <w:tcW w:w="6120" w:type="dxa"/>
            <w:tcBorders>
              <w:top w:val="single" w:color="auto" w:sz="4" w:space="0"/>
              <w:left w:val="single" w:color="auto" w:sz="4" w:space="0"/>
              <w:bottom w:val="single" w:color="auto" w:sz="4" w:space="0"/>
              <w:right w:val="single" w:color="auto" w:sz="4" w:space="0"/>
            </w:tcBorders>
          </w:tcPr>
          <w:p w14:paraId="64DFB7E5">
            <w:pPr>
              <w:pStyle w:val="12"/>
              <w:ind w:left="0" w:firstLine="0"/>
              <w:rPr>
                <w:rFonts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1.评审报价为供应商的最后报价进行政策性扣除后的价格，评审报价只是作为评审时使用。</w:t>
            </w:r>
          </w:p>
          <w:p w14:paraId="05B4CB80">
            <w:pPr>
              <w:pStyle w:val="12"/>
              <w:ind w:left="0" w:firstLine="0"/>
              <w:rPr>
                <w:rFonts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2.政府采购政策性扣除计算方法：</w:t>
            </w:r>
          </w:p>
          <w:p w14:paraId="2FFFA9A9">
            <w:pPr>
              <w:pStyle w:val="12"/>
              <w:ind w:left="0" w:firstLine="0"/>
              <w:rPr>
                <w:rFonts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(1)按照 《广西壮族自治区财政厅关于持续优化政府采购营商环境推动商质量发展的通知》(桂财采(2024)55号)的规定，供应商在其响应文件中提供《中小企业声明函》，且其服务为小型和微型企业承接的，对其最后报价给予 20%的扣除。</w:t>
            </w:r>
          </w:p>
          <w:p w14:paraId="3DD67327">
            <w:pPr>
              <w:pStyle w:val="12"/>
              <w:ind w:left="0" w:firstLine="0"/>
              <w:rPr>
                <w:rFonts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6282C95">
            <w:pPr>
              <w:pStyle w:val="12"/>
              <w:ind w:left="0" w:firstLine="0"/>
              <w:rPr>
                <w:rFonts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贵。残疾人福利性单位属于小型、微型企业的，不重复享受政策。</w:t>
            </w:r>
          </w:p>
          <w:p w14:paraId="3B780E30">
            <w:pPr>
              <w:pStyle w:val="12"/>
              <w:ind w:left="0" w:firstLine="0"/>
              <w:rPr>
                <w:rFonts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(4)政策性扣除计算方法。</w:t>
            </w:r>
          </w:p>
          <w:p w14:paraId="4C10CE10">
            <w:pPr>
              <w:pStyle w:val="12"/>
              <w:ind w:left="0" w:firstLine="0"/>
              <w:rPr>
                <w:rFonts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在服务采购项目中，服务由小微企业承接:对符合上述要求的供应商的竞标报价给予 20%的扣除，扣除后的价格为评审报价，即评审报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范围为4%-6%)的扣除，用扣除后的价格参加评审，扣除后的价格为评审报价，即评审报价=竞标报价×(1-6%)。</w:t>
            </w:r>
          </w:p>
          <w:p w14:paraId="778957A9">
            <w:pPr>
              <w:pStyle w:val="12"/>
              <w:ind w:left="0" w:firstLine="0"/>
              <w:rPr>
                <w:rFonts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(5)除上述情况外，评审报价=最后报价。</w:t>
            </w:r>
          </w:p>
          <w:p w14:paraId="6F2188DF">
            <w:pPr>
              <w:pStyle w:val="12"/>
              <w:ind w:left="0" w:firstLine="0"/>
              <w:rPr>
                <w:rFonts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(6)以进入详评的且最后报价最低的供应商的价格为磋商基准价，其价格分为10分。</w:t>
            </w:r>
          </w:p>
          <w:p w14:paraId="4847C9BC">
            <w:pPr>
              <w:pStyle w:val="12"/>
              <w:ind w:left="0" w:firstLine="0"/>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kern w:val="0"/>
                <w:sz w:val="21"/>
                <w:szCs w:val="21"/>
                <w:highlight w:val="none"/>
              </w:rPr>
              <w:t>(7)磋商报价得分=（磋商基准价/最后磋商报价）×10分</w:t>
            </w:r>
          </w:p>
        </w:tc>
        <w:tc>
          <w:tcPr>
            <w:tcW w:w="900" w:type="dxa"/>
            <w:tcBorders>
              <w:left w:val="single" w:color="auto" w:sz="4" w:space="0"/>
            </w:tcBorders>
            <w:vAlign w:val="center"/>
          </w:tcPr>
          <w:p w14:paraId="7D55A9B4">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0~10</w:t>
            </w:r>
          </w:p>
        </w:tc>
      </w:tr>
      <w:tr w14:paraId="14EB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14:paraId="21376420">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49783AE6">
            <w:pPr>
              <w:spacing w:line="360" w:lineRule="auto"/>
              <w:jc w:val="center"/>
              <w:rPr>
                <w:rFonts w:asciiTheme="minorEastAsia" w:hAnsiTheme="minorEastAsia" w:eastAsiaTheme="minorEastAsia" w:cstheme="minorEastAsia"/>
                <w:bCs/>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1E26CEA4">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技术</w:t>
            </w:r>
          </w:p>
          <w:p w14:paraId="2B727098">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（满分40分）</w:t>
            </w:r>
          </w:p>
        </w:tc>
        <w:tc>
          <w:tcPr>
            <w:tcW w:w="6120" w:type="dxa"/>
            <w:tcBorders>
              <w:top w:val="single" w:color="auto" w:sz="4" w:space="0"/>
              <w:left w:val="single" w:color="auto" w:sz="4" w:space="0"/>
              <w:bottom w:val="single" w:color="auto" w:sz="4" w:space="0"/>
              <w:right w:val="single" w:color="auto" w:sz="4" w:space="0"/>
            </w:tcBorders>
          </w:tcPr>
          <w:p w14:paraId="21A60BCA">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实施方案（满分40分）</w:t>
            </w:r>
          </w:p>
          <w:p w14:paraId="6B5EBCFC">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Cs/>
                <w:color w:val="auto"/>
                <w:sz w:val="21"/>
                <w:szCs w:val="21"/>
                <w:highlight w:val="none"/>
              </w:rPr>
              <w:t>（一）对项目的理解和总体思路（满分10分）</w:t>
            </w:r>
          </w:p>
          <w:p w14:paraId="36E8B70B">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一档（3分）：方案内容基本完整，能提供关于项目的现状问题和简单的现状分析方案，无明显错误表述；</w:t>
            </w:r>
          </w:p>
          <w:p w14:paraId="2BF4C6CB">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二档（6分）：能提供详细的现状分析方案，且对采购项目涵盖的对象、内容、现状、面临的问题进行阐述，阐述比较贴切项目，且对项目分析、理解到位、设计思路基本清晰，</w:t>
            </w:r>
            <w:r>
              <w:rPr>
                <w:rFonts w:hint="eastAsia" w:asciiTheme="minorEastAsia" w:hAnsiTheme="minorEastAsia" w:eastAsiaTheme="minorEastAsia" w:cstheme="minorEastAsia"/>
                <w:b w:val="0"/>
                <w:color w:val="auto"/>
                <w:sz w:val="21"/>
                <w:szCs w:val="21"/>
                <w:highlight w:val="none"/>
              </w:rPr>
              <w:t>设计理念基本贴合项目需求；</w:t>
            </w:r>
          </w:p>
          <w:p w14:paraId="235AD68D">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三档（10分）：满足二档情况下，设计理念先进；对项目建设背景、内容、规模等理解的程度与现场实际情况高度符合</w:t>
            </w:r>
            <w:r>
              <w:rPr>
                <w:rFonts w:hint="eastAsia" w:asciiTheme="minorEastAsia" w:hAnsiTheme="minorEastAsia" w:eastAsiaTheme="minorEastAsia" w:cstheme="minorEastAsia"/>
                <w:b w:val="0"/>
                <w:color w:val="auto"/>
                <w:sz w:val="21"/>
                <w:szCs w:val="21"/>
                <w:highlight w:val="none"/>
                <w:lang w:eastAsia="zh-CN"/>
              </w:rPr>
              <w:t>。</w:t>
            </w:r>
            <w:r>
              <w:rPr>
                <w:rFonts w:hint="eastAsia" w:asciiTheme="minorEastAsia" w:hAnsiTheme="minorEastAsia" w:eastAsiaTheme="minorEastAsia" w:cstheme="minorEastAsia"/>
                <w:b w:val="0"/>
                <w:color w:val="auto"/>
                <w:sz w:val="21"/>
                <w:szCs w:val="21"/>
                <w:highlight w:val="none"/>
              </w:rPr>
              <w:t xml:space="preserve"> </w:t>
            </w:r>
          </w:p>
          <w:p w14:paraId="10FB7C3E">
            <w:pPr>
              <w:pStyle w:val="12"/>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（二）对项目特点、关键技术问题的认识及对策措施（满分12分）</w:t>
            </w:r>
          </w:p>
          <w:p w14:paraId="5DDF3B1F">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一档（4分）：对项目特点、关键技术问题的认识基本限于采购需求，对项目的难点、关键点的分析不完整；</w:t>
            </w:r>
          </w:p>
          <w:p w14:paraId="1216B721">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二档（8分）：对项目理解完整，对项目的难点、关键点的进行一定的分析，解决难点的方案基本可行，措施能基本解决项目开展过程中可能会遇到的问题；</w:t>
            </w:r>
          </w:p>
          <w:p w14:paraId="588E54F5">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三档（12分）：对项目的理解完整准确，对项目的难点、关键点的分析完整准确，解决难点的方案完整、可行、有针对性，措施能有效解决项目开展过程中可能会遇到的问题。</w:t>
            </w:r>
          </w:p>
          <w:p w14:paraId="5DD6054A">
            <w:pPr>
              <w:pStyle w:val="12"/>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（三）质量保证措施、进度保证措施（满分12分）</w:t>
            </w:r>
          </w:p>
          <w:p w14:paraId="2EA52C8B">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一档（4分）：项目质量控制、进度安排等实施过程中的保障性和控制性措施简单，工作内容及工作步骤单一。</w:t>
            </w:r>
          </w:p>
          <w:p w14:paraId="789A7C4D">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二档（8分）：项目质量控制、进度安排等实施过程中的保障性和控制性措施较详细，工作内容及工作步骤比较完整、合理，质量管控体系基本健全，质量事件应急处理措施基本可行。</w:t>
            </w:r>
          </w:p>
          <w:p w14:paraId="4ADAEFF6">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三档（12分）：项目进度安排、质量控制等实施过程中的保障性和控制性措施考虑周全，进度质量措施周全，能在2024年12月31日前提交成果，工作内容及工作步骤完整，可行性强、效率高，符合项目实际需求，质量管控体系健全（包括组织结构、人员分工等），质量事件应急处理措施得当、可行。</w:t>
            </w:r>
          </w:p>
          <w:p w14:paraId="409A51EC">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Cs/>
                <w:color w:val="auto"/>
                <w:sz w:val="21"/>
                <w:szCs w:val="21"/>
                <w:highlight w:val="none"/>
              </w:rPr>
              <w:t>（四）服务承诺（满分6分）</w:t>
            </w:r>
          </w:p>
          <w:p w14:paraId="3D551F27">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一档（2分）： 服务方案内容简单，表述粗略，保障措施一般，服务承诺基本满足项目要求，服务响应基本满足时效性要求；</w:t>
            </w:r>
          </w:p>
          <w:p w14:paraId="29EC9229">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二档（4分）： 服务方案详尽、合理，保障措施较有力，服务承诺较好满足项目要求。有简单的工作进度计划、简单的服务计划，且服务承诺的质量保证措施较简单，服务响应时效性较好，对满足时效性的难度进行科学分析，具有保证时效性的措施；</w:t>
            </w:r>
          </w:p>
          <w:p w14:paraId="3F8EF7D3">
            <w:pPr>
              <w:pStyle w:val="12"/>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三档（6分）：服务方案详细、完整，保障措施有力，服务承诺很好满足项目要求。能为采购方提供完善服务，有详细的工作进度计划、周全的服务计划、对本项目的后续服务、有定期回访计划等，且服务承诺的质量保证措施周全，服务响应时效性好，对满足时效性的难度判断准确，采取保障措施操作性强。</w:t>
            </w:r>
          </w:p>
        </w:tc>
        <w:tc>
          <w:tcPr>
            <w:tcW w:w="900" w:type="dxa"/>
            <w:tcBorders>
              <w:left w:val="single" w:color="auto" w:sz="4" w:space="0"/>
            </w:tcBorders>
            <w:vAlign w:val="center"/>
          </w:tcPr>
          <w:p w14:paraId="48F56486">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0~40</w:t>
            </w:r>
          </w:p>
        </w:tc>
      </w:tr>
      <w:tr w14:paraId="22E1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14:paraId="55783050">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w:t>
            </w: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1B49D01A">
            <w:pPr>
              <w:spacing w:line="360" w:lineRule="auto"/>
              <w:jc w:val="center"/>
              <w:rPr>
                <w:rFonts w:asciiTheme="minorEastAsia" w:hAnsiTheme="minorEastAsia" w:eastAsiaTheme="minorEastAsia" w:cstheme="minorEastAsia"/>
                <w:bCs/>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7718228C">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商务资信</w:t>
            </w:r>
          </w:p>
          <w:p w14:paraId="34B1866C">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（满分50分）</w:t>
            </w:r>
          </w:p>
        </w:tc>
        <w:tc>
          <w:tcPr>
            <w:tcW w:w="6120" w:type="dxa"/>
            <w:tcBorders>
              <w:top w:val="single" w:color="auto" w:sz="4" w:space="0"/>
              <w:left w:val="single" w:color="auto" w:sz="4" w:space="0"/>
              <w:bottom w:val="single" w:color="auto" w:sz="4" w:space="0"/>
              <w:right w:val="single" w:color="auto" w:sz="4" w:space="0"/>
            </w:tcBorders>
          </w:tcPr>
          <w:p w14:paraId="6900CAAB">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（一）人员配置分（满分15分）</w:t>
            </w:r>
          </w:p>
          <w:p w14:paraId="2752FB0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（1）拟投入的项目负责人</w:t>
            </w:r>
            <w:r>
              <w:rPr>
                <w:rFonts w:hint="eastAsia" w:asciiTheme="minorEastAsia" w:hAnsiTheme="minorEastAsia" w:eastAsiaTheme="minorEastAsia" w:cstheme="minorEastAsia"/>
                <w:color w:val="auto"/>
                <w:szCs w:val="21"/>
                <w:highlight w:val="none"/>
                <w:lang w:eastAsia="zh-CN"/>
              </w:rPr>
              <w:t>：</w:t>
            </w:r>
            <w:r>
              <w:rPr>
                <w:rFonts w:ascii="Calibri" w:hAnsi="Calibri" w:cs="Calibri" w:eastAsiaTheme="minorEastAsia"/>
                <w:color w:val="auto"/>
                <w:szCs w:val="21"/>
                <w:highlight w:val="none"/>
              </w:rPr>
              <w:t>①</w:t>
            </w:r>
            <w:r>
              <w:rPr>
                <w:rFonts w:hint="eastAsia" w:asciiTheme="minorEastAsia" w:hAnsiTheme="minorEastAsia" w:eastAsiaTheme="minorEastAsia" w:cstheme="minorEastAsia"/>
                <w:color w:val="auto"/>
                <w:szCs w:val="21"/>
                <w:highlight w:val="none"/>
              </w:rPr>
              <w:t>具有水利专业类正高级工程师职称的，得3分；具有水利类副高级工程师职称的得2分；其他的不得分；</w:t>
            </w:r>
            <w:r>
              <w:rPr>
                <w:rFonts w:ascii="Calibri" w:hAnsi="Calibri" w:cs="Calibri" w:eastAsiaTheme="minorEastAsia"/>
                <w:color w:val="auto"/>
                <w:szCs w:val="21"/>
                <w:highlight w:val="none"/>
              </w:rPr>
              <w:t>②</w:t>
            </w:r>
            <w:r>
              <w:rPr>
                <w:rFonts w:hint="eastAsia" w:asciiTheme="minorEastAsia" w:hAnsiTheme="minorEastAsia" w:eastAsiaTheme="minorEastAsia" w:cstheme="minorEastAsia"/>
                <w:color w:val="auto"/>
                <w:szCs w:val="21"/>
                <w:highlight w:val="none"/>
              </w:rPr>
              <w:t>项目负责人主持完成过河道管理范围划定、河道管理范围复核等相关工作的得2分，其他不得分。本项满分5分。</w:t>
            </w:r>
          </w:p>
          <w:p w14:paraId="403D3C7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（2）除项目负责人外，拟投入本项目的人员具有水利类专业高级及以上职称的，每人得1分，最多加5分；拟投入本项目的人员具有注册咨询工程师证书的，每人得1分，最多加5分。本项满分10分。</w:t>
            </w:r>
          </w:p>
          <w:p w14:paraId="71B01FC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注：在响应文件中提供以上人员相关资格证书、职称证书证明材料复印件，所有复印件均须加盖供应商电子公章，否则不得分。</w:t>
            </w:r>
          </w:p>
          <w:p w14:paraId="343459E2">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（二）单位实力（满分12分）</w:t>
            </w:r>
          </w:p>
          <w:p w14:paraId="4C0DA7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（1）具有AAA级企业信用等级证书的得4分</w:t>
            </w:r>
            <w:r>
              <w:rPr>
                <w:rFonts w:hint="eastAsia" w:asciiTheme="minorEastAsia" w:hAnsiTheme="minorEastAsia" w:eastAsiaTheme="minorEastAsia" w:cstheme="minorEastAsia"/>
                <w:color w:val="auto"/>
                <w:szCs w:val="21"/>
                <w:highlight w:val="none"/>
              </w:rPr>
              <w:t>。其他的不得分。本项满分4分。</w:t>
            </w:r>
          </w:p>
          <w:p w14:paraId="30F6BAD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（2）同时具有水安全、质量、环境、职业健康安全管理体系认证的</w:t>
            </w:r>
            <w:r>
              <w:rPr>
                <w:rFonts w:ascii="宋体" w:hAnsi="宋体" w:cs="宋体"/>
                <w:color w:val="auto"/>
                <w:szCs w:val="21"/>
                <w:highlight w:val="none"/>
              </w:rPr>
              <w:t>得</w:t>
            </w:r>
            <w:r>
              <w:rPr>
                <w:rFonts w:hint="eastAsia" w:ascii="宋体" w:hAnsi="宋体" w:cs="宋体"/>
                <w:color w:val="auto"/>
                <w:szCs w:val="21"/>
                <w:highlight w:val="none"/>
              </w:rPr>
              <w:t>4分</w:t>
            </w:r>
            <w:r>
              <w:rPr>
                <w:rFonts w:hint="eastAsia" w:asciiTheme="minorEastAsia" w:hAnsiTheme="minorEastAsia" w:eastAsiaTheme="minorEastAsia" w:cstheme="minorEastAsia"/>
                <w:color w:val="auto"/>
                <w:szCs w:val="21"/>
                <w:highlight w:val="none"/>
              </w:rPr>
              <w:t>，每少一项扣1分。本项满分4分。</w:t>
            </w:r>
          </w:p>
          <w:p w14:paraId="22600039">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（3）具有河湖管理、河湖监管相关</w:t>
            </w:r>
            <w:r>
              <w:rPr>
                <w:rFonts w:hint="eastAsia" w:ascii="Calibri" w:hAnsi="Calibri"/>
                <w:color w:val="auto"/>
                <w:highlight w:val="none"/>
              </w:rPr>
              <w:t>规定规范参与编制或</w:t>
            </w:r>
            <w:r>
              <w:rPr>
                <w:rFonts w:hint="eastAsia" w:asciiTheme="minorEastAsia" w:hAnsiTheme="minorEastAsia" w:eastAsiaTheme="minorEastAsia" w:cstheme="minorEastAsia"/>
                <w:color w:val="auto"/>
                <w:szCs w:val="21"/>
                <w:highlight w:val="none"/>
              </w:rPr>
              <w:t>软著或专利，每个项目得2分，本项满分4分相关证明文件。</w:t>
            </w:r>
          </w:p>
          <w:p w14:paraId="53DA707B">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（三）类似业绩（满分23分）</w:t>
            </w:r>
          </w:p>
          <w:p w14:paraId="238B320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lang w:val="en-US" w:eastAsia="zh-CN"/>
              </w:rPr>
              <w:t>2020</w:t>
            </w:r>
            <w:r>
              <w:rPr>
                <w:rFonts w:hint="eastAsia" w:asciiTheme="minorEastAsia" w:hAnsiTheme="minorEastAsia" w:eastAsiaTheme="minorEastAsia" w:cstheme="minorEastAsia"/>
                <w:color w:val="auto"/>
                <w:szCs w:val="21"/>
                <w:highlight w:val="none"/>
              </w:rPr>
              <w:t>年以来承担过</w:t>
            </w:r>
            <w:r>
              <w:rPr>
                <w:color w:val="auto"/>
                <w:highlight w:val="none"/>
              </w:rPr>
              <w:t>同类项目</w:t>
            </w:r>
            <w:r>
              <w:rPr>
                <w:rFonts w:hint="eastAsia" w:asciiTheme="minorEastAsia" w:hAnsiTheme="minorEastAsia" w:eastAsiaTheme="minorEastAsia" w:cstheme="minorEastAsia"/>
                <w:color w:val="auto"/>
                <w:szCs w:val="21"/>
                <w:highlight w:val="none"/>
              </w:rPr>
              <w:t>河道管理范围划定或河道管理范围复核服务项目，每个项目得3分，满分15分。（河道管理范围划定：为管理河道岸线资源、维护河道基本功能，依据相关法律法规划定的法定管理边界的技术咨询服务；河道管理范围复核：指按照相关法律法规、水利部有关规定，对已有河道管理范围成果进行复核调整的技术咨询服务）</w:t>
            </w:r>
          </w:p>
          <w:p w14:paraId="593FAF6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（2）供应商承担过省部级及以上河湖管理类相关科研项目（含课题）的得3分，满分3分。</w:t>
            </w:r>
          </w:p>
          <w:p w14:paraId="0128563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（3）供应商承担过省级岸线规划的每项得2.5分；承担市级岸线规划的每项得1分；满分5分。（项目级别由规划批复单位级别确定）</w:t>
            </w:r>
          </w:p>
          <w:p w14:paraId="77A5FDB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（注：业绩证明必须具备以下材料，否则不得分：合同协议书复印件或中标（成交）通知书或获得相关部门的批复文件。所有复印件均须加盖供应商电子公章。）</w:t>
            </w:r>
          </w:p>
        </w:tc>
        <w:tc>
          <w:tcPr>
            <w:tcW w:w="900" w:type="dxa"/>
            <w:tcBorders>
              <w:left w:val="single" w:color="auto" w:sz="4" w:space="0"/>
            </w:tcBorders>
            <w:vAlign w:val="center"/>
          </w:tcPr>
          <w:p w14:paraId="67584BA7">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0~50</w:t>
            </w:r>
          </w:p>
        </w:tc>
      </w:tr>
    </w:tbl>
    <w:p w14:paraId="7D9FBA0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由磋商小组根据综合评分情况，按照评审得分由高到低顺序推荐3名成交候选供应商，并编写评审报告。符合本章第4.3条情形的，可以推荐2家成交候选供应商。</w:t>
      </w:r>
      <w:r>
        <w:rPr>
          <w:rFonts w:hint="eastAsia" w:ascii="宋体" w:hAnsi="宋体" w:cs="宋体"/>
          <w:color w:val="auto"/>
          <w:highlight w:val="none"/>
        </w:rPr>
        <w:t>得分相同的，以报价由低到高顺序排列。得分相同且报价相同的并列，响应文件满足磋商文件全部实质性要求，且按照评审因素的量化指标评审得分最高的投标人为排名第一的中标候选人</w:t>
      </w:r>
      <w:r>
        <w:rPr>
          <w:rFonts w:hint="eastAsia" w:ascii="宋体" w:hAnsi="宋体" w:cs="宋体"/>
          <w:bCs/>
          <w:color w:val="auto"/>
          <w:szCs w:val="21"/>
          <w:highlight w:val="none"/>
        </w:rPr>
        <w:t>。</w:t>
      </w:r>
    </w:p>
    <w:p w14:paraId="6DF34ECA">
      <w:pPr>
        <w:widowControl/>
        <w:jc w:val="left"/>
        <w:rPr>
          <w:color w:val="auto"/>
          <w:highlight w:val="none"/>
        </w:rPr>
      </w:pPr>
    </w:p>
    <w:p w14:paraId="4B25D084">
      <w:pPr>
        <w:rPr>
          <w:color w:val="auto"/>
          <w:highlight w:val="none"/>
        </w:rPr>
      </w:pPr>
    </w:p>
    <w:p w14:paraId="62DC8703">
      <w:pPr>
        <w:rPr>
          <w:color w:val="auto"/>
          <w:highlight w:val="none"/>
        </w:rPr>
      </w:pPr>
    </w:p>
    <w:p w14:paraId="3DA61617">
      <w:pPr>
        <w:rPr>
          <w:color w:val="auto"/>
          <w:highlight w:val="none"/>
        </w:rPr>
      </w:pPr>
    </w:p>
    <w:p w14:paraId="71FFF7F3">
      <w:pPr>
        <w:rPr>
          <w:color w:val="auto"/>
          <w:highlight w:val="none"/>
        </w:rPr>
      </w:pPr>
    </w:p>
    <w:p w14:paraId="366546E7">
      <w:pPr>
        <w:rPr>
          <w:color w:val="auto"/>
          <w:highlight w:val="none"/>
        </w:rPr>
      </w:pPr>
    </w:p>
    <w:p w14:paraId="067D647F">
      <w:pPr>
        <w:rPr>
          <w:color w:val="auto"/>
          <w:highlight w:val="none"/>
        </w:rPr>
      </w:pPr>
    </w:p>
    <w:p w14:paraId="745CA28D">
      <w:pPr>
        <w:rPr>
          <w:color w:val="auto"/>
          <w:highlight w:val="none"/>
        </w:rPr>
      </w:pPr>
    </w:p>
    <w:p w14:paraId="322CDB40">
      <w:pPr>
        <w:rPr>
          <w:color w:val="auto"/>
          <w:highlight w:val="none"/>
        </w:rPr>
      </w:pPr>
    </w:p>
    <w:p w14:paraId="39D4A9A1">
      <w:pPr>
        <w:rPr>
          <w:color w:val="auto"/>
          <w:highlight w:val="none"/>
        </w:rPr>
      </w:pPr>
    </w:p>
    <w:p w14:paraId="009959E2">
      <w:pPr>
        <w:rPr>
          <w:color w:val="auto"/>
          <w:highlight w:val="none"/>
        </w:rPr>
      </w:pPr>
    </w:p>
    <w:p w14:paraId="48A13831">
      <w:pPr>
        <w:pStyle w:val="3"/>
        <w:ind w:firstLine="2570" w:firstLineChars="800"/>
        <w:rPr>
          <w:rFonts w:ascii="宋体" w:hAnsi="宋体" w:cs="宋体"/>
          <w:color w:val="auto"/>
          <w:highlight w:val="none"/>
        </w:rPr>
      </w:pPr>
      <w:bookmarkStart w:id="66" w:name="_Toc44229897"/>
    </w:p>
    <w:p w14:paraId="22D6F337">
      <w:pPr>
        <w:rPr>
          <w:rFonts w:ascii="宋体" w:hAnsi="宋体" w:cs="宋体"/>
          <w:color w:val="auto"/>
          <w:highlight w:val="none"/>
        </w:rPr>
      </w:pPr>
    </w:p>
    <w:p w14:paraId="26E464D0">
      <w:pPr>
        <w:pStyle w:val="16"/>
        <w:rPr>
          <w:rFonts w:ascii="宋体" w:hAnsi="宋体" w:cs="宋体"/>
          <w:color w:val="auto"/>
          <w:highlight w:val="none"/>
        </w:rPr>
      </w:pPr>
    </w:p>
    <w:p w14:paraId="47BF98D5">
      <w:pPr>
        <w:pStyle w:val="16"/>
        <w:rPr>
          <w:rFonts w:ascii="宋体" w:hAnsi="宋体" w:cs="宋体"/>
          <w:color w:val="auto"/>
          <w:highlight w:val="none"/>
        </w:rPr>
      </w:pPr>
    </w:p>
    <w:p w14:paraId="5A99F238">
      <w:pPr>
        <w:pStyle w:val="16"/>
        <w:rPr>
          <w:rFonts w:ascii="宋体" w:hAnsi="宋体" w:cs="宋体"/>
          <w:color w:val="auto"/>
          <w:highlight w:val="none"/>
        </w:rPr>
      </w:pPr>
    </w:p>
    <w:p w14:paraId="5CAE36E7">
      <w:pPr>
        <w:rPr>
          <w:rFonts w:ascii="宋体" w:hAnsi="宋体" w:cs="宋体"/>
          <w:color w:val="auto"/>
          <w:highlight w:val="none"/>
        </w:rPr>
      </w:pPr>
    </w:p>
    <w:p w14:paraId="64EAE9A0">
      <w:pPr>
        <w:pStyle w:val="3"/>
        <w:jc w:val="center"/>
        <w:rPr>
          <w:rFonts w:ascii="宋体" w:hAnsi="宋体" w:cs="宋体"/>
          <w:color w:val="auto"/>
          <w:highlight w:val="none"/>
        </w:rPr>
      </w:pPr>
      <w:r>
        <w:rPr>
          <w:rFonts w:hint="eastAsia" w:ascii="宋体" w:hAnsi="宋体" w:cs="宋体"/>
          <w:color w:val="auto"/>
          <w:highlight w:val="none"/>
        </w:rPr>
        <w:t>第五章 响应文件格式</w:t>
      </w:r>
      <w:bookmarkEnd w:id="66"/>
    </w:p>
    <w:p w14:paraId="0876C022">
      <w:pPr>
        <w:spacing w:line="240" w:lineRule="atLeast"/>
        <w:rPr>
          <w:rFonts w:ascii="宋体" w:hAnsi="宋体" w:cs="宋体"/>
          <w:b/>
          <w:color w:val="auto"/>
          <w:sz w:val="32"/>
          <w:szCs w:val="32"/>
          <w:highlight w:val="none"/>
        </w:rPr>
      </w:pPr>
    </w:p>
    <w:p w14:paraId="4591C2F4">
      <w:pPr>
        <w:snapToGrid w:val="0"/>
        <w:spacing w:before="50" w:after="50"/>
        <w:rPr>
          <w:rFonts w:ascii="宋体" w:hAnsi="宋体" w:cs="宋体"/>
          <w:b/>
          <w:bCs/>
          <w:color w:val="auto"/>
          <w:sz w:val="24"/>
          <w:highlight w:val="none"/>
        </w:rPr>
      </w:pPr>
    </w:p>
    <w:p w14:paraId="415A4E09">
      <w:pPr>
        <w:snapToGrid w:val="0"/>
        <w:spacing w:before="156" w:beforeLines="50" w:after="50"/>
        <w:jc w:val="center"/>
        <w:rPr>
          <w:rFonts w:ascii="宋体" w:hAnsi="宋体" w:cs="宋体"/>
          <w:bCs/>
          <w:color w:val="auto"/>
          <w:sz w:val="24"/>
          <w:szCs w:val="20"/>
          <w:highlight w:val="none"/>
        </w:rPr>
      </w:pPr>
    </w:p>
    <w:p w14:paraId="0DFD66D7">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24758158">
      <w:pPr>
        <w:snapToGrid w:val="0"/>
        <w:spacing w:before="156" w:beforeLines="50" w:after="50"/>
        <w:rPr>
          <w:rFonts w:ascii="宋体" w:hAnsi="宋体" w:cs="宋体"/>
          <w:bCs/>
          <w:color w:val="auto"/>
          <w:sz w:val="24"/>
          <w:szCs w:val="20"/>
          <w:highlight w:val="none"/>
        </w:rPr>
      </w:pPr>
    </w:p>
    <w:p w14:paraId="0E5E6469">
      <w:pPr>
        <w:snapToGrid w:val="0"/>
        <w:spacing w:before="156" w:beforeLines="50" w:after="50"/>
        <w:rPr>
          <w:rFonts w:ascii="宋体" w:hAnsi="宋体" w:cs="宋体"/>
          <w:bCs/>
          <w:color w:val="auto"/>
          <w:sz w:val="24"/>
          <w:szCs w:val="20"/>
          <w:highlight w:val="none"/>
        </w:rPr>
      </w:pPr>
    </w:p>
    <w:p w14:paraId="193257B0">
      <w:pPr>
        <w:snapToGrid w:val="0"/>
        <w:spacing w:before="156" w:beforeLines="50" w:after="50"/>
        <w:rPr>
          <w:rFonts w:ascii="宋体" w:hAnsi="宋体" w:cs="宋体"/>
          <w:bCs/>
          <w:color w:val="auto"/>
          <w:sz w:val="32"/>
          <w:szCs w:val="32"/>
          <w:highlight w:val="none"/>
        </w:rPr>
      </w:pPr>
    </w:p>
    <w:p w14:paraId="27CAB3AA">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1D64A4D">
      <w:pPr>
        <w:snapToGrid w:val="0"/>
        <w:spacing w:before="156" w:beforeLines="50" w:after="50"/>
        <w:ind w:firstLine="480" w:firstLineChars="150"/>
        <w:rPr>
          <w:rFonts w:ascii="宋体" w:hAnsi="宋体" w:cs="宋体"/>
          <w:bCs/>
          <w:color w:val="auto"/>
          <w:sz w:val="32"/>
          <w:szCs w:val="32"/>
          <w:highlight w:val="none"/>
        </w:rPr>
      </w:pPr>
    </w:p>
    <w:p w14:paraId="2F44D62C">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5789864A">
      <w:pPr>
        <w:snapToGrid w:val="0"/>
        <w:spacing w:before="156" w:beforeLines="50" w:after="50"/>
        <w:ind w:firstLine="480" w:firstLineChars="150"/>
        <w:rPr>
          <w:rFonts w:ascii="宋体" w:hAnsi="宋体" w:cs="宋体"/>
          <w:bCs/>
          <w:color w:val="auto"/>
          <w:sz w:val="32"/>
          <w:szCs w:val="32"/>
          <w:highlight w:val="none"/>
        </w:rPr>
      </w:pPr>
    </w:p>
    <w:p w14:paraId="31ED86F6">
      <w:pPr>
        <w:snapToGrid w:val="0"/>
        <w:spacing w:before="156" w:beforeLines="50" w:after="50"/>
        <w:rPr>
          <w:rFonts w:ascii="宋体" w:hAnsi="宋体" w:cs="宋体"/>
          <w:bCs/>
          <w:color w:val="auto"/>
          <w:sz w:val="32"/>
          <w:szCs w:val="32"/>
          <w:highlight w:val="none"/>
        </w:rPr>
      </w:pPr>
    </w:p>
    <w:p w14:paraId="778FB337">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D289A46">
      <w:pPr>
        <w:snapToGrid w:val="0"/>
        <w:spacing w:before="156" w:beforeLines="50" w:after="50"/>
        <w:rPr>
          <w:rFonts w:ascii="宋体" w:hAnsi="宋体" w:cs="宋体"/>
          <w:bCs/>
          <w:color w:val="auto"/>
          <w:sz w:val="32"/>
          <w:szCs w:val="32"/>
          <w:highlight w:val="none"/>
        </w:rPr>
      </w:pPr>
    </w:p>
    <w:p w14:paraId="384065C1">
      <w:pPr>
        <w:snapToGrid w:val="0"/>
        <w:spacing w:before="156"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首次响应文件提交截止时间前不得启封</w:t>
      </w:r>
    </w:p>
    <w:p w14:paraId="7AF22F43">
      <w:pPr>
        <w:snapToGrid w:val="0"/>
        <w:spacing w:before="156" w:beforeLines="50" w:after="50"/>
        <w:ind w:firstLine="5440" w:firstLineChars="1700"/>
        <w:jc w:val="center"/>
        <w:rPr>
          <w:rFonts w:ascii="宋体" w:hAnsi="宋体" w:cs="宋体"/>
          <w:bCs/>
          <w:color w:val="auto"/>
          <w:sz w:val="32"/>
          <w:szCs w:val="32"/>
          <w:highlight w:val="none"/>
        </w:rPr>
      </w:pPr>
    </w:p>
    <w:p w14:paraId="03185314">
      <w:pPr>
        <w:snapToGrid w:val="0"/>
        <w:spacing w:before="156"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026C56D0">
      <w:pPr>
        <w:spacing w:line="240" w:lineRule="atLeast"/>
        <w:rPr>
          <w:rFonts w:ascii="宋体" w:hAnsi="宋体" w:cs="宋体"/>
          <w:bCs/>
          <w:color w:val="auto"/>
          <w:sz w:val="32"/>
          <w:szCs w:val="32"/>
          <w:highlight w:val="none"/>
        </w:rPr>
      </w:pPr>
      <w:r>
        <w:rPr>
          <w:rFonts w:hint="eastAsia" w:ascii="宋体" w:hAnsi="宋体" w:cs="宋体"/>
          <w:bCs/>
          <w:color w:val="auto"/>
          <w:sz w:val="24"/>
          <w:highlight w:val="none"/>
        </w:rPr>
        <w:br w:type="page"/>
      </w:r>
      <w:r>
        <w:rPr>
          <w:rFonts w:hint="eastAsia" w:ascii="宋体" w:hAnsi="宋体" w:cs="宋体"/>
          <w:b/>
          <w:bCs/>
          <w:color w:val="auto"/>
          <w:sz w:val="32"/>
          <w:szCs w:val="32"/>
          <w:highlight w:val="none"/>
        </w:rPr>
        <w:t>（响应文件封面格式）</w:t>
      </w:r>
    </w:p>
    <w:p w14:paraId="50E22469">
      <w:pPr>
        <w:spacing w:line="240" w:lineRule="atLeast"/>
        <w:jc w:val="center"/>
        <w:rPr>
          <w:rFonts w:ascii="宋体" w:hAnsi="宋体" w:cs="宋体"/>
          <w:bCs/>
          <w:color w:val="auto"/>
          <w:sz w:val="24"/>
          <w:highlight w:val="none"/>
        </w:rPr>
      </w:pPr>
    </w:p>
    <w:p w14:paraId="28693FF6">
      <w:pPr>
        <w:spacing w:line="240" w:lineRule="atLeast"/>
        <w:jc w:val="center"/>
        <w:rPr>
          <w:rFonts w:ascii="宋体" w:hAnsi="宋体" w:cs="宋体"/>
          <w:bCs/>
          <w:color w:val="auto"/>
          <w:sz w:val="24"/>
          <w:highlight w:val="none"/>
        </w:rPr>
      </w:pPr>
    </w:p>
    <w:p w14:paraId="342CD460">
      <w:pPr>
        <w:spacing w:line="240" w:lineRule="atLeast"/>
        <w:jc w:val="center"/>
        <w:rPr>
          <w:rFonts w:ascii="宋体" w:hAnsi="宋体" w:cs="宋体"/>
          <w:bCs/>
          <w:color w:val="auto"/>
          <w:sz w:val="24"/>
          <w:highlight w:val="none"/>
        </w:rPr>
      </w:pPr>
    </w:p>
    <w:p w14:paraId="317ADAF5">
      <w:pPr>
        <w:spacing w:line="240" w:lineRule="atLeast"/>
        <w:jc w:val="center"/>
        <w:rPr>
          <w:rFonts w:ascii="宋体" w:hAnsi="宋体" w:cs="宋体"/>
          <w:bCs/>
          <w:color w:val="auto"/>
          <w:sz w:val="44"/>
          <w:szCs w:val="44"/>
          <w:highlight w:val="none"/>
        </w:rPr>
      </w:pPr>
    </w:p>
    <w:p w14:paraId="7C606294">
      <w:pPr>
        <w:spacing w:line="240" w:lineRule="atLeast"/>
        <w:jc w:val="center"/>
        <w:rPr>
          <w:rFonts w:ascii="宋体" w:hAnsi="宋体" w:cs="宋体"/>
          <w:bCs/>
          <w:color w:val="auto"/>
          <w:sz w:val="44"/>
          <w:szCs w:val="44"/>
          <w:highlight w:val="none"/>
        </w:rPr>
      </w:pPr>
    </w:p>
    <w:p w14:paraId="2DFEF949">
      <w:pPr>
        <w:spacing w:line="240" w:lineRule="atLeast"/>
        <w:jc w:val="center"/>
        <w:rPr>
          <w:rFonts w:ascii="宋体" w:hAnsi="宋体" w:cs="宋体"/>
          <w:b/>
          <w:color w:val="auto"/>
          <w:sz w:val="32"/>
          <w:szCs w:val="32"/>
          <w:highlight w:val="none"/>
        </w:rPr>
      </w:pPr>
      <w:r>
        <w:rPr>
          <w:rFonts w:hint="eastAsia" w:ascii="宋体" w:hAnsi="宋体" w:cs="宋体"/>
          <w:bCs/>
          <w:color w:val="auto"/>
          <w:sz w:val="44"/>
          <w:szCs w:val="44"/>
          <w:highlight w:val="none"/>
        </w:rPr>
        <w:t>响  应  文  件</w:t>
      </w:r>
    </w:p>
    <w:p w14:paraId="4A4B0372">
      <w:pPr>
        <w:spacing w:line="360" w:lineRule="auto"/>
        <w:jc w:val="center"/>
        <w:rPr>
          <w:rFonts w:ascii="宋体" w:hAnsi="宋体" w:cs="宋体"/>
          <w:color w:val="auto"/>
          <w:szCs w:val="21"/>
          <w:highlight w:val="none"/>
        </w:rPr>
      </w:pPr>
    </w:p>
    <w:p w14:paraId="147113E1">
      <w:pPr>
        <w:spacing w:line="360" w:lineRule="auto"/>
        <w:jc w:val="center"/>
        <w:rPr>
          <w:rFonts w:ascii="宋体" w:hAnsi="宋体" w:cs="宋体"/>
          <w:color w:val="auto"/>
          <w:szCs w:val="21"/>
          <w:highlight w:val="none"/>
        </w:rPr>
      </w:pPr>
    </w:p>
    <w:p w14:paraId="357EF272">
      <w:pPr>
        <w:spacing w:line="360" w:lineRule="auto"/>
        <w:jc w:val="center"/>
        <w:rPr>
          <w:rFonts w:ascii="宋体" w:hAnsi="宋体" w:cs="宋体"/>
          <w:color w:val="auto"/>
          <w:szCs w:val="21"/>
          <w:highlight w:val="none"/>
        </w:rPr>
      </w:pPr>
    </w:p>
    <w:p w14:paraId="512760D0">
      <w:pPr>
        <w:spacing w:line="360" w:lineRule="auto"/>
        <w:jc w:val="center"/>
        <w:rPr>
          <w:rFonts w:ascii="宋体" w:hAnsi="宋体" w:cs="宋体"/>
          <w:color w:val="auto"/>
          <w:szCs w:val="21"/>
          <w:highlight w:val="none"/>
        </w:rPr>
      </w:pPr>
    </w:p>
    <w:p w14:paraId="2C17767B">
      <w:pPr>
        <w:spacing w:line="360" w:lineRule="auto"/>
        <w:jc w:val="left"/>
        <w:rPr>
          <w:rFonts w:ascii="宋体" w:hAnsi="宋体" w:cs="宋体"/>
          <w:color w:val="auto"/>
          <w:sz w:val="32"/>
          <w:szCs w:val="32"/>
          <w:highlight w:val="none"/>
        </w:rPr>
      </w:pPr>
    </w:p>
    <w:p w14:paraId="539842D9">
      <w:pPr>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项目名称：</w:t>
      </w:r>
    </w:p>
    <w:p w14:paraId="75104039">
      <w:pPr>
        <w:spacing w:line="360" w:lineRule="auto"/>
        <w:ind w:firstLine="640" w:firstLineChars="200"/>
        <w:jc w:val="left"/>
        <w:rPr>
          <w:rFonts w:ascii="宋体" w:hAnsi="宋体" w:cs="宋体"/>
          <w:color w:val="auto"/>
          <w:sz w:val="32"/>
          <w:szCs w:val="32"/>
          <w:highlight w:val="none"/>
          <w:u w:val="single"/>
        </w:rPr>
      </w:pPr>
    </w:p>
    <w:p w14:paraId="7FF7A8B4">
      <w:pPr>
        <w:tabs>
          <w:tab w:val="left" w:pos="3240"/>
        </w:tabs>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项目编号：</w:t>
      </w:r>
    </w:p>
    <w:p w14:paraId="4FD70CC8">
      <w:pPr>
        <w:tabs>
          <w:tab w:val="left" w:pos="3240"/>
        </w:tabs>
        <w:spacing w:line="360" w:lineRule="auto"/>
        <w:ind w:firstLine="640" w:firstLineChars="200"/>
        <w:jc w:val="left"/>
        <w:rPr>
          <w:rFonts w:ascii="宋体" w:hAnsi="宋体" w:cs="宋体"/>
          <w:color w:val="auto"/>
          <w:sz w:val="32"/>
          <w:szCs w:val="32"/>
          <w:highlight w:val="none"/>
          <w:u w:val="single"/>
        </w:rPr>
      </w:pPr>
    </w:p>
    <w:p w14:paraId="3C54E32A">
      <w:pPr>
        <w:spacing w:line="360" w:lineRule="auto"/>
        <w:ind w:firstLine="640" w:firstLineChars="200"/>
        <w:jc w:val="left"/>
        <w:rPr>
          <w:rFonts w:ascii="宋体" w:hAnsi="宋体" w:cs="宋体"/>
          <w:color w:val="auto"/>
          <w:sz w:val="32"/>
          <w:szCs w:val="32"/>
          <w:highlight w:val="none"/>
          <w:u w:val="single"/>
        </w:rPr>
      </w:pPr>
    </w:p>
    <w:p w14:paraId="3AF57574">
      <w:pPr>
        <w:spacing w:line="360" w:lineRule="auto"/>
        <w:ind w:firstLine="640" w:firstLineChars="200"/>
        <w:jc w:val="left"/>
        <w:rPr>
          <w:rFonts w:ascii="宋体" w:hAnsi="宋体" w:cs="宋体"/>
          <w:color w:val="auto"/>
          <w:sz w:val="32"/>
          <w:szCs w:val="32"/>
          <w:highlight w:val="none"/>
          <w:u w:val="single"/>
        </w:rPr>
      </w:pPr>
      <w:r>
        <w:rPr>
          <w:rFonts w:hint="eastAsia" w:ascii="宋体" w:hAnsi="宋体" w:cs="宋体"/>
          <w:color w:val="auto"/>
          <w:sz w:val="32"/>
          <w:szCs w:val="32"/>
          <w:highlight w:val="none"/>
        </w:rPr>
        <w:t>供应商名称：</w:t>
      </w:r>
    </w:p>
    <w:p w14:paraId="1B769600">
      <w:pPr>
        <w:snapToGrid w:val="0"/>
        <w:spacing w:before="156" w:beforeLines="50" w:after="50"/>
        <w:rPr>
          <w:rFonts w:ascii="宋体" w:hAnsi="宋体" w:cs="宋体"/>
          <w:color w:val="auto"/>
          <w:sz w:val="32"/>
          <w:szCs w:val="32"/>
          <w:highlight w:val="none"/>
        </w:rPr>
      </w:pPr>
    </w:p>
    <w:p w14:paraId="4CD5BBA5">
      <w:pPr>
        <w:snapToGrid w:val="0"/>
        <w:spacing w:before="156" w:beforeLines="50" w:after="50"/>
        <w:rPr>
          <w:rFonts w:ascii="宋体" w:hAnsi="宋体" w:cs="宋体"/>
          <w:color w:val="auto"/>
          <w:sz w:val="32"/>
          <w:szCs w:val="32"/>
          <w:highlight w:val="none"/>
        </w:rPr>
      </w:pPr>
    </w:p>
    <w:p w14:paraId="08799998">
      <w:pPr>
        <w:snapToGrid w:val="0"/>
        <w:spacing w:before="156" w:beforeLines="50" w:after="50"/>
        <w:rPr>
          <w:rFonts w:ascii="宋体" w:hAnsi="宋体" w:cs="宋体"/>
          <w:color w:val="auto"/>
          <w:sz w:val="32"/>
          <w:szCs w:val="32"/>
          <w:highlight w:val="none"/>
        </w:rPr>
      </w:pPr>
    </w:p>
    <w:p w14:paraId="4ACA7A5B">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05FE4C7A">
      <w:pPr>
        <w:snapToGrid w:val="0"/>
        <w:spacing w:before="156" w:beforeLines="50" w:after="50"/>
        <w:jc w:val="center"/>
        <w:rPr>
          <w:rFonts w:ascii="宋体" w:hAnsi="宋体" w:cs="宋体"/>
          <w:bCs/>
          <w:color w:val="auto"/>
          <w:sz w:val="32"/>
          <w:szCs w:val="32"/>
          <w:highlight w:val="none"/>
        </w:rPr>
      </w:pPr>
      <w:r>
        <w:rPr>
          <w:rFonts w:hint="eastAsia" w:ascii="宋体" w:hAnsi="宋体" w:cs="宋体"/>
          <w:color w:val="auto"/>
          <w:sz w:val="32"/>
          <w:szCs w:val="32"/>
          <w:highlight w:val="none"/>
        </w:rPr>
        <w:br w:type="page"/>
      </w:r>
    </w:p>
    <w:p w14:paraId="7065791F">
      <w:pPr>
        <w:snapToGrid w:val="0"/>
        <w:spacing w:before="156" w:beforeLines="50" w:after="50" w:line="360" w:lineRule="auto"/>
        <w:outlineLvl w:val="1"/>
        <w:rPr>
          <w:rFonts w:ascii="宋体" w:hAnsi="宋体" w:cs="宋体"/>
          <w:b/>
          <w:bCs/>
          <w:color w:val="auto"/>
          <w:sz w:val="32"/>
          <w:szCs w:val="32"/>
          <w:highlight w:val="none"/>
        </w:rPr>
      </w:pPr>
      <w:bookmarkStart w:id="67" w:name="_Toc31723070"/>
      <w:bookmarkStart w:id="68" w:name="_Toc31728084"/>
      <w:bookmarkStart w:id="69" w:name="_Toc44229899"/>
      <w:bookmarkStart w:id="70" w:name="_Toc35611516"/>
      <w:bookmarkStart w:id="71" w:name="_Toc35611438"/>
      <w:r>
        <w:rPr>
          <w:rFonts w:hint="eastAsia" w:ascii="宋体" w:hAnsi="宋体" w:cs="宋体"/>
          <w:b/>
          <w:bCs/>
          <w:color w:val="auto"/>
          <w:sz w:val="32"/>
          <w:szCs w:val="32"/>
          <w:highlight w:val="none"/>
        </w:rPr>
        <w:t>一、资格证明文件格式</w:t>
      </w:r>
      <w:bookmarkEnd w:id="67"/>
      <w:bookmarkEnd w:id="68"/>
      <w:bookmarkEnd w:id="69"/>
      <w:bookmarkEnd w:id="70"/>
      <w:bookmarkEnd w:id="71"/>
    </w:p>
    <w:p w14:paraId="37871D9C">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p>
    <w:p w14:paraId="4674273C">
      <w:pPr>
        <w:snapToGrid w:val="0"/>
        <w:spacing w:before="156" w:beforeLines="50" w:after="50"/>
        <w:rPr>
          <w:rFonts w:ascii="宋体" w:hAnsi="宋体" w:cs="宋体"/>
          <w:bCs/>
          <w:color w:val="auto"/>
          <w:sz w:val="32"/>
          <w:szCs w:val="20"/>
          <w:highlight w:val="none"/>
        </w:rPr>
      </w:pPr>
    </w:p>
    <w:p w14:paraId="10604C99">
      <w:pPr>
        <w:snapToGrid w:val="0"/>
        <w:spacing w:before="156" w:beforeLines="50" w:after="50"/>
        <w:rPr>
          <w:rFonts w:ascii="宋体" w:hAnsi="宋体" w:cs="宋体"/>
          <w:color w:val="auto"/>
          <w:sz w:val="24"/>
          <w:szCs w:val="20"/>
          <w:highlight w:val="none"/>
        </w:rPr>
      </w:pPr>
    </w:p>
    <w:p w14:paraId="27492EF5">
      <w:pPr>
        <w:snapToGrid w:val="0"/>
        <w:spacing w:before="156" w:beforeLines="50" w:after="50"/>
        <w:rPr>
          <w:rFonts w:ascii="宋体" w:hAnsi="宋体" w:cs="宋体"/>
          <w:color w:val="auto"/>
          <w:sz w:val="24"/>
          <w:szCs w:val="20"/>
          <w:highlight w:val="none"/>
        </w:rPr>
      </w:pPr>
    </w:p>
    <w:p w14:paraId="7F92751A">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40416A8A">
      <w:pPr>
        <w:snapToGrid w:val="0"/>
        <w:spacing w:before="156" w:beforeLines="50" w:after="50"/>
        <w:rPr>
          <w:rFonts w:ascii="宋体" w:hAnsi="宋体" w:cs="宋体"/>
          <w:bCs/>
          <w:color w:val="auto"/>
          <w:sz w:val="24"/>
          <w:szCs w:val="20"/>
          <w:highlight w:val="none"/>
        </w:rPr>
      </w:pPr>
    </w:p>
    <w:p w14:paraId="7E4E4261">
      <w:pPr>
        <w:snapToGrid w:val="0"/>
        <w:spacing w:before="156" w:beforeLines="50" w:after="50"/>
        <w:rPr>
          <w:rFonts w:ascii="宋体" w:hAnsi="宋体" w:cs="宋体"/>
          <w:bCs/>
          <w:color w:val="auto"/>
          <w:sz w:val="24"/>
          <w:szCs w:val="20"/>
          <w:highlight w:val="none"/>
        </w:rPr>
      </w:pPr>
    </w:p>
    <w:p w14:paraId="11F1232C">
      <w:pPr>
        <w:snapToGrid w:val="0"/>
        <w:spacing w:before="156" w:beforeLines="50" w:after="50"/>
        <w:rPr>
          <w:rFonts w:ascii="宋体" w:hAnsi="宋体" w:cs="宋体"/>
          <w:bCs/>
          <w:color w:val="auto"/>
          <w:sz w:val="24"/>
          <w:szCs w:val="20"/>
          <w:highlight w:val="none"/>
        </w:rPr>
      </w:pPr>
    </w:p>
    <w:p w14:paraId="6A3E1207">
      <w:pPr>
        <w:snapToGrid w:val="0"/>
        <w:spacing w:before="156" w:beforeLines="50" w:after="50"/>
        <w:rPr>
          <w:rFonts w:ascii="宋体" w:hAnsi="宋体" w:cs="宋体"/>
          <w:bCs/>
          <w:color w:val="auto"/>
          <w:sz w:val="24"/>
          <w:szCs w:val="20"/>
          <w:highlight w:val="none"/>
        </w:rPr>
      </w:pPr>
    </w:p>
    <w:p w14:paraId="69C04E5F">
      <w:pPr>
        <w:snapToGrid w:val="0"/>
        <w:spacing w:before="156" w:beforeLines="50" w:after="50"/>
        <w:rPr>
          <w:rFonts w:ascii="宋体" w:hAnsi="宋体" w:cs="宋体"/>
          <w:bCs/>
          <w:color w:val="auto"/>
          <w:sz w:val="24"/>
          <w:szCs w:val="20"/>
          <w:highlight w:val="none"/>
        </w:rPr>
      </w:pPr>
    </w:p>
    <w:p w14:paraId="4674A50C">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41AEB024">
      <w:pPr>
        <w:snapToGrid w:val="0"/>
        <w:spacing w:before="156" w:beforeLines="50" w:after="50"/>
        <w:ind w:firstLine="720" w:firstLineChars="225"/>
        <w:rPr>
          <w:rFonts w:ascii="宋体" w:hAnsi="宋体" w:cs="宋体"/>
          <w:bCs/>
          <w:color w:val="auto"/>
          <w:sz w:val="32"/>
          <w:szCs w:val="32"/>
          <w:highlight w:val="none"/>
        </w:rPr>
      </w:pPr>
    </w:p>
    <w:p w14:paraId="72059C02">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6736939">
      <w:pPr>
        <w:snapToGrid w:val="0"/>
        <w:spacing w:before="156" w:beforeLines="50" w:after="50"/>
        <w:ind w:firstLine="720" w:firstLineChars="225"/>
        <w:rPr>
          <w:rFonts w:ascii="宋体" w:hAnsi="宋体" w:cs="宋体"/>
          <w:bCs/>
          <w:color w:val="auto"/>
          <w:sz w:val="32"/>
          <w:szCs w:val="32"/>
          <w:highlight w:val="none"/>
        </w:rPr>
      </w:pPr>
    </w:p>
    <w:p w14:paraId="0D73B8C9">
      <w:pPr>
        <w:snapToGrid w:val="0"/>
        <w:spacing w:before="156" w:beforeLines="50" w:after="50"/>
        <w:ind w:firstLine="720" w:firstLineChars="225"/>
        <w:rPr>
          <w:rFonts w:ascii="宋体" w:hAnsi="宋体" w:cs="宋体"/>
          <w:bCs/>
          <w:color w:val="auto"/>
          <w:sz w:val="32"/>
          <w:szCs w:val="32"/>
          <w:highlight w:val="none"/>
        </w:rPr>
      </w:pPr>
    </w:p>
    <w:p w14:paraId="6F6E099E">
      <w:pPr>
        <w:pStyle w:val="7"/>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A463146">
      <w:pPr>
        <w:pStyle w:val="7"/>
        <w:snapToGrid w:val="0"/>
        <w:spacing w:before="50" w:after="50"/>
        <w:ind w:firstLine="720" w:firstLineChars="225"/>
        <w:rPr>
          <w:rFonts w:ascii="宋体" w:hAnsi="宋体" w:cs="宋体"/>
          <w:bCs/>
          <w:color w:val="auto"/>
          <w:sz w:val="32"/>
          <w:szCs w:val="32"/>
          <w:highlight w:val="none"/>
        </w:rPr>
      </w:pPr>
    </w:p>
    <w:p w14:paraId="2077E4FE">
      <w:pPr>
        <w:pStyle w:val="7"/>
        <w:snapToGrid w:val="0"/>
        <w:spacing w:before="50" w:after="50"/>
        <w:ind w:firstLine="720" w:firstLineChars="225"/>
        <w:rPr>
          <w:rFonts w:ascii="宋体" w:hAnsi="宋体" w:cs="宋体"/>
          <w:bCs/>
          <w:color w:val="auto"/>
          <w:sz w:val="32"/>
          <w:szCs w:val="32"/>
          <w:highlight w:val="none"/>
        </w:rPr>
      </w:pPr>
    </w:p>
    <w:p w14:paraId="145ABA05">
      <w:pPr>
        <w:pStyle w:val="7"/>
        <w:snapToGrid w:val="0"/>
        <w:spacing w:before="50" w:after="50"/>
        <w:ind w:firstLine="720" w:firstLineChars="225"/>
        <w:rPr>
          <w:rFonts w:ascii="宋体" w:hAnsi="宋体" w:cs="宋体"/>
          <w:bCs/>
          <w:color w:val="auto"/>
          <w:sz w:val="32"/>
          <w:szCs w:val="32"/>
          <w:highlight w:val="none"/>
        </w:rPr>
      </w:pPr>
    </w:p>
    <w:p w14:paraId="33E9E388">
      <w:pPr>
        <w:pStyle w:val="7"/>
        <w:snapToGrid w:val="0"/>
        <w:spacing w:before="50" w:after="50"/>
        <w:ind w:firstLine="1280" w:firstLineChars="400"/>
        <w:rPr>
          <w:rFonts w:ascii="宋体" w:hAnsi="宋体" w:cs="宋体"/>
          <w:bCs/>
          <w:color w:val="auto"/>
          <w:sz w:val="32"/>
          <w:szCs w:val="32"/>
          <w:highlight w:val="none"/>
        </w:rPr>
      </w:pPr>
    </w:p>
    <w:p w14:paraId="29511702">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668C06D">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7EA0E6E8">
      <w:pPr>
        <w:snapToGrid w:val="0"/>
        <w:spacing w:before="156"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4F1373A9">
      <w:pPr>
        <w:snapToGrid w:val="0"/>
        <w:spacing w:before="156" w:beforeLines="50" w:after="50"/>
        <w:rPr>
          <w:rFonts w:ascii="宋体" w:hAnsi="宋体" w:cs="宋体"/>
          <w:color w:val="auto"/>
          <w:sz w:val="24"/>
          <w:szCs w:val="20"/>
          <w:highlight w:val="none"/>
        </w:rPr>
      </w:pPr>
    </w:p>
    <w:p w14:paraId="3158CD84">
      <w:pPr>
        <w:spacing w:line="300" w:lineRule="auto"/>
        <w:rPr>
          <w:rFonts w:ascii="宋体" w:hAnsi="宋体" w:cs="宋体"/>
          <w:color w:val="auto"/>
          <w:szCs w:val="21"/>
          <w:highlight w:val="none"/>
        </w:rPr>
      </w:pPr>
    </w:p>
    <w:p w14:paraId="34E6788F">
      <w:pPr>
        <w:spacing w:line="300" w:lineRule="auto"/>
        <w:rPr>
          <w:rFonts w:ascii="宋体" w:hAnsi="宋体" w:cs="宋体"/>
          <w:color w:val="auto"/>
          <w:szCs w:val="21"/>
          <w:highlight w:val="none"/>
        </w:rPr>
      </w:pPr>
    </w:p>
    <w:p w14:paraId="30CAEA56">
      <w:pPr>
        <w:spacing w:line="300" w:lineRule="auto"/>
        <w:rPr>
          <w:rFonts w:ascii="宋体" w:hAnsi="宋体" w:cs="宋体"/>
          <w:color w:val="auto"/>
          <w:szCs w:val="21"/>
          <w:highlight w:val="none"/>
        </w:rPr>
      </w:pPr>
    </w:p>
    <w:p w14:paraId="253C84BD">
      <w:pPr>
        <w:spacing w:line="300" w:lineRule="auto"/>
        <w:rPr>
          <w:rFonts w:ascii="宋体" w:hAnsi="宋体" w:cs="宋体"/>
          <w:color w:val="auto"/>
          <w:szCs w:val="21"/>
          <w:highlight w:val="none"/>
        </w:rPr>
      </w:pPr>
    </w:p>
    <w:p w14:paraId="4D15A3A0">
      <w:pPr>
        <w:spacing w:line="300" w:lineRule="auto"/>
        <w:rPr>
          <w:rFonts w:ascii="宋体" w:hAnsi="宋体" w:cs="宋体"/>
          <w:color w:val="auto"/>
          <w:szCs w:val="21"/>
          <w:highlight w:val="none"/>
        </w:rPr>
      </w:pPr>
    </w:p>
    <w:p w14:paraId="09E0C71B">
      <w:pPr>
        <w:spacing w:line="300" w:lineRule="auto"/>
        <w:rPr>
          <w:rFonts w:ascii="宋体" w:hAnsi="宋体" w:cs="宋体"/>
          <w:color w:val="auto"/>
          <w:szCs w:val="21"/>
          <w:highlight w:val="none"/>
        </w:rPr>
      </w:pPr>
    </w:p>
    <w:p w14:paraId="71361193">
      <w:pPr>
        <w:spacing w:line="300" w:lineRule="auto"/>
        <w:rPr>
          <w:rFonts w:ascii="宋体" w:hAnsi="宋体" w:cs="宋体"/>
          <w:color w:val="auto"/>
          <w:szCs w:val="21"/>
          <w:highlight w:val="none"/>
        </w:rPr>
      </w:pPr>
    </w:p>
    <w:p w14:paraId="2EBEF3A4">
      <w:pPr>
        <w:spacing w:line="300" w:lineRule="auto"/>
        <w:rPr>
          <w:rFonts w:ascii="宋体" w:hAnsi="宋体" w:cs="宋体"/>
          <w:color w:val="auto"/>
          <w:szCs w:val="21"/>
          <w:highlight w:val="none"/>
        </w:rPr>
      </w:pPr>
    </w:p>
    <w:p w14:paraId="49D97625">
      <w:pPr>
        <w:spacing w:line="300" w:lineRule="auto"/>
        <w:rPr>
          <w:rFonts w:ascii="宋体" w:hAnsi="宋体" w:cs="宋体"/>
          <w:color w:val="auto"/>
          <w:szCs w:val="21"/>
          <w:highlight w:val="none"/>
        </w:rPr>
      </w:pPr>
    </w:p>
    <w:p w14:paraId="292B40CA">
      <w:pPr>
        <w:spacing w:line="300" w:lineRule="auto"/>
        <w:rPr>
          <w:rFonts w:ascii="宋体" w:hAnsi="宋体" w:cs="宋体"/>
          <w:color w:val="auto"/>
          <w:szCs w:val="21"/>
          <w:highlight w:val="none"/>
        </w:rPr>
      </w:pPr>
    </w:p>
    <w:p w14:paraId="4B99B9D1">
      <w:pPr>
        <w:spacing w:line="300" w:lineRule="auto"/>
        <w:rPr>
          <w:rFonts w:ascii="宋体" w:hAnsi="宋体" w:cs="宋体"/>
          <w:color w:val="auto"/>
          <w:szCs w:val="21"/>
          <w:highlight w:val="none"/>
        </w:rPr>
      </w:pPr>
    </w:p>
    <w:p w14:paraId="45FD8B0E">
      <w:pPr>
        <w:spacing w:line="300" w:lineRule="auto"/>
        <w:rPr>
          <w:rFonts w:ascii="宋体" w:hAnsi="宋体" w:cs="宋体"/>
          <w:color w:val="auto"/>
          <w:szCs w:val="21"/>
          <w:highlight w:val="none"/>
        </w:rPr>
      </w:pPr>
    </w:p>
    <w:p w14:paraId="7B20E476">
      <w:pPr>
        <w:spacing w:line="300" w:lineRule="auto"/>
        <w:rPr>
          <w:rFonts w:ascii="宋体" w:hAnsi="宋体" w:cs="宋体"/>
          <w:color w:val="auto"/>
          <w:szCs w:val="21"/>
          <w:highlight w:val="none"/>
        </w:rPr>
      </w:pPr>
    </w:p>
    <w:p w14:paraId="64B0CB77">
      <w:pPr>
        <w:spacing w:line="300" w:lineRule="auto"/>
        <w:rPr>
          <w:rFonts w:ascii="宋体" w:hAnsi="宋体" w:cs="宋体"/>
          <w:color w:val="auto"/>
          <w:szCs w:val="21"/>
          <w:highlight w:val="none"/>
        </w:rPr>
      </w:pPr>
    </w:p>
    <w:p w14:paraId="10F3291D">
      <w:pPr>
        <w:spacing w:line="300" w:lineRule="auto"/>
        <w:rPr>
          <w:rFonts w:ascii="宋体" w:hAnsi="宋体" w:cs="宋体"/>
          <w:color w:val="auto"/>
          <w:szCs w:val="21"/>
          <w:highlight w:val="none"/>
        </w:rPr>
      </w:pPr>
    </w:p>
    <w:p w14:paraId="4F167B19">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br w:type="page"/>
      </w:r>
    </w:p>
    <w:p w14:paraId="2A61D063">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24F939D1">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tbl>
      <w:tblPr>
        <w:tblStyle w:val="21"/>
        <w:tblW w:w="9534" w:type="dxa"/>
        <w:jc w:val="center"/>
        <w:shd w:val="clear" w:color="auto" w:fill="FBFBFB"/>
        <w:tblLayout w:type="fixed"/>
        <w:tblCellMar>
          <w:top w:w="0" w:type="dxa"/>
          <w:left w:w="0" w:type="dxa"/>
          <w:bottom w:w="0" w:type="dxa"/>
          <w:right w:w="0" w:type="dxa"/>
        </w:tblCellMar>
      </w:tblPr>
      <w:tblGrid>
        <w:gridCol w:w="880"/>
        <w:gridCol w:w="1874"/>
        <w:gridCol w:w="1605"/>
        <w:gridCol w:w="3915"/>
        <w:gridCol w:w="1260"/>
      </w:tblGrid>
      <w:tr w14:paraId="5549C3C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5C2C5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A60E71">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6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72DD4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1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93590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D90AD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81CF4F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36149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8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58CD15">
            <w:pPr>
              <w:widowControl/>
              <w:spacing w:line="360" w:lineRule="auto"/>
              <w:jc w:val="center"/>
              <w:rPr>
                <w:rFonts w:ascii="宋体" w:hAnsi="宋体" w:cs="宋体"/>
                <w:color w:val="auto"/>
                <w:kern w:val="0"/>
                <w:sz w:val="24"/>
                <w:highlight w:val="none"/>
              </w:rPr>
            </w:pPr>
          </w:p>
        </w:tc>
        <w:tc>
          <w:tcPr>
            <w:tcW w:w="16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C3D9D9">
            <w:pPr>
              <w:widowControl/>
              <w:spacing w:line="360" w:lineRule="auto"/>
              <w:jc w:val="center"/>
              <w:rPr>
                <w:rFonts w:ascii="宋体" w:hAnsi="宋体" w:cs="宋体"/>
                <w:color w:val="auto"/>
                <w:kern w:val="0"/>
                <w:sz w:val="24"/>
                <w:highlight w:val="none"/>
              </w:rPr>
            </w:pPr>
          </w:p>
        </w:tc>
        <w:tc>
          <w:tcPr>
            <w:tcW w:w="391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8710C8">
            <w:pPr>
              <w:widowControl/>
              <w:spacing w:line="360" w:lineRule="auto"/>
              <w:jc w:val="center"/>
              <w:rPr>
                <w:rFonts w:ascii="宋体" w:hAnsi="宋体" w:cs="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E08916">
            <w:pPr>
              <w:widowControl/>
              <w:spacing w:line="360" w:lineRule="auto"/>
              <w:jc w:val="center"/>
              <w:rPr>
                <w:rFonts w:ascii="宋体" w:hAnsi="宋体" w:cs="宋体"/>
                <w:color w:val="auto"/>
                <w:kern w:val="0"/>
                <w:sz w:val="24"/>
                <w:highlight w:val="none"/>
              </w:rPr>
            </w:pPr>
          </w:p>
        </w:tc>
      </w:tr>
      <w:tr w14:paraId="7FF60BD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6F261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8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9F0945">
            <w:pPr>
              <w:widowControl/>
              <w:spacing w:line="360" w:lineRule="auto"/>
              <w:jc w:val="center"/>
              <w:rPr>
                <w:rFonts w:ascii="宋体" w:hAnsi="宋体" w:cs="宋体"/>
                <w:color w:val="auto"/>
                <w:kern w:val="0"/>
                <w:sz w:val="24"/>
                <w:highlight w:val="none"/>
              </w:rPr>
            </w:pPr>
          </w:p>
        </w:tc>
        <w:tc>
          <w:tcPr>
            <w:tcW w:w="16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E5C637">
            <w:pPr>
              <w:widowControl/>
              <w:spacing w:line="360" w:lineRule="auto"/>
              <w:jc w:val="center"/>
              <w:rPr>
                <w:rFonts w:ascii="宋体" w:hAnsi="宋体" w:cs="宋体"/>
                <w:color w:val="auto"/>
                <w:kern w:val="0"/>
                <w:sz w:val="24"/>
                <w:highlight w:val="none"/>
              </w:rPr>
            </w:pPr>
          </w:p>
        </w:tc>
        <w:tc>
          <w:tcPr>
            <w:tcW w:w="391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CF3C35">
            <w:pPr>
              <w:widowControl/>
              <w:spacing w:line="360" w:lineRule="auto"/>
              <w:jc w:val="center"/>
              <w:rPr>
                <w:rFonts w:ascii="宋体" w:hAnsi="宋体" w:cs="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560477">
            <w:pPr>
              <w:widowControl/>
              <w:spacing w:line="360" w:lineRule="auto"/>
              <w:jc w:val="center"/>
              <w:rPr>
                <w:rFonts w:ascii="宋体" w:hAnsi="宋体" w:cs="宋体"/>
                <w:color w:val="auto"/>
                <w:kern w:val="0"/>
                <w:sz w:val="24"/>
                <w:highlight w:val="none"/>
              </w:rPr>
            </w:pPr>
          </w:p>
        </w:tc>
      </w:tr>
      <w:tr w14:paraId="72E7989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C91FD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8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FA44A6">
            <w:pPr>
              <w:widowControl/>
              <w:spacing w:line="360" w:lineRule="auto"/>
              <w:jc w:val="center"/>
              <w:rPr>
                <w:rFonts w:ascii="宋体" w:hAnsi="宋体" w:cs="宋体"/>
                <w:color w:val="auto"/>
                <w:kern w:val="0"/>
                <w:sz w:val="24"/>
                <w:highlight w:val="none"/>
              </w:rPr>
            </w:pPr>
          </w:p>
        </w:tc>
        <w:tc>
          <w:tcPr>
            <w:tcW w:w="16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24CF68">
            <w:pPr>
              <w:widowControl/>
              <w:spacing w:line="360" w:lineRule="auto"/>
              <w:jc w:val="center"/>
              <w:rPr>
                <w:rFonts w:ascii="宋体" w:hAnsi="宋体" w:cs="宋体"/>
                <w:color w:val="auto"/>
                <w:kern w:val="0"/>
                <w:sz w:val="24"/>
                <w:highlight w:val="none"/>
              </w:rPr>
            </w:pPr>
          </w:p>
        </w:tc>
        <w:tc>
          <w:tcPr>
            <w:tcW w:w="391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DDD294">
            <w:pPr>
              <w:widowControl/>
              <w:spacing w:line="360" w:lineRule="auto"/>
              <w:jc w:val="center"/>
              <w:rPr>
                <w:rFonts w:ascii="宋体" w:hAnsi="宋体" w:cs="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B1F6BB">
            <w:pPr>
              <w:widowControl/>
              <w:spacing w:line="360" w:lineRule="auto"/>
              <w:jc w:val="center"/>
              <w:rPr>
                <w:rFonts w:ascii="宋体" w:hAnsi="宋体" w:cs="宋体"/>
                <w:color w:val="auto"/>
                <w:kern w:val="0"/>
                <w:sz w:val="24"/>
                <w:highlight w:val="none"/>
              </w:rPr>
            </w:pPr>
          </w:p>
        </w:tc>
      </w:tr>
      <w:tr w14:paraId="1402242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A4D53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8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A6DADF">
            <w:pPr>
              <w:widowControl/>
              <w:spacing w:line="360" w:lineRule="auto"/>
              <w:jc w:val="center"/>
              <w:rPr>
                <w:rFonts w:ascii="宋体" w:hAnsi="宋体" w:cs="宋体"/>
                <w:color w:val="auto"/>
                <w:kern w:val="0"/>
                <w:sz w:val="24"/>
                <w:highlight w:val="none"/>
              </w:rPr>
            </w:pPr>
          </w:p>
        </w:tc>
        <w:tc>
          <w:tcPr>
            <w:tcW w:w="16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FA45D8">
            <w:pPr>
              <w:widowControl/>
              <w:spacing w:line="360" w:lineRule="auto"/>
              <w:jc w:val="center"/>
              <w:rPr>
                <w:rFonts w:ascii="宋体" w:hAnsi="宋体" w:cs="宋体"/>
                <w:color w:val="auto"/>
                <w:kern w:val="0"/>
                <w:sz w:val="24"/>
                <w:highlight w:val="none"/>
              </w:rPr>
            </w:pPr>
          </w:p>
        </w:tc>
        <w:tc>
          <w:tcPr>
            <w:tcW w:w="391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FB9BC2">
            <w:pPr>
              <w:widowControl/>
              <w:spacing w:line="360" w:lineRule="auto"/>
              <w:jc w:val="center"/>
              <w:rPr>
                <w:rFonts w:ascii="宋体" w:hAnsi="宋体" w:cs="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EAEFF5">
            <w:pPr>
              <w:widowControl/>
              <w:spacing w:line="360" w:lineRule="auto"/>
              <w:jc w:val="center"/>
              <w:rPr>
                <w:rFonts w:ascii="宋体" w:hAnsi="宋体" w:cs="宋体"/>
                <w:color w:val="auto"/>
                <w:kern w:val="0"/>
                <w:sz w:val="24"/>
                <w:highlight w:val="none"/>
              </w:rPr>
            </w:pPr>
          </w:p>
        </w:tc>
      </w:tr>
    </w:tbl>
    <w:p w14:paraId="3F6CE89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1884E7F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DFD4F9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97C84A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7A99A1E3">
      <w:pPr>
        <w:snapToGrid w:val="0"/>
        <w:spacing w:line="360" w:lineRule="auto"/>
        <w:ind w:firstLine="480" w:firstLineChars="200"/>
        <w:jc w:val="left"/>
        <w:rPr>
          <w:rFonts w:ascii="宋体" w:hAnsi="宋体" w:cs="宋体"/>
          <w:color w:val="auto"/>
          <w:sz w:val="24"/>
          <w:highlight w:val="none"/>
        </w:rPr>
      </w:pPr>
    </w:p>
    <w:p w14:paraId="3FDC7EBD">
      <w:pPr>
        <w:rPr>
          <w:color w:val="auto"/>
          <w:highlight w:val="none"/>
        </w:rPr>
      </w:pPr>
    </w:p>
    <w:p w14:paraId="29560D74">
      <w:pPr>
        <w:rPr>
          <w:color w:val="auto"/>
          <w:highlight w:val="none"/>
        </w:rPr>
      </w:pPr>
    </w:p>
    <w:p w14:paraId="51A3D85A">
      <w:pPr>
        <w:rPr>
          <w:color w:val="auto"/>
          <w:highlight w:val="none"/>
        </w:rPr>
      </w:pPr>
    </w:p>
    <w:p w14:paraId="314F2D55">
      <w:pPr>
        <w:rPr>
          <w:color w:val="auto"/>
          <w:highlight w:val="none"/>
        </w:rPr>
      </w:pPr>
    </w:p>
    <w:p w14:paraId="42EDC471">
      <w:pPr>
        <w:rPr>
          <w:color w:val="auto"/>
          <w:highlight w:val="none"/>
        </w:rPr>
      </w:pPr>
    </w:p>
    <w:p w14:paraId="4BFD2C71">
      <w:pPr>
        <w:snapToGrid w:val="0"/>
        <w:spacing w:before="156" w:beforeLines="50" w:line="360" w:lineRule="auto"/>
        <w:ind w:right="480" w:firstLine="1920" w:firstLineChars="80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p>
    <w:p w14:paraId="7EE3017C">
      <w:pPr>
        <w:snapToGrid w:val="0"/>
        <w:spacing w:before="156" w:beforeLines="50" w:after="50" w:line="360" w:lineRule="auto"/>
        <w:ind w:right="480" w:firstLine="3000" w:firstLineChars="1250"/>
        <w:rPr>
          <w:rFonts w:ascii="宋体" w:hAnsi="宋体" w:cs="宋体"/>
          <w:color w:val="auto"/>
          <w:sz w:val="24"/>
          <w:highlight w:val="none"/>
          <w:u w:val="single"/>
        </w:rPr>
      </w:pPr>
      <w:r>
        <w:rPr>
          <w:rFonts w:hint="eastAsia" w:ascii="宋体" w:hAnsi="宋体" w:cs="宋体"/>
          <w:color w:val="auto"/>
          <w:sz w:val="24"/>
          <w:highlight w:val="none"/>
        </w:rPr>
        <w:t>供应商（盖公章 ）：</w:t>
      </w:r>
    </w:p>
    <w:p w14:paraId="23D0E434">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2C6899B7">
      <w:pPr>
        <w:snapToGrid w:val="0"/>
        <w:jc w:val="center"/>
        <w:rPr>
          <w:rFonts w:ascii="宋体" w:hAnsi="宋体" w:cs="宋体"/>
          <w:b/>
          <w:color w:val="auto"/>
          <w:sz w:val="32"/>
          <w:szCs w:val="32"/>
          <w:highlight w:val="none"/>
        </w:rPr>
      </w:pPr>
    </w:p>
    <w:p w14:paraId="7C114A7E">
      <w:pPr>
        <w:snapToGrid w:val="0"/>
        <w:jc w:val="center"/>
        <w:rPr>
          <w:rFonts w:ascii="宋体" w:hAnsi="宋体" w:cs="宋体"/>
          <w:b/>
          <w:color w:val="auto"/>
          <w:sz w:val="32"/>
          <w:szCs w:val="32"/>
          <w:highlight w:val="none"/>
        </w:rPr>
      </w:pPr>
    </w:p>
    <w:p w14:paraId="082CB6D6">
      <w:pPr>
        <w:snapToGrid w:val="0"/>
        <w:jc w:val="center"/>
        <w:rPr>
          <w:rFonts w:ascii="宋体" w:hAnsi="宋体" w:cs="宋体"/>
          <w:b/>
          <w:color w:val="auto"/>
          <w:sz w:val="32"/>
          <w:szCs w:val="32"/>
          <w:highlight w:val="none"/>
        </w:rPr>
      </w:pPr>
    </w:p>
    <w:p w14:paraId="0CCF0833">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41DD1532">
      <w:pPr>
        <w:snapToGrid w:val="0"/>
        <w:spacing w:line="360" w:lineRule="auto"/>
        <w:jc w:val="center"/>
        <w:rPr>
          <w:rFonts w:ascii="宋体" w:hAnsi="宋体" w:cs="宋体"/>
          <w:b/>
          <w:color w:val="auto"/>
          <w:sz w:val="24"/>
          <w:highlight w:val="none"/>
        </w:rPr>
      </w:pPr>
    </w:p>
    <w:tbl>
      <w:tblPr>
        <w:tblStyle w:val="21"/>
        <w:tblW w:w="8867" w:type="dxa"/>
        <w:jc w:val="center"/>
        <w:shd w:val="clear" w:color="auto" w:fill="FBFBFB"/>
        <w:tblLayout w:type="fixed"/>
        <w:tblCellMar>
          <w:top w:w="0" w:type="dxa"/>
          <w:left w:w="0" w:type="dxa"/>
          <w:bottom w:w="0" w:type="dxa"/>
          <w:right w:w="0" w:type="dxa"/>
        </w:tblCellMar>
      </w:tblPr>
      <w:tblGrid>
        <w:gridCol w:w="808"/>
        <w:gridCol w:w="3094"/>
        <w:gridCol w:w="3000"/>
        <w:gridCol w:w="1965"/>
      </w:tblGrid>
      <w:tr w14:paraId="71BB5DD3">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D0A89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09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2F7F7E">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0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F97784">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F4156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A3D89A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FDEE9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09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35E53F">
            <w:pPr>
              <w:widowControl/>
              <w:spacing w:line="360" w:lineRule="auto"/>
              <w:jc w:val="center"/>
              <w:rPr>
                <w:rFonts w:ascii="宋体" w:hAnsi="宋体" w:cs="宋体"/>
                <w:color w:val="auto"/>
                <w:kern w:val="0"/>
                <w:sz w:val="24"/>
                <w:highlight w:val="none"/>
              </w:rPr>
            </w:pPr>
          </w:p>
        </w:tc>
        <w:tc>
          <w:tcPr>
            <w:tcW w:w="30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6ED230">
            <w:pPr>
              <w:widowControl/>
              <w:spacing w:line="360" w:lineRule="auto"/>
              <w:jc w:val="center"/>
              <w:rPr>
                <w:rFonts w:ascii="宋体" w:hAnsi="宋体" w:cs="宋体"/>
                <w:color w:val="auto"/>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12A4AB">
            <w:pPr>
              <w:widowControl/>
              <w:spacing w:line="360" w:lineRule="auto"/>
              <w:jc w:val="center"/>
              <w:rPr>
                <w:rFonts w:ascii="宋体" w:hAnsi="宋体" w:cs="宋体"/>
                <w:color w:val="auto"/>
                <w:kern w:val="0"/>
                <w:sz w:val="24"/>
                <w:highlight w:val="none"/>
              </w:rPr>
            </w:pPr>
          </w:p>
        </w:tc>
      </w:tr>
      <w:tr w14:paraId="5BFB0C9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F3815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09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21DD3E">
            <w:pPr>
              <w:widowControl/>
              <w:spacing w:line="360" w:lineRule="auto"/>
              <w:jc w:val="center"/>
              <w:rPr>
                <w:rFonts w:ascii="宋体" w:hAnsi="宋体" w:cs="宋体"/>
                <w:color w:val="auto"/>
                <w:kern w:val="0"/>
                <w:sz w:val="24"/>
                <w:highlight w:val="none"/>
              </w:rPr>
            </w:pPr>
          </w:p>
        </w:tc>
        <w:tc>
          <w:tcPr>
            <w:tcW w:w="30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9C98C6">
            <w:pPr>
              <w:widowControl/>
              <w:spacing w:line="360" w:lineRule="auto"/>
              <w:jc w:val="center"/>
              <w:rPr>
                <w:rFonts w:ascii="宋体" w:hAnsi="宋体" w:cs="宋体"/>
                <w:color w:val="auto"/>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50611A">
            <w:pPr>
              <w:widowControl/>
              <w:spacing w:line="360" w:lineRule="auto"/>
              <w:jc w:val="center"/>
              <w:rPr>
                <w:rFonts w:ascii="宋体" w:hAnsi="宋体" w:cs="宋体"/>
                <w:color w:val="auto"/>
                <w:kern w:val="0"/>
                <w:sz w:val="24"/>
                <w:highlight w:val="none"/>
              </w:rPr>
            </w:pPr>
          </w:p>
        </w:tc>
      </w:tr>
      <w:tr w14:paraId="0F48003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2B308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09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32A74C">
            <w:pPr>
              <w:widowControl/>
              <w:spacing w:line="360" w:lineRule="auto"/>
              <w:jc w:val="center"/>
              <w:rPr>
                <w:rFonts w:ascii="宋体" w:hAnsi="宋体" w:cs="宋体"/>
                <w:color w:val="auto"/>
                <w:kern w:val="0"/>
                <w:sz w:val="24"/>
                <w:highlight w:val="none"/>
              </w:rPr>
            </w:pPr>
          </w:p>
        </w:tc>
        <w:tc>
          <w:tcPr>
            <w:tcW w:w="30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7918F4">
            <w:pPr>
              <w:widowControl/>
              <w:spacing w:line="360" w:lineRule="auto"/>
              <w:jc w:val="center"/>
              <w:rPr>
                <w:rFonts w:ascii="宋体" w:hAnsi="宋体" w:cs="宋体"/>
                <w:color w:val="auto"/>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FE0C30">
            <w:pPr>
              <w:widowControl/>
              <w:spacing w:line="360" w:lineRule="auto"/>
              <w:jc w:val="center"/>
              <w:rPr>
                <w:rFonts w:ascii="宋体" w:hAnsi="宋体" w:cs="宋体"/>
                <w:color w:val="auto"/>
                <w:kern w:val="0"/>
                <w:sz w:val="24"/>
                <w:highlight w:val="none"/>
              </w:rPr>
            </w:pPr>
          </w:p>
        </w:tc>
      </w:tr>
      <w:tr w14:paraId="0A57290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25B51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09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EB4DDE">
            <w:pPr>
              <w:widowControl/>
              <w:spacing w:line="360" w:lineRule="auto"/>
              <w:jc w:val="center"/>
              <w:rPr>
                <w:rFonts w:ascii="宋体" w:hAnsi="宋体" w:cs="宋体"/>
                <w:color w:val="auto"/>
                <w:kern w:val="0"/>
                <w:sz w:val="24"/>
                <w:highlight w:val="none"/>
              </w:rPr>
            </w:pPr>
          </w:p>
        </w:tc>
        <w:tc>
          <w:tcPr>
            <w:tcW w:w="30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F97E6E">
            <w:pPr>
              <w:widowControl/>
              <w:spacing w:line="360" w:lineRule="auto"/>
              <w:jc w:val="center"/>
              <w:rPr>
                <w:rFonts w:ascii="宋体" w:hAnsi="宋体" w:cs="宋体"/>
                <w:color w:val="auto"/>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FCAD94">
            <w:pPr>
              <w:widowControl/>
              <w:spacing w:line="360" w:lineRule="auto"/>
              <w:jc w:val="center"/>
              <w:rPr>
                <w:rFonts w:ascii="宋体" w:hAnsi="宋体" w:cs="宋体"/>
                <w:color w:val="auto"/>
                <w:kern w:val="0"/>
                <w:sz w:val="24"/>
                <w:highlight w:val="none"/>
              </w:rPr>
            </w:pPr>
          </w:p>
        </w:tc>
      </w:tr>
    </w:tbl>
    <w:p w14:paraId="2FB1EE0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786B815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5DE1525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7D3E776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61B98856">
      <w:pPr>
        <w:snapToGrid w:val="0"/>
        <w:spacing w:line="360" w:lineRule="auto"/>
        <w:jc w:val="left"/>
        <w:rPr>
          <w:rFonts w:ascii="宋体" w:hAnsi="宋体" w:cs="宋体"/>
          <w:color w:val="auto"/>
          <w:sz w:val="24"/>
          <w:highlight w:val="none"/>
        </w:rPr>
      </w:pPr>
    </w:p>
    <w:p w14:paraId="2E6C37C7">
      <w:pPr>
        <w:snapToGrid w:val="0"/>
        <w:spacing w:line="360" w:lineRule="auto"/>
        <w:jc w:val="left"/>
        <w:rPr>
          <w:rFonts w:ascii="宋体" w:hAnsi="宋体" w:cs="宋体"/>
          <w:color w:val="auto"/>
          <w:sz w:val="24"/>
          <w:highlight w:val="none"/>
        </w:rPr>
      </w:pPr>
    </w:p>
    <w:p w14:paraId="17D7F7BD">
      <w:pPr>
        <w:snapToGrid w:val="0"/>
        <w:spacing w:line="360" w:lineRule="auto"/>
        <w:jc w:val="left"/>
        <w:rPr>
          <w:rFonts w:ascii="宋体" w:hAnsi="宋体" w:cs="宋体"/>
          <w:color w:val="auto"/>
          <w:sz w:val="24"/>
          <w:highlight w:val="none"/>
        </w:rPr>
      </w:pPr>
    </w:p>
    <w:p w14:paraId="063D3810">
      <w:pPr>
        <w:snapToGrid w:val="0"/>
        <w:spacing w:line="360" w:lineRule="auto"/>
        <w:jc w:val="left"/>
        <w:rPr>
          <w:rFonts w:ascii="宋体" w:hAnsi="宋体" w:cs="宋体"/>
          <w:color w:val="auto"/>
          <w:sz w:val="24"/>
          <w:highlight w:val="none"/>
        </w:rPr>
      </w:pPr>
    </w:p>
    <w:p w14:paraId="67741F61">
      <w:pPr>
        <w:snapToGrid w:val="0"/>
        <w:spacing w:line="360" w:lineRule="auto"/>
        <w:jc w:val="left"/>
        <w:rPr>
          <w:rFonts w:ascii="宋体" w:hAnsi="宋体" w:cs="宋体"/>
          <w:color w:val="auto"/>
          <w:sz w:val="24"/>
          <w:highlight w:val="none"/>
        </w:rPr>
      </w:pPr>
    </w:p>
    <w:p w14:paraId="093A4C3F">
      <w:pPr>
        <w:snapToGrid w:val="0"/>
        <w:spacing w:line="360" w:lineRule="auto"/>
        <w:jc w:val="left"/>
        <w:rPr>
          <w:rFonts w:ascii="宋体" w:hAnsi="宋体" w:cs="宋体"/>
          <w:color w:val="auto"/>
          <w:sz w:val="24"/>
          <w:highlight w:val="none"/>
        </w:rPr>
      </w:pPr>
    </w:p>
    <w:p w14:paraId="66C4E978">
      <w:pPr>
        <w:snapToGrid w:val="0"/>
        <w:spacing w:before="156" w:beforeLines="50" w:line="360" w:lineRule="auto"/>
        <w:ind w:right="480" w:firstLine="2160" w:firstLineChars="90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p>
    <w:p w14:paraId="4CFDEE22">
      <w:pPr>
        <w:snapToGrid w:val="0"/>
        <w:spacing w:before="156" w:beforeLines="50" w:after="50" w:line="360" w:lineRule="auto"/>
        <w:ind w:right="480" w:firstLine="3360" w:firstLineChars="1400"/>
        <w:rPr>
          <w:rFonts w:ascii="宋体" w:hAnsi="宋体" w:cs="宋体"/>
          <w:color w:val="auto"/>
          <w:sz w:val="24"/>
          <w:highlight w:val="none"/>
        </w:rPr>
      </w:pPr>
      <w:r>
        <w:rPr>
          <w:rFonts w:hint="eastAsia" w:ascii="宋体" w:hAnsi="宋体" w:cs="宋体"/>
          <w:color w:val="auto"/>
          <w:sz w:val="24"/>
          <w:highlight w:val="none"/>
        </w:rPr>
        <w:t>供应商（盖公章）：</w:t>
      </w:r>
    </w:p>
    <w:p w14:paraId="20BB7867">
      <w:pPr>
        <w:snapToGrid w:val="0"/>
        <w:spacing w:before="156" w:beforeLines="50" w:after="50" w:line="360" w:lineRule="auto"/>
        <w:ind w:right="480" w:firstLine="240" w:firstLineChars="100"/>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14:paraId="2F7716FA">
      <w:pPr>
        <w:spacing w:line="320" w:lineRule="exact"/>
        <w:jc w:val="center"/>
        <w:rPr>
          <w:rFonts w:ascii="宋体" w:hAnsi="宋体" w:cs="宋体"/>
          <w:color w:val="auto"/>
          <w:sz w:val="28"/>
          <w:szCs w:val="28"/>
          <w:highlight w:val="none"/>
        </w:rPr>
      </w:pPr>
    </w:p>
    <w:p w14:paraId="5E556D92">
      <w:pPr>
        <w:pStyle w:val="12"/>
        <w:ind w:left="0" w:firstLine="0"/>
        <w:jc w:val="center"/>
        <w:rPr>
          <w:color w:val="auto"/>
          <w:highlight w:val="none"/>
        </w:rPr>
      </w:pPr>
      <w:r>
        <w:rPr>
          <w:rFonts w:hint="eastAsia"/>
          <w:color w:val="auto"/>
          <w:sz w:val="28"/>
          <w:szCs w:val="28"/>
          <w:highlight w:val="none"/>
        </w:rPr>
        <w:br w:type="page"/>
      </w:r>
      <w:r>
        <w:rPr>
          <w:rFonts w:hint="eastAsia"/>
          <w:color w:val="auto"/>
          <w:highlight w:val="none"/>
        </w:rPr>
        <w:t>竞标声明</w:t>
      </w:r>
    </w:p>
    <w:p w14:paraId="17882D92">
      <w:pPr>
        <w:spacing w:line="320" w:lineRule="exact"/>
        <w:jc w:val="center"/>
        <w:rPr>
          <w:rFonts w:ascii="宋体" w:hAnsi="宋体" w:cs="宋体"/>
          <w:color w:val="auto"/>
          <w:sz w:val="24"/>
          <w:szCs w:val="20"/>
          <w:highlight w:val="none"/>
        </w:rPr>
      </w:pPr>
    </w:p>
    <w:p w14:paraId="19EE73CB">
      <w:pPr>
        <w:spacing w:before="156" w:beforeLines="50" w:after="50"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（采购单位名称）</w:t>
      </w:r>
      <w:r>
        <w:rPr>
          <w:rFonts w:hint="eastAsia" w:ascii="宋体" w:hAnsi="宋体" w:cs="宋体"/>
          <w:color w:val="auto"/>
          <w:sz w:val="24"/>
          <w:highlight w:val="none"/>
        </w:rPr>
        <w:t>：</w:t>
      </w:r>
    </w:p>
    <w:p w14:paraId="2058646B">
      <w:pPr>
        <w:spacing w:before="156" w:beforeLines="50" w:after="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115E778E">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C30D37E">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2FF2C216">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051B954">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2D1ADE91">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23FA21AD">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DB69ACF">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230620C">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1CE1AA84">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F1BCD01">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6CFA025">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06BC221">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B688575">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67CF1A1">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6B221F2">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30AE69C2">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39DB58E">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1A9099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3B94D8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4DB5D1A1">
      <w:pPr>
        <w:pStyle w:val="12"/>
        <w:numPr>
          <w:ilvl w:val="0"/>
          <w:numId w:val="5"/>
        </w:numPr>
        <w:rPr>
          <w:b w:val="0"/>
          <w:bCs/>
          <w:color w:val="auto"/>
          <w:sz w:val="24"/>
          <w:szCs w:val="24"/>
          <w:highlight w:val="none"/>
        </w:rPr>
      </w:pPr>
      <w:r>
        <w:rPr>
          <w:rFonts w:hint="eastAsia"/>
          <w:b w:val="0"/>
          <w:bCs/>
          <w:color w:val="auto"/>
          <w:sz w:val="24"/>
          <w:szCs w:val="24"/>
          <w:highlight w:val="none"/>
        </w:rPr>
        <w:t>与本磋商有关的一切正式往来信函请寄：邮政编号：</w:t>
      </w:r>
    </w:p>
    <w:p w14:paraId="08C2C0F0">
      <w:pPr>
        <w:pStyle w:val="12"/>
        <w:rPr>
          <w:b w:val="0"/>
          <w:bCs/>
          <w:color w:val="auto"/>
          <w:sz w:val="24"/>
          <w:szCs w:val="24"/>
          <w:highlight w:val="none"/>
        </w:rPr>
      </w:pPr>
      <w:r>
        <w:rPr>
          <w:rFonts w:hint="eastAsia"/>
          <w:b w:val="0"/>
          <w:bCs/>
          <w:color w:val="auto"/>
          <w:sz w:val="24"/>
          <w:szCs w:val="24"/>
          <w:highlight w:val="none"/>
        </w:rPr>
        <w:t>电话</w:t>
      </w:r>
      <w:r>
        <w:rPr>
          <w:b w:val="0"/>
          <w:bCs/>
          <w:color w:val="auto"/>
          <w:sz w:val="24"/>
          <w:szCs w:val="24"/>
          <w:highlight w:val="none"/>
        </w:rPr>
        <w:t xml:space="preserve">/传真： </w:t>
      </w:r>
      <w:r>
        <w:rPr>
          <w:rFonts w:hint="eastAsia"/>
          <w:b w:val="0"/>
          <w:bCs/>
          <w:color w:val="auto"/>
          <w:sz w:val="24"/>
          <w:szCs w:val="24"/>
          <w:highlight w:val="none"/>
        </w:rPr>
        <w:t>电子函件：</w:t>
      </w:r>
    </w:p>
    <w:p w14:paraId="1C29307A">
      <w:pPr>
        <w:pStyle w:val="14"/>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帐号：</w:t>
      </w:r>
    </w:p>
    <w:p w14:paraId="66C44545">
      <w:pPr>
        <w:pStyle w:val="14"/>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227D68A">
      <w:pPr>
        <w:pStyle w:val="14"/>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7EBFBDD6">
      <w:pPr>
        <w:pStyle w:val="14"/>
        <w:tabs>
          <w:tab w:val="left" w:pos="939"/>
        </w:tabs>
        <w:spacing w:line="360" w:lineRule="auto"/>
        <w:ind w:left="0" w:leftChars="0" w:firstLine="480" w:firstLineChars="200"/>
        <w:rPr>
          <w:rFonts w:ascii="宋体" w:hAnsi="宋体" w:cs="宋体"/>
          <w:color w:val="auto"/>
          <w:sz w:val="24"/>
          <w:highlight w:val="none"/>
        </w:rPr>
      </w:pPr>
    </w:p>
    <w:p w14:paraId="2227F62E">
      <w:pPr>
        <w:pStyle w:val="14"/>
        <w:tabs>
          <w:tab w:val="left" w:pos="939"/>
        </w:tabs>
        <w:spacing w:line="360" w:lineRule="auto"/>
        <w:ind w:left="0" w:leftChars="0" w:firstLine="480" w:firstLineChars="200"/>
        <w:rPr>
          <w:rFonts w:ascii="宋体" w:hAnsi="宋体" w:cs="宋体"/>
          <w:color w:val="auto"/>
          <w:sz w:val="24"/>
          <w:highlight w:val="none"/>
        </w:rPr>
      </w:pPr>
    </w:p>
    <w:p w14:paraId="42E16B61">
      <w:pPr>
        <w:pStyle w:val="14"/>
        <w:tabs>
          <w:tab w:val="left" w:pos="939"/>
        </w:tabs>
        <w:spacing w:line="360" w:lineRule="auto"/>
        <w:ind w:left="0" w:leftChars="0" w:firstLine="480" w:firstLineChars="200"/>
        <w:rPr>
          <w:rFonts w:ascii="宋体" w:hAnsi="宋体" w:cs="宋体"/>
          <w:color w:val="auto"/>
          <w:sz w:val="24"/>
          <w:highlight w:val="none"/>
        </w:rPr>
      </w:pPr>
    </w:p>
    <w:p w14:paraId="5EF0EFA5">
      <w:pPr>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法定代表人或者委托代理人（签字）：</w:t>
      </w:r>
    </w:p>
    <w:p w14:paraId="18301216">
      <w:pPr>
        <w:spacing w:line="360" w:lineRule="auto"/>
        <w:ind w:firstLine="4320" w:firstLineChars="1800"/>
        <w:rPr>
          <w:rFonts w:ascii="宋体" w:hAnsi="宋体" w:cs="宋体"/>
          <w:color w:val="auto"/>
          <w:sz w:val="24"/>
          <w:highlight w:val="none"/>
          <w:u w:val="single"/>
        </w:rPr>
      </w:pPr>
      <w:r>
        <w:rPr>
          <w:rFonts w:hint="eastAsia" w:ascii="宋体" w:hAnsi="宋体" w:cs="宋体"/>
          <w:color w:val="auto"/>
          <w:sz w:val="24"/>
          <w:highlight w:val="none"/>
        </w:rPr>
        <w:t>供应商（盖公章）：</w:t>
      </w:r>
    </w:p>
    <w:p w14:paraId="630F784B">
      <w:pPr>
        <w:snapToGrid w:val="0"/>
        <w:spacing w:before="156" w:beforeLines="50" w:after="50" w:line="360" w:lineRule="auto"/>
        <w:ind w:right="480" w:firstLine="240" w:firstLineChars="100"/>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14:paraId="50FAB05C">
      <w:pPr>
        <w:pStyle w:val="7"/>
        <w:overflowPunct w:val="0"/>
        <w:spacing w:line="520" w:lineRule="exact"/>
        <w:ind w:firstLine="0"/>
        <w:rPr>
          <w:rFonts w:ascii="宋体" w:hAnsi="宋体" w:cs="宋体"/>
          <w:color w:val="auto"/>
          <w:sz w:val="32"/>
          <w:szCs w:val="32"/>
          <w:highlight w:val="none"/>
        </w:rPr>
      </w:pPr>
    </w:p>
    <w:p w14:paraId="3EE9A469">
      <w:pPr>
        <w:pStyle w:val="7"/>
        <w:overflowPunct w:val="0"/>
        <w:ind w:firstLine="0"/>
        <w:rPr>
          <w:rFonts w:ascii="宋体" w:hAnsi="宋体" w:cs="宋体"/>
          <w:color w:val="auto"/>
          <w:sz w:val="30"/>
          <w:highlight w:val="none"/>
        </w:rPr>
      </w:pPr>
    </w:p>
    <w:p w14:paraId="23AAF593">
      <w:pPr>
        <w:snapToGrid w:val="0"/>
        <w:spacing w:before="156" w:beforeLines="50" w:after="50" w:line="360" w:lineRule="auto"/>
        <w:ind w:right="480" w:firstLine="321" w:firstLineChars="100"/>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 xml:space="preserve">报价商务技术文件格式 </w:t>
      </w:r>
    </w:p>
    <w:p w14:paraId="55C4B1A7">
      <w:pPr>
        <w:snapToGrid w:val="0"/>
        <w:spacing w:before="156" w:beforeLines="50" w:after="50" w:line="360" w:lineRule="auto"/>
        <w:jc w:val="left"/>
        <w:rPr>
          <w:rFonts w:ascii="宋体" w:hAnsi="宋体" w:cs="宋体"/>
          <w:b/>
          <w:color w:val="auto"/>
          <w:sz w:val="32"/>
          <w:szCs w:val="32"/>
          <w:highlight w:val="none"/>
        </w:rPr>
      </w:pPr>
    </w:p>
    <w:p w14:paraId="75454618">
      <w:pPr>
        <w:snapToGrid w:val="0"/>
        <w:spacing w:before="156" w:beforeLines="50" w:after="50"/>
        <w:rPr>
          <w:rFonts w:ascii="宋体" w:hAnsi="宋体" w:cs="宋体"/>
          <w:bCs/>
          <w:color w:val="auto"/>
          <w:sz w:val="32"/>
          <w:szCs w:val="20"/>
          <w:highlight w:val="none"/>
        </w:rPr>
      </w:pPr>
    </w:p>
    <w:p w14:paraId="35408A8C">
      <w:pPr>
        <w:snapToGrid w:val="0"/>
        <w:spacing w:before="156" w:beforeLines="50" w:after="50"/>
        <w:rPr>
          <w:rFonts w:ascii="宋体" w:hAnsi="宋体" w:cs="宋体"/>
          <w:color w:val="auto"/>
          <w:sz w:val="24"/>
          <w:szCs w:val="20"/>
          <w:highlight w:val="none"/>
        </w:rPr>
      </w:pPr>
    </w:p>
    <w:p w14:paraId="12DBC706">
      <w:pPr>
        <w:snapToGrid w:val="0"/>
        <w:spacing w:before="156" w:beforeLines="50" w:after="50"/>
        <w:rPr>
          <w:rFonts w:ascii="宋体" w:hAnsi="宋体" w:cs="宋体"/>
          <w:color w:val="auto"/>
          <w:sz w:val="24"/>
          <w:szCs w:val="20"/>
          <w:highlight w:val="none"/>
        </w:rPr>
      </w:pPr>
    </w:p>
    <w:p w14:paraId="61568533">
      <w:pPr>
        <w:snapToGrid w:val="0"/>
        <w:spacing w:before="156" w:beforeLines="50" w:after="50"/>
        <w:rPr>
          <w:rFonts w:ascii="宋体" w:hAnsi="宋体" w:cs="宋体"/>
          <w:color w:val="auto"/>
          <w:sz w:val="24"/>
          <w:szCs w:val="20"/>
          <w:highlight w:val="none"/>
        </w:rPr>
      </w:pPr>
    </w:p>
    <w:p w14:paraId="26CC8C41">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商  务  技  术  文  件</w:t>
      </w:r>
    </w:p>
    <w:p w14:paraId="49174831">
      <w:pPr>
        <w:snapToGrid w:val="0"/>
        <w:spacing w:before="156" w:beforeLines="50" w:after="50"/>
        <w:rPr>
          <w:rFonts w:ascii="宋体" w:hAnsi="宋体" w:cs="宋体"/>
          <w:bCs/>
          <w:color w:val="auto"/>
          <w:sz w:val="24"/>
          <w:szCs w:val="20"/>
          <w:highlight w:val="none"/>
        </w:rPr>
      </w:pPr>
    </w:p>
    <w:p w14:paraId="47AB57E6">
      <w:pPr>
        <w:snapToGrid w:val="0"/>
        <w:spacing w:before="156" w:beforeLines="50" w:after="50"/>
        <w:rPr>
          <w:rFonts w:ascii="宋体" w:hAnsi="宋体" w:cs="宋体"/>
          <w:bCs/>
          <w:color w:val="auto"/>
          <w:sz w:val="24"/>
          <w:szCs w:val="20"/>
          <w:highlight w:val="none"/>
        </w:rPr>
      </w:pPr>
    </w:p>
    <w:p w14:paraId="2BEFD78A">
      <w:pPr>
        <w:snapToGrid w:val="0"/>
        <w:spacing w:before="156" w:beforeLines="50" w:after="50"/>
        <w:rPr>
          <w:rFonts w:ascii="宋体" w:hAnsi="宋体" w:cs="宋体"/>
          <w:bCs/>
          <w:color w:val="auto"/>
          <w:sz w:val="24"/>
          <w:szCs w:val="20"/>
          <w:highlight w:val="none"/>
        </w:rPr>
      </w:pPr>
    </w:p>
    <w:p w14:paraId="6613FA90">
      <w:pPr>
        <w:snapToGrid w:val="0"/>
        <w:spacing w:before="156" w:beforeLines="50" w:after="50"/>
        <w:rPr>
          <w:rFonts w:ascii="宋体" w:hAnsi="宋体" w:cs="宋体"/>
          <w:bCs/>
          <w:color w:val="auto"/>
          <w:sz w:val="24"/>
          <w:szCs w:val="20"/>
          <w:highlight w:val="none"/>
        </w:rPr>
      </w:pPr>
    </w:p>
    <w:p w14:paraId="2F500532">
      <w:pPr>
        <w:snapToGrid w:val="0"/>
        <w:spacing w:before="156" w:beforeLines="50" w:after="50"/>
        <w:rPr>
          <w:rFonts w:ascii="宋体" w:hAnsi="宋体" w:cs="宋体"/>
          <w:bCs/>
          <w:color w:val="auto"/>
          <w:sz w:val="24"/>
          <w:szCs w:val="20"/>
          <w:highlight w:val="none"/>
        </w:rPr>
      </w:pPr>
    </w:p>
    <w:p w14:paraId="1A3DF210">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F9CCB6E">
      <w:pPr>
        <w:snapToGrid w:val="0"/>
        <w:spacing w:before="156" w:beforeLines="50" w:after="50"/>
        <w:ind w:firstLine="720" w:firstLineChars="225"/>
        <w:rPr>
          <w:rFonts w:ascii="宋体" w:hAnsi="宋体" w:cs="宋体"/>
          <w:bCs/>
          <w:color w:val="auto"/>
          <w:sz w:val="32"/>
          <w:szCs w:val="32"/>
          <w:highlight w:val="none"/>
        </w:rPr>
      </w:pPr>
    </w:p>
    <w:p w14:paraId="33907EBC">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0625F2E0">
      <w:pPr>
        <w:snapToGrid w:val="0"/>
        <w:spacing w:before="156" w:beforeLines="50" w:after="50"/>
        <w:ind w:firstLine="720" w:firstLineChars="225"/>
        <w:rPr>
          <w:rFonts w:ascii="宋体" w:hAnsi="宋体" w:cs="宋体"/>
          <w:bCs/>
          <w:color w:val="auto"/>
          <w:sz w:val="32"/>
          <w:szCs w:val="32"/>
          <w:highlight w:val="none"/>
        </w:rPr>
      </w:pPr>
    </w:p>
    <w:p w14:paraId="73967D3F">
      <w:pPr>
        <w:snapToGrid w:val="0"/>
        <w:spacing w:before="156" w:beforeLines="50" w:after="50"/>
        <w:ind w:firstLine="720" w:firstLineChars="225"/>
        <w:rPr>
          <w:rFonts w:ascii="宋体" w:hAnsi="宋体" w:cs="宋体"/>
          <w:bCs/>
          <w:color w:val="auto"/>
          <w:sz w:val="32"/>
          <w:szCs w:val="32"/>
          <w:highlight w:val="none"/>
        </w:rPr>
      </w:pPr>
    </w:p>
    <w:p w14:paraId="3EC46CBD">
      <w:pPr>
        <w:pStyle w:val="7"/>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53C937A">
      <w:pPr>
        <w:pStyle w:val="7"/>
        <w:snapToGrid w:val="0"/>
        <w:spacing w:before="50" w:after="50"/>
        <w:ind w:firstLine="720" w:firstLineChars="225"/>
        <w:rPr>
          <w:rFonts w:ascii="宋体" w:hAnsi="宋体" w:cs="宋体"/>
          <w:bCs/>
          <w:color w:val="auto"/>
          <w:sz w:val="32"/>
          <w:szCs w:val="32"/>
          <w:highlight w:val="none"/>
        </w:rPr>
      </w:pPr>
    </w:p>
    <w:p w14:paraId="58DDBB6D">
      <w:pPr>
        <w:pStyle w:val="7"/>
        <w:snapToGrid w:val="0"/>
        <w:spacing w:before="50" w:after="50"/>
        <w:ind w:firstLine="720" w:firstLineChars="225"/>
        <w:rPr>
          <w:rFonts w:ascii="宋体" w:hAnsi="宋体" w:cs="宋体"/>
          <w:bCs/>
          <w:color w:val="auto"/>
          <w:sz w:val="32"/>
          <w:szCs w:val="32"/>
          <w:highlight w:val="none"/>
        </w:rPr>
      </w:pPr>
    </w:p>
    <w:p w14:paraId="175D05EF">
      <w:pPr>
        <w:pStyle w:val="7"/>
        <w:snapToGrid w:val="0"/>
        <w:spacing w:before="50" w:after="50"/>
        <w:ind w:firstLine="1280" w:firstLineChars="400"/>
        <w:rPr>
          <w:rFonts w:ascii="宋体" w:hAnsi="宋体" w:cs="宋体"/>
          <w:bCs/>
          <w:color w:val="auto"/>
          <w:sz w:val="32"/>
          <w:szCs w:val="32"/>
          <w:highlight w:val="none"/>
        </w:rPr>
      </w:pPr>
    </w:p>
    <w:p w14:paraId="244BFBE2">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CC2BB2E">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14:paraId="01F7AF5A">
      <w:pPr>
        <w:snapToGrid w:val="0"/>
        <w:spacing w:before="156" w:beforeLines="50" w:after="50"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04E45624">
      <w:pPr>
        <w:spacing w:line="400" w:lineRule="exact"/>
        <w:rPr>
          <w:rFonts w:ascii="宋体" w:hAnsi="宋体" w:cs="宋体"/>
          <w:color w:val="auto"/>
          <w:sz w:val="32"/>
          <w:szCs w:val="32"/>
          <w:highlight w:val="none"/>
        </w:rPr>
      </w:pPr>
    </w:p>
    <w:p w14:paraId="54579B5D">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32"/>
          <w:szCs w:val="32"/>
          <w:highlight w:val="none"/>
        </w:rPr>
        <w:t>无串通竞标行为的承诺函</w:t>
      </w:r>
    </w:p>
    <w:p w14:paraId="66C22F22">
      <w:pPr>
        <w:spacing w:line="400" w:lineRule="exact"/>
        <w:ind w:firstLine="640" w:firstLineChars="200"/>
        <w:rPr>
          <w:rFonts w:ascii="宋体" w:hAnsi="宋体" w:cs="宋体"/>
          <w:color w:val="auto"/>
          <w:sz w:val="32"/>
          <w:szCs w:val="32"/>
          <w:highlight w:val="none"/>
        </w:rPr>
      </w:pPr>
    </w:p>
    <w:p w14:paraId="3F658B1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11A379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1.不同供应商的响应文件由同一单位或者个人编制；或者不同供应商报名的IP地址一致的；</w:t>
      </w:r>
    </w:p>
    <w:p w14:paraId="475E80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7BFD65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343C7E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14:paraId="101F71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3ABD76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0D8026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62FAB0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717B74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4384E0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7DD1FD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1CF8EA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483146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3902A2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02EC780D">
      <w:pPr>
        <w:spacing w:line="360" w:lineRule="auto"/>
        <w:ind w:firstLine="480" w:firstLineChars="200"/>
        <w:rPr>
          <w:rFonts w:ascii="宋体" w:hAnsi="宋体" w:cs="宋体"/>
          <w:color w:val="auto"/>
          <w:sz w:val="24"/>
          <w:highlight w:val="none"/>
        </w:rPr>
      </w:pPr>
    </w:p>
    <w:p w14:paraId="0D1E00D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1864ABA0">
      <w:pPr>
        <w:spacing w:line="360" w:lineRule="auto"/>
        <w:rPr>
          <w:rFonts w:ascii="宋体" w:hAnsi="宋体" w:cs="宋体"/>
          <w:color w:val="auto"/>
          <w:sz w:val="24"/>
          <w:highlight w:val="none"/>
        </w:rPr>
      </w:pPr>
    </w:p>
    <w:p w14:paraId="2771AE0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供应商（盖公章）：</w:t>
      </w:r>
    </w:p>
    <w:p w14:paraId="4FDB7BFE">
      <w:pPr>
        <w:spacing w:line="360" w:lineRule="auto"/>
        <w:ind w:firstLine="480" w:firstLineChars="200"/>
        <w:jc w:val="center"/>
        <w:rPr>
          <w:rFonts w:ascii="宋体" w:hAnsi="宋体" w:cs="宋体"/>
          <w:color w:val="auto"/>
          <w:sz w:val="32"/>
          <w:szCs w:val="32"/>
          <w:highlight w:val="none"/>
        </w:rPr>
      </w:pPr>
      <w:r>
        <w:rPr>
          <w:rFonts w:hint="eastAsia" w:ascii="宋体" w:hAnsi="宋体" w:cs="宋体"/>
          <w:color w:val="auto"/>
          <w:sz w:val="24"/>
          <w:highlight w:val="none"/>
        </w:rPr>
        <w:t xml:space="preserve">                               年   月   日</w:t>
      </w:r>
    </w:p>
    <w:p w14:paraId="256CE5ED">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br w:type="page"/>
      </w:r>
      <w:r>
        <w:rPr>
          <w:rFonts w:hint="eastAsia" w:ascii="宋体" w:hAnsi="宋体" w:cs="宋体"/>
          <w:bCs/>
          <w:color w:val="auto"/>
          <w:sz w:val="32"/>
          <w:szCs w:val="32"/>
          <w:highlight w:val="none"/>
        </w:rPr>
        <w:t>竞标报价表</w:t>
      </w:r>
    </w:p>
    <w:p w14:paraId="5F8025FD">
      <w:pPr>
        <w:spacing w:line="440" w:lineRule="exact"/>
        <w:jc w:val="center"/>
        <w:rPr>
          <w:rFonts w:ascii="宋体" w:hAnsi="宋体" w:cs="宋体"/>
          <w:bCs/>
          <w:color w:val="auto"/>
          <w:sz w:val="32"/>
          <w:szCs w:val="32"/>
          <w:highlight w:val="none"/>
        </w:rPr>
      </w:pPr>
    </w:p>
    <w:p w14:paraId="5A05DD31">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6FF25FFE">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供应商名称：</w:t>
      </w:r>
    </w:p>
    <w:tbl>
      <w:tblPr>
        <w:tblStyle w:val="21"/>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20"/>
        <w:gridCol w:w="2428"/>
        <w:gridCol w:w="1005"/>
        <w:gridCol w:w="1215"/>
        <w:gridCol w:w="1380"/>
        <w:gridCol w:w="1275"/>
        <w:gridCol w:w="864"/>
      </w:tblGrid>
      <w:tr w14:paraId="5704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A4CF191">
            <w:pPr>
              <w:spacing w:line="320" w:lineRule="exact"/>
              <w:jc w:val="center"/>
              <w:rPr>
                <w:rFonts w:ascii="宋体" w:hAnsi="宋体"/>
                <w:color w:val="auto"/>
                <w:szCs w:val="22"/>
                <w:highlight w:val="none"/>
              </w:rPr>
            </w:pPr>
            <w:r>
              <w:rPr>
                <w:rFonts w:hint="eastAsia" w:ascii="宋体" w:hAnsi="宋体"/>
                <w:color w:val="auto"/>
                <w:szCs w:val="22"/>
                <w:highlight w:val="none"/>
              </w:rPr>
              <w:t>序号</w:t>
            </w:r>
          </w:p>
        </w:tc>
        <w:tc>
          <w:tcPr>
            <w:tcW w:w="920" w:type="dxa"/>
            <w:tcBorders>
              <w:top w:val="single" w:color="auto" w:sz="4" w:space="0"/>
              <w:left w:val="single" w:color="auto" w:sz="4" w:space="0"/>
              <w:bottom w:val="single" w:color="auto" w:sz="4" w:space="0"/>
              <w:right w:val="single" w:color="auto" w:sz="4" w:space="0"/>
            </w:tcBorders>
            <w:vAlign w:val="center"/>
          </w:tcPr>
          <w:p w14:paraId="6EB4CA95">
            <w:pPr>
              <w:spacing w:line="320" w:lineRule="exact"/>
              <w:jc w:val="center"/>
              <w:rPr>
                <w:rFonts w:ascii="宋体" w:hAnsi="宋体"/>
                <w:color w:val="auto"/>
                <w:szCs w:val="22"/>
                <w:highlight w:val="none"/>
              </w:rPr>
            </w:pPr>
            <w:r>
              <w:rPr>
                <w:rFonts w:hint="eastAsia" w:ascii="宋体" w:hAnsi="宋体"/>
                <w:color w:val="auto"/>
                <w:szCs w:val="22"/>
                <w:highlight w:val="none"/>
              </w:rPr>
              <w:t>标的的名称</w:t>
            </w:r>
          </w:p>
        </w:tc>
        <w:tc>
          <w:tcPr>
            <w:tcW w:w="2428" w:type="dxa"/>
            <w:tcBorders>
              <w:top w:val="single" w:color="auto" w:sz="4" w:space="0"/>
              <w:left w:val="single" w:color="auto" w:sz="4" w:space="0"/>
              <w:bottom w:val="single" w:color="auto" w:sz="4" w:space="0"/>
              <w:right w:val="single" w:color="auto" w:sz="4" w:space="0"/>
            </w:tcBorders>
            <w:vAlign w:val="center"/>
          </w:tcPr>
          <w:p w14:paraId="1DA20509">
            <w:pPr>
              <w:spacing w:line="320" w:lineRule="exact"/>
              <w:jc w:val="center"/>
              <w:rPr>
                <w:rFonts w:ascii="宋体" w:hAnsi="宋体"/>
                <w:color w:val="auto"/>
                <w:szCs w:val="22"/>
                <w:highlight w:val="none"/>
              </w:rPr>
            </w:pPr>
            <w:r>
              <w:rPr>
                <w:rFonts w:hint="eastAsia" w:ascii="宋体" w:hAnsi="宋体"/>
                <w:color w:val="auto"/>
                <w:szCs w:val="22"/>
                <w:highlight w:val="none"/>
              </w:rPr>
              <w:t>具体服务内容（含具体服务范围、服务时间、服务标准等内容）</w:t>
            </w:r>
          </w:p>
        </w:tc>
        <w:tc>
          <w:tcPr>
            <w:tcW w:w="1005" w:type="dxa"/>
            <w:tcBorders>
              <w:top w:val="single" w:color="auto" w:sz="4" w:space="0"/>
              <w:left w:val="single" w:color="auto" w:sz="4" w:space="0"/>
              <w:bottom w:val="single" w:color="auto" w:sz="4" w:space="0"/>
              <w:right w:val="single" w:color="auto" w:sz="4" w:space="0"/>
            </w:tcBorders>
            <w:vAlign w:val="center"/>
          </w:tcPr>
          <w:p w14:paraId="4A5E8C71">
            <w:pPr>
              <w:spacing w:line="320" w:lineRule="exact"/>
              <w:jc w:val="center"/>
              <w:rPr>
                <w:rFonts w:ascii="宋体" w:hAnsi="宋体"/>
                <w:color w:val="auto"/>
                <w:szCs w:val="22"/>
                <w:highlight w:val="none"/>
              </w:rPr>
            </w:pPr>
            <w:r>
              <w:rPr>
                <w:rFonts w:hint="eastAsia" w:ascii="宋体" w:hAnsi="宋体"/>
                <w:color w:val="auto"/>
                <w:szCs w:val="22"/>
                <w:highlight w:val="none"/>
              </w:rPr>
              <w:t>数量①</w:t>
            </w:r>
          </w:p>
        </w:tc>
        <w:tc>
          <w:tcPr>
            <w:tcW w:w="1215" w:type="dxa"/>
            <w:tcBorders>
              <w:top w:val="single" w:color="auto" w:sz="4" w:space="0"/>
              <w:left w:val="single" w:color="auto" w:sz="4" w:space="0"/>
              <w:bottom w:val="single" w:color="auto" w:sz="4" w:space="0"/>
              <w:right w:val="single" w:color="auto" w:sz="4" w:space="0"/>
            </w:tcBorders>
            <w:vAlign w:val="center"/>
          </w:tcPr>
          <w:p w14:paraId="0B0A4BA3">
            <w:pPr>
              <w:spacing w:line="320" w:lineRule="exact"/>
              <w:jc w:val="center"/>
              <w:rPr>
                <w:rFonts w:ascii="宋体" w:hAnsi="宋体"/>
                <w:color w:val="auto"/>
                <w:szCs w:val="22"/>
                <w:highlight w:val="none"/>
              </w:rPr>
            </w:pPr>
            <w:r>
              <w:rPr>
                <w:rFonts w:hint="eastAsia" w:ascii="宋体" w:hAnsi="宋体"/>
                <w:color w:val="auto"/>
                <w:szCs w:val="22"/>
                <w:highlight w:val="none"/>
              </w:rPr>
              <w:t>单价(元)②</w:t>
            </w:r>
          </w:p>
        </w:tc>
        <w:tc>
          <w:tcPr>
            <w:tcW w:w="1380" w:type="dxa"/>
            <w:tcBorders>
              <w:top w:val="single" w:color="auto" w:sz="4" w:space="0"/>
              <w:left w:val="single" w:color="auto" w:sz="4" w:space="0"/>
              <w:bottom w:val="single" w:color="auto" w:sz="4" w:space="0"/>
              <w:right w:val="single" w:color="auto" w:sz="4" w:space="0"/>
            </w:tcBorders>
            <w:vAlign w:val="center"/>
          </w:tcPr>
          <w:p w14:paraId="000E3515">
            <w:pPr>
              <w:spacing w:line="320" w:lineRule="exact"/>
              <w:jc w:val="center"/>
              <w:rPr>
                <w:rFonts w:ascii="宋体" w:hAnsi="宋体"/>
                <w:color w:val="auto"/>
                <w:szCs w:val="22"/>
                <w:highlight w:val="none"/>
              </w:rPr>
            </w:pPr>
            <w:r>
              <w:rPr>
                <w:rFonts w:hint="eastAsia" w:ascii="宋体" w:hAnsi="宋体"/>
                <w:color w:val="auto"/>
                <w:szCs w:val="22"/>
                <w:highlight w:val="none"/>
              </w:rPr>
              <w:t>单项合价（元）</w:t>
            </w:r>
          </w:p>
          <w:p w14:paraId="71495EA7">
            <w:pPr>
              <w:spacing w:line="320" w:lineRule="exact"/>
              <w:jc w:val="center"/>
              <w:rPr>
                <w:rFonts w:ascii="宋体" w:hAnsi="宋体"/>
                <w:color w:val="auto"/>
                <w:szCs w:val="22"/>
                <w:highlight w:val="none"/>
              </w:rPr>
            </w:pPr>
            <w:r>
              <w:rPr>
                <w:rFonts w:hint="eastAsia" w:ascii="宋体" w:hAnsi="宋体"/>
                <w:color w:val="auto"/>
                <w:szCs w:val="22"/>
                <w:highlight w:val="none"/>
              </w:rPr>
              <w:t>③＝①×②</w:t>
            </w:r>
          </w:p>
        </w:tc>
        <w:tc>
          <w:tcPr>
            <w:tcW w:w="1275" w:type="dxa"/>
            <w:tcBorders>
              <w:top w:val="single" w:color="auto" w:sz="4" w:space="0"/>
              <w:left w:val="single" w:color="auto" w:sz="4" w:space="0"/>
              <w:bottom w:val="single" w:color="auto" w:sz="4" w:space="0"/>
              <w:right w:val="single" w:color="auto" w:sz="4" w:space="0"/>
            </w:tcBorders>
          </w:tcPr>
          <w:p w14:paraId="51DBF14B">
            <w:pPr>
              <w:spacing w:line="320" w:lineRule="exact"/>
              <w:jc w:val="center"/>
              <w:rPr>
                <w:rFonts w:ascii="宋体" w:hAnsi="宋体"/>
                <w:color w:val="auto"/>
                <w:szCs w:val="22"/>
                <w:highlight w:val="none"/>
              </w:rPr>
            </w:pPr>
            <w:r>
              <w:rPr>
                <w:rFonts w:hint="eastAsia" w:ascii="宋体" w:hAnsi="宋体"/>
                <w:color w:val="auto"/>
                <w:szCs w:val="22"/>
                <w:highlight w:val="none"/>
              </w:rPr>
              <w:t>服务要求（含服务期限）</w:t>
            </w:r>
          </w:p>
        </w:tc>
        <w:tc>
          <w:tcPr>
            <w:tcW w:w="864" w:type="dxa"/>
            <w:tcBorders>
              <w:top w:val="single" w:color="auto" w:sz="4" w:space="0"/>
              <w:left w:val="single" w:color="auto" w:sz="4" w:space="0"/>
              <w:bottom w:val="single" w:color="auto" w:sz="4" w:space="0"/>
              <w:right w:val="single" w:color="auto" w:sz="4" w:space="0"/>
            </w:tcBorders>
            <w:vAlign w:val="center"/>
          </w:tcPr>
          <w:p w14:paraId="405AA761">
            <w:pPr>
              <w:spacing w:line="320" w:lineRule="exact"/>
              <w:jc w:val="center"/>
              <w:rPr>
                <w:rFonts w:ascii="宋体" w:hAnsi="宋体"/>
                <w:color w:val="auto"/>
                <w:szCs w:val="22"/>
                <w:highlight w:val="none"/>
              </w:rPr>
            </w:pPr>
            <w:r>
              <w:rPr>
                <w:rFonts w:hint="eastAsia" w:ascii="宋体" w:hAnsi="宋体"/>
                <w:color w:val="auto"/>
                <w:szCs w:val="22"/>
                <w:highlight w:val="none"/>
              </w:rPr>
              <w:t>备注</w:t>
            </w:r>
          </w:p>
        </w:tc>
      </w:tr>
      <w:tr w14:paraId="2C9B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300C078">
            <w:pPr>
              <w:spacing w:line="320" w:lineRule="exact"/>
              <w:jc w:val="center"/>
              <w:rPr>
                <w:rFonts w:ascii="宋体" w:hAnsi="宋体"/>
                <w:color w:val="auto"/>
                <w:szCs w:val="22"/>
                <w:highlight w:val="none"/>
              </w:rPr>
            </w:pPr>
            <w:r>
              <w:rPr>
                <w:rFonts w:hint="eastAsia" w:ascii="宋体" w:hAnsi="宋体"/>
                <w:color w:val="auto"/>
                <w:szCs w:val="22"/>
                <w:highlight w:val="none"/>
              </w:rPr>
              <w:t>1</w:t>
            </w:r>
          </w:p>
        </w:tc>
        <w:tc>
          <w:tcPr>
            <w:tcW w:w="920" w:type="dxa"/>
            <w:tcBorders>
              <w:top w:val="single" w:color="auto" w:sz="4" w:space="0"/>
              <w:left w:val="single" w:color="auto" w:sz="4" w:space="0"/>
              <w:bottom w:val="single" w:color="auto" w:sz="4" w:space="0"/>
              <w:right w:val="single" w:color="auto" w:sz="4" w:space="0"/>
            </w:tcBorders>
            <w:vAlign w:val="center"/>
          </w:tcPr>
          <w:p w14:paraId="6EEB719B">
            <w:pPr>
              <w:spacing w:line="320" w:lineRule="exact"/>
              <w:jc w:val="center"/>
              <w:rPr>
                <w:rFonts w:ascii="宋体" w:hAnsi="宋体"/>
                <w:color w:val="auto"/>
                <w:szCs w:val="22"/>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14:paraId="00C33259">
            <w:pPr>
              <w:spacing w:line="320" w:lineRule="exact"/>
              <w:jc w:val="center"/>
              <w:rPr>
                <w:rFonts w:ascii="宋体" w:hAnsi="宋体"/>
                <w:color w:val="auto"/>
                <w:szCs w:val="22"/>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41EC7540">
            <w:pPr>
              <w:spacing w:line="320" w:lineRule="exact"/>
              <w:jc w:val="center"/>
              <w:rPr>
                <w:rFonts w:ascii="宋体" w:hAnsi="宋体"/>
                <w:color w:val="auto"/>
                <w:szCs w:val="22"/>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454D0EB3">
            <w:pPr>
              <w:spacing w:line="320" w:lineRule="exact"/>
              <w:jc w:val="cente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E4460F8">
            <w:pPr>
              <w:spacing w:line="320" w:lineRule="exact"/>
              <w:jc w:val="center"/>
              <w:rPr>
                <w:rFonts w:ascii="宋体" w:hAnsi="宋体"/>
                <w:color w:val="auto"/>
                <w:szCs w:val="22"/>
                <w:highlight w:val="none"/>
              </w:rPr>
            </w:pPr>
          </w:p>
        </w:tc>
        <w:tc>
          <w:tcPr>
            <w:tcW w:w="1275" w:type="dxa"/>
            <w:tcBorders>
              <w:top w:val="single" w:color="auto" w:sz="4" w:space="0"/>
              <w:left w:val="single" w:color="auto" w:sz="4" w:space="0"/>
              <w:bottom w:val="single" w:color="auto" w:sz="4" w:space="0"/>
              <w:right w:val="single" w:color="auto" w:sz="4" w:space="0"/>
            </w:tcBorders>
          </w:tcPr>
          <w:p w14:paraId="5AF092B9">
            <w:pPr>
              <w:spacing w:line="320" w:lineRule="exact"/>
              <w:jc w:val="center"/>
              <w:rPr>
                <w:rFonts w:ascii="宋体" w:hAnsi="宋体"/>
                <w:color w:val="auto"/>
                <w:szCs w:val="22"/>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43A4FCC3">
            <w:pPr>
              <w:spacing w:line="320" w:lineRule="exact"/>
              <w:jc w:val="center"/>
              <w:rPr>
                <w:rFonts w:ascii="宋体" w:hAnsi="宋体"/>
                <w:color w:val="auto"/>
                <w:szCs w:val="22"/>
                <w:highlight w:val="none"/>
              </w:rPr>
            </w:pPr>
          </w:p>
        </w:tc>
      </w:tr>
      <w:tr w14:paraId="48E1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25" w:type="dxa"/>
            <w:gridSpan w:val="8"/>
            <w:tcBorders>
              <w:top w:val="single" w:color="auto" w:sz="4" w:space="0"/>
              <w:left w:val="single" w:color="auto" w:sz="4" w:space="0"/>
              <w:bottom w:val="single" w:color="auto" w:sz="4" w:space="0"/>
              <w:right w:val="single" w:color="auto" w:sz="4" w:space="0"/>
            </w:tcBorders>
          </w:tcPr>
          <w:p w14:paraId="6837D91B">
            <w:pPr>
              <w:spacing w:line="320" w:lineRule="exact"/>
              <w:rPr>
                <w:rFonts w:ascii="宋体" w:hAnsi="宋体"/>
                <w:color w:val="auto"/>
                <w:szCs w:val="21"/>
                <w:highlight w:val="none"/>
                <w:u w:val="single"/>
              </w:rPr>
            </w:pPr>
            <w:r>
              <w:rPr>
                <w:rFonts w:hint="eastAsia" w:ascii="宋体" w:hAnsi="宋体"/>
                <w:color w:val="auto"/>
                <w:szCs w:val="22"/>
                <w:highlight w:val="none"/>
              </w:rPr>
              <w:t>报价合计（包含税费等所有费用）：</w:t>
            </w:r>
          </w:p>
        </w:tc>
      </w:tr>
      <w:tr w14:paraId="3FDE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25" w:type="dxa"/>
            <w:gridSpan w:val="8"/>
            <w:tcBorders>
              <w:top w:val="single" w:color="auto" w:sz="4" w:space="0"/>
              <w:left w:val="single" w:color="auto" w:sz="4" w:space="0"/>
              <w:bottom w:val="single" w:color="auto" w:sz="4" w:space="0"/>
              <w:right w:val="single" w:color="auto" w:sz="4" w:space="0"/>
            </w:tcBorders>
          </w:tcPr>
          <w:p w14:paraId="4C4FD057">
            <w:pPr>
              <w:spacing w:line="320" w:lineRule="exact"/>
              <w:rPr>
                <w:rFonts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r w14:paraId="600D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25" w:type="dxa"/>
            <w:gridSpan w:val="8"/>
            <w:tcBorders>
              <w:top w:val="single" w:color="auto" w:sz="4" w:space="0"/>
              <w:left w:val="single" w:color="auto" w:sz="4" w:space="0"/>
              <w:bottom w:val="single" w:color="auto" w:sz="4" w:space="0"/>
              <w:right w:val="single" w:color="auto" w:sz="4" w:space="0"/>
            </w:tcBorders>
          </w:tcPr>
          <w:p w14:paraId="776A97A2">
            <w:pPr>
              <w:spacing w:line="320" w:lineRule="exact"/>
              <w:rPr>
                <w:rFonts w:ascii="宋体" w:hAnsi="宋体"/>
                <w:color w:val="auto"/>
                <w:szCs w:val="22"/>
                <w:highlight w:val="none"/>
              </w:rPr>
            </w:pPr>
            <w:r>
              <w:rPr>
                <w:rFonts w:hint="eastAsia" w:ascii="宋体" w:hAnsi="宋体"/>
                <w:color w:val="auto"/>
                <w:szCs w:val="22"/>
                <w:highlight w:val="none"/>
              </w:rPr>
              <w:t>验收标准：</w:t>
            </w:r>
          </w:p>
        </w:tc>
      </w:tr>
      <w:tr w14:paraId="4BDE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25" w:type="dxa"/>
            <w:gridSpan w:val="8"/>
            <w:tcBorders>
              <w:top w:val="single" w:color="auto" w:sz="4" w:space="0"/>
              <w:left w:val="single" w:color="auto" w:sz="4" w:space="0"/>
              <w:bottom w:val="single" w:color="auto" w:sz="4" w:space="0"/>
              <w:right w:val="single" w:color="auto" w:sz="4" w:space="0"/>
            </w:tcBorders>
          </w:tcPr>
          <w:p w14:paraId="234026C6">
            <w:pPr>
              <w:spacing w:line="320" w:lineRule="exact"/>
              <w:rPr>
                <w:rFonts w:ascii="宋体" w:hAnsi="宋体"/>
                <w:color w:val="auto"/>
                <w:szCs w:val="22"/>
                <w:highlight w:val="none"/>
              </w:rPr>
            </w:pPr>
            <w:r>
              <w:rPr>
                <w:rFonts w:hint="eastAsia" w:ascii="宋体" w:hAnsi="宋体"/>
                <w:color w:val="auto"/>
                <w:szCs w:val="22"/>
                <w:highlight w:val="none"/>
              </w:rPr>
              <w:t>优惠及其它：</w:t>
            </w:r>
          </w:p>
        </w:tc>
      </w:tr>
    </w:tbl>
    <w:p w14:paraId="31E60936">
      <w:pPr>
        <w:snapToGrid w:val="0"/>
        <w:spacing w:before="50" w:after="5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0D1E162C">
      <w:pPr>
        <w:snapToGrid w:val="0"/>
        <w:spacing w:before="50" w:after="5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供应商需按本表格式填写，不得自行更改，也不得留空, 如有多分标，按分标分别提供响应报价表</w:t>
      </w:r>
      <w:r>
        <w:rPr>
          <w:rFonts w:hint="eastAsia" w:ascii="仿宋_GB2312" w:hAnsi="仿宋" w:eastAsia="仿宋_GB2312" w:cs="仿宋_GB2312"/>
          <w:b/>
          <w:color w:val="auto"/>
          <w:kern w:val="0"/>
          <w:sz w:val="24"/>
          <w:highlight w:val="none"/>
          <w:lang w:val="zh-CN"/>
        </w:rPr>
        <w:t>。</w:t>
      </w:r>
    </w:p>
    <w:p w14:paraId="68D9FCE4">
      <w:pPr>
        <w:snapToGrid w:val="0"/>
        <w:spacing w:before="50" w:after="50"/>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否则其响应作无效响应处理。</w:t>
      </w:r>
    </w:p>
    <w:p w14:paraId="55CFB9DD">
      <w:pPr>
        <w:snapToGrid w:val="0"/>
        <w:spacing w:before="50" w:after="50"/>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3、以上表格要求细分项目及报价，在“具体服务内容”一栏中，填写具体服务范围、服务时间、服务标准，</w:t>
      </w:r>
      <w:r>
        <w:rPr>
          <w:rFonts w:hint="eastAsia" w:ascii="仿宋_GB2312" w:hAnsi="仿宋" w:eastAsia="仿宋_GB2312" w:cs="仿宋_GB2312"/>
          <w:b/>
          <w:color w:val="auto"/>
          <w:kern w:val="0"/>
          <w:sz w:val="24"/>
          <w:highlight w:val="none"/>
          <w:lang w:val="zh-CN"/>
        </w:rPr>
        <w:t>否则其响应作无效响应处理。</w:t>
      </w:r>
    </w:p>
    <w:p w14:paraId="1E17227D">
      <w:pPr>
        <w:snapToGrid w:val="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2137A588">
      <w:pPr>
        <w:snapToGrid w:val="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D6C379E">
      <w:pPr>
        <w:pStyle w:val="12"/>
        <w:spacing w:line="500" w:lineRule="exact"/>
        <w:ind w:firstLine="6385" w:firstLineChars="2650"/>
        <w:rPr>
          <w:rFonts w:ascii="仿宋_GB2312" w:hAnsi="仿宋" w:eastAsia="仿宋_GB2312" w:cs="仿宋_GB2312"/>
          <w:color w:val="auto"/>
          <w:sz w:val="24"/>
          <w:highlight w:val="none"/>
          <w:lang w:val="zh-CN"/>
        </w:rPr>
      </w:pPr>
    </w:p>
    <w:p w14:paraId="4B76A531">
      <w:pPr>
        <w:pStyle w:val="12"/>
        <w:spacing w:line="500" w:lineRule="exact"/>
        <w:ind w:firstLine="1928" w:firstLineChars="800"/>
        <w:rPr>
          <w:rFonts w:cs="宋体"/>
          <w:color w:val="auto"/>
          <w:sz w:val="24"/>
          <w:highlight w:val="none"/>
        </w:rPr>
      </w:pPr>
      <w:r>
        <w:rPr>
          <w:rFonts w:hint="eastAsia" w:cs="宋体"/>
          <w:color w:val="auto"/>
          <w:sz w:val="24"/>
          <w:highlight w:val="none"/>
        </w:rPr>
        <w:t xml:space="preserve">法定代表人或者委托代理人（签字）：                    </w:t>
      </w:r>
    </w:p>
    <w:p w14:paraId="59C09D7C">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2BF6A9EB">
      <w:pPr>
        <w:snapToGrid w:val="0"/>
        <w:spacing w:before="50" w:after="50" w:line="360" w:lineRule="auto"/>
        <w:ind w:right="-817" w:rightChars="-389" w:firstLine="4080" w:firstLineChars="1700"/>
        <w:rPr>
          <w:rFonts w:ascii="宋体" w:hAnsi="宋体" w:cs="宋体"/>
          <w:b/>
          <w:color w:val="auto"/>
          <w:sz w:val="24"/>
          <w:highlight w:val="none"/>
        </w:rPr>
      </w:pPr>
      <w:r>
        <w:rPr>
          <w:rFonts w:hint="eastAsia" w:ascii="宋体" w:hAnsi="宋体" w:cs="宋体"/>
          <w:color w:val="auto"/>
          <w:sz w:val="24"/>
          <w:highlight w:val="none"/>
        </w:rPr>
        <w:t>日期：   年   月   日</w:t>
      </w:r>
    </w:p>
    <w:p w14:paraId="69574B26">
      <w:pPr>
        <w:spacing w:before="312" w:beforeLines="100" w:after="156" w:afterLines="50" w:line="520" w:lineRule="exact"/>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Cs/>
          <w:color w:val="auto"/>
          <w:sz w:val="32"/>
          <w:szCs w:val="32"/>
          <w:highlight w:val="none"/>
        </w:rPr>
        <w:t>法定代表人证明书</w:t>
      </w:r>
    </w:p>
    <w:p w14:paraId="6B53CCA0">
      <w:pPr>
        <w:spacing w:line="520" w:lineRule="exact"/>
        <w:ind w:left="540"/>
        <w:rPr>
          <w:rFonts w:ascii="宋体" w:hAnsi="宋体" w:cs="宋体"/>
          <w:color w:val="auto"/>
          <w:sz w:val="32"/>
          <w:szCs w:val="32"/>
          <w:highlight w:val="none"/>
        </w:rPr>
      </w:pPr>
    </w:p>
    <w:p w14:paraId="264B1CE7">
      <w:pPr>
        <w:spacing w:line="360" w:lineRule="auto"/>
        <w:ind w:left="540"/>
        <w:rPr>
          <w:rFonts w:ascii="宋体" w:hAnsi="宋体" w:cs="宋体"/>
          <w:color w:val="auto"/>
          <w:sz w:val="24"/>
          <w:highlight w:val="none"/>
        </w:rPr>
      </w:pPr>
      <w:r>
        <w:rPr>
          <w:rFonts w:hint="eastAsia" w:ascii="宋体" w:hAnsi="宋体" w:cs="宋体"/>
          <w:color w:val="auto"/>
          <w:sz w:val="24"/>
          <w:highlight w:val="none"/>
        </w:rPr>
        <w:t>供应商名称：</w:t>
      </w:r>
    </w:p>
    <w:p w14:paraId="5DEA54ED">
      <w:pPr>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p>
    <w:p w14:paraId="0C77FE73">
      <w:pPr>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            性     别：</w:t>
      </w:r>
    </w:p>
    <w:p w14:paraId="268AC65E">
      <w:pPr>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            职     务：</w:t>
      </w:r>
    </w:p>
    <w:p w14:paraId="0641FC0C">
      <w:pPr>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p>
    <w:p w14:paraId="0E1B09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1E7B8A94">
      <w:pPr>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2331C6BD">
      <w:pPr>
        <w:spacing w:line="360" w:lineRule="auto"/>
        <w:ind w:left="540"/>
        <w:rPr>
          <w:rFonts w:ascii="宋体" w:hAnsi="宋体" w:cs="宋体"/>
          <w:color w:val="auto"/>
          <w:sz w:val="24"/>
          <w:highlight w:val="none"/>
        </w:rPr>
      </w:pPr>
    </w:p>
    <w:p w14:paraId="12854068">
      <w:pPr>
        <w:spacing w:line="360" w:lineRule="auto"/>
        <w:ind w:left="540"/>
        <w:rPr>
          <w:rFonts w:ascii="宋体" w:hAnsi="宋体" w:cs="宋体"/>
          <w:color w:val="auto"/>
          <w:sz w:val="24"/>
          <w:highlight w:val="none"/>
        </w:rPr>
      </w:pPr>
    </w:p>
    <w:p w14:paraId="30E5BB44">
      <w:pPr>
        <w:spacing w:line="360" w:lineRule="auto"/>
        <w:ind w:left="540"/>
        <w:rPr>
          <w:rFonts w:ascii="宋体" w:hAnsi="宋体" w:cs="宋体"/>
          <w:color w:val="auto"/>
          <w:sz w:val="24"/>
          <w:highlight w:val="none"/>
        </w:rPr>
      </w:pPr>
    </w:p>
    <w:p w14:paraId="3AB95A9E">
      <w:pPr>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4A74FDA5">
      <w:pPr>
        <w:spacing w:line="360" w:lineRule="auto"/>
        <w:ind w:left="540"/>
        <w:rPr>
          <w:rFonts w:ascii="宋体" w:hAnsi="宋体" w:cs="宋体"/>
          <w:color w:val="auto"/>
          <w:sz w:val="24"/>
          <w:highlight w:val="none"/>
        </w:rPr>
      </w:pPr>
    </w:p>
    <w:p w14:paraId="54D0B960">
      <w:pPr>
        <w:spacing w:line="360" w:lineRule="auto"/>
        <w:ind w:left="540" w:firstLine="3360" w:firstLineChars="1400"/>
        <w:rPr>
          <w:rFonts w:ascii="宋体" w:hAnsi="宋体" w:cs="宋体"/>
          <w:color w:val="auto"/>
          <w:sz w:val="24"/>
          <w:highlight w:val="none"/>
        </w:rPr>
      </w:pPr>
      <w:r>
        <w:rPr>
          <w:rFonts w:hint="eastAsia" w:ascii="宋体" w:hAnsi="宋体" w:cs="宋体"/>
          <w:color w:val="auto"/>
          <w:sz w:val="24"/>
          <w:highlight w:val="none"/>
        </w:rPr>
        <w:t>供应商（盖公章）：</w:t>
      </w:r>
    </w:p>
    <w:p w14:paraId="43116283">
      <w:pPr>
        <w:snapToGrid w:val="0"/>
        <w:spacing w:before="156" w:beforeLines="50" w:after="50" w:line="360" w:lineRule="auto"/>
        <w:ind w:firstLine="6000" w:firstLineChars="2500"/>
        <w:rPr>
          <w:rFonts w:ascii="宋体" w:hAnsi="宋体" w:cs="宋体"/>
          <w:color w:val="auto"/>
          <w:sz w:val="24"/>
          <w:highlight w:val="none"/>
        </w:rPr>
      </w:pPr>
      <w:r>
        <w:rPr>
          <w:rFonts w:hint="eastAsia" w:ascii="宋体" w:hAnsi="宋体" w:cs="宋体"/>
          <w:color w:val="auto"/>
          <w:sz w:val="24"/>
          <w:highlight w:val="none"/>
        </w:rPr>
        <w:t>年月日</w:t>
      </w:r>
    </w:p>
    <w:p w14:paraId="618F35A8">
      <w:pPr>
        <w:snapToGrid w:val="0"/>
        <w:spacing w:before="156" w:beforeLines="50" w:after="50" w:line="360" w:lineRule="auto"/>
        <w:jc w:val="center"/>
        <w:rPr>
          <w:rFonts w:ascii="宋体" w:hAnsi="宋体" w:cs="宋体"/>
          <w:b/>
          <w:color w:val="auto"/>
          <w:sz w:val="24"/>
          <w:highlight w:val="none"/>
        </w:rPr>
      </w:pPr>
    </w:p>
    <w:p w14:paraId="2E3993BE">
      <w:pPr>
        <w:snapToGrid w:val="0"/>
        <w:spacing w:before="156" w:beforeLines="50" w:after="50" w:line="360" w:lineRule="auto"/>
        <w:jc w:val="left"/>
        <w:rPr>
          <w:rFonts w:ascii="宋体" w:hAnsi="宋体" w:cs="宋体"/>
          <w:color w:val="auto"/>
          <w:sz w:val="24"/>
          <w:highlight w:val="none"/>
        </w:rPr>
      </w:pPr>
    </w:p>
    <w:p w14:paraId="14B2E3B1">
      <w:pPr>
        <w:snapToGrid w:val="0"/>
        <w:spacing w:before="156" w:beforeLines="50" w:after="50"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689328D0">
      <w:pPr>
        <w:snapToGrid w:val="0"/>
        <w:spacing w:before="156" w:beforeLines="50" w:after="50" w:line="360" w:lineRule="auto"/>
        <w:ind w:firstLine="480" w:firstLineChars="200"/>
        <w:jc w:val="left"/>
        <w:rPr>
          <w:rFonts w:ascii="宋体" w:hAnsi="宋体" w:cs="宋体"/>
          <w:b/>
          <w:color w:val="auto"/>
          <w:sz w:val="32"/>
          <w:szCs w:val="32"/>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351724E">
      <w:pPr>
        <w:adjustRightInd w:val="0"/>
        <w:snapToGrid w:val="0"/>
        <w:spacing w:line="300" w:lineRule="auto"/>
        <w:jc w:val="left"/>
        <w:rPr>
          <w:rFonts w:ascii="宋体" w:hAnsi="宋体" w:cs="宋体"/>
          <w:b/>
          <w:color w:val="auto"/>
          <w:szCs w:val="21"/>
          <w:highlight w:val="none"/>
        </w:rPr>
      </w:pPr>
    </w:p>
    <w:p w14:paraId="60B2ABD4">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p>
    <w:p w14:paraId="39F826A5">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法定代表人授权委托书</w:t>
      </w:r>
    </w:p>
    <w:p w14:paraId="08C1D52B">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（如有委托时）</w:t>
      </w:r>
    </w:p>
    <w:p w14:paraId="7873D2A8">
      <w:pPr>
        <w:spacing w:line="520" w:lineRule="exact"/>
        <w:rPr>
          <w:rFonts w:ascii="宋体" w:hAnsi="宋体" w:cs="宋体"/>
          <w:color w:val="auto"/>
          <w:sz w:val="32"/>
          <w:szCs w:val="32"/>
          <w:highlight w:val="none"/>
        </w:rPr>
      </w:pPr>
    </w:p>
    <w:p w14:paraId="3808C998">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（采购单位名称）</w:t>
      </w:r>
      <w:r>
        <w:rPr>
          <w:rFonts w:hint="eastAsia" w:ascii="宋体" w:hAnsi="宋体" w:cs="宋体"/>
          <w:color w:val="auto"/>
          <w:sz w:val="24"/>
          <w:highlight w:val="none"/>
        </w:rPr>
        <w:t>：</w:t>
      </w:r>
    </w:p>
    <w:p w14:paraId="36F869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以我方的名义参加项目的竞标活动，并代表我方全权办理针对上述项目的所有采购程序和环节的具体事务和签署相关文件。</w:t>
      </w:r>
    </w:p>
    <w:p w14:paraId="5526A1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23E9FE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D0351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FB6F6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1CA2ADF9">
      <w:pPr>
        <w:spacing w:line="360" w:lineRule="auto"/>
        <w:rPr>
          <w:rFonts w:ascii="宋体" w:hAnsi="宋体" w:cs="宋体"/>
          <w:color w:val="auto"/>
          <w:sz w:val="24"/>
          <w:highlight w:val="none"/>
        </w:rPr>
      </w:pPr>
    </w:p>
    <w:p w14:paraId="0BEA8B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                    </w:t>
      </w:r>
    </w:p>
    <w:p w14:paraId="0CA557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7ECB4B13">
      <w:pPr>
        <w:spacing w:line="360" w:lineRule="auto"/>
        <w:rPr>
          <w:rFonts w:ascii="宋体" w:hAnsi="宋体" w:cs="宋体"/>
          <w:color w:val="auto"/>
          <w:sz w:val="24"/>
          <w:highlight w:val="none"/>
        </w:rPr>
      </w:pPr>
    </w:p>
    <w:p w14:paraId="73FE13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供应商（盖公章）：                      </w:t>
      </w:r>
    </w:p>
    <w:p w14:paraId="61246B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06FFC933">
      <w:pPr>
        <w:spacing w:line="360" w:lineRule="auto"/>
        <w:rPr>
          <w:rFonts w:ascii="宋体" w:hAnsi="宋体" w:cs="宋体"/>
          <w:color w:val="auto"/>
          <w:sz w:val="24"/>
          <w:highlight w:val="none"/>
        </w:rPr>
      </w:pPr>
    </w:p>
    <w:p w14:paraId="1D58E811">
      <w:pPr>
        <w:spacing w:line="360" w:lineRule="auto"/>
        <w:rPr>
          <w:rFonts w:ascii="宋体" w:hAnsi="宋体" w:cs="宋体"/>
          <w:color w:val="auto"/>
          <w:sz w:val="24"/>
          <w:highlight w:val="none"/>
        </w:rPr>
      </w:pPr>
      <w:r>
        <w:rPr>
          <w:rFonts w:hint="eastAsia" w:ascii="宋体" w:hAnsi="宋体" w:cs="宋体"/>
          <w:color w:val="auto"/>
          <w:sz w:val="24"/>
          <w:highlight w:val="none"/>
        </w:rPr>
        <w:t>注：1.法定代表人和委托代理人必须在授权委托书上亲笔签名，不得使用印章、签名章或者其他电子制版签名代替；</w:t>
      </w:r>
    </w:p>
    <w:p w14:paraId="243A2033">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1660FA6">
      <w:pPr>
        <w:spacing w:line="500" w:lineRule="exact"/>
        <w:jc w:val="center"/>
        <w:rPr>
          <w:rFonts w:ascii="宋体" w:hAnsi="宋体" w:cs="宋体"/>
          <w:bCs/>
          <w:color w:val="auto"/>
          <w:sz w:val="44"/>
          <w:szCs w:val="44"/>
          <w:highlight w:val="none"/>
        </w:rPr>
      </w:pPr>
      <w:r>
        <w:rPr>
          <w:rFonts w:hint="eastAsia" w:ascii="宋体" w:hAnsi="宋体" w:cs="宋体"/>
          <w:color w:val="auto"/>
          <w:szCs w:val="21"/>
          <w:highlight w:val="none"/>
        </w:rPr>
        <w:br w:type="page"/>
      </w:r>
    </w:p>
    <w:p w14:paraId="53B4681E">
      <w:pPr>
        <w:pStyle w:val="12"/>
        <w:ind w:firstLine="3534" w:firstLineChars="1100"/>
        <w:rPr>
          <w:color w:val="auto"/>
          <w:highlight w:val="none"/>
        </w:rPr>
      </w:pPr>
      <w:r>
        <w:rPr>
          <w:rFonts w:hint="eastAsia"/>
          <w:color w:val="auto"/>
          <w:highlight w:val="none"/>
        </w:rPr>
        <w:t>磋商保证金声明</w:t>
      </w:r>
    </w:p>
    <w:p w14:paraId="7E92F93D">
      <w:pPr>
        <w:widowControl/>
        <w:wordWrap w:val="0"/>
        <w:jc w:val="left"/>
        <w:rPr>
          <w:rFonts w:ascii="宋体" w:hAnsi="宋体" w:cs="宋体"/>
          <w:color w:val="auto"/>
          <w:kern w:val="0"/>
          <w:sz w:val="32"/>
          <w:szCs w:val="20"/>
          <w:highlight w:val="none"/>
        </w:rPr>
      </w:pPr>
    </w:p>
    <w:p w14:paraId="75B6CB2F">
      <w:pPr>
        <w:spacing w:line="360" w:lineRule="auto"/>
        <w:ind w:firstLine="394"/>
        <w:rPr>
          <w:rFonts w:ascii="宋体" w:hAnsi="宋体" w:cs="宋体"/>
          <w:b/>
          <w:color w:val="auto"/>
          <w:sz w:val="24"/>
          <w:highlight w:val="none"/>
        </w:rPr>
      </w:pPr>
      <w:r>
        <w:rPr>
          <w:rFonts w:hint="eastAsia" w:ascii="宋体" w:hAnsi="宋体" w:cs="宋体"/>
          <w:b/>
          <w:color w:val="auto"/>
          <w:sz w:val="24"/>
          <w:highlight w:val="none"/>
        </w:rPr>
        <w:t>我方参加（</w:t>
      </w:r>
      <w:r>
        <w:rPr>
          <w:rFonts w:hint="eastAsia" w:ascii="宋体" w:hAnsi="宋体" w:cs="宋体"/>
          <w:b/>
          <w:color w:val="auto"/>
          <w:sz w:val="24"/>
          <w:highlight w:val="none"/>
          <w:u w:val="single"/>
        </w:rPr>
        <w:t>项目名称及编号）　　　　　　</w:t>
      </w:r>
      <w:r>
        <w:rPr>
          <w:rFonts w:hint="eastAsia" w:ascii="宋体" w:hAnsi="宋体" w:cs="宋体"/>
          <w:b/>
          <w:color w:val="auto"/>
          <w:sz w:val="24"/>
          <w:highlight w:val="none"/>
        </w:rPr>
        <w:t>的投标，请贵方在退付磋商保证金时转入以下账户（对公账户）：</w:t>
      </w:r>
    </w:p>
    <w:p w14:paraId="622F2050">
      <w:pPr>
        <w:spacing w:line="360" w:lineRule="auto"/>
        <w:ind w:firstLine="800"/>
        <w:rPr>
          <w:rFonts w:ascii="宋体" w:hAnsi="宋体" w:cs="宋体"/>
          <w:color w:val="auto"/>
          <w:sz w:val="24"/>
          <w:highlight w:val="none"/>
          <w:u w:val="single"/>
        </w:rPr>
      </w:pPr>
      <w:r>
        <w:rPr>
          <w:rFonts w:hint="eastAsia" w:ascii="宋体" w:hAnsi="宋体" w:cs="宋体"/>
          <w:color w:val="auto"/>
          <w:sz w:val="24"/>
          <w:highlight w:val="none"/>
        </w:rPr>
        <w:t>开户名称：</w:t>
      </w:r>
    </w:p>
    <w:p w14:paraId="4C0AD68C">
      <w:pPr>
        <w:spacing w:line="360" w:lineRule="auto"/>
        <w:ind w:firstLine="800"/>
        <w:rPr>
          <w:rFonts w:ascii="宋体" w:hAnsi="宋体" w:cs="宋体"/>
          <w:color w:val="auto"/>
          <w:sz w:val="24"/>
          <w:highlight w:val="none"/>
          <w:u w:val="single"/>
        </w:rPr>
      </w:pPr>
      <w:r>
        <w:rPr>
          <w:rFonts w:hint="eastAsia" w:ascii="宋体" w:hAnsi="宋体" w:cs="宋体"/>
          <w:color w:val="auto"/>
          <w:sz w:val="24"/>
          <w:highlight w:val="none"/>
        </w:rPr>
        <w:t>开户银行：</w:t>
      </w:r>
    </w:p>
    <w:p w14:paraId="10EFA6C6">
      <w:pPr>
        <w:spacing w:line="360" w:lineRule="auto"/>
        <w:ind w:firstLine="800"/>
        <w:rPr>
          <w:rFonts w:ascii="宋体" w:hAnsi="宋体" w:cs="宋体"/>
          <w:color w:val="auto"/>
          <w:sz w:val="24"/>
          <w:highlight w:val="none"/>
          <w:u w:val="single"/>
        </w:rPr>
      </w:pPr>
      <w:r>
        <w:rPr>
          <w:rFonts w:hint="eastAsia" w:ascii="宋体" w:hAnsi="宋体" w:cs="宋体"/>
          <w:color w:val="auto"/>
          <w:sz w:val="24"/>
          <w:highlight w:val="none"/>
        </w:rPr>
        <w:t>银行账号：</w:t>
      </w:r>
    </w:p>
    <w:p w14:paraId="6BCB549A">
      <w:pPr>
        <w:spacing w:line="360" w:lineRule="auto"/>
        <w:ind w:firstLine="420"/>
        <w:rPr>
          <w:rFonts w:ascii="宋体" w:hAnsi="宋体" w:cs="宋体"/>
          <w:b/>
          <w:color w:val="auto"/>
          <w:sz w:val="24"/>
          <w:highlight w:val="none"/>
        </w:rPr>
      </w:pPr>
      <w:r>
        <w:rPr>
          <w:rFonts w:hint="eastAsia" w:ascii="宋体" w:hAnsi="宋体" w:cs="宋体"/>
          <w:b/>
          <w:color w:val="auto"/>
          <w:sz w:val="24"/>
          <w:highlight w:val="none"/>
        </w:rPr>
        <w:t>　　</w:t>
      </w:r>
    </w:p>
    <w:p w14:paraId="769957C9">
      <w:pPr>
        <w:spacing w:line="360" w:lineRule="auto"/>
        <w:ind w:firstLine="420"/>
        <w:rPr>
          <w:rFonts w:ascii="宋体" w:hAnsi="宋体" w:cs="宋体"/>
          <w:b/>
          <w:color w:val="auto"/>
          <w:sz w:val="24"/>
          <w:highlight w:val="none"/>
        </w:rPr>
      </w:pPr>
      <w:r>
        <w:rPr>
          <w:rFonts w:hint="eastAsia" w:ascii="宋体" w:hAnsi="宋体" w:cs="宋体"/>
          <w:b/>
          <w:color w:val="auto"/>
          <w:sz w:val="24"/>
          <w:highlight w:val="none"/>
        </w:rPr>
        <w:t>　　联系人：</w:t>
      </w:r>
    </w:p>
    <w:p w14:paraId="469E1E0F">
      <w:pPr>
        <w:spacing w:line="360" w:lineRule="auto"/>
        <w:ind w:firstLine="793"/>
        <w:rPr>
          <w:rFonts w:ascii="宋体" w:hAnsi="宋体" w:cs="宋体"/>
          <w:b/>
          <w:color w:val="auto"/>
          <w:sz w:val="24"/>
          <w:highlight w:val="none"/>
        </w:rPr>
      </w:pPr>
      <w:r>
        <w:rPr>
          <w:rFonts w:hint="eastAsia" w:ascii="宋体" w:hAnsi="宋体" w:cs="宋体"/>
          <w:b/>
          <w:color w:val="auto"/>
          <w:sz w:val="24"/>
          <w:highlight w:val="none"/>
        </w:rPr>
        <w:t>联系电话（手机）：</w:t>
      </w:r>
    </w:p>
    <w:p w14:paraId="46CBA8C2">
      <w:pPr>
        <w:spacing w:line="360" w:lineRule="auto"/>
        <w:ind w:firstLine="793"/>
        <w:rPr>
          <w:rFonts w:ascii="宋体" w:hAnsi="宋体" w:cs="宋体"/>
          <w:b/>
          <w:color w:val="auto"/>
          <w:sz w:val="24"/>
          <w:highlight w:val="none"/>
        </w:rPr>
      </w:pPr>
      <w:r>
        <w:rPr>
          <w:rFonts w:hint="eastAsia" w:ascii="宋体" w:hAnsi="宋体" w:cs="宋体"/>
          <w:b/>
          <w:color w:val="auto"/>
          <w:sz w:val="24"/>
          <w:highlight w:val="none"/>
        </w:rPr>
        <w:t>联系地址：</w:t>
      </w:r>
    </w:p>
    <w:p w14:paraId="4E8C8190">
      <w:pPr>
        <w:spacing w:line="360" w:lineRule="auto"/>
        <w:ind w:firstLine="420"/>
        <w:rPr>
          <w:rFonts w:ascii="宋体" w:hAnsi="宋体" w:cs="宋体"/>
          <w:color w:val="auto"/>
          <w:sz w:val="24"/>
          <w:highlight w:val="none"/>
        </w:rPr>
      </w:pPr>
    </w:p>
    <w:p w14:paraId="635B1DE8">
      <w:pPr>
        <w:spacing w:line="360" w:lineRule="auto"/>
        <w:ind w:firstLine="2000"/>
        <w:rPr>
          <w:rFonts w:ascii="宋体" w:hAnsi="宋体" w:cs="宋体"/>
          <w:color w:val="auto"/>
          <w:sz w:val="24"/>
          <w:highlight w:val="none"/>
        </w:rPr>
      </w:pPr>
      <w:r>
        <w:rPr>
          <w:rFonts w:hint="eastAsia" w:ascii="宋体" w:hAnsi="宋体" w:cs="宋体"/>
          <w:color w:val="auto"/>
          <w:sz w:val="24"/>
          <w:highlight w:val="none"/>
        </w:rPr>
        <w:t>（粘贴竞标保证金缴纳凭证复印件并加盖单位公章）</w:t>
      </w:r>
    </w:p>
    <w:p w14:paraId="493F60F0">
      <w:pPr>
        <w:spacing w:line="360" w:lineRule="auto"/>
        <w:ind w:firstLine="420"/>
        <w:rPr>
          <w:rFonts w:ascii="宋体" w:hAnsi="宋体" w:cs="宋体"/>
          <w:color w:val="auto"/>
          <w:sz w:val="24"/>
          <w:highlight w:val="none"/>
          <w:u w:val="single"/>
        </w:rPr>
      </w:pPr>
    </w:p>
    <w:p w14:paraId="2E504D85">
      <w:pPr>
        <w:spacing w:line="360" w:lineRule="auto"/>
        <w:ind w:firstLine="420"/>
        <w:rPr>
          <w:rFonts w:ascii="宋体" w:hAnsi="宋体" w:cs="宋体"/>
          <w:color w:val="auto"/>
          <w:sz w:val="24"/>
          <w:highlight w:val="none"/>
          <w:u w:val="single"/>
        </w:rPr>
      </w:pPr>
    </w:p>
    <w:p w14:paraId="52E21C0B">
      <w:pPr>
        <w:spacing w:line="360" w:lineRule="auto"/>
        <w:ind w:firstLine="420"/>
        <w:rPr>
          <w:rFonts w:ascii="宋体" w:hAnsi="宋体" w:cs="宋体"/>
          <w:color w:val="auto"/>
          <w:sz w:val="24"/>
          <w:highlight w:val="none"/>
          <w:u w:val="single"/>
        </w:rPr>
      </w:pPr>
    </w:p>
    <w:p w14:paraId="67F3A025">
      <w:pPr>
        <w:spacing w:line="360" w:lineRule="auto"/>
        <w:ind w:firstLine="420"/>
        <w:rPr>
          <w:rFonts w:ascii="宋体" w:hAnsi="宋体" w:cs="宋体"/>
          <w:b/>
          <w:color w:val="auto"/>
          <w:sz w:val="24"/>
          <w:highlight w:val="none"/>
        </w:rPr>
      </w:pPr>
    </w:p>
    <w:p w14:paraId="7D8C834F">
      <w:pPr>
        <w:spacing w:line="500" w:lineRule="exact"/>
        <w:jc w:val="center"/>
        <w:rPr>
          <w:rFonts w:ascii="宋体" w:hAnsi="宋体" w:cs="宋体"/>
          <w:bCs/>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bCs/>
          <w:color w:val="auto"/>
          <w:sz w:val="32"/>
          <w:szCs w:val="32"/>
          <w:highlight w:val="none"/>
        </w:rPr>
        <w:t>商务条款偏离表格式</w:t>
      </w:r>
    </w:p>
    <w:p w14:paraId="76BAC0A4">
      <w:pPr>
        <w:spacing w:line="500" w:lineRule="exact"/>
        <w:jc w:val="center"/>
        <w:rPr>
          <w:rFonts w:ascii="宋体" w:hAnsi="宋体" w:cs="宋体"/>
          <w:b/>
          <w:color w:val="auto"/>
          <w:sz w:val="32"/>
          <w:szCs w:val="32"/>
          <w:highlight w:val="none"/>
        </w:rPr>
      </w:pPr>
      <w:r>
        <w:rPr>
          <w:rFonts w:ascii="宋体" w:hAnsi="宋体" w:cs="宋体"/>
          <w:bCs/>
          <w:color w:val="auto"/>
          <w:sz w:val="32"/>
          <w:szCs w:val="32"/>
          <w:highlight w:val="none"/>
        </w:rPr>
        <w:t>(注：按采购需求具体条款修改)</w:t>
      </w:r>
    </w:p>
    <w:p w14:paraId="53B31EA7">
      <w:pPr>
        <w:snapToGrid w:val="0"/>
        <w:spacing w:before="50"/>
        <w:jc w:val="left"/>
        <w:rPr>
          <w:rFonts w:ascii="宋体" w:hAnsi="宋体" w:cs="宋体"/>
          <w:color w:val="auto"/>
          <w:sz w:val="24"/>
          <w:highlight w:val="none"/>
        </w:rPr>
      </w:pPr>
    </w:p>
    <w:p w14:paraId="5E3FFA29">
      <w:pPr>
        <w:snapToGrid w:val="0"/>
        <w:spacing w:before="50" w:line="360" w:lineRule="auto"/>
        <w:jc w:val="left"/>
        <w:rPr>
          <w:rFonts w:ascii="宋体" w:hAnsi="宋体" w:cs="宋体"/>
          <w:color w:val="auto"/>
          <w:sz w:val="24"/>
          <w:highlight w:val="none"/>
          <w:u w:val="single"/>
        </w:rPr>
      </w:pPr>
    </w:p>
    <w:tbl>
      <w:tblPr>
        <w:tblStyle w:val="2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0C0FF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1D7410A5">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A7C305E">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3338E37D">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67280B7C">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38AC3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vAlign w:val="center"/>
          </w:tcPr>
          <w:p w14:paraId="2BAE555A">
            <w:pPr>
              <w:spacing w:line="360" w:lineRule="auto"/>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F559251">
            <w:pPr>
              <w:snapToGrid w:val="0"/>
              <w:spacing w:before="156" w:beforeLines="50" w:line="360" w:lineRule="auto"/>
              <w:jc w:val="center"/>
              <w:rPr>
                <w:rFonts w:ascii="宋体" w:hAnsi="宋体" w:cs="宋体"/>
                <w:bCs/>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1AEF159">
            <w:pPr>
              <w:snapToGrid w:val="0"/>
              <w:spacing w:before="156" w:beforeLines="50" w:line="360" w:lineRule="auto"/>
              <w:jc w:val="center"/>
              <w:rPr>
                <w:rFonts w:ascii="宋体" w:hAnsi="宋体" w:cs="宋体"/>
                <w:bCs/>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2E49C63">
            <w:pPr>
              <w:snapToGrid w:val="0"/>
              <w:spacing w:before="156" w:beforeLines="50" w:line="360" w:lineRule="auto"/>
              <w:jc w:val="center"/>
              <w:rPr>
                <w:rFonts w:ascii="宋体" w:hAnsi="宋体" w:cs="宋体"/>
                <w:bCs/>
                <w:color w:val="auto"/>
                <w:sz w:val="24"/>
                <w:highlight w:val="none"/>
              </w:rPr>
            </w:pPr>
          </w:p>
        </w:tc>
      </w:tr>
      <w:tr w14:paraId="45591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vAlign w:val="center"/>
          </w:tcPr>
          <w:p w14:paraId="7A5EBA8D">
            <w:pPr>
              <w:spacing w:line="360" w:lineRule="auto"/>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6D96F80">
            <w:pPr>
              <w:snapToGrid w:val="0"/>
              <w:spacing w:before="156" w:beforeLines="50" w:line="360" w:lineRule="auto"/>
              <w:jc w:val="center"/>
              <w:rPr>
                <w:rFonts w:ascii="宋体" w:hAnsi="宋体" w:cs="宋体"/>
                <w:bCs/>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56BDE9F">
            <w:pPr>
              <w:snapToGrid w:val="0"/>
              <w:spacing w:before="156" w:beforeLines="50" w:line="360" w:lineRule="auto"/>
              <w:ind w:left="43"/>
              <w:jc w:val="center"/>
              <w:rPr>
                <w:rFonts w:ascii="宋体" w:hAnsi="宋体" w:cs="宋体"/>
                <w:bCs/>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DC782C8">
            <w:pPr>
              <w:snapToGrid w:val="0"/>
              <w:spacing w:before="156" w:beforeLines="50" w:line="360" w:lineRule="auto"/>
              <w:ind w:left="43"/>
              <w:jc w:val="center"/>
              <w:rPr>
                <w:rFonts w:ascii="宋体" w:hAnsi="宋体" w:cs="宋体"/>
                <w:bCs/>
                <w:color w:val="auto"/>
                <w:sz w:val="24"/>
                <w:highlight w:val="none"/>
              </w:rPr>
            </w:pPr>
          </w:p>
        </w:tc>
      </w:tr>
      <w:tr w14:paraId="434D6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vAlign w:val="center"/>
          </w:tcPr>
          <w:p w14:paraId="58AC4730">
            <w:pPr>
              <w:spacing w:line="360" w:lineRule="auto"/>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04A3AE32">
            <w:pPr>
              <w:snapToGrid w:val="0"/>
              <w:spacing w:before="156" w:beforeLines="50" w:line="360" w:lineRule="auto"/>
              <w:jc w:val="center"/>
              <w:rPr>
                <w:rFonts w:ascii="宋体" w:hAnsi="宋体" w:cs="宋体"/>
                <w:bCs/>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02F33F8">
            <w:pPr>
              <w:snapToGrid w:val="0"/>
              <w:spacing w:before="156" w:beforeLines="50" w:line="360" w:lineRule="auto"/>
              <w:jc w:val="center"/>
              <w:rPr>
                <w:rFonts w:ascii="宋体" w:hAnsi="宋体" w:cs="宋体"/>
                <w:bCs/>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C84F766">
            <w:pPr>
              <w:snapToGrid w:val="0"/>
              <w:spacing w:before="156" w:beforeLines="50" w:line="360" w:lineRule="auto"/>
              <w:jc w:val="center"/>
              <w:rPr>
                <w:rFonts w:ascii="宋体" w:hAnsi="宋体" w:cs="宋体"/>
                <w:bCs/>
                <w:color w:val="auto"/>
                <w:sz w:val="24"/>
                <w:highlight w:val="none"/>
              </w:rPr>
            </w:pPr>
          </w:p>
        </w:tc>
      </w:tr>
      <w:tr w14:paraId="7DB48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vAlign w:val="center"/>
          </w:tcPr>
          <w:p w14:paraId="6B9460A2">
            <w:pPr>
              <w:snapToGrid w:val="0"/>
              <w:spacing w:before="156" w:beforeLines="50" w:line="360" w:lineRule="auto"/>
              <w:jc w:val="center"/>
              <w:rPr>
                <w:rFonts w:ascii="宋体" w:hAnsi="宋体" w:cs="宋体"/>
                <w:bCs/>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7F0DD730">
            <w:pPr>
              <w:snapToGrid w:val="0"/>
              <w:spacing w:before="156" w:beforeLines="50" w:line="360" w:lineRule="auto"/>
              <w:jc w:val="center"/>
              <w:rPr>
                <w:rFonts w:ascii="宋体" w:hAnsi="宋体" w:cs="宋体"/>
                <w:bCs/>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F76AA5D">
            <w:pPr>
              <w:snapToGrid w:val="0"/>
              <w:spacing w:before="156" w:beforeLines="50" w:line="360" w:lineRule="auto"/>
              <w:jc w:val="center"/>
              <w:rPr>
                <w:rFonts w:ascii="宋体" w:hAnsi="宋体" w:cs="宋体"/>
                <w:bCs/>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1ACFF58">
            <w:pPr>
              <w:snapToGrid w:val="0"/>
              <w:spacing w:before="156" w:beforeLines="50" w:line="360" w:lineRule="auto"/>
              <w:jc w:val="center"/>
              <w:rPr>
                <w:rFonts w:ascii="宋体" w:hAnsi="宋体" w:cs="宋体"/>
                <w:bCs/>
                <w:color w:val="auto"/>
                <w:sz w:val="24"/>
                <w:highlight w:val="none"/>
              </w:rPr>
            </w:pPr>
          </w:p>
        </w:tc>
      </w:tr>
    </w:tbl>
    <w:p w14:paraId="7BEB6756">
      <w:pPr>
        <w:pStyle w:val="1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7186C2FF">
      <w:pPr>
        <w:pStyle w:val="1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 说明：应对照磋商文件“第三章 采购需求”中的商务条款逐条实质性响应，并作出偏离说明。</w:t>
      </w:r>
    </w:p>
    <w:p w14:paraId="426E1B8E">
      <w:pPr>
        <w:snapToGrid w:val="0"/>
        <w:spacing w:before="50" w:line="360" w:lineRule="auto"/>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14:paraId="0CD05EA9">
      <w:pPr>
        <w:snapToGrid w:val="0"/>
        <w:spacing w:before="50" w:after="50" w:line="360" w:lineRule="auto"/>
        <w:ind w:right="-817" w:rightChars="-389"/>
        <w:rPr>
          <w:rFonts w:ascii="宋体" w:hAnsi="宋体" w:cs="宋体"/>
          <w:color w:val="auto"/>
          <w:sz w:val="24"/>
          <w:highlight w:val="none"/>
        </w:rPr>
      </w:pPr>
    </w:p>
    <w:p w14:paraId="3E7005C3">
      <w:pPr>
        <w:snapToGrid w:val="0"/>
        <w:spacing w:before="50" w:after="50" w:line="360" w:lineRule="auto"/>
        <w:ind w:right="-817" w:rightChars="-389" w:firstLine="960" w:firstLineChars="4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046967D7">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12AE43CF">
      <w:pPr>
        <w:snapToGrid w:val="0"/>
        <w:spacing w:before="50" w:after="50" w:line="360" w:lineRule="auto"/>
        <w:ind w:right="-817" w:rightChars="-389" w:firstLine="4080" w:firstLineChars="1700"/>
        <w:rPr>
          <w:rFonts w:ascii="宋体" w:hAnsi="宋体" w:cs="宋体"/>
          <w:b/>
          <w:color w:val="auto"/>
          <w:sz w:val="32"/>
          <w:szCs w:val="32"/>
          <w:highlight w:val="none"/>
        </w:rPr>
      </w:pPr>
      <w:r>
        <w:rPr>
          <w:rFonts w:hint="eastAsia" w:ascii="宋体" w:hAnsi="宋体" w:cs="宋体"/>
          <w:color w:val="auto"/>
          <w:sz w:val="24"/>
          <w:highlight w:val="none"/>
        </w:rPr>
        <w:t>日期：   年   月   日</w:t>
      </w:r>
    </w:p>
    <w:p w14:paraId="68E679DD">
      <w:pPr>
        <w:adjustRightInd w:val="0"/>
        <w:snapToGrid w:val="0"/>
        <w:spacing w:line="520" w:lineRule="exact"/>
        <w:ind w:firstLine="7040" w:firstLineChars="1600"/>
        <w:jc w:val="center"/>
        <w:rPr>
          <w:rFonts w:ascii="宋体" w:hAnsi="宋体" w:cs="宋体"/>
          <w:bCs/>
          <w:color w:val="auto"/>
          <w:sz w:val="44"/>
          <w:szCs w:val="44"/>
          <w:highlight w:val="none"/>
        </w:rPr>
      </w:pPr>
    </w:p>
    <w:p w14:paraId="604EC609">
      <w:pPr>
        <w:adjustRightInd w:val="0"/>
        <w:snapToGrid w:val="0"/>
        <w:spacing w:line="520" w:lineRule="exact"/>
        <w:ind w:firstLine="7040" w:firstLineChars="1600"/>
        <w:jc w:val="center"/>
        <w:rPr>
          <w:rFonts w:ascii="宋体" w:hAnsi="宋体" w:cs="宋体"/>
          <w:bCs/>
          <w:color w:val="auto"/>
          <w:sz w:val="44"/>
          <w:szCs w:val="44"/>
          <w:highlight w:val="none"/>
        </w:rPr>
      </w:pPr>
    </w:p>
    <w:p w14:paraId="5ACD70D2">
      <w:pPr>
        <w:adjustRightInd w:val="0"/>
        <w:snapToGrid w:val="0"/>
        <w:spacing w:line="520" w:lineRule="exact"/>
        <w:ind w:firstLine="7040" w:firstLineChars="1600"/>
        <w:jc w:val="center"/>
        <w:rPr>
          <w:rFonts w:ascii="宋体" w:hAnsi="宋体" w:cs="宋体"/>
          <w:bCs/>
          <w:color w:val="auto"/>
          <w:sz w:val="44"/>
          <w:szCs w:val="44"/>
          <w:highlight w:val="none"/>
        </w:rPr>
      </w:pPr>
    </w:p>
    <w:p w14:paraId="6F8E0236">
      <w:pPr>
        <w:adjustRightInd w:val="0"/>
        <w:snapToGrid w:val="0"/>
        <w:spacing w:line="520" w:lineRule="exact"/>
        <w:ind w:firstLine="7040" w:firstLineChars="1600"/>
        <w:jc w:val="center"/>
        <w:rPr>
          <w:rFonts w:ascii="宋体" w:hAnsi="宋体" w:cs="宋体"/>
          <w:bCs/>
          <w:color w:val="auto"/>
          <w:sz w:val="44"/>
          <w:szCs w:val="44"/>
          <w:highlight w:val="none"/>
        </w:rPr>
      </w:pPr>
    </w:p>
    <w:p w14:paraId="24EA8BD1">
      <w:pPr>
        <w:adjustRightInd w:val="0"/>
        <w:snapToGrid w:val="0"/>
        <w:spacing w:line="520" w:lineRule="exact"/>
        <w:ind w:firstLine="7040" w:firstLineChars="1600"/>
        <w:jc w:val="center"/>
        <w:rPr>
          <w:rFonts w:ascii="宋体" w:hAnsi="宋体" w:cs="宋体"/>
          <w:bCs/>
          <w:color w:val="auto"/>
          <w:sz w:val="44"/>
          <w:szCs w:val="44"/>
          <w:highlight w:val="none"/>
        </w:rPr>
      </w:pPr>
    </w:p>
    <w:p w14:paraId="3910F133">
      <w:pPr>
        <w:adjustRightInd w:val="0"/>
        <w:snapToGrid w:val="0"/>
        <w:spacing w:line="520" w:lineRule="exact"/>
        <w:rPr>
          <w:rFonts w:ascii="宋体" w:hAnsi="宋体" w:cs="宋体"/>
          <w:color w:val="auto"/>
          <w:szCs w:val="21"/>
          <w:highlight w:val="none"/>
          <w:u w:val="single"/>
        </w:rPr>
      </w:pPr>
    </w:p>
    <w:p w14:paraId="76D65F9C">
      <w:pPr>
        <w:pStyle w:val="11"/>
        <w:rPr>
          <w:color w:val="auto"/>
          <w:highlight w:val="none"/>
        </w:rPr>
      </w:pPr>
    </w:p>
    <w:p w14:paraId="59D8E12D">
      <w:pPr>
        <w:adjustRightInd w:val="0"/>
        <w:snapToGrid w:val="0"/>
        <w:spacing w:line="300" w:lineRule="auto"/>
        <w:rPr>
          <w:rFonts w:ascii="宋体" w:hAnsi="宋体" w:cs="宋体"/>
          <w:color w:val="auto"/>
          <w:szCs w:val="21"/>
          <w:highlight w:val="none"/>
          <w:u w:val="single"/>
        </w:rPr>
      </w:pPr>
    </w:p>
    <w:p w14:paraId="54956C06">
      <w:pPr>
        <w:adjustRightInd w:val="0"/>
        <w:snapToGrid w:val="0"/>
        <w:spacing w:line="30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技术需求偏离表</w:t>
      </w:r>
    </w:p>
    <w:p w14:paraId="133DEB9A">
      <w:pPr>
        <w:spacing w:line="520" w:lineRule="exact"/>
        <w:rPr>
          <w:rFonts w:ascii="宋体" w:hAnsi="宋体" w:cs="宋体"/>
          <w:color w:val="auto"/>
          <w:sz w:val="32"/>
          <w:szCs w:val="32"/>
          <w:highlight w:val="none"/>
        </w:rPr>
      </w:pPr>
    </w:p>
    <w:p w14:paraId="432AF47A">
      <w:pPr>
        <w:spacing w:line="360" w:lineRule="auto"/>
        <w:rPr>
          <w:rFonts w:ascii="宋体" w:hAnsi="宋体" w:cs="宋体"/>
          <w:color w:val="auto"/>
          <w:sz w:val="24"/>
          <w:highlight w:val="none"/>
        </w:rPr>
      </w:pPr>
    </w:p>
    <w:tbl>
      <w:tblPr>
        <w:tblStyle w:val="21"/>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3B44D2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B1BF651">
            <w:pPr>
              <w:pStyle w:val="13"/>
              <w:spacing w:line="360" w:lineRule="auto"/>
              <w:ind w:firstLine="0" w:firstLineChars="0"/>
              <w:jc w:val="center"/>
              <w:rPr>
                <w:rFonts w:ascii="宋体" w:hAnsi="宋体" w:eastAsia="宋体" w:cs="宋体"/>
                <w:color w:val="auto"/>
                <w:kern w:val="2"/>
                <w:sz w:val="24"/>
                <w:szCs w:val="24"/>
                <w:highlight w:val="none"/>
              </w:rPr>
            </w:pPr>
            <w:bookmarkStart w:id="72" w:name="_Toc295404981"/>
            <w:bookmarkStart w:id="73" w:name="_Toc373333689"/>
            <w:bookmarkStart w:id="74" w:name="_Toc173211900"/>
            <w:bookmarkStart w:id="75" w:name="_Toc301781611"/>
            <w:bookmarkStart w:id="76" w:name="_Toc173066401"/>
            <w:bookmarkStart w:id="77" w:name="_Toc297193185"/>
            <w:bookmarkStart w:id="78" w:name="_Toc254970729"/>
            <w:bookmarkStart w:id="79" w:name="_Toc254970588"/>
            <w:bookmarkStart w:id="80" w:name="_Toc383699906"/>
            <w:r>
              <w:rPr>
                <w:rFonts w:hint="eastAsia" w:ascii="宋体" w:hAnsi="宋体" w:eastAsia="宋体" w:cs="宋体"/>
                <w:color w:val="auto"/>
                <w:kern w:val="2"/>
                <w:sz w:val="24"/>
                <w:szCs w:val="24"/>
                <w:highlight w:val="none"/>
              </w:rPr>
              <w:t>序号</w:t>
            </w:r>
            <w:bookmarkEnd w:id="72"/>
            <w:bookmarkEnd w:id="73"/>
            <w:bookmarkEnd w:id="74"/>
            <w:bookmarkEnd w:id="75"/>
            <w:bookmarkEnd w:id="76"/>
            <w:bookmarkEnd w:id="77"/>
            <w:bookmarkEnd w:id="78"/>
            <w:bookmarkEnd w:id="79"/>
            <w:bookmarkEnd w:id="80"/>
          </w:p>
        </w:tc>
        <w:tc>
          <w:tcPr>
            <w:tcW w:w="915" w:type="dxa"/>
            <w:tcBorders>
              <w:right w:val="single" w:color="auto" w:sz="4" w:space="0"/>
            </w:tcBorders>
            <w:vAlign w:val="center"/>
          </w:tcPr>
          <w:p w14:paraId="2E8ED722">
            <w:pPr>
              <w:pStyle w:val="13"/>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3038" w:type="dxa"/>
            <w:tcBorders>
              <w:left w:val="single" w:color="auto" w:sz="4" w:space="0"/>
            </w:tcBorders>
            <w:vAlign w:val="center"/>
          </w:tcPr>
          <w:p w14:paraId="78C49074">
            <w:pPr>
              <w:pStyle w:val="13"/>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磋商文件技术需求</w:t>
            </w:r>
          </w:p>
        </w:tc>
        <w:tc>
          <w:tcPr>
            <w:tcW w:w="2734" w:type="dxa"/>
            <w:vAlign w:val="center"/>
          </w:tcPr>
          <w:p w14:paraId="0EC7DBC0">
            <w:pPr>
              <w:pStyle w:val="13"/>
              <w:spacing w:line="360" w:lineRule="auto"/>
              <w:ind w:firstLine="0" w:firstLineChars="0"/>
              <w:jc w:val="center"/>
              <w:rPr>
                <w:rFonts w:ascii="宋体" w:hAnsi="宋体" w:eastAsia="宋体" w:cs="宋体"/>
                <w:color w:val="auto"/>
                <w:kern w:val="2"/>
                <w:sz w:val="24"/>
                <w:szCs w:val="24"/>
                <w:highlight w:val="none"/>
              </w:rPr>
            </w:pPr>
            <w:bookmarkStart w:id="81" w:name="_Toc373333691"/>
            <w:bookmarkStart w:id="82" w:name="_Toc297193187"/>
            <w:bookmarkStart w:id="83" w:name="_Toc254970590"/>
            <w:bookmarkStart w:id="84" w:name="_Toc254970731"/>
            <w:bookmarkStart w:id="85" w:name="_Toc173066403"/>
            <w:bookmarkStart w:id="86" w:name="_Toc301781613"/>
            <w:bookmarkStart w:id="87" w:name="_Toc295404983"/>
            <w:bookmarkStart w:id="88" w:name="_Toc383699908"/>
            <w:bookmarkStart w:id="89" w:name="_Toc173211902"/>
            <w:r>
              <w:rPr>
                <w:rFonts w:hint="eastAsia" w:ascii="宋体" w:hAnsi="宋体" w:eastAsia="宋体" w:cs="宋体"/>
                <w:color w:val="auto"/>
                <w:kern w:val="2"/>
                <w:sz w:val="24"/>
                <w:szCs w:val="24"/>
                <w:highlight w:val="none"/>
              </w:rPr>
              <w:t>竞标响应</w:t>
            </w:r>
            <w:bookmarkEnd w:id="81"/>
            <w:bookmarkEnd w:id="82"/>
            <w:bookmarkEnd w:id="83"/>
            <w:bookmarkEnd w:id="84"/>
            <w:bookmarkEnd w:id="85"/>
            <w:bookmarkEnd w:id="86"/>
            <w:bookmarkEnd w:id="87"/>
            <w:bookmarkEnd w:id="88"/>
            <w:bookmarkEnd w:id="89"/>
          </w:p>
        </w:tc>
        <w:tc>
          <w:tcPr>
            <w:tcW w:w="1492" w:type="dxa"/>
            <w:vAlign w:val="center"/>
          </w:tcPr>
          <w:p w14:paraId="0802A039">
            <w:pPr>
              <w:pStyle w:val="13"/>
              <w:spacing w:line="360" w:lineRule="auto"/>
              <w:ind w:firstLine="0" w:firstLineChars="0"/>
              <w:jc w:val="center"/>
              <w:rPr>
                <w:rFonts w:ascii="宋体" w:hAnsi="宋体" w:eastAsia="宋体" w:cs="宋体"/>
                <w:color w:val="auto"/>
                <w:kern w:val="2"/>
                <w:sz w:val="24"/>
                <w:szCs w:val="24"/>
                <w:highlight w:val="none"/>
              </w:rPr>
            </w:pPr>
            <w:bookmarkStart w:id="90" w:name="_Toc383699909"/>
            <w:bookmarkStart w:id="91" w:name="_Toc301781614"/>
            <w:bookmarkStart w:id="92" w:name="_Toc254970732"/>
            <w:bookmarkStart w:id="93" w:name="_Toc173211903"/>
            <w:bookmarkStart w:id="94" w:name="_Toc373333692"/>
            <w:bookmarkStart w:id="95" w:name="_Toc254970591"/>
            <w:bookmarkStart w:id="96" w:name="_Toc173066404"/>
            <w:bookmarkStart w:id="97" w:name="_Toc297193188"/>
            <w:bookmarkStart w:id="98" w:name="_Toc295404984"/>
            <w:r>
              <w:rPr>
                <w:rFonts w:hint="eastAsia" w:ascii="宋体" w:hAnsi="宋体" w:eastAsia="宋体" w:cs="宋体"/>
                <w:color w:val="auto"/>
                <w:kern w:val="2"/>
                <w:sz w:val="24"/>
                <w:szCs w:val="24"/>
                <w:highlight w:val="none"/>
              </w:rPr>
              <w:t>偏离</w:t>
            </w:r>
            <w:bookmarkEnd w:id="90"/>
            <w:bookmarkEnd w:id="91"/>
            <w:bookmarkEnd w:id="92"/>
            <w:bookmarkEnd w:id="93"/>
            <w:bookmarkEnd w:id="94"/>
            <w:bookmarkEnd w:id="95"/>
            <w:bookmarkEnd w:id="96"/>
            <w:bookmarkEnd w:id="97"/>
            <w:bookmarkEnd w:id="98"/>
            <w:bookmarkStart w:id="99" w:name="_Toc173066405"/>
            <w:bookmarkStart w:id="100" w:name="_Toc301781615"/>
            <w:bookmarkStart w:id="101" w:name="_Toc173211904"/>
            <w:bookmarkStart w:id="102" w:name="_Toc383699910"/>
            <w:bookmarkStart w:id="103" w:name="_Toc297193189"/>
            <w:bookmarkStart w:id="104" w:name="_Toc254970592"/>
            <w:bookmarkStart w:id="105" w:name="_Toc254970733"/>
            <w:bookmarkStart w:id="106" w:name="_Toc373333693"/>
            <w:bookmarkStart w:id="107" w:name="_Toc295404985"/>
            <w:r>
              <w:rPr>
                <w:rFonts w:hint="eastAsia" w:ascii="宋体" w:hAnsi="宋体" w:eastAsia="宋体" w:cs="宋体"/>
                <w:color w:val="auto"/>
                <w:kern w:val="2"/>
                <w:sz w:val="24"/>
                <w:szCs w:val="24"/>
                <w:highlight w:val="none"/>
              </w:rPr>
              <w:t>说明</w:t>
            </w:r>
            <w:bookmarkEnd w:id="99"/>
            <w:bookmarkEnd w:id="100"/>
            <w:bookmarkEnd w:id="101"/>
            <w:bookmarkEnd w:id="102"/>
            <w:bookmarkEnd w:id="103"/>
            <w:bookmarkEnd w:id="104"/>
            <w:bookmarkEnd w:id="105"/>
            <w:bookmarkEnd w:id="106"/>
            <w:bookmarkEnd w:id="107"/>
          </w:p>
        </w:tc>
      </w:tr>
      <w:tr w14:paraId="0EB387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07F686F">
            <w:pPr>
              <w:pStyle w:val="13"/>
              <w:spacing w:line="360" w:lineRule="auto"/>
              <w:ind w:firstLine="0" w:firstLineChars="0"/>
              <w:jc w:val="center"/>
              <w:rPr>
                <w:rFonts w:ascii="宋体" w:hAnsi="宋体" w:eastAsia="宋体" w:cs="宋体"/>
                <w:color w:val="auto"/>
                <w:kern w:val="2"/>
                <w:sz w:val="24"/>
                <w:szCs w:val="24"/>
                <w:highlight w:val="none"/>
              </w:rPr>
            </w:pPr>
            <w:bookmarkStart w:id="108" w:name="_Toc173211905"/>
            <w:bookmarkStart w:id="109" w:name="_Toc254970734"/>
            <w:bookmarkStart w:id="110" w:name="_Toc295404986"/>
            <w:bookmarkStart w:id="111" w:name="_Toc173066406"/>
            <w:bookmarkStart w:id="112" w:name="_Toc383699911"/>
            <w:bookmarkStart w:id="113" w:name="_Toc297193190"/>
            <w:bookmarkStart w:id="114" w:name="_Toc254970593"/>
            <w:bookmarkStart w:id="115" w:name="_Toc373333694"/>
            <w:bookmarkStart w:id="116" w:name="_Toc301781616"/>
            <w:r>
              <w:rPr>
                <w:rFonts w:hint="eastAsia" w:ascii="宋体" w:hAnsi="宋体" w:eastAsia="宋体" w:cs="宋体"/>
                <w:color w:val="auto"/>
                <w:kern w:val="2"/>
                <w:sz w:val="24"/>
                <w:szCs w:val="24"/>
                <w:highlight w:val="none"/>
              </w:rPr>
              <w:t>1</w:t>
            </w:r>
            <w:bookmarkEnd w:id="108"/>
            <w:bookmarkEnd w:id="109"/>
            <w:bookmarkEnd w:id="110"/>
            <w:bookmarkEnd w:id="111"/>
            <w:bookmarkEnd w:id="112"/>
            <w:bookmarkEnd w:id="113"/>
            <w:bookmarkEnd w:id="114"/>
            <w:bookmarkEnd w:id="115"/>
            <w:bookmarkEnd w:id="116"/>
          </w:p>
        </w:tc>
        <w:tc>
          <w:tcPr>
            <w:tcW w:w="915" w:type="dxa"/>
            <w:tcBorders>
              <w:right w:val="single" w:color="auto" w:sz="4" w:space="0"/>
            </w:tcBorders>
            <w:vAlign w:val="center"/>
          </w:tcPr>
          <w:p w14:paraId="4459691E">
            <w:pPr>
              <w:pStyle w:val="13"/>
              <w:spacing w:line="360" w:lineRule="auto"/>
              <w:ind w:firstLine="0" w:firstLineChars="0"/>
              <w:jc w:val="center"/>
              <w:rPr>
                <w:rFonts w:ascii="宋体" w:hAnsi="宋体" w:eastAsia="宋体" w:cs="宋体"/>
                <w:color w:val="auto"/>
                <w:kern w:val="2"/>
                <w:sz w:val="24"/>
                <w:szCs w:val="24"/>
                <w:highlight w:val="none"/>
              </w:rPr>
            </w:pPr>
          </w:p>
        </w:tc>
        <w:tc>
          <w:tcPr>
            <w:tcW w:w="3038" w:type="dxa"/>
            <w:tcBorders>
              <w:left w:val="single" w:color="auto" w:sz="4" w:space="0"/>
            </w:tcBorders>
            <w:vAlign w:val="center"/>
          </w:tcPr>
          <w:p w14:paraId="7E50120D">
            <w:pPr>
              <w:pStyle w:val="13"/>
              <w:spacing w:line="360" w:lineRule="auto"/>
              <w:ind w:firstLine="0" w:firstLineChars="0"/>
              <w:jc w:val="center"/>
              <w:rPr>
                <w:rFonts w:ascii="宋体" w:hAnsi="宋体" w:eastAsia="宋体" w:cs="宋体"/>
                <w:color w:val="auto"/>
                <w:kern w:val="2"/>
                <w:sz w:val="24"/>
                <w:szCs w:val="24"/>
                <w:highlight w:val="none"/>
              </w:rPr>
            </w:pPr>
          </w:p>
        </w:tc>
        <w:tc>
          <w:tcPr>
            <w:tcW w:w="2734" w:type="dxa"/>
            <w:vAlign w:val="center"/>
          </w:tcPr>
          <w:p w14:paraId="27FB3699">
            <w:pPr>
              <w:pStyle w:val="13"/>
              <w:spacing w:line="360" w:lineRule="auto"/>
              <w:ind w:firstLine="0" w:firstLineChars="0"/>
              <w:jc w:val="center"/>
              <w:rPr>
                <w:rFonts w:ascii="宋体" w:hAnsi="宋体" w:eastAsia="宋体" w:cs="宋体"/>
                <w:color w:val="auto"/>
                <w:kern w:val="2"/>
                <w:sz w:val="24"/>
                <w:szCs w:val="24"/>
                <w:highlight w:val="none"/>
              </w:rPr>
            </w:pPr>
          </w:p>
        </w:tc>
        <w:tc>
          <w:tcPr>
            <w:tcW w:w="1492" w:type="dxa"/>
            <w:vAlign w:val="center"/>
          </w:tcPr>
          <w:p w14:paraId="357736F1">
            <w:pPr>
              <w:pStyle w:val="13"/>
              <w:spacing w:line="360" w:lineRule="auto"/>
              <w:ind w:firstLine="0" w:firstLineChars="0"/>
              <w:jc w:val="center"/>
              <w:rPr>
                <w:rFonts w:ascii="宋体" w:hAnsi="宋体" w:eastAsia="宋体" w:cs="宋体"/>
                <w:color w:val="auto"/>
                <w:kern w:val="2"/>
                <w:sz w:val="24"/>
                <w:szCs w:val="24"/>
                <w:highlight w:val="none"/>
              </w:rPr>
            </w:pPr>
          </w:p>
        </w:tc>
      </w:tr>
      <w:tr w14:paraId="67A9EB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41FA8DE">
            <w:pPr>
              <w:pStyle w:val="13"/>
              <w:spacing w:line="360" w:lineRule="auto"/>
              <w:ind w:firstLine="0" w:firstLineChars="0"/>
              <w:jc w:val="center"/>
              <w:rPr>
                <w:rFonts w:ascii="宋体" w:hAnsi="宋体" w:eastAsia="宋体" w:cs="宋体"/>
                <w:color w:val="auto"/>
                <w:kern w:val="2"/>
                <w:sz w:val="24"/>
                <w:szCs w:val="24"/>
                <w:highlight w:val="none"/>
              </w:rPr>
            </w:pPr>
            <w:bookmarkStart w:id="117" w:name="_Toc297193191"/>
            <w:bookmarkStart w:id="118" w:name="_Toc254970735"/>
            <w:bookmarkStart w:id="119" w:name="_Toc373333695"/>
            <w:bookmarkStart w:id="120" w:name="_Toc173211906"/>
            <w:bookmarkStart w:id="121" w:name="_Toc173066407"/>
            <w:bookmarkStart w:id="122" w:name="_Toc301781617"/>
            <w:bookmarkStart w:id="123" w:name="_Toc383699912"/>
            <w:bookmarkStart w:id="124" w:name="_Toc295404987"/>
            <w:bookmarkStart w:id="125" w:name="_Toc254970594"/>
            <w:r>
              <w:rPr>
                <w:rFonts w:hint="eastAsia" w:ascii="宋体" w:hAnsi="宋体" w:eastAsia="宋体" w:cs="宋体"/>
                <w:color w:val="auto"/>
                <w:kern w:val="2"/>
                <w:sz w:val="24"/>
                <w:szCs w:val="24"/>
                <w:highlight w:val="none"/>
              </w:rPr>
              <w:t>2</w:t>
            </w:r>
            <w:bookmarkEnd w:id="117"/>
            <w:bookmarkEnd w:id="118"/>
            <w:bookmarkEnd w:id="119"/>
            <w:bookmarkEnd w:id="120"/>
            <w:bookmarkEnd w:id="121"/>
            <w:bookmarkEnd w:id="122"/>
            <w:bookmarkEnd w:id="123"/>
            <w:bookmarkEnd w:id="124"/>
            <w:bookmarkEnd w:id="125"/>
          </w:p>
        </w:tc>
        <w:tc>
          <w:tcPr>
            <w:tcW w:w="915" w:type="dxa"/>
            <w:tcBorders>
              <w:right w:val="single" w:color="auto" w:sz="4" w:space="0"/>
            </w:tcBorders>
            <w:vAlign w:val="center"/>
          </w:tcPr>
          <w:p w14:paraId="2E189C3A">
            <w:pPr>
              <w:pStyle w:val="13"/>
              <w:spacing w:line="360" w:lineRule="auto"/>
              <w:ind w:firstLine="0" w:firstLineChars="0"/>
              <w:jc w:val="center"/>
              <w:rPr>
                <w:rFonts w:ascii="宋体" w:hAnsi="宋体" w:eastAsia="宋体" w:cs="宋体"/>
                <w:color w:val="auto"/>
                <w:kern w:val="2"/>
                <w:sz w:val="24"/>
                <w:szCs w:val="24"/>
                <w:highlight w:val="none"/>
              </w:rPr>
            </w:pPr>
          </w:p>
        </w:tc>
        <w:tc>
          <w:tcPr>
            <w:tcW w:w="3038" w:type="dxa"/>
            <w:tcBorders>
              <w:left w:val="single" w:color="auto" w:sz="4" w:space="0"/>
            </w:tcBorders>
            <w:vAlign w:val="center"/>
          </w:tcPr>
          <w:p w14:paraId="4FB1C94A">
            <w:pPr>
              <w:pStyle w:val="13"/>
              <w:spacing w:line="360" w:lineRule="auto"/>
              <w:ind w:firstLine="0" w:firstLineChars="0"/>
              <w:jc w:val="center"/>
              <w:rPr>
                <w:rFonts w:ascii="宋体" w:hAnsi="宋体" w:eastAsia="宋体" w:cs="宋体"/>
                <w:color w:val="auto"/>
                <w:kern w:val="2"/>
                <w:sz w:val="24"/>
                <w:szCs w:val="24"/>
                <w:highlight w:val="none"/>
              </w:rPr>
            </w:pPr>
          </w:p>
        </w:tc>
        <w:tc>
          <w:tcPr>
            <w:tcW w:w="2734" w:type="dxa"/>
            <w:vAlign w:val="center"/>
          </w:tcPr>
          <w:p w14:paraId="1A6D7791">
            <w:pPr>
              <w:pStyle w:val="13"/>
              <w:spacing w:line="360" w:lineRule="auto"/>
              <w:ind w:firstLine="0" w:firstLineChars="0"/>
              <w:jc w:val="center"/>
              <w:rPr>
                <w:rFonts w:ascii="宋体" w:hAnsi="宋体" w:eastAsia="宋体" w:cs="宋体"/>
                <w:color w:val="auto"/>
                <w:kern w:val="2"/>
                <w:sz w:val="24"/>
                <w:szCs w:val="24"/>
                <w:highlight w:val="none"/>
              </w:rPr>
            </w:pPr>
          </w:p>
        </w:tc>
        <w:tc>
          <w:tcPr>
            <w:tcW w:w="1492" w:type="dxa"/>
            <w:vAlign w:val="center"/>
          </w:tcPr>
          <w:p w14:paraId="33D81BFD">
            <w:pPr>
              <w:pStyle w:val="13"/>
              <w:spacing w:line="360" w:lineRule="auto"/>
              <w:ind w:firstLine="0" w:firstLineChars="0"/>
              <w:jc w:val="center"/>
              <w:rPr>
                <w:rFonts w:ascii="宋体" w:hAnsi="宋体" w:eastAsia="宋体" w:cs="宋体"/>
                <w:color w:val="auto"/>
                <w:kern w:val="2"/>
                <w:sz w:val="24"/>
                <w:szCs w:val="24"/>
                <w:highlight w:val="none"/>
              </w:rPr>
            </w:pPr>
          </w:p>
        </w:tc>
      </w:tr>
      <w:tr w14:paraId="7CA831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7B78C5F">
            <w:pPr>
              <w:pStyle w:val="13"/>
              <w:spacing w:line="360" w:lineRule="auto"/>
              <w:ind w:firstLine="0" w:firstLineChars="0"/>
              <w:jc w:val="center"/>
              <w:rPr>
                <w:rFonts w:ascii="宋体" w:hAnsi="宋体" w:eastAsia="宋体" w:cs="宋体"/>
                <w:color w:val="auto"/>
                <w:kern w:val="2"/>
                <w:sz w:val="24"/>
                <w:szCs w:val="24"/>
                <w:highlight w:val="none"/>
              </w:rPr>
            </w:pPr>
            <w:bookmarkStart w:id="126" w:name="_Toc254970595"/>
            <w:bookmarkStart w:id="127" w:name="_Toc373333696"/>
            <w:bookmarkStart w:id="128" w:name="_Toc301781618"/>
            <w:bookmarkStart w:id="129" w:name="_Toc295404988"/>
            <w:bookmarkStart w:id="130" w:name="_Toc297193192"/>
            <w:bookmarkStart w:id="131" w:name="_Toc173211907"/>
            <w:bookmarkStart w:id="132" w:name="_Toc254970736"/>
            <w:bookmarkStart w:id="133" w:name="_Toc383699913"/>
            <w:bookmarkStart w:id="134" w:name="_Toc173066408"/>
            <w:r>
              <w:rPr>
                <w:rFonts w:hint="eastAsia" w:ascii="宋体" w:hAnsi="宋体" w:eastAsia="宋体" w:cs="宋体"/>
                <w:color w:val="auto"/>
                <w:kern w:val="2"/>
                <w:sz w:val="24"/>
                <w:szCs w:val="24"/>
                <w:highlight w:val="none"/>
              </w:rPr>
              <w:t>3</w:t>
            </w:r>
            <w:bookmarkEnd w:id="126"/>
            <w:bookmarkEnd w:id="127"/>
            <w:bookmarkEnd w:id="128"/>
            <w:bookmarkEnd w:id="129"/>
            <w:bookmarkEnd w:id="130"/>
            <w:bookmarkEnd w:id="131"/>
            <w:bookmarkEnd w:id="132"/>
            <w:bookmarkEnd w:id="133"/>
            <w:bookmarkEnd w:id="134"/>
          </w:p>
        </w:tc>
        <w:tc>
          <w:tcPr>
            <w:tcW w:w="915" w:type="dxa"/>
            <w:tcBorders>
              <w:right w:val="single" w:color="auto" w:sz="4" w:space="0"/>
            </w:tcBorders>
            <w:vAlign w:val="center"/>
          </w:tcPr>
          <w:p w14:paraId="577BFBD9">
            <w:pPr>
              <w:pStyle w:val="13"/>
              <w:spacing w:line="360" w:lineRule="auto"/>
              <w:ind w:firstLine="0" w:firstLineChars="0"/>
              <w:jc w:val="center"/>
              <w:rPr>
                <w:rFonts w:ascii="宋体" w:hAnsi="宋体" w:eastAsia="宋体" w:cs="宋体"/>
                <w:color w:val="auto"/>
                <w:kern w:val="2"/>
                <w:sz w:val="24"/>
                <w:szCs w:val="24"/>
                <w:highlight w:val="none"/>
              </w:rPr>
            </w:pPr>
          </w:p>
        </w:tc>
        <w:tc>
          <w:tcPr>
            <w:tcW w:w="3038" w:type="dxa"/>
            <w:tcBorders>
              <w:left w:val="single" w:color="auto" w:sz="4" w:space="0"/>
            </w:tcBorders>
            <w:vAlign w:val="center"/>
          </w:tcPr>
          <w:p w14:paraId="68D047E2">
            <w:pPr>
              <w:pStyle w:val="13"/>
              <w:spacing w:line="360" w:lineRule="auto"/>
              <w:ind w:firstLine="0" w:firstLineChars="0"/>
              <w:jc w:val="center"/>
              <w:rPr>
                <w:rFonts w:ascii="宋体" w:hAnsi="宋体" w:eastAsia="宋体" w:cs="宋体"/>
                <w:color w:val="auto"/>
                <w:kern w:val="2"/>
                <w:sz w:val="24"/>
                <w:szCs w:val="24"/>
                <w:highlight w:val="none"/>
              </w:rPr>
            </w:pPr>
          </w:p>
        </w:tc>
        <w:tc>
          <w:tcPr>
            <w:tcW w:w="2734" w:type="dxa"/>
            <w:vAlign w:val="center"/>
          </w:tcPr>
          <w:p w14:paraId="29CF635B">
            <w:pPr>
              <w:pStyle w:val="13"/>
              <w:spacing w:line="360" w:lineRule="auto"/>
              <w:ind w:firstLine="0" w:firstLineChars="0"/>
              <w:jc w:val="center"/>
              <w:rPr>
                <w:rFonts w:ascii="宋体" w:hAnsi="宋体" w:eastAsia="宋体" w:cs="宋体"/>
                <w:color w:val="auto"/>
                <w:kern w:val="2"/>
                <w:sz w:val="24"/>
                <w:szCs w:val="24"/>
                <w:highlight w:val="none"/>
              </w:rPr>
            </w:pPr>
          </w:p>
        </w:tc>
        <w:tc>
          <w:tcPr>
            <w:tcW w:w="1492" w:type="dxa"/>
            <w:vAlign w:val="center"/>
          </w:tcPr>
          <w:p w14:paraId="0A761F8B">
            <w:pPr>
              <w:pStyle w:val="13"/>
              <w:spacing w:line="360" w:lineRule="auto"/>
              <w:ind w:firstLine="0" w:firstLineChars="0"/>
              <w:jc w:val="center"/>
              <w:rPr>
                <w:rFonts w:ascii="宋体" w:hAnsi="宋体" w:eastAsia="宋体" w:cs="宋体"/>
                <w:color w:val="auto"/>
                <w:kern w:val="2"/>
                <w:sz w:val="24"/>
                <w:szCs w:val="24"/>
                <w:highlight w:val="none"/>
              </w:rPr>
            </w:pPr>
          </w:p>
        </w:tc>
      </w:tr>
      <w:tr w14:paraId="458B11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6D49085">
            <w:pPr>
              <w:pStyle w:val="13"/>
              <w:spacing w:line="360" w:lineRule="auto"/>
              <w:ind w:firstLine="0" w:firstLineChars="0"/>
              <w:jc w:val="center"/>
              <w:rPr>
                <w:rFonts w:ascii="宋体" w:hAnsi="宋体" w:eastAsia="宋体" w:cs="宋体"/>
                <w:color w:val="auto"/>
                <w:kern w:val="2"/>
                <w:sz w:val="24"/>
                <w:szCs w:val="24"/>
                <w:highlight w:val="none"/>
              </w:rPr>
            </w:pPr>
            <w:bookmarkStart w:id="135" w:name="_Toc301781619"/>
            <w:bookmarkStart w:id="136" w:name="_Toc383699914"/>
            <w:bookmarkStart w:id="137" w:name="_Toc295404989"/>
            <w:bookmarkStart w:id="138" w:name="_Toc373333697"/>
            <w:bookmarkStart w:id="139" w:name="_Toc254970596"/>
            <w:bookmarkStart w:id="140" w:name="_Toc173211908"/>
            <w:bookmarkStart w:id="141" w:name="_Toc297193193"/>
            <w:bookmarkStart w:id="142" w:name="_Toc254970737"/>
            <w:bookmarkStart w:id="143" w:name="_Toc173066409"/>
            <w:r>
              <w:rPr>
                <w:rFonts w:hint="eastAsia" w:ascii="宋体" w:hAnsi="宋体" w:eastAsia="宋体" w:cs="宋体"/>
                <w:color w:val="auto"/>
                <w:kern w:val="2"/>
                <w:sz w:val="24"/>
                <w:szCs w:val="24"/>
                <w:highlight w:val="none"/>
              </w:rPr>
              <w:t>4</w:t>
            </w:r>
            <w:bookmarkEnd w:id="135"/>
            <w:bookmarkEnd w:id="136"/>
            <w:bookmarkEnd w:id="137"/>
            <w:bookmarkEnd w:id="138"/>
            <w:bookmarkEnd w:id="139"/>
            <w:bookmarkEnd w:id="140"/>
            <w:bookmarkEnd w:id="141"/>
            <w:bookmarkEnd w:id="142"/>
            <w:bookmarkEnd w:id="143"/>
          </w:p>
        </w:tc>
        <w:tc>
          <w:tcPr>
            <w:tcW w:w="915" w:type="dxa"/>
            <w:tcBorders>
              <w:right w:val="single" w:color="auto" w:sz="4" w:space="0"/>
            </w:tcBorders>
            <w:vAlign w:val="center"/>
          </w:tcPr>
          <w:p w14:paraId="202863B6">
            <w:pPr>
              <w:pStyle w:val="13"/>
              <w:spacing w:line="360" w:lineRule="auto"/>
              <w:ind w:firstLine="0" w:firstLineChars="0"/>
              <w:jc w:val="center"/>
              <w:rPr>
                <w:rFonts w:ascii="宋体" w:hAnsi="宋体" w:eastAsia="宋体" w:cs="宋体"/>
                <w:color w:val="auto"/>
                <w:kern w:val="2"/>
                <w:sz w:val="24"/>
                <w:szCs w:val="24"/>
                <w:highlight w:val="none"/>
              </w:rPr>
            </w:pPr>
          </w:p>
        </w:tc>
        <w:tc>
          <w:tcPr>
            <w:tcW w:w="3038" w:type="dxa"/>
            <w:tcBorders>
              <w:left w:val="single" w:color="auto" w:sz="4" w:space="0"/>
            </w:tcBorders>
            <w:vAlign w:val="center"/>
          </w:tcPr>
          <w:p w14:paraId="56457182">
            <w:pPr>
              <w:pStyle w:val="13"/>
              <w:spacing w:line="360" w:lineRule="auto"/>
              <w:ind w:firstLine="0" w:firstLineChars="0"/>
              <w:jc w:val="center"/>
              <w:rPr>
                <w:rFonts w:ascii="宋体" w:hAnsi="宋体" w:eastAsia="宋体" w:cs="宋体"/>
                <w:color w:val="auto"/>
                <w:kern w:val="2"/>
                <w:sz w:val="24"/>
                <w:szCs w:val="24"/>
                <w:highlight w:val="none"/>
              </w:rPr>
            </w:pPr>
          </w:p>
        </w:tc>
        <w:tc>
          <w:tcPr>
            <w:tcW w:w="2734" w:type="dxa"/>
            <w:vAlign w:val="center"/>
          </w:tcPr>
          <w:p w14:paraId="4CD2BED3">
            <w:pPr>
              <w:pStyle w:val="13"/>
              <w:spacing w:line="360" w:lineRule="auto"/>
              <w:ind w:firstLine="0" w:firstLineChars="0"/>
              <w:jc w:val="center"/>
              <w:rPr>
                <w:rFonts w:ascii="宋体" w:hAnsi="宋体" w:eastAsia="宋体" w:cs="宋体"/>
                <w:color w:val="auto"/>
                <w:kern w:val="2"/>
                <w:sz w:val="24"/>
                <w:szCs w:val="24"/>
                <w:highlight w:val="none"/>
              </w:rPr>
            </w:pPr>
          </w:p>
        </w:tc>
        <w:tc>
          <w:tcPr>
            <w:tcW w:w="1492" w:type="dxa"/>
            <w:vAlign w:val="center"/>
          </w:tcPr>
          <w:p w14:paraId="4389CBC6">
            <w:pPr>
              <w:pStyle w:val="13"/>
              <w:spacing w:line="360" w:lineRule="auto"/>
              <w:ind w:firstLine="0" w:firstLineChars="0"/>
              <w:jc w:val="center"/>
              <w:rPr>
                <w:rFonts w:ascii="宋体" w:hAnsi="宋体" w:eastAsia="宋体" w:cs="宋体"/>
                <w:color w:val="auto"/>
                <w:kern w:val="2"/>
                <w:sz w:val="24"/>
                <w:szCs w:val="24"/>
                <w:highlight w:val="none"/>
              </w:rPr>
            </w:pPr>
          </w:p>
        </w:tc>
      </w:tr>
      <w:tr w14:paraId="634568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C2E7AC0">
            <w:pPr>
              <w:pStyle w:val="13"/>
              <w:spacing w:line="360" w:lineRule="auto"/>
              <w:ind w:firstLine="0" w:firstLineChars="0"/>
              <w:jc w:val="center"/>
              <w:rPr>
                <w:rFonts w:ascii="宋体" w:hAnsi="宋体" w:eastAsia="宋体" w:cs="宋体"/>
                <w:color w:val="auto"/>
                <w:kern w:val="2"/>
                <w:sz w:val="24"/>
                <w:szCs w:val="24"/>
                <w:highlight w:val="none"/>
              </w:rPr>
            </w:pPr>
            <w:bookmarkStart w:id="144" w:name="_Toc373333698"/>
            <w:bookmarkStart w:id="145" w:name="_Toc173066410"/>
            <w:bookmarkStart w:id="146" w:name="_Toc295404990"/>
            <w:bookmarkStart w:id="147" w:name="_Toc173211909"/>
            <w:bookmarkStart w:id="148" w:name="_Toc254970597"/>
            <w:bookmarkStart w:id="149" w:name="_Toc297193194"/>
            <w:bookmarkStart w:id="150" w:name="_Toc301781620"/>
            <w:bookmarkStart w:id="151" w:name="_Toc383699915"/>
            <w:bookmarkStart w:id="152" w:name="_Toc254970738"/>
            <w:r>
              <w:rPr>
                <w:rFonts w:hint="eastAsia" w:ascii="宋体" w:hAnsi="宋体" w:eastAsia="宋体" w:cs="宋体"/>
                <w:color w:val="auto"/>
                <w:kern w:val="2"/>
                <w:sz w:val="24"/>
                <w:szCs w:val="24"/>
                <w:highlight w:val="none"/>
              </w:rPr>
              <w:t>5</w:t>
            </w:r>
            <w:bookmarkEnd w:id="144"/>
            <w:bookmarkEnd w:id="145"/>
            <w:bookmarkEnd w:id="146"/>
            <w:bookmarkEnd w:id="147"/>
            <w:bookmarkEnd w:id="148"/>
            <w:bookmarkEnd w:id="149"/>
            <w:bookmarkEnd w:id="150"/>
            <w:bookmarkEnd w:id="151"/>
            <w:bookmarkEnd w:id="152"/>
          </w:p>
        </w:tc>
        <w:tc>
          <w:tcPr>
            <w:tcW w:w="915" w:type="dxa"/>
            <w:tcBorders>
              <w:right w:val="single" w:color="auto" w:sz="4" w:space="0"/>
            </w:tcBorders>
            <w:vAlign w:val="center"/>
          </w:tcPr>
          <w:p w14:paraId="72B989C1">
            <w:pPr>
              <w:pStyle w:val="13"/>
              <w:spacing w:line="360" w:lineRule="auto"/>
              <w:ind w:firstLine="0" w:firstLineChars="0"/>
              <w:jc w:val="center"/>
              <w:rPr>
                <w:rFonts w:ascii="宋体" w:hAnsi="宋体" w:eastAsia="宋体" w:cs="宋体"/>
                <w:color w:val="auto"/>
                <w:kern w:val="2"/>
                <w:sz w:val="24"/>
                <w:szCs w:val="24"/>
                <w:highlight w:val="none"/>
              </w:rPr>
            </w:pPr>
          </w:p>
        </w:tc>
        <w:tc>
          <w:tcPr>
            <w:tcW w:w="3038" w:type="dxa"/>
            <w:tcBorders>
              <w:left w:val="single" w:color="auto" w:sz="4" w:space="0"/>
            </w:tcBorders>
            <w:vAlign w:val="center"/>
          </w:tcPr>
          <w:p w14:paraId="23DC13A9">
            <w:pPr>
              <w:pStyle w:val="13"/>
              <w:spacing w:line="360" w:lineRule="auto"/>
              <w:ind w:firstLine="0" w:firstLineChars="0"/>
              <w:jc w:val="center"/>
              <w:rPr>
                <w:rFonts w:ascii="宋体" w:hAnsi="宋体" w:eastAsia="宋体" w:cs="宋体"/>
                <w:color w:val="auto"/>
                <w:kern w:val="2"/>
                <w:sz w:val="24"/>
                <w:szCs w:val="24"/>
                <w:highlight w:val="none"/>
              </w:rPr>
            </w:pPr>
          </w:p>
        </w:tc>
        <w:tc>
          <w:tcPr>
            <w:tcW w:w="2734" w:type="dxa"/>
            <w:vAlign w:val="center"/>
          </w:tcPr>
          <w:p w14:paraId="0C4DB5D7">
            <w:pPr>
              <w:pStyle w:val="13"/>
              <w:spacing w:line="360" w:lineRule="auto"/>
              <w:ind w:firstLine="0" w:firstLineChars="0"/>
              <w:jc w:val="center"/>
              <w:rPr>
                <w:rFonts w:ascii="宋体" w:hAnsi="宋体" w:eastAsia="宋体" w:cs="宋体"/>
                <w:color w:val="auto"/>
                <w:kern w:val="2"/>
                <w:sz w:val="24"/>
                <w:szCs w:val="24"/>
                <w:highlight w:val="none"/>
              </w:rPr>
            </w:pPr>
          </w:p>
        </w:tc>
        <w:tc>
          <w:tcPr>
            <w:tcW w:w="1492" w:type="dxa"/>
            <w:vAlign w:val="center"/>
          </w:tcPr>
          <w:p w14:paraId="20D873D9">
            <w:pPr>
              <w:pStyle w:val="13"/>
              <w:spacing w:line="360" w:lineRule="auto"/>
              <w:ind w:firstLine="0" w:firstLineChars="0"/>
              <w:jc w:val="center"/>
              <w:rPr>
                <w:rFonts w:ascii="宋体" w:hAnsi="宋体" w:eastAsia="宋体" w:cs="宋体"/>
                <w:color w:val="auto"/>
                <w:kern w:val="2"/>
                <w:sz w:val="24"/>
                <w:szCs w:val="24"/>
                <w:highlight w:val="none"/>
              </w:rPr>
            </w:pPr>
          </w:p>
        </w:tc>
      </w:tr>
      <w:tr w14:paraId="76D669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14AAE3E0">
            <w:pPr>
              <w:pStyle w:val="13"/>
              <w:spacing w:line="360" w:lineRule="auto"/>
              <w:ind w:firstLine="0" w:firstLineChars="0"/>
              <w:jc w:val="center"/>
              <w:rPr>
                <w:rFonts w:ascii="宋体" w:hAnsi="宋体" w:eastAsia="宋体" w:cs="宋体"/>
                <w:color w:val="auto"/>
                <w:kern w:val="2"/>
                <w:sz w:val="24"/>
                <w:szCs w:val="24"/>
                <w:highlight w:val="none"/>
              </w:rPr>
            </w:pPr>
            <w:bookmarkStart w:id="153" w:name="_Toc173211914"/>
            <w:bookmarkStart w:id="154" w:name="_Toc383699916"/>
            <w:bookmarkStart w:id="155" w:name="_Toc301781621"/>
            <w:bookmarkStart w:id="156" w:name="_Toc373333699"/>
            <w:bookmarkStart w:id="157" w:name="_Toc173066415"/>
            <w:bookmarkStart w:id="158" w:name="_Toc295404991"/>
            <w:bookmarkStart w:id="159" w:name="_Toc254970743"/>
            <w:bookmarkStart w:id="160" w:name="_Toc297193195"/>
            <w:bookmarkStart w:id="161" w:name="_Toc254970602"/>
            <w:r>
              <w:rPr>
                <w:rFonts w:hint="eastAsia" w:ascii="宋体" w:hAnsi="宋体" w:eastAsia="宋体" w:cs="宋体"/>
                <w:color w:val="auto"/>
                <w:kern w:val="2"/>
                <w:sz w:val="24"/>
                <w:szCs w:val="24"/>
                <w:highlight w:val="none"/>
              </w:rPr>
              <w:t>…</w:t>
            </w:r>
            <w:bookmarkEnd w:id="153"/>
            <w:bookmarkEnd w:id="154"/>
            <w:bookmarkEnd w:id="155"/>
            <w:bookmarkEnd w:id="156"/>
            <w:bookmarkEnd w:id="157"/>
            <w:bookmarkEnd w:id="158"/>
            <w:bookmarkEnd w:id="159"/>
            <w:bookmarkEnd w:id="160"/>
            <w:bookmarkEnd w:id="161"/>
          </w:p>
        </w:tc>
        <w:tc>
          <w:tcPr>
            <w:tcW w:w="915" w:type="dxa"/>
            <w:tcBorders>
              <w:right w:val="single" w:color="auto" w:sz="4" w:space="0"/>
            </w:tcBorders>
            <w:vAlign w:val="center"/>
          </w:tcPr>
          <w:p w14:paraId="0D02DEC7">
            <w:pPr>
              <w:pStyle w:val="13"/>
              <w:spacing w:line="360" w:lineRule="auto"/>
              <w:ind w:firstLine="0" w:firstLineChars="0"/>
              <w:jc w:val="center"/>
              <w:rPr>
                <w:rFonts w:ascii="宋体" w:hAnsi="宋体" w:eastAsia="宋体" w:cs="宋体"/>
                <w:color w:val="auto"/>
                <w:kern w:val="2"/>
                <w:sz w:val="24"/>
                <w:szCs w:val="24"/>
                <w:highlight w:val="none"/>
              </w:rPr>
            </w:pPr>
          </w:p>
        </w:tc>
        <w:tc>
          <w:tcPr>
            <w:tcW w:w="3038" w:type="dxa"/>
            <w:tcBorders>
              <w:left w:val="single" w:color="auto" w:sz="4" w:space="0"/>
            </w:tcBorders>
            <w:vAlign w:val="center"/>
          </w:tcPr>
          <w:p w14:paraId="02F0A30C">
            <w:pPr>
              <w:pStyle w:val="13"/>
              <w:spacing w:line="360" w:lineRule="auto"/>
              <w:ind w:firstLine="0" w:firstLineChars="0"/>
              <w:jc w:val="center"/>
              <w:rPr>
                <w:rFonts w:ascii="宋体" w:hAnsi="宋体" w:eastAsia="宋体" w:cs="宋体"/>
                <w:color w:val="auto"/>
                <w:kern w:val="2"/>
                <w:sz w:val="24"/>
                <w:szCs w:val="24"/>
                <w:highlight w:val="none"/>
              </w:rPr>
            </w:pPr>
          </w:p>
        </w:tc>
        <w:tc>
          <w:tcPr>
            <w:tcW w:w="2734" w:type="dxa"/>
            <w:vAlign w:val="center"/>
          </w:tcPr>
          <w:p w14:paraId="579CF19A">
            <w:pPr>
              <w:pStyle w:val="13"/>
              <w:spacing w:line="360" w:lineRule="auto"/>
              <w:ind w:firstLine="0" w:firstLineChars="0"/>
              <w:jc w:val="center"/>
              <w:rPr>
                <w:rFonts w:ascii="宋体" w:hAnsi="宋体" w:eastAsia="宋体" w:cs="宋体"/>
                <w:color w:val="auto"/>
                <w:kern w:val="2"/>
                <w:sz w:val="24"/>
                <w:szCs w:val="24"/>
                <w:highlight w:val="none"/>
              </w:rPr>
            </w:pPr>
          </w:p>
        </w:tc>
        <w:tc>
          <w:tcPr>
            <w:tcW w:w="1492" w:type="dxa"/>
            <w:tcBorders>
              <w:right w:val="single" w:color="auto" w:sz="4" w:space="0"/>
            </w:tcBorders>
            <w:vAlign w:val="center"/>
          </w:tcPr>
          <w:p w14:paraId="5FE9F04E">
            <w:pPr>
              <w:pStyle w:val="13"/>
              <w:spacing w:line="360" w:lineRule="auto"/>
              <w:ind w:firstLine="0" w:firstLineChars="0"/>
              <w:jc w:val="center"/>
              <w:rPr>
                <w:rFonts w:ascii="宋体" w:hAnsi="宋体" w:eastAsia="宋体" w:cs="宋体"/>
                <w:color w:val="auto"/>
                <w:kern w:val="2"/>
                <w:sz w:val="24"/>
                <w:szCs w:val="24"/>
                <w:highlight w:val="none"/>
              </w:rPr>
            </w:pPr>
          </w:p>
        </w:tc>
      </w:tr>
    </w:tbl>
    <w:p w14:paraId="70D34C04">
      <w:pPr>
        <w:adjustRightInd w:val="0"/>
        <w:snapToGrid w:val="0"/>
        <w:spacing w:line="360" w:lineRule="auto"/>
        <w:rPr>
          <w:rFonts w:ascii="宋体" w:hAnsi="宋体" w:cs="宋体"/>
          <w:color w:val="auto"/>
          <w:sz w:val="24"/>
          <w:highlight w:val="none"/>
        </w:rPr>
      </w:pPr>
    </w:p>
    <w:p w14:paraId="582F0135">
      <w:pPr>
        <w:pStyle w:val="13"/>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89F9A9E">
      <w:pPr>
        <w:pStyle w:val="13"/>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采购需求”中的技术需求逐条实质性响应，并作出偏离说明。</w:t>
      </w:r>
    </w:p>
    <w:p w14:paraId="3B5A021D">
      <w:pPr>
        <w:pStyle w:val="13"/>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5040537A">
      <w:pPr>
        <w:pStyle w:val="12"/>
        <w:rPr>
          <w:color w:val="auto"/>
          <w:highlight w:val="none"/>
        </w:rPr>
      </w:pPr>
    </w:p>
    <w:p w14:paraId="31FF4D4D">
      <w:pPr>
        <w:snapToGrid w:val="0"/>
        <w:spacing w:before="50" w:after="50" w:line="360" w:lineRule="auto"/>
        <w:ind w:right="-817" w:rightChars="-389"/>
        <w:rPr>
          <w:rFonts w:ascii="宋体" w:hAnsi="宋体" w:cs="宋体"/>
          <w:color w:val="auto"/>
          <w:sz w:val="24"/>
          <w:highlight w:val="none"/>
        </w:rPr>
      </w:pPr>
    </w:p>
    <w:p w14:paraId="1F12BC1F">
      <w:pPr>
        <w:snapToGrid w:val="0"/>
        <w:spacing w:before="50" w:after="50" w:line="360" w:lineRule="auto"/>
        <w:ind w:right="-817" w:rightChars="-389" w:firstLine="960" w:firstLineChars="4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151FE0A9">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1142FBDA">
      <w:pPr>
        <w:snapToGrid w:val="0"/>
        <w:spacing w:before="50" w:after="50" w:line="360" w:lineRule="auto"/>
        <w:ind w:right="-817" w:rightChars="-389" w:firstLine="4080" w:firstLineChars="1700"/>
        <w:rPr>
          <w:rFonts w:ascii="宋体" w:hAnsi="宋体" w:cs="宋体"/>
          <w:color w:val="auto"/>
          <w:sz w:val="24"/>
          <w:highlight w:val="none"/>
        </w:rPr>
      </w:pPr>
      <w:r>
        <w:rPr>
          <w:rFonts w:hint="eastAsia" w:ascii="宋体" w:hAnsi="宋体" w:cs="宋体"/>
          <w:color w:val="auto"/>
          <w:sz w:val="24"/>
          <w:highlight w:val="none"/>
        </w:rPr>
        <w:t>日期：   年   月   日</w:t>
      </w:r>
    </w:p>
    <w:p w14:paraId="1D4D9707">
      <w:pPr>
        <w:snapToGrid w:val="0"/>
        <w:spacing w:before="156" w:beforeLines="50" w:after="50"/>
        <w:ind w:left="142"/>
        <w:jc w:val="left"/>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项目实施人员一览表格式</w:t>
      </w:r>
    </w:p>
    <w:p w14:paraId="499E6E5C">
      <w:pPr>
        <w:snapToGrid w:val="0"/>
        <w:spacing w:before="156" w:beforeLines="50" w:after="50"/>
        <w:ind w:left="142"/>
        <w:jc w:val="left"/>
        <w:rPr>
          <w:rFonts w:ascii="宋体" w:hAnsi="宋体" w:cs="宋体"/>
          <w:b/>
          <w:color w:val="auto"/>
          <w:sz w:val="24"/>
          <w:highlight w:val="none"/>
        </w:rPr>
      </w:pPr>
    </w:p>
    <w:p w14:paraId="02C491DE">
      <w:pPr>
        <w:snapToGrid w:val="0"/>
        <w:spacing w:before="156"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拟投入项目实施人员一览表</w:t>
      </w:r>
    </w:p>
    <w:p w14:paraId="34BA4646">
      <w:pPr>
        <w:snapToGrid w:val="0"/>
        <w:spacing w:before="156" w:beforeLines="50" w:after="50"/>
        <w:ind w:left="142"/>
        <w:jc w:val="center"/>
        <w:rPr>
          <w:rFonts w:ascii="宋体" w:hAnsi="宋体" w:cs="宋体"/>
          <w:b/>
          <w:color w:val="auto"/>
          <w:sz w:val="32"/>
          <w:szCs w:val="32"/>
          <w:highlight w:val="none"/>
        </w:rPr>
      </w:pPr>
    </w:p>
    <w:tbl>
      <w:tblPr>
        <w:tblStyle w:val="2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B23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DCDDA2">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6797671C">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14:paraId="5A792212">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14:paraId="02DE80F2">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14:paraId="4E421A7A">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1E7DAF43">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14:paraId="0E3678A6">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劳动合同编号(如有请提供)</w:t>
            </w:r>
          </w:p>
        </w:tc>
      </w:tr>
      <w:tr w14:paraId="6C34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863DD8">
            <w:pPr>
              <w:snapToGrid w:val="0"/>
              <w:spacing w:before="50" w:after="156" w:afterLines="50"/>
              <w:jc w:val="center"/>
              <w:rPr>
                <w:rFonts w:ascii="宋体" w:hAnsi="宋体" w:cs="宋体"/>
                <w:color w:val="auto"/>
                <w:sz w:val="24"/>
                <w:szCs w:val="20"/>
                <w:highlight w:val="none"/>
              </w:rPr>
            </w:pPr>
          </w:p>
        </w:tc>
        <w:tc>
          <w:tcPr>
            <w:tcW w:w="709" w:type="dxa"/>
            <w:vAlign w:val="center"/>
          </w:tcPr>
          <w:p w14:paraId="6FFD8F80">
            <w:pPr>
              <w:snapToGrid w:val="0"/>
              <w:spacing w:before="50" w:after="156" w:afterLines="50"/>
              <w:jc w:val="center"/>
              <w:rPr>
                <w:rFonts w:ascii="宋体" w:hAnsi="宋体" w:cs="宋体"/>
                <w:bCs/>
                <w:color w:val="auto"/>
                <w:sz w:val="24"/>
                <w:szCs w:val="20"/>
                <w:highlight w:val="none"/>
              </w:rPr>
            </w:pPr>
          </w:p>
        </w:tc>
        <w:tc>
          <w:tcPr>
            <w:tcW w:w="1701" w:type="dxa"/>
            <w:vAlign w:val="center"/>
          </w:tcPr>
          <w:p w14:paraId="0E749078">
            <w:pPr>
              <w:snapToGrid w:val="0"/>
              <w:spacing w:before="50" w:after="156" w:afterLines="50"/>
              <w:jc w:val="center"/>
              <w:rPr>
                <w:rFonts w:ascii="宋体" w:hAnsi="宋体" w:cs="宋体"/>
                <w:bCs/>
                <w:color w:val="auto"/>
                <w:sz w:val="24"/>
                <w:szCs w:val="20"/>
                <w:highlight w:val="none"/>
              </w:rPr>
            </w:pPr>
          </w:p>
        </w:tc>
        <w:tc>
          <w:tcPr>
            <w:tcW w:w="1420" w:type="dxa"/>
            <w:vAlign w:val="center"/>
          </w:tcPr>
          <w:p w14:paraId="16986CD3">
            <w:pPr>
              <w:snapToGrid w:val="0"/>
              <w:spacing w:before="50" w:after="156" w:afterLines="50"/>
              <w:jc w:val="center"/>
              <w:rPr>
                <w:rFonts w:ascii="宋体" w:hAnsi="宋体" w:cs="宋体"/>
                <w:bCs/>
                <w:color w:val="auto"/>
                <w:sz w:val="24"/>
                <w:szCs w:val="20"/>
                <w:highlight w:val="none"/>
              </w:rPr>
            </w:pPr>
          </w:p>
        </w:tc>
        <w:tc>
          <w:tcPr>
            <w:tcW w:w="1698" w:type="dxa"/>
            <w:vAlign w:val="center"/>
          </w:tcPr>
          <w:p w14:paraId="7E88EBDB">
            <w:pPr>
              <w:snapToGrid w:val="0"/>
              <w:spacing w:before="50" w:after="156" w:afterLines="50"/>
              <w:jc w:val="center"/>
              <w:rPr>
                <w:rFonts w:ascii="宋体" w:hAnsi="宋体" w:cs="宋体"/>
                <w:bCs/>
                <w:color w:val="auto"/>
                <w:sz w:val="24"/>
                <w:szCs w:val="20"/>
                <w:highlight w:val="none"/>
              </w:rPr>
            </w:pPr>
          </w:p>
        </w:tc>
        <w:tc>
          <w:tcPr>
            <w:tcW w:w="1843" w:type="dxa"/>
            <w:vAlign w:val="center"/>
          </w:tcPr>
          <w:p w14:paraId="4B7FD484">
            <w:pPr>
              <w:snapToGrid w:val="0"/>
              <w:spacing w:before="50" w:after="156" w:afterLines="50"/>
              <w:jc w:val="center"/>
              <w:rPr>
                <w:rFonts w:ascii="宋体" w:hAnsi="宋体" w:cs="宋体"/>
                <w:bCs/>
                <w:color w:val="auto"/>
                <w:sz w:val="24"/>
                <w:szCs w:val="20"/>
                <w:highlight w:val="none"/>
              </w:rPr>
            </w:pPr>
          </w:p>
        </w:tc>
      </w:tr>
      <w:tr w14:paraId="509A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D8E725">
            <w:pPr>
              <w:snapToGrid w:val="0"/>
              <w:spacing w:before="50" w:after="156" w:afterLines="50"/>
              <w:jc w:val="center"/>
              <w:rPr>
                <w:rFonts w:ascii="宋体" w:hAnsi="宋体" w:cs="宋体"/>
                <w:color w:val="auto"/>
                <w:sz w:val="24"/>
                <w:szCs w:val="20"/>
                <w:highlight w:val="none"/>
              </w:rPr>
            </w:pPr>
          </w:p>
        </w:tc>
        <w:tc>
          <w:tcPr>
            <w:tcW w:w="709" w:type="dxa"/>
            <w:vAlign w:val="center"/>
          </w:tcPr>
          <w:p w14:paraId="75B7469C">
            <w:pPr>
              <w:snapToGrid w:val="0"/>
              <w:spacing w:before="50" w:after="156" w:afterLines="50"/>
              <w:jc w:val="center"/>
              <w:rPr>
                <w:rFonts w:ascii="宋体" w:hAnsi="宋体" w:cs="宋体"/>
                <w:bCs/>
                <w:color w:val="auto"/>
                <w:sz w:val="24"/>
                <w:szCs w:val="20"/>
                <w:highlight w:val="none"/>
              </w:rPr>
            </w:pPr>
          </w:p>
        </w:tc>
        <w:tc>
          <w:tcPr>
            <w:tcW w:w="1701" w:type="dxa"/>
            <w:vAlign w:val="center"/>
          </w:tcPr>
          <w:p w14:paraId="0526EBC2">
            <w:pPr>
              <w:snapToGrid w:val="0"/>
              <w:spacing w:before="50" w:after="156" w:afterLines="50"/>
              <w:jc w:val="center"/>
              <w:rPr>
                <w:rFonts w:ascii="宋体" w:hAnsi="宋体" w:cs="宋体"/>
                <w:bCs/>
                <w:color w:val="auto"/>
                <w:sz w:val="24"/>
                <w:szCs w:val="20"/>
                <w:highlight w:val="none"/>
              </w:rPr>
            </w:pPr>
          </w:p>
        </w:tc>
        <w:tc>
          <w:tcPr>
            <w:tcW w:w="1420" w:type="dxa"/>
            <w:vAlign w:val="center"/>
          </w:tcPr>
          <w:p w14:paraId="5AE5E424">
            <w:pPr>
              <w:snapToGrid w:val="0"/>
              <w:spacing w:before="50" w:after="156" w:afterLines="50"/>
              <w:jc w:val="center"/>
              <w:rPr>
                <w:rFonts w:ascii="宋体" w:hAnsi="宋体" w:cs="宋体"/>
                <w:bCs/>
                <w:color w:val="auto"/>
                <w:sz w:val="24"/>
                <w:szCs w:val="20"/>
                <w:highlight w:val="none"/>
              </w:rPr>
            </w:pPr>
          </w:p>
        </w:tc>
        <w:tc>
          <w:tcPr>
            <w:tcW w:w="1698" w:type="dxa"/>
            <w:vAlign w:val="center"/>
          </w:tcPr>
          <w:p w14:paraId="05C5E9C8">
            <w:pPr>
              <w:snapToGrid w:val="0"/>
              <w:spacing w:before="50" w:after="156" w:afterLines="50"/>
              <w:jc w:val="center"/>
              <w:rPr>
                <w:rFonts w:ascii="宋体" w:hAnsi="宋体" w:cs="宋体"/>
                <w:bCs/>
                <w:color w:val="auto"/>
                <w:sz w:val="24"/>
                <w:szCs w:val="20"/>
                <w:highlight w:val="none"/>
              </w:rPr>
            </w:pPr>
          </w:p>
        </w:tc>
        <w:tc>
          <w:tcPr>
            <w:tcW w:w="1843" w:type="dxa"/>
            <w:vAlign w:val="center"/>
          </w:tcPr>
          <w:p w14:paraId="419C0EFA">
            <w:pPr>
              <w:snapToGrid w:val="0"/>
              <w:spacing w:before="50" w:after="156" w:afterLines="50"/>
              <w:jc w:val="center"/>
              <w:rPr>
                <w:rFonts w:ascii="宋体" w:hAnsi="宋体" w:cs="宋体"/>
                <w:bCs/>
                <w:color w:val="auto"/>
                <w:sz w:val="24"/>
                <w:szCs w:val="20"/>
                <w:highlight w:val="none"/>
              </w:rPr>
            </w:pPr>
          </w:p>
        </w:tc>
      </w:tr>
      <w:tr w14:paraId="0429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ADD1F0">
            <w:pPr>
              <w:snapToGrid w:val="0"/>
              <w:spacing w:before="50" w:after="156" w:afterLines="50"/>
              <w:jc w:val="center"/>
              <w:rPr>
                <w:rFonts w:ascii="宋体" w:hAnsi="宋体" w:cs="宋体"/>
                <w:color w:val="auto"/>
                <w:sz w:val="24"/>
                <w:szCs w:val="20"/>
                <w:highlight w:val="none"/>
              </w:rPr>
            </w:pPr>
          </w:p>
        </w:tc>
        <w:tc>
          <w:tcPr>
            <w:tcW w:w="709" w:type="dxa"/>
            <w:vAlign w:val="center"/>
          </w:tcPr>
          <w:p w14:paraId="26173D8B">
            <w:pPr>
              <w:snapToGrid w:val="0"/>
              <w:spacing w:before="50" w:after="156" w:afterLines="50"/>
              <w:jc w:val="center"/>
              <w:rPr>
                <w:rFonts w:ascii="宋体" w:hAnsi="宋体" w:cs="宋体"/>
                <w:bCs/>
                <w:color w:val="auto"/>
                <w:sz w:val="24"/>
                <w:szCs w:val="20"/>
                <w:highlight w:val="none"/>
              </w:rPr>
            </w:pPr>
          </w:p>
        </w:tc>
        <w:tc>
          <w:tcPr>
            <w:tcW w:w="1701" w:type="dxa"/>
            <w:vAlign w:val="center"/>
          </w:tcPr>
          <w:p w14:paraId="41B51F89">
            <w:pPr>
              <w:snapToGrid w:val="0"/>
              <w:spacing w:before="50" w:after="156" w:afterLines="50"/>
              <w:jc w:val="center"/>
              <w:rPr>
                <w:rFonts w:ascii="宋体" w:hAnsi="宋体" w:cs="宋体"/>
                <w:bCs/>
                <w:color w:val="auto"/>
                <w:sz w:val="24"/>
                <w:szCs w:val="20"/>
                <w:highlight w:val="none"/>
              </w:rPr>
            </w:pPr>
          </w:p>
        </w:tc>
        <w:tc>
          <w:tcPr>
            <w:tcW w:w="1420" w:type="dxa"/>
            <w:vAlign w:val="center"/>
          </w:tcPr>
          <w:p w14:paraId="0DD4197D">
            <w:pPr>
              <w:snapToGrid w:val="0"/>
              <w:spacing w:before="50" w:after="156" w:afterLines="50"/>
              <w:jc w:val="center"/>
              <w:rPr>
                <w:rFonts w:ascii="宋体" w:hAnsi="宋体" w:cs="宋体"/>
                <w:bCs/>
                <w:color w:val="auto"/>
                <w:sz w:val="24"/>
                <w:szCs w:val="20"/>
                <w:highlight w:val="none"/>
              </w:rPr>
            </w:pPr>
          </w:p>
        </w:tc>
        <w:tc>
          <w:tcPr>
            <w:tcW w:w="1698" w:type="dxa"/>
            <w:vAlign w:val="center"/>
          </w:tcPr>
          <w:p w14:paraId="40602C82">
            <w:pPr>
              <w:snapToGrid w:val="0"/>
              <w:spacing w:before="50" w:after="156" w:afterLines="50"/>
              <w:jc w:val="center"/>
              <w:rPr>
                <w:rFonts w:ascii="宋体" w:hAnsi="宋体" w:cs="宋体"/>
                <w:bCs/>
                <w:color w:val="auto"/>
                <w:sz w:val="24"/>
                <w:szCs w:val="20"/>
                <w:highlight w:val="none"/>
              </w:rPr>
            </w:pPr>
          </w:p>
        </w:tc>
        <w:tc>
          <w:tcPr>
            <w:tcW w:w="1843" w:type="dxa"/>
            <w:vAlign w:val="center"/>
          </w:tcPr>
          <w:p w14:paraId="6F779FBE">
            <w:pPr>
              <w:snapToGrid w:val="0"/>
              <w:spacing w:before="50" w:after="156" w:afterLines="50"/>
              <w:jc w:val="center"/>
              <w:rPr>
                <w:rFonts w:ascii="宋体" w:hAnsi="宋体" w:cs="宋体"/>
                <w:bCs/>
                <w:color w:val="auto"/>
                <w:sz w:val="24"/>
                <w:szCs w:val="20"/>
                <w:highlight w:val="none"/>
              </w:rPr>
            </w:pPr>
          </w:p>
        </w:tc>
      </w:tr>
    </w:tbl>
    <w:p w14:paraId="2E85C00C">
      <w:pPr>
        <w:snapToGrid w:val="0"/>
        <w:spacing w:before="50" w:after="156" w:afterLines="50"/>
        <w:jc w:val="left"/>
        <w:rPr>
          <w:rFonts w:ascii="宋体" w:hAnsi="宋体" w:cs="宋体"/>
          <w:color w:val="auto"/>
          <w:sz w:val="24"/>
          <w:szCs w:val="20"/>
          <w:highlight w:val="none"/>
        </w:rPr>
      </w:pPr>
      <w:r>
        <w:rPr>
          <w:rFonts w:hint="eastAsia" w:ascii="宋体" w:hAnsi="宋体" w:cs="宋体"/>
          <w:color w:val="auto"/>
          <w:sz w:val="24"/>
          <w:szCs w:val="20"/>
          <w:highlight w:val="none"/>
        </w:rPr>
        <w:t>注：在填写时，如本表格不适合供应商的实际情况，可根据本表格式自行制表填写。</w:t>
      </w:r>
    </w:p>
    <w:p w14:paraId="59ED1E77">
      <w:pPr>
        <w:snapToGrid w:val="0"/>
        <w:spacing w:before="50" w:after="50"/>
        <w:rPr>
          <w:rFonts w:ascii="宋体" w:hAnsi="宋体" w:cs="宋体"/>
          <w:color w:val="auto"/>
          <w:sz w:val="24"/>
          <w:highlight w:val="none"/>
        </w:rPr>
      </w:pPr>
    </w:p>
    <w:p w14:paraId="644865F2">
      <w:pPr>
        <w:snapToGrid w:val="0"/>
        <w:spacing w:before="50" w:after="50"/>
        <w:rPr>
          <w:rFonts w:ascii="宋体" w:hAnsi="宋体" w:cs="宋体"/>
          <w:color w:val="auto"/>
          <w:sz w:val="24"/>
          <w:highlight w:val="none"/>
        </w:rPr>
      </w:pPr>
    </w:p>
    <w:p w14:paraId="02C0D13A">
      <w:pPr>
        <w:snapToGrid w:val="0"/>
        <w:spacing w:before="50" w:after="50"/>
        <w:rPr>
          <w:rFonts w:ascii="宋体" w:hAnsi="宋体" w:cs="宋体"/>
          <w:color w:val="auto"/>
          <w:sz w:val="24"/>
          <w:highlight w:val="none"/>
        </w:rPr>
      </w:pPr>
    </w:p>
    <w:p w14:paraId="495F1F53">
      <w:pPr>
        <w:snapToGrid w:val="0"/>
        <w:spacing w:before="50" w:after="50"/>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p>
    <w:p w14:paraId="664D92CA">
      <w:pPr>
        <w:snapToGrid w:val="0"/>
        <w:spacing w:before="50" w:after="156" w:afterLines="50"/>
        <w:jc w:val="left"/>
        <w:rPr>
          <w:rFonts w:ascii="宋体" w:hAnsi="宋体" w:cs="宋体"/>
          <w:color w:val="auto"/>
          <w:sz w:val="24"/>
          <w:szCs w:val="20"/>
          <w:highlight w:val="none"/>
        </w:rPr>
      </w:pPr>
      <w:r>
        <w:rPr>
          <w:rFonts w:hint="eastAsia" w:ascii="宋体" w:hAnsi="宋体" w:cs="宋体"/>
          <w:color w:val="auto"/>
          <w:spacing w:val="20"/>
          <w:sz w:val="24"/>
          <w:highlight w:val="none"/>
        </w:rPr>
        <w:t>供应商（盖公章）：              日 期：</w:t>
      </w:r>
    </w:p>
    <w:p w14:paraId="0B0C2B32">
      <w:pPr>
        <w:snapToGrid w:val="0"/>
        <w:spacing w:before="50" w:after="156" w:afterLines="50"/>
        <w:jc w:val="left"/>
        <w:rPr>
          <w:rFonts w:ascii="宋体" w:hAnsi="宋体" w:cs="宋体"/>
          <w:color w:val="auto"/>
          <w:sz w:val="24"/>
          <w:szCs w:val="20"/>
          <w:highlight w:val="none"/>
        </w:rPr>
      </w:pPr>
    </w:p>
    <w:p w14:paraId="3BB1336C">
      <w:pPr>
        <w:snapToGrid w:val="0"/>
        <w:spacing w:before="50" w:after="50" w:line="360" w:lineRule="auto"/>
        <w:ind w:right="-817" w:rightChars="-389" w:firstLine="5461" w:firstLineChars="1700"/>
        <w:rPr>
          <w:rFonts w:ascii="宋体" w:hAnsi="宋体" w:cs="宋体"/>
          <w:b/>
          <w:color w:val="auto"/>
          <w:sz w:val="32"/>
          <w:szCs w:val="32"/>
          <w:highlight w:val="none"/>
        </w:rPr>
      </w:pPr>
    </w:p>
    <w:p w14:paraId="7E5C8461">
      <w:pPr>
        <w:spacing w:line="300" w:lineRule="auto"/>
        <w:rPr>
          <w:rFonts w:ascii="宋体" w:hAnsi="宋体" w:cs="宋体"/>
          <w:color w:val="auto"/>
          <w:sz w:val="32"/>
          <w:szCs w:val="32"/>
          <w:highlight w:val="none"/>
        </w:rPr>
      </w:pPr>
      <w:r>
        <w:rPr>
          <w:rFonts w:hint="eastAsia" w:ascii="宋体" w:hAnsi="宋体" w:cs="宋体"/>
          <w:b/>
          <w:bCs/>
          <w:color w:val="auto"/>
          <w:sz w:val="24"/>
          <w:highlight w:val="none"/>
        </w:rPr>
        <w:br w:type="page"/>
      </w:r>
      <w:r>
        <w:rPr>
          <w:rFonts w:hint="eastAsia" w:ascii="宋体" w:hAnsi="宋体" w:cs="宋体"/>
          <w:b/>
          <w:bCs/>
          <w:color w:val="auto"/>
          <w:sz w:val="32"/>
          <w:szCs w:val="32"/>
          <w:highlight w:val="none"/>
        </w:rPr>
        <w:t>其他文书、文件格式</w:t>
      </w:r>
    </w:p>
    <w:p w14:paraId="612E8880">
      <w:pPr>
        <w:jc w:val="center"/>
        <w:rPr>
          <w:rFonts w:ascii="宋体" w:hAnsi="宋体" w:cs="宋体"/>
          <w:color w:val="auto"/>
          <w:sz w:val="32"/>
          <w:szCs w:val="32"/>
          <w:highlight w:val="none"/>
        </w:rPr>
      </w:pPr>
      <w:r>
        <w:rPr>
          <w:rFonts w:hint="eastAsia" w:ascii="宋体" w:hAnsi="宋体" w:cs="宋体"/>
          <w:color w:val="auto"/>
          <w:sz w:val="32"/>
          <w:szCs w:val="32"/>
          <w:highlight w:val="none"/>
        </w:rPr>
        <w:t>中小企业声明函（服务）</w:t>
      </w:r>
    </w:p>
    <w:p w14:paraId="4FC2DC82">
      <w:pPr>
        <w:spacing w:before="2" w:line="500" w:lineRule="exact"/>
        <w:rPr>
          <w:rFonts w:ascii="宋体" w:hAnsi="宋体" w:cs="宋体"/>
          <w:b/>
          <w:bCs/>
          <w:color w:val="auto"/>
          <w:sz w:val="24"/>
          <w:highlight w:val="none"/>
        </w:rPr>
      </w:pPr>
    </w:p>
    <w:p w14:paraId="65CE7D77">
      <w:pPr>
        <w:spacing w:line="500" w:lineRule="exact"/>
        <w:ind w:right="142"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本公司</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郑重声明，根据《政府采购促进中小企业发展管理办法》（财库﹝2020﹞46号）的规定，本公司</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rPr>
        <w:t>采购活动，服务全部由符合政策要求的中小企业承接。相关企业（含联合体中的中小企业、签订分包意向协议的中小企业）的具体情况如下：</w:t>
      </w:r>
    </w:p>
    <w:p w14:paraId="34D19E91">
      <w:pPr>
        <w:tabs>
          <w:tab w:val="left" w:pos="1384"/>
          <w:tab w:val="left" w:pos="4562"/>
          <w:tab w:val="left" w:pos="6803"/>
        </w:tabs>
        <w:spacing w:before="13" w:line="500" w:lineRule="exact"/>
        <w:ind w:right="142" w:firstLine="686" w:firstLineChars="286"/>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40C812A0">
      <w:pPr>
        <w:tabs>
          <w:tab w:val="left" w:pos="1065"/>
          <w:tab w:val="left" w:pos="4262"/>
          <w:tab w:val="left" w:pos="6477"/>
        </w:tabs>
        <w:spacing w:before="20" w:line="500" w:lineRule="exact"/>
        <w:ind w:right="84" w:firstLine="686" w:firstLineChars="286"/>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FF41B11">
      <w:pPr>
        <w:spacing w:before="34" w:line="500" w:lineRule="exact"/>
        <w:ind w:left="765" w:right="142" w:hanging="5"/>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0F28EDE2">
      <w:pPr>
        <w:spacing w:before="34" w:line="500" w:lineRule="exact"/>
        <w:ind w:right="142"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214153E1">
      <w:pPr>
        <w:spacing w:before="34" w:line="500" w:lineRule="exact"/>
        <w:ind w:right="142"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3AA88A7E">
      <w:pPr>
        <w:spacing w:before="56" w:line="500" w:lineRule="exact"/>
        <w:ind w:left="3960" w:right="1808"/>
        <w:rPr>
          <w:rFonts w:ascii="宋体" w:hAnsi="宋体" w:cs="宋体"/>
          <w:color w:val="auto"/>
          <w:kern w:val="0"/>
          <w:sz w:val="24"/>
          <w:highlight w:val="none"/>
        </w:rPr>
      </w:pPr>
      <w:r>
        <w:rPr>
          <w:rFonts w:hint="eastAsia" w:ascii="宋体" w:hAnsi="宋体" w:cs="宋体"/>
          <w:color w:val="auto"/>
          <w:kern w:val="0"/>
          <w:sz w:val="24"/>
          <w:highlight w:val="none"/>
        </w:rPr>
        <w:t xml:space="preserve">企业名称（章）： </w:t>
      </w:r>
    </w:p>
    <w:p w14:paraId="286BD05F">
      <w:pPr>
        <w:spacing w:before="56" w:line="500" w:lineRule="exact"/>
        <w:ind w:left="3960" w:right="1808"/>
        <w:rPr>
          <w:rFonts w:ascii="宋体" w:hAnsi="宋体" w:cs="宋体"/>
          <w:color w:val="auto"/>
          <w:kern w:val="0"/>
          <w:sz w:val="24"/>
          <w:highlight w:val="none"/>
        </w:rPr>
      </w:pPr>
      <w:r>
        <w:rPr>
          <w:rFonts w:hint="eastAsia" w:ascii="宋体" w:hAnsi="宋体" w:cs="宋体"/>
          <w:color w:val="auto"/>
          <w:kern w:val="0"/>
          <w:sz w:val="24"/>
          <w:highlight w:val="none"/>
        </w:rPr>
        <w:t>日 期：</w:t>
      </w:r>
    </w:p>
    <w:p w14:paraId="319B0522">
      <w:pPr>
        <w:rPr>
          <w:rFonts w:ascii="宋体" w:hAnsi="宋体" w:cs="宋体"/>
          <w:color w:val="auto"/>
          <w:sz w:val="24"/>
          <w:highlight w:val="none"/>
        </w:rPr>
      </w:pPr>
    </w:p>
    <w:p w14:paraId="749F7450">
      <w:pPr>
        <w:spacing w:line="360" w:lineRule="auto"/>
        <w:rPr>
          <w:rFonts w:ascii="宋体" w:hAnsi="宋体" w:cs="宋体"/>
          <w:color w:val="auto"/>
          <w:sz w:val="32"/>
          <w:szCs w:val="32"/>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EECEAA5">
      <w:pPr>
        <w:spacing w:line="520" w:lineRule="exact"/>
        <w:jc w:val="center"/>
        <w:rPr>
          <w:rFonts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32"/>
          <w:szCs w:val="32"/>
          <w:highlight w:val="none"/>
        </w:rPr>
        <w:t>残疾人福利性单位声明函</w:t>
      </w:r>
    </w:p>
    <w:p w14:paraId="69DA750D">
      <w:pPr>
        <w:spacing w:line="520" w:lineRule="exact"/>
        <w:rPr>
          <w:rFonts w:ascii="宋体" w:hAnsi="宋体" w:cs="宋体"/>
          <w:color w:val="auto"/>
          <w:sz w:val="32"/>
          <w:szCs w:val="32"/>
          <w:highlight w:val="none"/>
        </w:rPr>
      </w:pPr>
    </w:p>
    <w:p w14:paraId="2430E7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B374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0E2EBD">
      <w:pPr>
        <w:spacing w:line="360" w:lineRule="auto"/>
        <w:rPr>
          <w:rFonts w:ascii="宋体" w:hAnsi="宋体" w:cs="宋体"/>
          <w:color w:val="auto"/>
          <w:sz w:val="24"/>
          <w:highlight w:val="none"/>
        </w:rPr>
      </w:pPr>
    </w:p>
    <w:p w14:paraId="4BDD6B2B">
      <w:pPr>
        <w:spacing w:line="360" w:lineRule="auto"/>
        <w:rPr>
          <w:rFonts w:ascii="宋体" w:hAnsi="宋体" w:cs="宋体"/>
          <w:color w:val="auto"/>
          <w:sz w:val="24"/>
          <w:highlight w:val="none"/>
        </w:rPr>
      </w:pPr>
    </w:p>
    <w:p w14:paraId="3017E9A0">
      <w:pPr>
        <w:spacing w:line="360" w:lineRule="auto"/>
        <w:rPr>
          <w:rFonts w:ascii="宋体" w:hAnsi="宋体" w:cs="宋体"/>
          <w:color w:val="auto"/>
          <w:sz w:val="24"/>
          <w:highlight w:val="none"/>
        </w:rPr>
      </w:pPr>
    </w:p>
    <w:p w14:paraId="086DA529">
      <w:pPr>
        <w:spacing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单位名称（盖章）：</w:t>
      </w:r>
    </w:p>
    <w:p w14:paraId="600DB4D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日  期：</w:t>
      </w:r>
    </w:p>
    <w:p w14:paraId="0FEF25C4">
      <w:pPr>
        <w:spacing w:line="360" w:lineRule="auto"/>
        <w:rPr>
          <w:rFonts w:ascii="宋体" w:hAnsi="宋体" w:cs="宋体"/>
          <w:color w:val="auto"/>
          <w:sz w:val="24"/>
          <w:highlight w:val="none"/>
        </w:rPr>
      </w:pPr>
    </w:p>
    <w:p w14:paraId="1D780494">
      <w:pPr>
        <w:spacing w:line="360" w:lineRule="auto"/>
        <w:rPr>
          <w:rFonts w:ascii="宋体" w:hAnsi="宋体" w:cs="宋体"/>
          <w:color w:val="auto"/>
          <w:sz w:val="24"/>
          <w:highlight w:val="none"/>
        </w:rPr>
      </w:pPr>
    </w:p>
    <w:p w14:paraId="6D7F3A22">
      <w:pPr>
        <w:spacing w:line="360" w:lineRule="auto"/>
        <w:rPr>
          <w:rFonts w:ascii="宋体" w:hAnsi="宋体" w:cs="宋体"/>
          <w:color w:val="auto"/>
          <w:sz w:val="24"/>
          <w:highlight w:val="none"/>
        </w:rPr>
      </w:pPr>
    </w:p>
    <w:p w14:paraId="3729DB37">
      <w:pPr>
        <w:spacing w:line="360" w:lineRule="auto"/>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97702A8">
      <w:pPr>
        <w:pStyle w:val="3"/>
        <w:spacing w:line="520" w:lineRule="exact"/>
        <w:jc w:val="center"/>
        <w:rPr>
          <w:rFonts w:ascii="宋体" w:hAnsi="宋体" w:cs="宋体"/>
          <w:color w:val="auto"/>
          <w:highlight w:val="none"/>
        </w:rPr>
      </w:pPr>
      <w:r>
        <w:rPr>
          <w:rFonts w:hint="eastAsia" w:ascii="宋体" w:hAnsi="宋体" w:cs="宋体"/>
          <w:color w:val="auto"/>
          <w:sz w:val="24"/>
          <w:highlight w:val="none"/>
        </w:rPr>
        <w:br w:type="page"/>
      </w:r>
      <w:bookmarkStart w:id="162" w:name="_Toc44229900"/>
      <w:r>
        <w:rPr>
          <w:rFonts w:hint="eastAsia" w:ascii="宋体" w:hAnsi="宋体" w:cs="宋体"/>
          <w:color w:val="auto"/>
          <w:highlight w:val="none"/>
        </w:rPr>
        <w:t>第六章 合同文本</w:t>
      </w:r>
      <w:bookmarkEnd w:id="162"/>
    </w:p>
    <w:p w14:paraId="037CCB0D">
      <w:pPr>
        <w:jc w:val="center"/>
        <w:rPr>
          <w:rFonts w:ascii="宋体" w:hAnsi="宋体"/>
          <w:b/>
          <w:color w:val="auto"/>
          <w:sz w:val="52"/>
          <w:szCs w:val="52"/>
          <w:highlight w:val="none"/>
        </w:rPr>
      </w:pPr>
      <w:r>
        <w:rPr>
          <w:rFonts w:hint="eastAsia" w:ascii="宋体" w:hAnsi="宋体"/>
          <w:b/>
          <w:color w:val="auto"/>
          <w:sz w:val="52"/>
          <w:szCs w:val="52"/>
          <w:highlight w:val="none"/>
        </w:rPr>
        <w:t>梧州市政府采购合同</w:t>
      </w:r>
    </w:p>
    <w:p w14:paraId="2EB17570">
      <w:pPr>
        <w:rPr>
          <w:rFonts w:ascii="宋体" w:hAnsi="宋体"/>
          <w:color w:val="auto"/>
          <w:highlight w:val="none"/>
        </w:rPr>
      </w:pPr>
    </w:p>
    <w:p w14:paraId="1AD0679C">
      <w:pPr>
        <w:rPr>
          <w:rFonts w:ascii="宋体" w:hAnsi="宋体"/>
          <w:color w:val="auto"/>
          <w:highlight w:val="none"/>
        </w:rPr>
      </w:pPr>
    </w:p>
    <w:p w14:paraId="0BF354A0">
      <w:pPr>
        <w:rPr>
          <w:rFonts w:ascii="宋体" w:hAnsi="宋体"/>
          <w:color w:val="auto"/>
          <w:highlight w:val="none"/>
        </w:rPr>
      </w:pPr>
    </w:p>
    <w:p w14:paraId="0047DE3C">
      <w:pPr>
        <w:tabs>
          <w:tab w:val="left" w:pos="721"/>
          <w:tab w:val="left" w:pos="7920"/>
        </w:tabs>
        <w:snapToGrid w:val="0"/>
        <w:spacing w:line="360" w:lineRule="exact"/>
        <w:ind w:firstLine="1306" w:firstLineChars="500"/>
        <w:rPr>
          <w:rFonts w:ascii="宋体" w:hAnsi="宋体"/>
          <w:b/>
          <w:color w:val="auto"/>
          <w:sz w:val="30"/>
          <w:szCs w:val="30"/>
          <w:highlight w:val="none"/>
        </w:rPr>
      </w:pPr>
      <w:r>
        <w:rPr>
          <w:rFonts w:hint="eastAsia" w:ascii="宋体" w:hAnsi="宋体"/>
          <w:b/>
          <w:color w:val="auto"/>
          <w:spacing w:val="-20"/>
          <w:sz w:val="30"/>
          <w:szCs w:val="30"/>
          <w:highlight w:val="none"/>
        </w:rPr>
        <w:t>合同名称：</w:t>
      </w:r>
    </w:p>
    <w:p w14:paraId="0D78A3F3">
      <w:pPr>
        <w:tabs>
          <w:tab w:val="left" w:pos="721"/>
        </w:tabs>
        <w:snapToGrid w:val="0"/>
        <w:spacing w:line="360" w:lineRule="exact"/>
        <w:rPr>
          <w:rFonts w:ascii="宋体" w:hAnsi="宋体"/>
          <w:b/>
          <w:color w:val="auto"/>
          <w:spacing w:val="-20"/>
          <w:sz w:val="30"/>
          <w:szCs w:val="30"/>
          <w:highlight w:val="none"/>
        </w:rPr>
      </w:pPr>
    </w:p>
    <w:p w14:paraId="43CEE158">
      <w:pPr>
        <w:tabs>
          <w:tab w:val="left" w:pos="721"/>
        </w:tabs>
        <w:snapToGrid w:val="0"/>
        <w:spacing w:line="360" w:lineRule="exact"/>
        <w:ind w:firstLine="1306" w:firstLineChars="500"/>
        <w:rPr>
          <w:rFonts w:ascii="宋体" w:hAnsi="宋体"/>
          <w:b/>
          <w:color w:val="auto"/>
          <w:spacing w:val="-20"/>
          <w:sz w:val="30"/>
          <w:szCs w:val="30"/>
          <w:highlight w:val="none"/>
        </w:rPr>
      </w:pPr>
    </w:p>
    <w:p w14:paraId="7D95C551">
      <w:pPr>
        <w:tabs>
          <w:tab w:val="left" w:pos="721"/>
        </w:tabs>
        <w:snapToGrid w:val="0"/>
        <w:spacing w:line="360" w:lineRule="exact"/>
        <w:ind w:firstLine="1306" w:firstLineChars="500"/>
        <w:rPr>
          <w:rFonts w:ascii="宋体" w:hAnsi="宋体"/>
          <w:b/>
          <w:color w:val="auto"/>
          <w:sz w:val="30"/>
          <w:szCs w:val="30"/>
          <w:highlight w:val="none"/>
          <w:u w:val="single"/>
        </w:rPr>
      </w:pPr>
      <w:r>
        <w:rPr>
          <w:rFonts w:hint="eastAsia" w:ascii="宋体" w:hAnsi="宋体"/>
          <w:b/>
          <w:color w:val="auto"/>
          <w:spacing w:val="-20"/>
          <w:sz w:val="30"/>
          <w:szCs w:val="30"/>
          <w:highlight w:val="none"/>
        </w:rPr>
        <w:t>合同编号：</w:t>
      </w:r>
    </w:p>
    <w:p w14:paraId="7261A612">
      <w:pPr>
        <w:tabs>
          <w:tab w:val="left" w:pos="721"/>
        </w:tabs>
        <w:snapToGrid w:val="0"/>
        <w:spacing w:line="360" w:lineRule="exact"/>
        <w:rPr>
          <w:rFonts w:ascii="宋体" w:hAnsi="宋体"/>
          <w:b/>
          <w:color w:val="auto"/>
          <w:sz w:val="30"/>
          <w:szCs w:val="30"/>
          <w:highlight w:val="none"/>
        </w:rPr>
      </w:pPr>
    </w:p>
    <w:p w14:paraId="24B81E30">
      <w:pPr>
        <w:tabs>
          <w:tab w:val="left" w:pos="721"/>
        </w:tabs>
        <w:snapToGrid w:val="0"/>
        <w:spacing w:line="360" w:lineRule="exact"/>
        <w:ind w:firstLine="1355" w:firstLineChars="450"/>
        <w:rPr>
          <w:rFonts w:ascii="宋体" w:hAnsi="宋体"/>
          <w:b/>
          <w:color w:val="auto"/>
          <w:sz w:val="30"/>
          <w:szCs w:val="30"/>
          <w:highlight w:val="none"/>
        </w:rPr>
      </w:pPr>
    </w:p>
    <w:p w14:paraId="630DD103">
      <w:pPr>
        <w:tabs>
          <w:tab w:val="left" w:pos="721"/>
        </w:tabs>
        <w:snapToGrid w:val="0"/>
        <w:spacing w:line="360" w:lineRule="exact"/>
        <w:ind w:firstLine="1355" w:firstLineChars="450"/>
        <w:rPr>
          <w:rFonts w:ascii="宋体" w:hAnsi="宋体"/>
          <w:b/>
          <w:color w:val="auto"/>
          <w:sz w:val="30"/>
          <w:szCs w:val="30"/>
          <w:highlight w:val="none"/>
          <w:u w:val="single"/>
        </w:rPr>
      </w:pPr>
      <w:r>
        <w:rPr>
          <w:rFonts w:hint="eastAsia" w:ascii="宋体" w:hAnsi="宋体"/>
          <w:b/>
          <w:color w:val="auto"/>
          <w:sz w:val="30"/>
          <w:szCs w:val="30"/>
          <w:highlight w:val="none"/>
        </w:rPr>
        <w:t>采购单位（甲方）</w:t>
      </w:r>
    </w:p>
    <w:p w14:paraId="6061D7E5">
      <w:pPr>
        <w:tabs>
          <w:tab w:val="left" w:pos="721"/>
        </w:tabs>
        <w:snapToGrid w:val="0"/>
        <w:spacing w:before="312" w:beforeLines="100" w:line="360" w:lineRule="exact"/>
        <w:ind w:firstLine="1355" w:firstLineChars="450"/>
        <w:rPr>
          <w:rFonts w:ascii="宋体" w:hAnsi="宋体"/>
          <w:b/>
          <w:color w:val="auto"/>
          <w:sz w:val="30"/>
          <w:szCs w:val="30"/>
          <w:highlight w:val="none"/>
        </w:rPr>
      </w:pPr>
      <w:r>
        <w:rPr>
          <w:rFonts w:hint="eastAsia" w:ascii="宋体" w:hAnsi="宋体"/>
          <w:b/>
          <w:color w:val="auto"/>
          <w:sz w:val="30"/>
          <w:szCs w:val="30"/>
          <w:highlight w:val="none"/>
        </w:rPr>
        <w:t>住所：</w:t>
      </w:r>
    </w:p>
    <w:p w14:paraId="38C4BB93">
      <w:pPr>
        <w:tabs>
          <w:tab w:val="left" w:pos="721"/>
        </w:tabs>
        <w:snapToGrid w:val="0"/>
        <w:spacing w:line="360" w:lineRule="exact"/>
        <w:ind w:firstLine="1355" w:firstLineChars="450"/>
        <w:rPr>
          <w:rFonts w:ascii="宋体" w:hAnsi="宋体"/>
          <w:b/>
          <w:color w:val="auto"/>
          <w:sz w:val="30"/>
          <w:szCs w:val="30"/>
          <w:highlight w:val="none"/>
        </w:rPr>
      </w:pPr>
    </w:p>
    <w:p w14:paraId="295D0802">
      <w:pPr>
        <w:tabs>
          <w:tab w:val="left" w:pos="721"/>
        </w:tabs>
        <w:snapToGrid w:val="0"/>
        <w:spacing w:line="360" w:lineRule="exact"/>
        <w:ind w:firstLine="1355" w:firstLineChars="450"/>
        <w:rPr>
          <w:rFonts w:ascii="宋体" w:hAnsi="宋体"/>
          <w:b/>
          <w:color w:val="auto"/>
          <w:sz w:val="30"/>
          <w:szCs w:val="30"/>
          <w:highlight w:val="none"/>
        </w:rPr>
      </w:pPr>
    </w:p>
    <w:p w14:paraId="576214FB">
      <w:pPr>
        <w:tabs>
          <w:tab w:val="left" w:pos="721"/>
        </w:tabs>
        <w:snapToGrid w:val="0"/>
        <w:spacing w:line="360" w:lineRule="exact"/>
        <w:ind w:firstLine="1355" w:firstLineChars="450"/>
        <w:rPr>
          <w:rFonts w:ascii="宋体" w:hAnsi="宋体"/>
          <w:b/>
          <w:color w:val="auto"/>
          <w:sz w:val="30"/>
          <w:szCs w:val="30"/>
          <w:highlight w:val="none"/>
          <w:u w:val="single"/>
        </w:rPr>
      </w:pPr>
      <w:r>
        <w:rPr>
          <w:rFonts w:hint="eastAsia" w:ascii="宋体" w:hAnsi="宋体"/>
          <w:b/>
          <w:color w:val="auto"/>
          <w:sz w:val="30"/>
          <w:szCs w:val="30"/>
          <w:highlight w:val="none"/>
        </w:rPr>
        <w:t>供应商（乙方）</w:t>
      </w:r>
    </w:p>
    <w:p w14:paraId="5DBFB16B">
      <w:pPr>
        <w:tabs>
          <w:tab w:val="left" w:pos="721"/>
        </w:tabs>
        <w:snapToGrid w:val="0"/>
        <w:spacing w:before="312" w:beforeLines="100" w:line="360" w:lineRule="exact"/>
        <w:ind w:firstLine="1355" w:firstLineChars="450"/>
        <w:rPr>
          <w:rFonts w:ascii="宋体" w:hAnsi="宋体"/>
          <w:b/>
          <w:color w:val="auto"/>
          <w:sz w:val="30"/>
          <w:szCs w:val="30"/>
          <w:highlight w:val="none"/>
          <w:u w:val="single"/>
        </w:rPr>
      </w:pPr>
      <w:r>
        <w:rPr>
          <w:rFonts w:hint="eastAsia" w:ascii="宋体" w:hAnsi="宋体"/>
          <w:b/>
          <w:color w:val="auto"/>
          <w:sz w:val="30"/>
          <w:szCs w:val="30"/>
          <w:highlight w:val="none"/>
        </w:rPr>
        <w:t>住所：</w:t>
      </w:r>
    </w:p>
    <w:p w14:paraId="51181B62">
      <w:pPr>
        <w:tabs>
          <w:tab w:val="left" w:pos="721"/>
        </w:tabs>
        <w:snapToGrid w:val="0"/>
        <w:spacing w:line="360" w:lineRule="exact"/>
        <w:rPr>
          <w:rFonts w:ascii="宋体" w:hAnsi="宋体"/>
          <w:b/>
          <w:color w:val="auto"/>
          <w:sz w:val="30"/>
          <w:szCs w:val="30"/>
          <w:highlight w:val="none"/>
        </w:rPr>
      </w:pPr>
    </w:p>
    <w:p w14:paraId="6C0B30B7">
      <w:pPr>
        <w:tabs>
          <w:tab w:val="left" w:pos="721"/>
        </w:tabs>
        <w:snapToGrid w:val="0"/>
        <w:spacing w:line="360" w:lineRule="exact"/>
        <w:ind w:firstLine="1355" w:firstLineChars="450"/>
        <w:rPr>
          <w:rFonts w:ascii="宋体" w:hAnsi="宋体"/>
          <w:b/>
          <w:color w:val="auto"/>
          <w:sz w:val="30"/>
          <w:szCs w:val="30"/>
          <w:highlight w:val="none"/>
        </w:rPr>
      </w:pPr>
    </w:p>
    <w:p w14:paraId="38BD49B9">
      <w:pPr>
        <w:tabs>
          <w:tab w:val="left" w:pos="721"/>
        </w:tabs>
        <w:snapToGrid w:val="0"/>
        <w:spacing w:line="360" w:lineRule="exact"/>
        <w:ind w:firstLine="1355" w:firstLineChars="450"/>
        <w:rPr>
          <w:rFonts w:ascii="宋体" w:hAnsi="宋体"/>
          <w:b/>
          <w:color w:val="auto"/>
          <w:sz w:val="30"/>
          <w:szCs w:val="30"/>
          <w:highlight w:val="none"/>
          <w:u w:val="single"/>
        </w:rPr>
      </w:pPr>
      <w:r>
        <w:rPr>
          <w:rFonts w:hint="eastAsia" w:ascii="宋体" w:hAnsi="宋体"/>
          <w:b/>
          <w:color w:val="auto"/>
          <w:sz w:val="30"/>
          <w:szCs w:val="30"/>
          <w:highlight w:val="none"/>
        </w:rPr>
        <w:t>签订合同地点：</w:t>
      </w:r>
    </w:p>
    <w:p w14:paraId="72DC2F49">
      <w:pPr>
        <w:tabs>
          <w:tab w:val="left" w:pos="721"/>
        </w:tabs>
        <w:snapToGrid w:val="0"/>
        <w:spacing w:line="360" w:lineRule="exact"/>
        <w:rPr>
          <w:rFonts w:ascii="宋体" w:hAnsi="宋体"/>
          <w:b/>
          <w:color w:val="auto"/>
          <w:sz w:val="30"/>
          <w:szCs w:val="30"/>
          <w:highlight w:val="none"/>
        </w:rPr>
      </w:pPr>
    </w:p>
    <w:p w14:paraId="54E35A99">
      <w:pPr>
        <w:tabs>
          <w:tab w:val="left" w:pos="721"/>
        </w:tabs>
        <w:snapToGrid w:val="0"/>
        <w:spacing w:line="360" w:lineRule="exact"/>
        <w:ind w:firstLine="1355" w:firstLineChars="450"/>
        <w:rPr>
          <w:rFonts w:ascii="宋体" w:hAnsi="宋体"/>
          <w:b/>
          <w:color w:val="auto"/>
          <w:sz w:val="30"/>
          <w:szCs w:val="30"/>
          <w:highlight w:val="none"/>
        </w:rPr>
      </w:pPr>
    </w:p>
    <w:p w14:paraId="384D170B">
      <w:pPr>
        <w:tabs>
          <w:tab w:val="left" w:pos="721"/>
        </w:tabs>
        <w:snapToGrid w:val="0"/>
        <w:spacing w:line="360" w:lineRule="exact"/>
        <w:ind w:firstLine="1355" w:firstLineChars="450"/>
        <w:rPr>
          <w:rFonts w:ascii="宋体" w:hAnsi="宋体"/>
          <w:b/>
          <w:color w:val="auto"/>
          <w:sz w:val="30"/>
          <w:szCs w:val="30"/>
          <w:highlight w:val="none"/>
        </w:rPr>
      </w:pPr>
      <w:r>
        <w:rPr>
          <w:rFonts w:hint="eastAsia" w:ascii="宋体" w:hAnsi="宋体"/>
          <w:b/>
          <w:color w:val="auto"/>
          <w:sz w:val="30"/>
          <w:szCs w:val="30"/>
          <w:highlight w:val="none"/>
        </w:rPr>
        <w:t>签订合同时间：</w:t>
      </w:r>
    </w:p>
    <w:p w14:paraId="6F5CB466">
      <w:pPr>
        <w:rPr>
          <w:color w:val="auto"/>
          <w:highlight w:val="none"/>
        </w:rPr>
      </w:pPr>
    </w:p>
    <w:p w14:paraId="5852E1CD">
      <w:pPr>
        <w:rPr>
          <w:color w:val="auto"/>
          <w:highlight w:val="none"/>
        </w:rPr>
      </w:pPr>
      <w:r>
        <w:rPr>
          <w:rFonts w:hint="eastAsia" w:hAnsi="宋体"/>
          <w:color w:val="auto"/>
          <w:highlight w:val="none"/>
        </w:rPr>
        <w:t>合同使用说明：根据《中华人民共和国政府采购法》、《中华人民共和国民法典》等法律、法规规定，按照竞争性磋商文件规定条款和成交供应商竞争性磋商响应文件及其承诺，甲乙双方签订本合同。</w:t>
      </w:r>
    </w:p>
    <w:p w14:paraId="4216DD16">
      <w:pPr>
        <w:rPr>
          <w:color w:val="auto"/>
          <w:highlight w:val="none"/>
        </w:rPr>
      </w:pPr>
    </w:p>
    <w:p w14:paraId="0296F636">
      <w:pPr>
        <w:rPr>
          <w:color w:val="auto"/>
          <w:highlight w:val="none"/>
        </w:rPr>
      </w:pPr>
    </w:p>
    <w:p w14:paraId="103A25B3">
      <w:pPr>
        <w:rPr>
          <w:color w:val="auto"/>
          <w:highlight w:val="none"/>
        </w:rPr>
      </w:pPr>
    </w:p>
    <w:p w14:paraId="4F6B1051">
      <w:pPr>
        <w:rPr>
          <w:color w:val="auto"/>
          <w:highlight w:val="none"/>
        </w:rPr>
      </w:pPr>
    </w:p>
    <w:p w14:paraId="514FD7AB">
      <w:pPr>
        <w:pageBreakBefore/>
        <w:spacing w:line="300" w:lineRule="auto"/>
        <w:ind w:left="420" w:hanging="420"/>
        <w:jc w:val="center"/>
        <w:rPr>
          <w:rFonts w:ascii="宋体" w:hAnsi="宋体"/>
          <w:b/>
          <w:color w:val="auto"/>
          <w:sz w:val="36"/>
          <w:szCs w:val="36"/>
          <w:highlight w:val="none"/>
        </w:rPr>
      </w:pPr>
      <w:bookmarkStart w:id="163" w:name="_Ref450290713"/>
      <w:r>
        <w:rPr>
          <w:rFonts w:hint="eastAsia" w:ascii="宋体" w:hAnsi="宋体"/>
          <w:b/>
          <w:color w:val="auto"/>
          <w:sz w:val="36"/>
          <w:szCs w:val="36"/>
          <w:highlight w:val="none"/>
        </w:rPr>
        <w:t>合同书</w:t>
      </w:r>
      <w:bookmarkEnd w:id="163"/>
    </w:p>
    <w:p w14:paraId="59B17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梧州市水利局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竞争性磋商方式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（供应商名称）</w:t>
      </w:r>
      <w:r>
        <w:rPr>
          <w:rFonts w:hint="eastAsia" w:ascii="宋体" w:hAnsi="宋体" w:cs="宋体"/>
          <w:color w:val="auto"/>
          <w:sz w:val="24"/>
          <w:highlight w:val="none"/>
        </w:rPr>
        <w:t>为该项目成交供应商。现于成交通知书发出之日起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日内，按照采购文件确定的事项签订本合同。</w:t>
      </w:r>
    </w:p>
    <w:p w14:paraId="73BE3A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梧州市水利局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（中标人名称）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547F7D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 合同组成部分</w:t>
      </w:r>
    </w:p>
    <w:p w14:paraId="1DEB50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1A88C7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177316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成交通知书；</w:t>
      </w:r>
    </w:p>
    <w:p w14:paraId="73B9C3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采购文件及“响应报价”（含澄清或者说明文件）；</w:t>
      </w:r>
    </w:p>
    <w:p w14:paraId="5EDB05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7B513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09926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1.2 标的物</w:t>
      </w:r>
    </w:p>
    <w:p w14:paraId="4223AF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03121E5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梧州市流域面积50km²以下河道管理范围成果再复核调整工作服务采购  </w:t>
      </w:r>
      <w:r>
        <w:rPr>
          <w:rFonts w:hint="eastAsia" w:ascii="宋体" w:hAnsi="宋体" w:cs="宋体"/>
          <w:color w:val="auto"/>
          <w:sz w:val="24"/>
          <w:highlight w:val="none"/>
        </w:rPr>
        <w:t>；</w:t>
      </w:r>
    </w:p>
    <w:p w14:paraId="4EC81A2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1项                                   </w:t>
      </w:r>
      <w:r>
        <w:rPr>
          <w:rFonts w:hint="eastAsia" w:ascii="宋体" w:hAnsi="宋体" w:cs="宋体"/>
          <w:color w:val="auto"/>
          <w:sz w:val="24"/>
          <w:highlight w:val="none"/>
        </w:rPr>
        <w:t>；</w:t>
      </w:r>
    </w:p>
    <w:p w14:paraId="4C8468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合格                                   </w:t>
      </w:r>
      <w:r>
        <w:rPr>
          <w:rFonts w:hint="eastAsia" w:ascii="宋体" w:hAnsi="宋体" w:cs="宋体"/>
          <w:color w:val="auto"/>
          <w:sz w:val="24"/>
          <w:highlight w:val="none"/>
        </w:rPr>
        <w:t>。</w:t>
      </w:r>
    </w:p>
    <w:p w14:paraId="0019F9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DA485D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 价款</w:t>
      </w:r>
    </w:p>
    <w:p w14:paraId="5B200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元含税）。</w:t>
      </w:r>
    </w:p>
    <w:p w14:paraId="64D739CA">
      <w:pPr>
        <w:spacing w:line="440" w:lineRule="exact"/>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预付款：</w:t>
      </w:r>
    </w:p>
    <w:p w14:paraId="560E2075">
      <w:pPr>
        <w:spacing w:line="440" w:lineRule="exact"/>
        <w:ind w:firstLine="470" w:firstLineChars="196"/>
        <w:rPr>
          <w:rFonts w:ascii="宋体" w:hAnsi="宋体" w:cs="宋体"/>
          <w:b/>
          <w:color w:val="auto"/>
          <w:szCs w:val="21"/>
          <w:highlight w:val="none"/>
        </w:rPr>
      </w:pPr>
      <w:r>
        <w:rPr>
          <w:rFonts w:hint="eastAsia" w:ascii="宋体" w:hAnsi="宋体" w:cs="宋体"/>
          <w:color w:val="auto"/>
          <w:kern w:val="0"/>
          <w:sz w:val="24"/>
          <w:highlight w:val="none"/>
        </w:rPr>
        <w:t>结算方式：</w:t>
      </w:r>
    </w:p>
    <w:p w14:paraId="27513D0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1.4 付款方式和发票开具方式</w:t>
      </w:r>
    </w:p>
    <w:p w14:paraId="711B50A1">
      <w:pPr>
        <w:spacing w:line="440" w:lineRule="exact"/>
        <w:ind w:firstLine="470" w:firstLineChars="196"/>
        <w:rPr>
          <w:rFonts w:ascii="宋体" w:hAnsi="宋体" w:cs="宋体"/>
          <w:b/>
          <w:color w:val="auto"/>
          <w:szCs w:val="21"/>
          <w:highlight w:val="none"/>
        </w:rPr>
      </w:pPr>
      <w:r>
        <w:rPr>
          <w:rFonts w:hint="eastAsia" w:ascii="宋体" w:hAnsi="宋体" w:cs="宋体"/>
          <w:color w:val="auto"/>
          <w:sz w:val="24"/>
          <w:highlight w:val="none"/>
        </w:rPr>
        <w:t>1.4.1 付款方式：</w:t>
      </w:r>
    </w:p>
    <w:p w14:paraId="4FAD69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982EB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1.5 标的物交付期限、地点、方式和服务期限</w:t>
      </w:r>
    </w:p>
    <w:p w14:paraId="0B009AA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服务期限：</w:t>
      </w:r>
      <w:r>
        <w:rPr>
          <w:rFonts w:hint="eastAsia"/>
          <w:color w:val="auto"/>
          <w:highlight w:val="none"/>
          <w:u w:val="single"/>
        </w:rPr>
        <w:t>自合同签订之日起至项目成果通过广西水利厅 审查之日止，但最长不超过2025年12月 31日</w:t>
      </w:r>
      <w:r>
        <w:rPr>
          <w:rFonts w:hint="eastAsia" w:ascii="宋体" w:hAnsi="宋体" w:cs="宋体"/>
          <w:color w:val="auto"/>
          <w:sz w:val="24"/>
          <w:highlight w:val="none"/>
          <w:u w:val="single"/>
        </w:rPr>
        <w:t>；</w:t>
      </w:r>
    </w:p>
    <w:p w14:paraId="312A4E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服务地点：</w:t>
      </w:r>
      <w:r>
        <w:rPr>
          <w:rFonts w:hint="eastAsia" w:ascii="宋体" w:hAnsi="宋体" w:cs="宋体"/>
          <w:color w:val="auto"/>
          <w:sz w:val="24"/>
          <w:highlight w:val="none"/>
          <w:u w:val="single"/>
        </w:rPr>
        <w:t xml:space="preserve">梧州市辖区内 </w:t>
      </w:r>
      <w:r>
        <w:rPr>
          <w:rFonts w:hint="eastAsia" w:ascii="宋体" w:hAnsi="宋体" w:cs="宋体"/>
          <w:color w:val="auto"/>
          <w:sz w:val="24"/>
          <w:highlight w:val="none"/>
        </w:rPr>
        <w:t>；</w:t>
      </w:r>
    </w:p>
    <w:p w14:paraId="03AE3CF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 违约责任</w:t>
      </w:r>
    </w:p>
    <w:p w14:paraId="7517FA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D60B8C">
      <w:pPr>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1.6.2乙方在质保期内未按承诺提供售后等服务的，每发生一次向甲方支付</w:t>
      </w:r>
      <w:r>
        <w:rPr>
          <w:rFonts w:hint="eastAsia" w:ascii="宋体" w:hAnsi="宋体" w:cs="宋体"/>
          <w:color w:val="auto"/>
          <w:sz w:val="24"/>
          <w:highlight w:val="none"/>
          <w:u w:val="single"/>
        </w:rPr>
        <w:t xml:space="preserve">2000  </w:t>
      </w:r>
      <w:r>
        <w:rPr>
          <w:rFonts w:hint="eastAsia" w:ascii="宋体" w:hAnsi="宋体" w:cs="宋体"/>
          <w:color w:val="auto"/>
          <w:sz w:val="24"/>
          <w:highlight w:val="none"/>
        </w:rPr>
        <w:t>元的违约金。</w:t>
      </w:r>
    </w:p>
    <w:p w14:paraId="6AE7CF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97F43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243FB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如果出现政府采购监督管理部门在处理投诉事项期间，书面通知甲方暂停采购活动的情形，或者询问或质疑事项可能影响中标结果的，导致甲方中止履行合同的情形，均不视为甲方违约。</w:t>
      </w:r>
    </w:p>
    <w:p w14:paraId="65B2E08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 合同争议的解决</w:t>
      </w:r>
    </w:p>
    <w:p w14:paraId="13D3A0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1.7.2  </w:t>
      </w:r>
      <w:r>
        <w:rPr>
          <w:rFonts w:hint="eastAsia" w:ascii="宋体" w:hAnsi="宋体" w:cs="宋体"/>
          <w:color w:val="auto"/>
          <w:sz w:val="24"/>
          <w:highlight w:val="none"/>
        </w:rPr>
        <w:t>种方式解决：</w:t>
      </w:r>
    </w:p>
    <w:p w14:paraId="755B50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梧州</w:t>
      </w:r>
      <w:r>
        <w:rPr>
          <w:rFonts w:hint="eastAsia" w:ascii="宋体" w:hAnsi="宋体" w:cs="宋体"/>
          <w:color w:val="auto"/>
          <w:sz w:val="24"/>
          <w:highlight w:val="none"/>
        </w:rPr>
        <w:t>仲裁委员会依申请仲裁时其现行有效的仲裁规则裁决；</w:t>
      </w:r>
    </w:p>
    <w:p w14:paraId="088EDF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人民法院起诉。</w:t>
      </w:r>
    </w:p>
    <w:p w14:paraId="13E3D43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1.8 合同生效</w:t>
      </w:r>
    </w:p>
    <w:p w14:paraId="0CD7B5A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083F1614">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36BDA7D8">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BAB02A7">
      <w:pPr>
        <w:spacing w:line="360" w:lineRule="auto"/>
        <w:ind w:firstLine="200"/>
        <w:rPr>
          <w:rFonts w:ascii="宋体" w:hAnsi="宋体" w:cs="宋体"/>
          <w:color w:val="auto"/>
          <w:sz w:val="24"/>
          <w:highlight w:val="none"/>
          <w:lang w:val="zh-CN"/>
        </w:rPr>
      </w:pPr>
    </w:p>
    <w:p w14:paraId="4503C738">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37F6FAB">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EB30A48">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79C7F86F">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31308A4">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C024488">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2E6F886">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36F343E">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730E025">
      <w:pPr>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AA51AE7">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8B1F847">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FA3E63E">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93AF1C6">
      <w:pPr>
        <w:pStyle w:val="35"/>
        <w:ind w:firstLine="482"/>
        <w:jc w:val="center"/>
        <w:outlineLvl w:val="1"/>
        <w:rPr>
          <w:rFonts w:ascii="宋体" w:hAnsi="宋体" w:cs="宋体"/>
          <w:b/>
          <w:color w:val="auto"/>
          <w:sz w:val="28"/>
          <w:szCs w:val="28"/>
          <w:highlight w:val="none"/>
        </w:rPr>
      </w:pPr>
      <w:r>
        <w:rPr>
          <w:rFonts w:hint="eastAsia" w:ascii="宋体" w:hAnsi="宋体" w:cs="宋体"/>
          <w:b/>
          <w:color w:val="auto"/>
          <w:highlight w:val="none"/>
        </w:rPr>
        <w:br w:type="page"/>
      </w:r>
      <w:bookmarkStart w:id="164" w:name="_Toc30796"/>
      <w:bookmarkStart w:id="165" w:name="_Toc12431"/>
      <w:r>
        <w:rPr>
          <w:rFonts w:hint="eastAsia" w:ascii="宋体" w:hAnsi="宋体" w:cs="宋体"/>
          <w:b/>
          <w:color w:val="auto"/>
          <w:sz w:val="28"/>
          <w:szCs w:val="28"/>
          <w:highlight w:val="none"/>
        </w:rPr>
        <w:t>第二部分 合同一般条款</w:t>
      </w:r>
      <w:bookmarkEnd w:id="164"/>
      <w:bookmarkEnd w:id="165"/>
    </w:p>
    <w:p w14:paraId="6A3C8F9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 定义</w:t>
      </w:r>
    </w:p>
    <w:p w14:paraId="44045C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7585A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“合同”系指采购人和中标人签订的载明双方当事人所达成的协议，并包括所有的附件、附录和构成合同的其他文件。</w:t>
      </w:r>
    </w:p>
    <w:p w14:paraId="064DA7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“合同价”系指根据合同约定，中标人在完全履行合同义务后，采购人应支付给中标人的价格。</w:t>
      </w:r>
    </w:p>
    <w:p w14:paraId="21F2AF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9DC75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“甲方”系指与中标人签署合同的采购人；采购人委托采购机构代表其与乙方签订合同的，采购人的授权委托书作为合同附件。</w:t>
      </w:r>
    </w:p>
    <w:p w14:paraId="6AB3BD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15120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“现场”系指合同约定标的物将要运至或者实施或者安装的地点。</w:t>
      </w:r>
    </w:p>
    <w:p w14:paraId="3B3F86B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 技术规范</w:t>
      </w:r>
    </w:p>
    <w:p w14:paraId="2D1E7D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203795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2.3 知识产权</w:t>
      </w:r>
    </w:p>
    <w:p w14:paraId="7533A1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08CA8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EE442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2.4 包装和装运</w:t>
      </w:r>
    </w:p>
    <w:p w14:paraId="23ACB4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8F816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90882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2.5 履约检查和问题反馈</w:t>
      </w:r>
    </w:p>
    <w:p w14:paraId="3A5796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389740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6B6ABCE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2.6 结算方式和付款条件</w:t>
      </w:r>
    </w:p>
    <w:p w14:paraId="4DFDDB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4803F5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2.7 技术资料和保密义务</w:t>
      </w:r>
    </w:p>
    <w:p w14:paraId="589303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74AC85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2EFDA8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DE9A26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2.8 质量保证</w:t>
      </w:r>
    </w:p>
    <w:p w14:paraId="52B255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55F23B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0C8754A3">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w:t>
      </w:r>
    </w:p>
    <w:p w14:paraId="1EB4C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w:t>
      </w:r>
    </w:p>
    <w:p w14:paraId="21CE511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2.9 标的物的风险负担</w:t>
      </w:r>
    </w:p>
    <w:p w14:paraId="4E1D418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9DD4B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2.10 延迟交货/交付</w:t>
      </w:r>
    </w:p>
    <w:p w14:paraId="1EA983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BE0DEE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2.11 合同变更</w:t>
      </w:r>
    </w:p>
    <w:p w14:paraId="776BDE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2ABFF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p w14:paraId="3FBF711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2.12 合同转让和分包</w:t>
      </w:r>
    </w:p>
    <w:p w14:paraId="763F3F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9E3185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2.13 不可抗力</w:t>
      </w:r>
    </w:p>
    <w:p w14:paraId="25A2A5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5EB3F3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7F800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7FAC9E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0FBBB5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2.14 税费</w:t>
      </w:r>
    </w:p>
    <w:p w14:paraId="7FF3D8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7842848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2.15 乙方破产</w:t>
      </w:r>
    </w:p>
    <w:p w14:paraId="397061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CF694F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2.16 合同中止、终止</w:t>
      </w:r>
    </w:p>
    <w:p w14:paraId="055017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39E54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41D3166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2.17 检验和验收</w:t>
      </w:r>
    </w:p>
    <w:p w14:paraId="3A38F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EB3EB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D5D0A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144A18E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2.18 通知和送达</w:t>
      </w:r>
    </w:p>
    <w:p w14:paraId="219182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0A32AD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6A92479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2.19 计量单位</w:t>
      </w:r>
    </w:p>
    <w:p w14:paraId="5DD9DD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E96378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2.20 合同使用的文字和适用的法律</w:t>
      </w:r>
    </w:p>
    <w:p w14:paraId="028DF7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3AACD0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5B2B88A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2.21 履约保证金</w:t>
      </w:r>
    </w:p>
    <w:p w14:paraId="118CBCAD">
      <w:pPr>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3AC90B62">
      <w:pPr>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2A468A1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w:t>
      </w:r>
      <w:r>
        <w:rPr>
          <w:rFonts w:hint="eastAsia" w:ascii="宋体" w:hAnsi="宋体" w:cs="宋体"/>
          <w:color w:val="auto"/>
          <w:kern w:val="0"/>
          <w:sz w:val="24"/>
          <w:highlight w:val="none"/>
          <w:lang w:val="zh-CN"/>
        </w:rPr>
        <w:sym w:font="Wingdings 2" w:char="00A3"/>
      </w:r>
      <w:r>
        <w:rPr>
          <w:rFonts w:hint="eastAsia" w:ascii="宋体" w:hAnsi="宋体" w:cs="宋体"/>
          <w:color w:val="auto"/>
          <w:kern w:val="0"/>
          <w:sz w:val="24"/>
          <w:highlight w:val="none"/>
          <w:lang w:val="zh-CN"/>
        </w:rPr>
        <w:t>是  □否）为中小企业“政采贷”可融资合同，关于中小企业信用融资事项见采购文件“供应商须知正文”。</w:t>
      </w:r>
    </w:p>
    <w:p w14:paraId="22EDD23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w:t>
      </w:r>
      <w:r>
        <w:rPr>
          <w:rFonts w:hint="eastAsia" w:ascii="宋体" w:hAnsi="宋体" w:cs="宋体"/>
          <w:color w:val="auto"/>
          <w:kern w:val="0"/>
          <w:sz w:val="24"/>
          <w:highlight w:val="none"/>
          <w:lang w:val="zh-CN"/>
        </w:rPr>
        <w:sym w:font="Wingdings 2" w:char="00A3"/>
      </w:r>
      <w:r>
        <w:rPr>
          <w:rFonts w:hint="eastAsia" w:ascii="宋体" w:hAnsi="宋体" w:cs="宋体"/>
          <w:color w:val="auto"/>
          <w:kern w:val="0"/>
          <w:sz w:val="24"/>
          <w:highlight w:val="none"/>
          <w:lang w:val="zh-CN"/>
        </w:rPr>
        <w:t>是  □否）为中小企业预留合同。</w:t>
      </w:r>
    </w:p>
    <w:p w14:paraId="5F8EE76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2.23 合同份数</w:t>
      </w:r>
    </w:p>
    <w:p w14:paraId="20AB41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陆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叁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叁 </w:t>
      </w:r>
      <w:r>
        <w:rPr>
          <w:rFonts w:hint="eastAsia" w:ascii="宋体" w:hAnsi="宋体" w:cs="宋体"/>
          <w:color w:val="auto"/>
          <w:sz w:val="24"/>
          <w:highlight w:val="none"/>
        </w:rPr>
        <w:t>份。每份均具有同等法律效力。</w:t>
      </w:r>
    </w:p>
    <w:p w14:paraId="790A9030">
      <w:pPr>
        <w:pStyle w:val="35"/>
        <w:jc w:val="center"/>
        <w:outlineLvl w:val="1"/>
        <w:rPr>
          <w:rFonts w:ascii="宋体" w:hAnsi="宋体" w:cs="宋体"/>
          <w:b/>
          <w:color w:val="auto"/>
          <w:sz w:val="28"/>
          <w:szCs w:val="28"/>
          <w:highlight w:val="none"/>
        </w:rPr>
      </w:pPr>
      <w:r>
        <w:rPr>
          <w:rFonts w:hint="eastAsia" w:ascii="宋体" w:hAnsi="宋体" w:cs="宋体"/>
          <w:color w:val="auto"/>
          <w:highlight w:val="none"/>
        </w:rPr>
        <w:br w:type="page"/>
      </w:r>
      <w:bookmarkStart w:id="166" w:name="_Toc28162"/>
      <w:bookmarkStart w:id="167" w:name="_Toc20525"/>
      <w:r>
        <w:rPr>
          <w:rFonts w:hint="eastAsia" w:ascii="宋体" w:hAnsi="宋体" w:cs="宋体"/>
          <w:b/>
          <w:color w:val="auto"/>
          <w:sz w:val="28"/>
          <w:szCs w:val="28"/>
          <w:highlight w:val="none"/>
        </w:rPr>
        <w:t>第三部分  合同专用条款</w:t>
      </w:r>
      <w:bookmarkEnd w:id="166"/>
      <w:bookmarkEnd w:id="167"/>
    </w:p>
    <w:p w14:paraId="30C6DF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63E03F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2.3.2具有知识产权的标的物知识产权归属：</w:t>
      </w:r>
    </w:p>
    <w:p w14:paraId="46C8E6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归甲方所有。                                                             </w:t>
      </w:r>
      <w:r>
        <w:rPr>
          <w:rFonts w:hint="eastAsia" w:ascii="宋体" w:hAnsi="宋体" w:cs="宋体"/>
          <w:color w:val="auto"/>
          <w:sz w:val="24"/>
          <w:highlight w:val="none"/>
        </w:rPr>
        <w:t xml:space="preserve">           </w:t>
      </w:r>
    </w:p>
    <w:p w14:paraId="07F304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2.4.1包装和装运专用条款（如果有）：</w:t>
      </w:r>
    </w:p>
    <w:p w14:paraId="4D3EEAC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                                                                 </w:t>
      </w:r>
    </w:p>
    <w:p w14:paraId="36DDDB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2.4.2装运标的物的要求和通知：</w:t>
      </w:r>
    </w:p>
    <w:p w14:paraId="44D773D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                                                                  </w:t>
      </w:r>
    </w:p>
    <w:p w14:paraId="1605100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4557B62D">
      <w:pPr>
        <w:spacing w:line="440" w:lineRule="exact"/>
        <w:ind w:firstLine="470" w:firstLineChars="196"/>
        <w:rPr>
          <w:rFonts w:ascii="宋体" w:hAnsi="宋体" w:cs="宋体"/>
          <w:b/>
          <w:color w:val="auto"/>
          <w:szCs w:val="21"/>
          <w:highlight w:val="none"/>
        </w:rPr>
      </w:pPr>
      <w:r>
        <w:rPr>
          <w:rFonts w:hint="eastAsia" w:ascii="宋体" w:hAnsi="宋体" w:cs="宋体"/>
          <w:color w:val="auto"/>
          <w:kern w:val="0"/>
          <w:sz w:val="24"/>
          <w:highlight w:val="none"/>
        </w:rPr>
        <w:t>结算方式：</w:t>
      </w:r>
    </w:p>
    <w:p w14:paraId="1A7AFA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04187CB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p>
    <w:p w14:paraId="243114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6AE3087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60484D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13F533D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3DCEEF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日内以书面形式通知对方当事人，并在</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日内，将有关部门出具的证明文件送达对方当事人。</w:t>
      </w:r>
    </w:p>
    <w:p w14:paraId="64685F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日内以书面形式变更合同；</w:t>
      </w:r>
    </w:p>
    <w:p w14:paraId="4EAB37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日内发起验收，并可依法邀请相关方参加，验收应出具验收书。</w:t>
      </w:r>
    </w:p>
    <w:p w14:paraId="5FCEC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w:t>
      </w:r>
    </w:p>
    <w:p w14:paraId="2A5F847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5E9FAB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其他：</w:t>
      </w:r>
      <w:r>
        <w:rPr>
          <w:rFonts w:hint="eastAsia" w:ascii="宋体" w:hAnsi="宋体" w:cs="宋体"/>
          <w:color w:val="auto"/>
          <w:szCs w:val="21"/>
          <w:highlight w:val="none"/>
        </w:rPr>
        <w:t>合同延续年限、条件和方式（如不续签此处填“本项目合同到期后不续签”）：</w:t>
      </w:r>
      <w:r>
        <w:rPr>
          <w:rFonts w:hint="eastAsia" w:ascii="宋体" w:hAnsi="宋体" w:cs="宋体"/>
          <w:b/>
          <w:bCs/>
          <w:color w:val="auto"/>
          <w:szCs w:val="21"/>
          <w:highlight w:val="none"/>
        </w:rPr>
        <w:t>本项目合同到期后，依据采购人组织开展本次采购项的服务履约整体评价，视评价结果并根据《财政部关于推进和完善服务项目政府有关问题的通知》（财库〔2014〕37号）及《政府购买服务管理办法》（财政部令102号）等相关规定，可进行合同续签服务。</w:t>
      </w:r>
      <w:r>
        <w:rPr>
          <w:rFonts w:hint="eastAsia" w:ascii="宋体" w:hAnsi="宋体" w:cs="宋体"/>
          <w:color w:val="auto"/>
          <w:szCs w:val="21"/>
          <w:highlight w:val="none"/>
        </w:rPr>
        <w:t>（提醒：根据《财政部关于推进和完善服务项目政府有关问题的通知》（财库〔2014〕37号）及《政府购买服务管理办法》（财政部令102号）等规定，政府购买服务履行期限一般不超过1年；在预算保障的前提下，对于购买内容相对固定、连续性强、经费来源稳定、价格变化幅度小的政府购买服务项目，可以签订履行期不超过3年的政府购买服务合同，且应当在采购文件中约定续签条件和方式、时限告知潜在供应商。)</w:t>
      </w:r>
    </w:p>
    <w:p w14:paraId="081195ED">
      <w:pPr>
        <w:widowControl/>
        <w:ind w:firstLine="720" w:firstLineChars="300"/>
        <w:jc w:val="left"/>
        <w:rPr>
          <w:rFonts w:ascii="宋体" w:hAnsi="宋体" w:cs="宋体"/>
          <w:bCs/>
          <w:color w:val="auto"/>
          <w:sz w:val="24"/>
          <w:highlight w:val="none"/>
        </w:rPr>
      </w:pPr>
    </w:p>
    <w:p w14:paraId="6AB1FE71">
      <w:pPr>
        <w:spacing w:line="360" w:lineRule="auto"/>
        <w:ind w:firstLine="1555"/>
        <w:jc w:val="center"/>
        <w:rPr>
          <w:rFonts w:ascii="仿宋" w:hAnsi="仿宋" w:eastAsia="仿宋" w:cs="仿宋"/>
          <w:b/>
          <w:bCs/>
          <w:color w:val="auto"/>
          <w:kern w:val="0"/>
          <w:sz w:val="24"/>
          <w:highlight w:val="none"/>
        </w:rPr>
      </w:pPr>
    </w:p>
    <w:sectPr>
      <w:footerReference r:id="rId5" w:type="first"/>
      <w:footerReference r:id="rId4"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9532">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610A205D">
                          <w:pPr>
                            <w:pStyle w:val="16"/>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i91E0AAAAAIBAAAPAAAAAAAAAAEAIAAAACIAAABkcnMvZG93bnJl&#10;di54bWxQSwECFAAUAAAACACHTuJA4uA5XMwBAACYAwAADgAAAAAAAAABACAAAAAfAQAAZHJzL2Uy&#10;b0RvYy54bWxQSwUGAAAAAAYABgBZAQAAXQUAAAAA&#10;">
              <v:fill on="f" focussize="0,0"/>
              <v:stroke on="f"/>
              <v:imagedata o:title=""/>
              <o:lock v:ext="edit" aspectratio="f"/>
              <v:textbox inset="0mm,0mm,0mm,0mm" style="mso-fit-shape-to-text:t;">
                <w:txbxContent>
                  <w:p w14:paraId="610A205D">
                    <w:pPr>
                      <w:pStyle w:val="16"/>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p w14:paraId="04B8670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0CF9">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78994950">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i91E0AAAAAIBAAAPAAAAAAAAAAEAIAAAACIAAABkcnMvZG93bnJl&#10;di54bWxQSwECFAAUAAAACACHTuJAdRUeSMwBAACYAwAADgAAAAAAAAABACAAAAAfAQAAZHJzL2Uy&#10;b0RvYy54bWxQSwUGAAAAAAYABgBZAQAAXQUAAAAA&#10;">
              <v:fill on="f" focussize="0,0"/>
              <v:stroke on="f"/>
              <v:imagedata o:title=""/>
              <o:lock v:ext="edit" aspectratio="f"/>
              <v:textbox inset="0mm,0mm,0mm,0mm" style="mso-fit-shape-to-text:t;">
                <w:txbxContent>
                  <w:p w14:paraId="78994950">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E60F">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1D854"/>
    <w:multiLevelType w:val="singleLevel"/>
    <w:tmpl w:val="C7F1D854"/>
    <w:lvl w:ilvl="0" w:tentative="0">
      <w:start w:val="7"/>
      <w:numFmt w:val="decimal"/>
      <w:lvlText w:val="%1."/>
      <w:lvlJc w:val="left"/>
      <w:pPr>
        <w:tabs>
          <w:tab w:val="left" w:pos="312"/>
        </w:tabs>
      </w:pPr>
    </w:lvl>
  </w:abstractNum>
  <w:abstractNum w:abstractNumId="1">
    <w:nsid w:val="EB8CEB78"/>
    <w:multiLevelType w:val="singleLevel"/>
    <w:tmpl w:val="EB8CEB78"/>
    <w:lvl w:ilvl="0" w:tentative="0">
      <w:start w:val="3"/>
      <w:numFmt w:val="chineseCounting"/>
      <w:suff w:val="space"/>
      <w:lvlText w:val="第%1章"/>
      <w:lvlJc w:val="left"/>
      <w:rPr>
        <w:rFonts w:hint="eastAsia"/>
      </w:rPr>
    </w:lvl>
  </w:abstractNum>
  <w:abstractNum w:abstractNumId="2">
    <w:nsid w:val="4C601917"/>
    <w:multiLevelType w:val="singleLevel"/>
    <w:tmpl w:val="4C601917"/>
    <w:lvl w:ilvl="0" w:tentative="0">
      <w:start w:val="1"/>
      <w:numFmt w:val="decimal"/>
      <w:suff w:val="nothing"/>
      <w:lvlText w:val="（%1）"/>
      <w:lvlJc w:val="left"/>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476BF23"/>
    <w:multiLevelType w:val="singleLevel"/>
    <w:tmpl w:val="7476BF23"/>
    <w:lvl w:ilvl="0" w:tentative="0">
      <w:start w:val="1"/>
      <w:numFmt w:val="decimal"/>
      <w:pStyle w:val="8"/>
      <w:lvlText w:val="%1."/>
      <w:lvlJc w:val="left"/>
      <w:pPr>
        <w:tabs>
          <w:tab w:val="left" w:pos="360"/>
        </w:tabs>
        <w:ind w:left="36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20"/>
    <w:rsid w:val="000162B5"/>
    <w:rsid w:val="00321310"/>
    <w:rsid w:val="004B17A4"/>
    <w:rsid w:val="006C63F0"/>
    <w:rsid w:val="007F1420"/>
    <w:rsid w:val="0091176E"/>
    <w:rsid w:val="00A3382C"/>
    <w:rsid w:val="00A6555F"/>
    <w:rsid w:val="00C07F9E"/>
    <w:rsid w:val="00D07DFF"/>
    <w:rsid w:val="0964522D"/>
    <w:rsid w:val="10C5247C"/>
    <w:rsid w:val="17DF02C7"/>
    <w:rsid w:val="1AE84845"/>
    <w:rsid w:val="2C8B5E04"/>
    <w:rsid w:val="2CD5539D"/>
    <w:rsid w:val="2DEF248E"/>
    <w:rsid w:val="316C57C7"/>
    <w:rsid w:val="39C523BB"/>
    <w:rsid w:val="3A9B458D"/>
    <w:rsid w:val="410127AD"/>
    <w:rsid w:val="44F81395"/>
    <w:rsid w:val="48711FC6"/>
    <w:rsid w:val="4A1B48DF"/>
    <w:rsid w:val="5119769F"/>
    <w:rsid w:val="5C0C052C"/>
    <w:rsid w:val="5F896EFB"/>
    <w:rsid w:val="6A8120E5"/>
    <w:rsid w:val="6DF277CD"/>
    <w:rsid w:val="6FF269B8"/>
    <w:rsid w:val="703F0F67"/>
    <w:rsid w:val="71EA3748"/>
    <w:rsid w:val="7D965A4F"/>
    <w:rsid w:val="7FC70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576" w:lineRule="auto"/>
      <w:outlineLvl w:val="0"/>
    </w:pPr>
    <w:rPr>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7"/>
    <w:qFormat/>
    <w:uiPriority w:val="9"/>
    <w:pPr>
      <w:spacing w:line="360" w:lineRule="auto"/>
      <w:ind w:left="420" w:leftChars="200"/>
      <w:jc w:val="left"/>
      <w:outlineLvl w:val="4"/>
    </w:pPr>
    <w:rPr>
      <w:rFonts w:ascii="宋体" w:hAnsi="宋体"/>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List Number"/>
    <w:basedOn w:val="1"/>
    <w:qFormat/>
    <w:uiPriority w:val="0"/>
    <w:pPr>
      <w:numPr>
        <w:ilvl w:val="0"/>
        <w:numId w:val="1"/>
      </w:numPr>
    </w:pPr>
  </w:style>
  <w:style w:type="paragraph" w:styleId="9">
    <w:name w:val="annotation text"/>
    <w:basedOn w:val="1"/>
    <w:link w:val="30"/>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next w:val="12"/>
    <w:unhideWhenUsed/>
    <w:qFormat/>
    <w:uiPriority w:val="0"/>
    <w:pPr>
      <w:spacing w:after="120"/>
    </w:pPr>
  </w:style>
  <w:style w:type="paragraph" w:styleId="12">
    <w:name w:val="Plain Text"/>
    <w:basedOn w:val="1"/>
    <w:qFormat/>
    <w:uiPriority w:val="0"/>
    <w:pPr>
      <w:snapToGrid w:val="0"/>
      <w:spacing w:line="360" w:lineRule="auto"/>
      <w:ind w:left="1" w:firstLine="420"/>
      <w:jc w:val="left"/>
    </w:pPr>
    <w:rPr>
      <w:rFonts w:ascii="宋体" w:hAnsi="宋体"/>
      <w:b/>
      <w:sz w:val="32"/>
      <w:szCs w:val="32"/>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Balloon Text"/>
    <w:basedOn w:val="1"/>
    <w:link w:val="29"/>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annotation subject"/>
    <w:basedOn w:val="9"/>
    <w:next w:val="9"/>
    <w:link w:val="31"/>
    <w:qFormat/>
    <w:uiPriority w:val="0"/>
    <w:rPr>
      <w:b/>
      <w:bCs/>
    </w:rPr>
  </w:style>
  <w:style w:type="table" w:styleId="22">
    <w:name w:val="Table Grid"/>
    <w:basedOn w:val="2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unhideWhenUsed/>
    <w:qFormat/>
    <w:uiPriority w:val="99"/>
    <w:rPr>
      <w:color w:val="0000FF"/>
      <w:u w:val="single"/>
    </w:rPr>
  </w:style>
  <w:style w:type="character" w:styleId="25">
    <w:name w:val="annotation reference"/>
    <w:qFormat/>
    <w:uiPriority w:val="99"/>
    <w:rPr>
      <w:sz w:val="21"/>
      <w:szCs w:val="21"/>
    </w:rPr>
  </w:style>
  <w:style w:type="paragraph" w:customStyle="1" w:styleId="26">
    <w:name w:val="正文_2_0"/>
    <w:next w:val="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页脚_2"/>
    <w:basedOn w:val="26"/>
    <w:unhideWhenUsed/>
    <w:qFormat/>
    <w:uiPriority w:val="99"/>
    <w:pPr>
      <w:tabs>
        <w:tab w:val="center" w:pos="4153"/>
        <w:tab w:val="right" w:pos="8306"/>
      </w:tabs>
      <w:snapToGrid w:val="0"/>
      <w:jc w:val="left"/>
    </w:pPr>
    <w:rPr>
      <w:sz w:val="18"/>
      <w:szCs w:val="18"/>
    </w:rPr>
  </w:style>
  <w:style w:type="paragraph" w:customStyle="1" w:styleId="28">
    <w:name w:val="TOC 标题2"/>
    <w:next w:val="1"/>
    <w:qFormat/>
    <w:uiPriority w:val="99"/>
    <w:pPr>
      <w:wordWrap w:val="0"/>
    </w:pPr>
    <w:rPr>
      <w:rFonts w:ascii="Calibri" w:hAnsi="Calibri" w:eastAsia="宋体" w:cs="Times New Roman"/>
      <w:sz w:val="32"/>
      <w:lang w:val="en-US" w:eastAsia="zh-CN" w:bidi="ar-SA"/>
    </w:rPr>
  </w:style>
  <w:style w:type="character" w:customStyle="1" w:styleId="29">
    <w:name w:val="批注框文本 字符"/>
    <w:basedOn w:val="23"/>
    <w:link w:val="15"/>
    <w:qFormat/>
    <w:uiPriority w:val="0"/>
    <w:rPr>
      <w:rFonts w:ascii="Times New Roman" w:hAnsi="Times New Roman" w:eastAsia="宋体" w:cs="Times New Roman"/>
      <w:kern w:val="2"/>
      <w:sz w:val="18"/>
      <w:szCs w:val="18"/>
    </w:rPr>
  </w:style>
  <w:style w:type="character" w:customStyle="1" w:styleId="30">
    <w:name w:val="批注文字 字符"/>
    <w:basedOn w:val="23"/>
    <w:link w:val="9"/>
    <w:qFormat/>
    <w:uiPriority w:val="0"/>
    <w:rPr>
      <w:rFonts w:ascii="Times New Roman" w:hAnsi="Times New Roman" w:eastAsia="宋体" w:cs="Times New Roman"/>
      <w:kern w:val="2"/>
      <w:sz w:val="21"/>
      <w:szCs w:val="24"/>
    </w:rPr>
  </w:style>
  <w:style w:type="character" w:customStyle="1" w:styleId="31">
    <w:name w:val="批注主题 字符"/>
    <w:basedOn w:val="30"/>
    <w:link w:val="20"/>
    <w:qFormat/>
    <w:uiPriority w:val="0"/>
    <w:rPr>
      <w:rFonts w:ascii="Times New Roman" w:hAnsi="Times New Roman" w:eastAsia="宋体" w:cs="Times New Roman"/>
      <w:kern w:val="2"/>
      <w:sz w:val="21"/>
      <w:szCs w:val="24"/>
    </w:rPr>
  </w:style>
  <w:style w:type="table" w:customStyle="1" w:styleId="32">
    <w:name w:val="Table Normal"/>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34">
    <w:name w:val="Normal Indent1"/>
    <w:basedOn w:val="1"/>
    <w:qFormat/>
    <w:uiPriority w:val="0"/>
    <w:pPr>
      <w:spacing w:line="660" w:lineRule="exact"/>
      <w:ind w:firstLine="720"/>
    </w:pPr>
    <w:rPr>
      <w:rFonts w:eastAsia="Cambria Math"/>
      <w:sz w:val="36"/>
      <w:szCs w:val="36"/>
    </w:rPr>
  </w:style>
  <w:style w:type="paragraph" w:customStyle="1" w:styleId="35">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26383</Words>
  <Characters>27568</Characters>
  <Lines>266</Lines>
  <Paragraphs>74</Paragraphs>
  <TotalTime>5</TotalTime>
  <ScaleCrop>false</ScaleCrop>
  <LinksUpToDate>false</LinksUpToDate>
  <CharactersWithSpaces>28580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2024-11-20T19:46:00Z</dcterms:created>
  <dc:creator>Administrator</dc:creator>
  <cp:lastModifiedBy>吸香糖王力宏</cp:lastModifiedBy>
  <cp:lastPrinted>2024-10-18T10:31:00Z</cp:lastPrinted>
  <dcterms:modified xsi:type="dcterms:W3CDTF">2024-12-18T05:47:22Z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8930D73AAA104F08865A3B5E2F829210_13</vt:lpwstr>
  </property>
</Properties>
</file>