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E611D33">
      <w:pPr>
        <w:spacing w:before="165" w:beforeLines="50" w:line="360" w:lineRule="auto"/>
        <w:jc w:val="center"/>
        <w:rPr>
          <w:rFonts w:ascii="宋体" w:hAnsi="宋体"/>
          <w:color w:val="auto"/>
          <w:sz w:val="52"/>
          <w:szCs w:val="52"/>
        </w:rPr>
      </w:pPr>
    </w:p>
    <w:p w14:paraId="4A398B05">
      <w:pPr>
        <w:spacing w:before="165" w:beforeLines="50" w:line="360" w:lineRule="auto"/>
        <w:jc w:val="center"/>
        <w:rPr>
          <w:rFonts w:ascii="宋体" w:hAnsi="宋体"/>
          <w:color w:val="auto"/>
          <w:sz w:val="52"/>
          <w:szCs w:val="52"/>
        </w:rPr>
      </w:pPr>
      <w:r>
        <w:rPr>
          <w:rFonts w:hint="eastAsia" w:ascii="宋体" w:hAnsi="宋体"/>
          <w:color w:val="auto"/>
          <w:sz w:val="52"/>
          <w:szCs w:val="52"/>
        </w:rPr>
        <w:t>南宁市本级政府采购</w:t>
      </w:r>
    </w:p>
    <w:p w14:paraId="2621DCF0">
      <w:pPr>
        <w:spacing w:before="165" w:beforeLines="50" w:line="360" w:lineRule="auto"/>
        <w:jc w:val="center"/>
        <w:rPr>
          <w:rFonts w:ascii="仿宋_GB2312" w:hAnsi="宋体" w:eastAsia="仿宋_GB2312"/>
          <w:b/>
          <w:color w:val="auto"/>
          <w:sz w:val="48"/>
          <w:szCs w:val="48"/>
        </w:rPr>
      </w:pPr>
    </w:p>
    <w:p w14:paraId="2240678C">
      <w:pPr>
        <w:spacing w:before="165" w:beforeLines="50" w:line="360" w:lineRule="auto"/>
        <w:jc w:val="center"/>
        <w:rPr>
          <w:rFonts w:ascii="仿宋_GB2312" w:hAnsi="宋体" w:eastAsia="仿宋_GB2312"/>
          <w:b/>
          <w:color w:val="auto"/>
          <w:sz w:val="48"/>
          <w:szCs w:val="48"/>
        </w:rPr>
      </w:pPr>
    </w:p>
    <w:p w14:paraId="02EA39D3">
      <w:pPr>
        <w:spacing w:before="165" w:beforeLines="50" w:line="360" w:lineRule="auto"/>
        <w:jc w:val="center"/>
        <w:rPr>
          <w:rFonts w:ascii="仿宋_GB2312" w:hAnsi="宋体" w:eastAsia="仿宋_GB2312"/>
          <w:b/>
          <w:color w:val="auto"/>
          <w:sz w:val="48"/>
          <w:szCs w:val="48"/>
        </w:rPr>
      </w:pPr>
    </w:p>
    <w:p w14:paraId="497DE391">
      <w:pPr>
        <w:snapToGrid w:val="0"/>
        <w:spacing w:before="165" w:beforeLines="50" w:line="360" w:lineRule="auto"/>
        <w:jc w:val="center"/>
        <w:rPr>
          <w:rFonts w:ascii="华文新魏" w:hAnsi="宋体" w:eastAsia="华文新魏"/>
          <w:color w:val="auto"/>
          <w:sz w:val="72"/>
          <w:szCs w:val="72"/>
        </w:rPr>
      </w:pPr>
      <w:r>
        <w:rPr>
          <w:rFonts w:hint="eastAsia" w:ascii="华文新魏" w:hAnsi="宋体" w:eastAsia="华文新魏"/>
          <w:color w:val="auto"/>
          <w:sz w:val="72"/>
          <w:szCs w:val="72"/>
        </w:rPr>
        <w:t>公开招标文件</w:t>
      </w:r>
    </w:p>
    <w:p w14:paraId="0EAEF615">
      <w:pPr>
        <w:snapToGrid w:val="0"/>
        <w:spacing w:before="165" w:beforeLines="50" w:line="360" w:lineRule="auto"/>
        <w:jc w:val="center"/>
        <w:rPr>
          <w:rFonts w:ascii="仿宋_GB2312" w:hAnsi="宋体" w:eastAsia="仿宋_GB2312"/>
          <w:color w:val="auto"/>
          <w:sz w:val="30"/>
          <w:szCs w:val="72"/>
        </w:rPr>
      </w:pPr>
      <w:r>
        <w:rPr>
          <w:rFonts w:hint="eastAsia" w:ascii="仿宋_GB2312" w:hAnsi="宋体" w:eastAsia="仿宋_GB2312"/>
          <w:color w:val="auto"/>
          <w:sz w:val="30"/>
          <w:szCs w:val="72"/>
        </w:rPr>
        <w:t>（全流程电子化评标）</w:t>
      </w:r>
    </w:p>
    <w:p w14:paraId="5B338ADF">
      <w:pPr>
        <w:snapToGrid w:val="0"/>
        <w:spacing w:before="165" w:beforeLines="50" w:line="360" w:lineRule="auto"/>
        <w:rPr>
          <w:rFonts w:ascii="仿宋_GB2312" w:hAnsi="宋体" w:eastAsia="仿宋_GB2312"/>
          <w:color w:val="auto"/>
          <w:sz w:val="30"/>
          <w:szCs w:val="72"/>
        </w:rPr>
      </w:pPr>
    </w:p>
    <w:p w14:paraId="1F36B936">
      <w:pPr>
        <w:snapToGrid w:val="0"/>
        <w:spacing w:before="165" w:beforeLines="50" w:line="360" w:lineRule="auto"/>
        <w:rPr>
          <w:rFonts w:ascii="仿宋_GB2312" w:hAnsi="宋体" w:eastAsia="仿宋_GB2312"/>
          <w:color w:val="auto"/>
          <w:sz w:val="30"/>
          <w:szCs w:val="72"/>
        </w:rPr>
      </w:pPr>
    </w:p>
    <w:p w14:paraId="3CC1CC19">
      <w:pPr>
        <w:pStyle w:val="17"/>
        <w:snapToGrid w:val="0"/>
        <w:spacing w:before="50" w:after="120" w:line="360" w:lineRule="auto"/>
        <w:ind w:firstLine="1193" w:firstLineChars="396"/>
        <w:rPr>
          <w:rFonts w:ascii="仿宋_GB2312" w:hAnsi="宋体" w:eastAsia="仿宋_GB2312"/>
          <w:b/>
          <w:bCs/>
          <w:color w:val="auto"/>
          <w:sz w:val="30"/>
          <w:szCs w:val="30"/>
        </w:rPr>
      </w:pPr>
      <w:r>
        <w:rPr>
          <w:rFonts w:hint="eastAsia" w:ascii="仿宋_GB2312" w:hAnsi="宋体" w:eastAsia="仿宋_GB2312"/>
          <w:b/>
          <w:bCs/>
          <w:color w:val="auto"/>
          <w:sz w:val="30"/>
          <w:szCs w:val="30"/>
        </w:rPr>
        <w:t>项目</w:t>
      </w:r>
      <w:r>
        <w:rPr>
          <w:rFonts w:hint="eastAsia" w:ascii="仿宋_GB2312" w:hAnsi="宋体" w:eastAsia="仿宋_GB2312" w:cs="Courier New"/>
          <w:b/>
          <w:bCs/>
          <w:color w:val="auto"/>
          <w:w w:val="95"/>
          <w:sz w:val="30"/>
          <w:szCs w:val="30"/>
        </w:rPr>
        <w:t>名称</w:t>
      </w:r>
      <w:r>
        <w:rPr>
          <w:rFonts w:hint="eastAsia" w:ascii="仿宋_GB2312" w:hAnsi="宋体" w:eastAsia="仿宋_GB2312"/>
          <w:b/>
          <w:bCs/>
          <w:color w:val="auto"/>
          <w:sz w:val="30"/>
          <w:szCs w:val="30"/>
        </w:rPr>
        <w:t>：南宁职业技术大学跨境电子商务专业</w:t>
      </w:r>
    </w:p>
    <w:p w14:paraId="1BEB63C4">
      <w:pPr>
        <w:pStyle w:val="17"/>
        <w:snapToGrid w:val="0"/>
        <w:spacing w:before="50" w:after="120" w:line="360" w:lineRule="auto"/>
        <w:ind w:firstLine="2699" w:firstLineChars="896"/>
        <w:rPr>
          <w:rFonts w:ascii="仿宋_GB2312" w:hAnsi="宋体" w:eastAsia="仿宋_GB2312"/>
          <w:b/>
          <w:bCs/>
          <w:color w:val="auto"/>
          <w:sz w:val="30"/>
          <w:szCs w:val="30"/>
        </w:rPr>
      </w:pPr>
      <w:r>
        <w:rPr>
          <w:rFonts w:hint="eastAsia" w:ascii="仿宋_GB2312" w:hAnsi="宋体" w:eastAsia="仿宋_GB2312"/>
          <w:b/>
          <w:bCs/>
          <w:color w:val="auto"/>
          <w:sz w:val="30"/>
          <w:szCs w:val="30"/>
        </w:rPr>
        <w:t>群赛训平台类项目采购</w:t>
      </w:r>
    </w:p>
    <w:p w14:paraId="132C348F">
      <w:pPr>
        <w:snapToGrid w:val="0"/>
        <w:spacing w:before="165" w:beforeLines="50" w:line="360" w:lineRule="auto"/>
        <w:ind w:firstLine="1145" w:firstLineChars="400"/>
        <w:rPr>
          <w:rFonts w:ascii="仿宋_GB2312" w:hAnsi="宋体" w:eastAsia="仿宋_GB2312"/>
          <w:color w:val="auto"/>
          <w:sz w:val="30"/>
          <w:szCs w:val="72"/>
        </w:rPr>
      </w:pPr>
      <w:r>
        <w:rPr>
          <w:rFonts w:hint="eastAsia" w:ascii="仿宋_GB2312" w:hAnsi="宋体" w:eastAsia="仿宋_GB2312" w:cs="Courier New"/>
          <w:b/>
          <w:bCs/>
          <w:color w:val="auto"/>
          <w:w w:val="95"/>
          <w:sz w:val="30"/>
          <w:szCs w:val="30"/>
        </w:rPr>
        <w:t>项目</w:t>
      </w:r>
      <w:r>
        <w:rPr>
          <w:rFonts w:hint="eastAsia" w:ascii="仿宋_GB2312" w:hAnsi="宋体" w:eastAsia="仿宋_GB2312"/>
          <w:b/>
          <w:bCs/>
          <w:color w:val="auto"/>
          <w:sz w:val="30"/>
          <w:szCs w:val="30"/>
        </w:rPr>
        <w:t>编号</w:t>
      </w:r>
      <w:r>
        <w:rPr>
          <w:rFonts w:hint="eastAsia" w:ascii="仿宋_GB2312" w:hAnsi="宋体" w:eastAsia="仿宋_GB2312" w:cs="Courier New"/>
          <w:b/>
          <w:bCs/>
          <w:color w:val="auto"/>
          <w:w w:val="95"/>
          <w:sz w:val="30"/>
          <w:szCs w:val="30"/>
        </w:rPr>
        <w:t>：NNZC2024-G1-991721-GXTZ</w:t>
      </w:r>
    </w:p>
    <w:p w14:paraId="6B01EF81">
      <w:pPr>
        <w:pStyle w:val="17"/>
        <w:snapToGrid w:val="0"/>
        <w:spacing w:before="50" w:after="120" w:line="360" w:lineRule="auto"/>
        <w:ind w:firstLine="1125" w:firstLineChars="393"/>
        <w:rPr>
          <w:rFonts w:hint="eastAsia" w:ascii="仿宋_GB2312" w:hAnsi="宋体" w:eastAsia="仿宋_GB2312"/>
          <w:b/>
          <w:bCs/>
          <w:color w:val="auto"/>
          <w:w w:val="95"/>
          <w:sz w:val="30"/>
          <w:szCs w:val="30"/>
          <w:lang w:eastAsia="zh-CN"/>
        </w:rPr>
      </w:pPr>
      <w:r>
        <w:rPr>
          <w:rFonts w:hint="eastAsia" w:ascii="仿宋_GB2312" w:hAnsi="宋体" w:eastAsia="仿宋_GB2312"/>
          <w:b/>
          <w:bCs/>
          <w:color w:val="auto"/>
          <w:w w:val="95"/>
          <w:sz w:val="30"/>
          <w:szCs w:val="30"/>
        </w:rPr>
        <w:t>采 购 人：</w:t>
      </w:r>
      <w:r>
        <w:rPr>
          <w:rFonts w:hint="eastAsia" w:ascii="仿宋_GB2312" w:hAnsi="宋体" w:eastAsia="仿宋_GB2312"/>
          <w:b/>
          <w:bCs/>
          <w:color w:val="auto"/>
          <w:w w:val="95"/>
          <w:sz w:val="30"/>
          <w:szCs w:val="30"/>
          <w:lang w:eastAsia="zh-CN"/>
        </w:rPr>
        <w:t>南宁职业技术大学</w:t>
      </w:r>
    </w:p>
    <w:p w14:paraId="04C5A144">
      <w:pPr>
        <w:pStyle w:val="17"/>
        <w:snapToGrid w:val="0"/>
        <w:spacing w:before="50" w:after="120" w:line="360" w:lineRule="auto"/>
        <w:ind w:firstLine="1125" w:firstLineChars="393"/>
        <w:rPr>
          <w:rFonts w:ascii="仿宋_GB2312" w:hAnsi="宋体" w:eastAsia="仿宋_GB2312"/>
          <w:b/>
          <w:bCs/>
          <w:color w:val="auto"/>
          <w:w w:val="95"/>
          <w:sz w:val="30"/>
          <w:szCs w:val="30"/>
        </w:rPr>
      </w:pPr>
      <w:r>
        <w:rPr>
          <w:rFonts w:hint="eastAsia" w:ascii="仿宋_GB2312" w:hAnsi="宋体" w:eastAsia="仿宋_GB2312"/>
          <w:b/>
          <w:bCs/>
          <w:color w:val="auto"/>
          <w:w w:val="95"/>
          <w:sz w:val="30"/>
          <w:szCs w:val="30"/>
        </w:rPr>
        <w:t>采购代理机构：广西同泽工程项目管理股份有限公司</w:t>
      </w:r>
    </w:p>
    <w:p w14:paraId="36540A4A">
      <w:pPr>
        <w:pStyle w:val="17"/>
        <w:snapToGrid w:val="0"/>
        <w:spacing w:before="50" w:after="120" w:line="360" w:lineRule="auto"/>
        <w:ind w:firstLine="841" w:firstLineChars="294"/>
        <w:jc w:val="center"/>
        <w:rPr>
          <w:rFonts w:ascii="仿宋_GB2312" w:hAnsi="宋体" w:eastAsia="仿宋_GB2312"/>
          <w:b/>
          <w:bCs/>
          <w:color w:val="auto"/>
          <w:w w:val="95"/>
          <w:sz w:val="30"/>
          <w:szCs w:val="30"/>
        </w:rPr>
      </w:pPr>
    </w:p>
    <w:p w14:paraId="4BFB00E5">
      <w:pPr>
        <w:pStyle w:val="17"/>
        <w:snapToGrid w:val="0"/>
        <w:spacing w:before="50" w:after="120" w:line="360" w:lineRule="auto"/>
        <w:ind w:firstLine="841" w:firstLineChars="294"/>
        <w:jc w:val="center"/>
        <w:rPr>
          <w:rFonts w:ascii="仿宋_GB2312" w:hAnsi="宋体" w:eastAsia="仿宋_GB2312"/>
          <w:b/>
          <w:bCs/>
          <w:color w:val="auto"/>
          <w:w w:val="95"/>
          <w:sz w:val="30"/>
          <w:szCs w:val="30"/>
        </w:rPr>
      </w:pPr>
      <w:r>
        <w:rPr>
          <w:rFonts w:hint="eastAsia" w:ascii="仿宋_GB2312" w:hAnsi="宋体" w:eastAsia="仿宋_GB2312"/>
          <w:b/>
          <w:bCs/>
          <w:color w:val="auto"/>
          <w:w w:val="95"/>
          <w:sz w:val="30"/>
          <w:szCs w:val="30"/>
        </w:rPr>
        <w:t>2024年1</w:t>
      </w:r>
      <w:r>
        <w:rPr>
          <w:rFonts w:hint="eastAsia" w:ascii="仿宋_GB2312" w:hAnsi="宋体" w:eastAsia="仿宋_GB2312"/>
          <w:b/>
          <w:bCs/>
          <w:color w:val="auto"/>
          <w:w w:val="95"/>
          <w:sz w:val="30"/>
          <w:szCs w:val="30"/>
          <w:lang w:val="en-US" w:eastAsia="zh-CN"/>
        </w:rPr>
        <w:t>1</w:t>
      </w:r>
      <w:r>
        <w:rPr>
          <w:rFonts w:hint="eastAsia" w:ascii="仿宋_GB2312" w:hAnsi="宋体" w:eastAsia="仿宋_GB2312"/>
          <w:b/>
          <w:bCs/>
          <w:color w:val="auto"/>
          <w:w w:val="95"/>
          <w:sz w:val="30"/>
          <w:szCs w:val="30"/>
        </w:rPr>
        <w:t>月</w:t>
      </w:r>
      <w:r>
        <w:rPr>
          <w:rFonts w:hint="eastAsia" w:ascii="仿宋_GB2312" w:hAnsi="宋体" w:eastAsia="仿宋_GB2312"/>
          <w:b/>
          <w:bCs/>
          <w:color w:val="auto"/>
          <w:w w:val="95"/>
          <w:sz w:val="30"/>
          <w:szCs w:val="30"/>
          <w:lang w:val="en-US" w:eastAsia="zh-CN"/>
        </w:rPr>
        <w:t>29</w:t>
      </w:r>
      <w:r>
        <w:rPr>
          <w:rFonts w:hint="eastAsia" w:ascii="仿宋_GB2312" w:hAnsi="宋体" w:eastAsia="仿宋_GB2312"/>
          <w:b/>
          <w:bCs/>
          <w:color w:val="auto"/>
          <w:w w:val="95"/>
          <w:sz w:val="30"/>
          <w:szCs w:val="30"/>
        </w:rPr>
        <w:t>日</w:t>
      </w:r>
    </w:p>
    <w:p w14:paraId="18C68BC9">
      <w:pPr>
        <w:pStyle w:val="17"/>
        <w:snapToGrid w:val="0"/>
        <w:spacing w:before="50" w:after="120" w:line="360" w:lineRule="auto"/>
        <w:ind w:firstLine="841" w:firstLineChars="294"/>
        <w:rPr>
          <w:rFonts w:ascii="仿宋_GB2312" w:hAnsi="宋体" w:eastAsia="仿宋_GB2312"/>
          <w:b/>
          <w:bCs/>
          <w:color w:val="auto"/>
          <w:w w:val="95"/>
          <w:sz w:val="30"/>
          <w:szCs w:val="30"/>
        </w:rPr>
      </w:pPr>
    </w:p>
    <w:p w14:paraId="7152B713">
      <w:pPr>
        <w:pStyle w:val="17"/>
        <w:snapToGrid w:val="0"/>
        <w:spacing w:before="50" w:after="120" w:line="360" w:lineRule="auto"/>
        <w:ind w:firstLine="841" w:firstLineChars="294"/>
        <w:rPr>
          <w:rFonts w:ascii="仿宋_GB2312" w:hAnsi="宋体" w:eastAsia="仿宋_GB2312"/>
          <w:b/>
          <w:bCs/>
          <w:color w:val="auto"/>
          <w:w w:val="95"/>
          <w:sz w:val="30"/>
          <w:szCs w:val="30"/>
        </w:rPr>
        <w:sectPr>
          <w:headerReference r:id="rId3" w:type="default"/>
          <w:footerReference r:id="rId4" w:type="default"/>
          <w:footerReference r:id="rId5" w:type="even"/>
          <w:pgSz w:w="11906" w:h="16838"/>
          <w:pgMar w:top="1134" w:right="1134" w:bottom="1134" w:left="1134" w:header="720" w:footer="720" w:gutter="0"/>
          <w:pgNumType w:start="1"/>
          <w:cols w:space="720" w:num="1"/>
          <w:docGrid w:type="lines" w:linePitch="331" w:charSpace="0"/>
        </w:sectPr>
      </w:pPr>
    </w:p>
    <w:p w14:paraId="06C6831C">
      <w:pPr>
        <w:pStyle w:val="17"/>
        <w:spacing w:line="440" w:lineRule="atLeast"/>
        <w:jc w:val="center"/>
        <w:rPr>
          <w:rFonts w:ascii="Times New Roman" w:hAnsi="Times New Roman"/>
          <w:b/>
          <w:color w:val="auto"/>
          <w:sz w:val="48"/>
          <w:szCs w:val="48"/>
        </w:rPr>
      </w:pPr>
      <w:r>
        <w:rPr>
          <w:rFonts w:hint="eastAsia" w:ascii="Times New Roman" w:hAnsi="Times New Roman"/>
          <w:b/>
          <w:color w:val="auto"/>
          <w:sz w:val="48"/>
          <w:szCs w:val="48"/>
        </w:rPr>
        <w:t>目</w:t>
      </w:r>
      <w:r>
        <w:rPr>
          <w:rFonts w:ascii="Times New Roman" w:hAnsi="Times New Roman"/>
          <w:b/>
          <w:color w:val="auto"/>
          <w:sz w:val="48"/>
          <w:szCs w:val="48"/>
        </w:rPr>
        <w:t xml:space="preserve">     </w:t>
      </w:r>
      <w:r>
        <w:rPr>
          <w:rFonts w:hint="eastAsia" w:ascii="Times New Roman" w:hAnsi="Times New Roman"/>
          <w:b/>
          <w:color w:val="auto"/>
          <w:sz w:val="48"/>
          <w:szCs w:val="48"/>
        </w:rPr>
        <w:t>录</w:t>
      </w:r>
    </w:p>
    <w:p w14:paraId="31F741E6">
      <w:pPr>
        <w:pStyle w:val="24"/>
        <w:tabs>
          <w:tab w:val="right" w:leader="dot" w:pos="9628"/>
        </w:tabs>
        <w:spacing w:before="0" w:after="0" w:line="440" w:lineRule="atLeast"/>
        <w:rPr>
          <w:b w:val="0"/>
          <w:bCs w:val="0"/>
          <w:caps w:val="0"/>
          <w:color w:val="auto"/>
          <w:sz w:val="21"/>
          <w:u w:val="none"/>
        </w:rPr>
      </w:pPr>
      <w:r>
        <w:rPr>
          <w:rFonts w:hAnsi="宋体"/>
          <w:b w:val="0"/>
          <w:bCs w:val="0"/>
          <w:caps w:val="0"/>
          <w:color w:val="auto"/>
          <w:sz w:val="28"/>
          <w:szCs w:val="28"/>
        </w:rPr>
        <w:fldChar w:fldCharType="begin"/>
      </w:r>
      <w:r>
        <w:rPr>
          <w:rFonts w:hAnsi="宋体"/>
          <w:b w:val="0"/>
          <w:bCs w:val="0"/>
          <w:caps w:val="0"/>
          <w:color w:val="auto"/>
          <w:sz w:val="28"/>
          <w:szCs w:val="28"/>
        </w:rPr>
        <w:instrText xml:space="preserve"> TOC \o "1-3" \h \z \u </w:instrText>
      </w:r>
      <w:r>
        <w:rPr>
          <w:rFonts w:hAnsi="宋体"/>
          <w:b w:val="0"/>
          <w:bCs w:val="0"/>
          <w:caps w:val="0"/>
          <w:color w:val="auto"/>
          <w:sz w:val="28"/>
          <w:szCs w:val="28"/>
        </w:rPr>
        <w:fldChar w:fldCharType="separate"/>
      </w:r>
      <w:r>
        <w:rPr>
          <w:color w:val="auto"/>
        </w:rPr>
        <w:fldChar w:fldCharType="begin"/>
      </w:r>
      <w:r>
        <w:rPr>
          <w:color w:val="auto"/>
        </w:rPr>
        <w:instrText xml:space="preserve"> HYPERLINK \l "_Toc80092990" </w:instrText>
      </w:r>
      <w:r>
        <w:rPr>
          <w:color w:val="auto"/>
        </w:rPr>
        <w:fldChar w:fldCharType="separate"/>
      </w:r>
      <w:r>
        <w:rPr>
          <w:rStyle w:val="40"/>
          <w:rFonts w:hint="eastAsia" w:ascii="Times New Roman" w:hAnsi="Times New Roman"/>
          <w:color w:val="auto"/>
        </w:rPr>
        <w:t>第一章</w:t>
      </w:r>
      <w:r>
        <w:rPr>
          <w:rStyle w:val="40"/>
          <w:rFonts w:ascii="Times New Roman" w:hAnsi="Times New Roman"/>
          <w:color w:val="auto"/>
        </w:rPr>
        <w:t xml:space="preserve">  </w:t>
      </w:r>
      <w:r>
        <w:rPr>
          <w:rStyle w:val="40"/>
          <w:rFonts w:hint="eastAsia" w:ascii="Times New Roman" w:hAnsi="Times New Roman"/>
          <w:color w:val="auto"/>
        </w:rPr>
        <w:t>招标公告</w:t>
      </w:r>
      <w:r>
        <w:rPr>
          <w:color w:val="auto"/>
        </w:rPr>
        <w:tab/>
      </w:r>
      <w:r>
        <w:rPr>
          <w:color w:val="auto"/>
        </w:rPr>
        <w:fldChar w:fldCharType="begin"/>
      </w:r>
      <w:r>
        <w:rPr>
          <w:color w:val="auto"/>
        </w:rPr>
        <w:instrText xml:space="preserve"> PAGEREF _Toc80092990 \h </w:instrText>
      </w:r>
      <w:r>
        <w:rPr>
          <w:color w:val="auto"/>
        </w:rPr>
        <w:fldChar w:fldCharType="separate"/>
      </w:r>
      <w:r>
        <w:rPr>
          <w:color w:val="auto"/>
        </w:rPr>
        <w:t>2</w:t>
      </w:r>
      <w:r>
        <w:rPr>
          <w:color w:val="auto"/>
        </w:rPr>
        <w:fldChar w:fldCharType="end"/>
      </w:r>
      <w:r>
        <w:rPr>
          <w:color w:val="auto"/>
        </w:rPr>
        <w:fldChar w:fldCharType="end"/>
      </w:r>
    </w:p>
    <w:p w14:paraId="03349FB7">
      <w:pPr>
        <w:pStyle w:val="24"/>
        <w:tabs>
          <w:tab w:val="right" w:leader="dot" w:pos="9628"/>
        </w:tabs>
        <w:spacing w:before="0" w:after="0" w:line="440" w:lineRule="atLeast"/>
        <w:rPr>
          <w:b w:val="0"/>
          <w:bCs w:val="0"/>
          <w:caps w:val="0"/>
          <w:color w:val="auto"/>
          <w:sz w:val="21"/>
          <w:u w:val="none"/>
        </w:rPr>
      </w:pPr>
      <w:r>
        <w:rPr>
          <w:color w:val="auto"/>
        </w:rPr>
        <w:fldChar w:fldCharType="begin"/>
      </w:r>
      <w:r>
        <w:rPr>
          <w:color w:val="auto"/>
        </w:rPr>
        <w:instrText xml:space="preserve"> HYPERLINK \l "_Toc80092991" </w:instrText>
      </w:r>
      <w:r>
        <w:rPr>
          <w:color w:val="auto"/>
        </w:rPr>
        <w:fldChar w:fldCharType="separate"/>
      </w:r>
      <w:r>
        <w:rPr>
          <w:rStyle w:val="40"/>
          <w:rFonts w:hint="eastAsia" w:ascii="Times New Roman" w:hAnsi="Times New Roman"/>
          <w:color w:val="auto"/>
        </w:rPr>
        <w:t>第二章</w:t>
      </w:r>
      <w:r>
        <w:rPr>
          <w:rStyle w:val="40"/>
          <w:rFonts w:ascii="Times New Roman" w:hAnsi="Times New Roman"/>
          <w:color w:val="auto"/>
        </w:rPr>
        <w:t xml:space="preserve">  </w:t>
      </w:r>
      <w:r>
        <w:rPr>
          <w:rStyle w:val="40"/>
          <w:rFonts w:hint="eastAsia" w:ascii="Times New Roman" w:hAnsi="Times New Roman"/>
          <w:color w:val="auto"/>
        </w:rPr>
        <w:t>采购需求</w:t>
      </w:r>
      <w:r>
        <w:rPr>
          <w:color w:val="auto"/>
        </w:rPr>
        <w:tab/>
      </w:r>
      <w:r>
        <w:rPr>
          <w:color w:val="auto"/>
        </w:rPr>
        <w:fldChar w:fldCharType="begin"/>
      </w:r>
      <w:r>
        <w:rPr>
          <w:color w:val="auto"/>
        </w:rPr>
        <w:instrText xml:space="preserve"> PAGEREF _Toc80092991 \h </w:instrText>
      </w:r>
      <w:r>
        <w:rPr>
          <w:color w:val="auto"/>
        </w:rPr>
        <w:fldChar w:fldCharType="separate"/>
      </w:r>
      <w:r>
        <w:rPr>
          <w:color w:val="auto"/>
        </w:rPr>
        <w:t>6</w:t>
      </w:r>
      <w:r>
        <w:rPr>
          <w:color w:val="auto"/>
        </w:rPr>
        <w:fldChar w:fldCharType="end"/>
      </w:r>
      <w:r>
        <w:rPr>
          <w:color w:val="auto"/>
        </w:rPr>
        <w:fldChar w:fldCharType="end"/>
      </w:r>
    </w:p>
    <w:p w14:paraId="4D94B41D">
      <w:pPr>
        <w:pStyle w:val="24"/>
        <w:tabs>
          <w:tab w:val="right" w:leader="dot" w:pos="9628"/>
        </w:tabs>
        <w:spacing w:before="0" w:after="0" w:line="440" w:lineRule="atLeast"/>
        <w:rPr>
          <w:b w:val="0"/>
          <w:bCs w:val="0"/>
          <w:caps w:val="0"/>
          <w:color w:val="auto"/>
          <w:sz w:val="21"/>
          <w:u w:val="none"/>
        </w:rPr>
      </w:pPr>
      <w:r>
        <w:rPr>
          <w:color w:val="auto"/>
        </w:rPr>
        <w:fldChar w:fldCharType="begin"/>
      </w:r>
      <w:r>
        <w:rPr>
          <w:color w:val="auto"/>
        </w:rPr>
        <w:instrText xml:space="preserve"> HYPERLINK \l "_Toc80092992" </w:instrText>
      </w:r>
      <w:r>
        <w:rPr>
          <w:color w:val="auto"/>
        </w:rPr>
        <w:fldChar w:fldCharType="separate"/>
      </w:r>
      <w:r>
        <w:rPr>
          <w:rStyle w:val="40"/>
          <w:rFonts w:hint="eastAsia" w:ascii="Times New Roman" w:hAnsi="Times New Roman"/>
          <w:color w:val="auto"/>
        </w:rPr>
        <w:t>第三章</w:t>
      </w:r>
      <w:r>
        <w:rPr>
          <w:rStyle w:val="40"/>
          <w:rFonts w:ascii="Times New Roman" w:hAnsi="Times New Roman"/>
          <w:color w:val="auto"/>
        </w:rPr>
        <w:t xml:space="preserve">  </w:t>
      </w:r>
      <w:r>
        <w:rPr>
          <w:rStyle w:val="40"/>
          <w:rFonts w:hint="eastAsia" w:ascii="Times New Roman" w:hAnsi="Times New Roman"/>
          <w:color w:val="auto"/>
        </w:rPr>
        <w:t>投标人须知</w:t>
      </w:r>
      <w:r>
        <w:rPr>
          <w:color w:val="auto"/>
        </w:rPr>
        <w:tab/>
      </w:r>
      <w:r>
        <w:rPr>
          <w:color w:val="auto"/>
        </w:rPr>
        <w:fldChar w:fldCharType="begin"/>
      </w:r>
      <w:r>
        <w:rPr>
          <w:color w:val="auto"/>
        </w:rPr>
        <w:instrText xml:space="preserve"> PAGEREF _Toc80092992 \h </w:instrText>
      </w:r>
      <w:r>
        <w:rPr>
          <w:color w:val="auto"/>
        </w:rPr>
        <w:fldChar w:fldCharType="separate"/>
      </w:r>
      <w:r>
        <w:rPr>
          <w:color w:val="auto"/>
        </w:rPr>
        <w:t>45</w:t>
      </w:r>
      <w:r>
        <w:rPr>
          <w:color w:val="auto"/>
        </w:rPr>
        <w:fldChar w:fldCharType="end"/>
      </w:r>
      <w:r>
        <w:rPr>
          <w:color w:val="auto"/>
        </w:rPr>
        <w:fldChar w:fldCharType="end"/>
      </w:r>
    </w:p>
    <w:p w14:paraId="0D753A94">
      <w:pPr>
        <w:pStyle w:val="28"/>
        <w:tabs>
          <w:tab w:val="right" w:leader="dot" w:pos="9628"/>
        </w:tabs>
        <w:spacing w:line="440" w:lineRule="atLeast"/>
        <w:rPr>
          <w:b w:val="0"/>
          <w:bCs w:val="0"/>
          <w:smallCaps w:val="0"/>
          <w:color w:val="auto"/>
          <w:sz w:val="21"/>
        </w:rPr>
      </w:pPr>
      <w:r>
        <w:rPr>
          <w:color w:val="auto"/>
        </w:rPr>
        <w:fldChar w:fldCharType="begin"/>
      </w:r>
      <w:r>
        <w:rPr>
          <w:color w:val="auto"/>
        </w:rPr>
        <w:instrText xml:space="preserve"> HYPERLINK \l "_Toc80092993" </w:instrText>
      </w:r>
      <w:r>
        <w:rPr>
          <w:color w:val="auto"/>
        </w:rPr>
        <w:fldChar w:fldCharType="separate"/>
      </w:r>
      <w:r>
        <w:rPr>
          <w:rStyle w:val="40"/>
          <w:rFonts w:hint="eastAsia" w:ascii="Times New Roman" w:hAnsi="Times New Roman"/>
          <w:color w:val="auto"/>
        </w:rPr>
        <w:t>第一节</w:t>
      </w:r>
      <w:r>
        <w:rPr>
          <w:rStyle w:val="40"/>
          <w:rFonts w:ascii="Times New Roman" w:hAnsi="Times New Roman"/>
          <w:color w:val="auto"/>
        </w:rPr>
        <w:t xml:space="preserve"> </w:t>
      </w:r>
      <w:r>
        <w:rPr>
          <w:rStyle w:val="40"/>
          <w:rFonts w:hint="eastAsia" w:ascii="Times New Roman" w:hAnsi="Times New Roman"/>
          <w:color w:val="auto"/>
        </w:rPr>
        <w:t>投标人须知前附表</w:t>
      </w:r>
      <w:r>
        <w:rPr>
          <w:color w:val="auto"/>
        </w:rPr>
        <w:tab/>
      </w:r>
      <w:r>
        <w:rPr>
          <w:color w:val="auto"/>
        </w:rPr>
        <w:fldChar w:fldCharType="begin"/>
      </w:r>
      <w:r>
        <w:rPr>
          <w:color w:val="auto"/>
        </w:rPr>
        <w:instrText xml:space="preserve"> PAGEREF _Toc80092993 \h </w:instrText>
      </w:r>
      <w:r>
        <w:rPr>
          <w:color w:val="auto"/>
        </w:rPr>
        <w:fldChar w:fldCharType="separate"/>
      </w:r>
      <w:r>
        <w:rPr>
          <w:color w:val="auto"/>
        </w:rPr>
        <w:t>45</w:t>
      </w:r>
      <w:r>
        <w:rPr>
          <w:color w:val="auto"/>
        </w:rPr>
        <w:fldChar w:fldCharType="end"/>
      </w:r>
      <w:r>
        <w:rPr>
          <w:color w:val="auto"/>
        </w:rPr>
        <w:fldChar w:fldCharType="end"/>
      </w:r>
    </w:p>
    <w:p w14:paraId="251B7EFB">
      <w:pPr>
        <w:pStyle w:val="28"/>
        <w:tabs>
          <w:tab w:val="right" w:leader="dot" w:pos="9628"/>
        </w:tabs>
        <w:spacing w:line="440" w:lineRule="atLeast"/>
        <w:rPr>
          <w:b w:val="0"/>
          <w:bCs w:val="0"/>
          <w:smallCaps w:val="0"/>
          <w:color w:val="auto"/>
          <w:sz w:val="21"/>
        </w:rPr>
      </w:pPr>
      <w:r>
        <w:rPr>
          <w:color w:val="auto"/>
        </w:rPr>
        <w:fldChar w:fldCharType="begin"/>
      </w:r>
      <w:r>
        <w:rPr>
          <w:color w:val="auto"/>
        </w:rPr>
        <w:instrText xml:space="preserve"> HYPERLINK \l "_Toc80092994" </w:instrText>
      </w:r>
      <w:r>
        <w:rPr>
          <w:color w:val="auto"/>
        </w:rPr>
        <w:fldChar w:fldCharType="separate"/>
      </w:r>
      <w:r>
        <w:rPr>
          <w:rStyle w:val="40"/>
          <w:rFonts w:hint="eastAsia"/>
          <w:color w:val="auto"/>
        </w:rPr>
        <w:t>第二节</w:t>
      </w:r>
      <w:r>
        <w:rPr>
          <w:rStyle w:val="40"/>
          <w:color w:val="auto"/>
        </w:rPr>
        <w:t xml:space="preserve"> </w:t>
      </w:r>
      <w:r>
        <w:rPr>
          <w:rStyle w:val="40"/>
          <w:rFonts w:hint="eastAsia"/>
          <w:color w:val="auto"/>
        </w:rPr>
        <w:t>投标人须知正文</w:t>
      </w:r>
      <w:r>
        <w:rPr>
          <w:color w:val="auto"/>
        </w:rPr>
        <w:tab/>
      </w:r>
      <w:r>
        <w:rPr>
          <w:color w:val="auto"/>
        </w:rPr>
        <w:fldChar w:fldCharType="begin"/>
      </w:r>
      <w:r>
        <w:rPr>
          <w:color w:val="auto"/>
        </w:rPr>
        <w:instrText xml:space="preserve"> PAGEREF _Toc80092994 \h </w:instrText>
      </w:r>
      <w:r>
        <w:rPr>
          <w:color w:val="auto"/>
        </w:rPr>
        <w:fldChar w:fldCharType="separate"/>
      </w:r>
      <w:r>
        <w:rPr>
          <w:color w:val="auto"/>
        </w:rPr>
        <w:t>50</w:t>
      </w:r>
      <w:r>
        <w:rPr>
          <w:color w:val="auto"/>
        </w:rPr>
        <w:fldChar w:fldCharType="end"/>
      </w:r>
      <w:r>
        <w:rPr>
          <w:color w:val="auto"/>
        </w:rPr>
        <w:fldChar w:fldCharType="end"/>
      </w:r>
    </w:p>
    <w:p w14:paraId="608236CE">
      <w:pPr>
        <w:pStyle w:val="16"/>
        <w:tabs>
          <w:tab w:val="right" w:leader="dot" w:pos="9628"/>
        </w:tabs>
        <w:spacing w:line="440" w:lineRule="atLeast"/>
        <w:rPr>
          <w:smallCaps w:val="0"/>
          <w:color w:val="auto"/>
          <w:sz w:val="21"/>
        </w:rPr>
      </w:pPr>
      <w:r>
        <w:rPr>
          <w:color w:val="auto"/>
        </w:rPr>
        <w:fldChar w:fldCharType="begin"/>
      </w:r>
      <w:r>
        <w:rPr>
          <w:color w:val="auto"/>
        </w:rPr>
        <w:instrText xml:space="preserve"> HYPERLINK \l "_Toc80092995" </w:instrText>
      </w:r>
      <w:r>
        <w:rPr>
          <w:color w:val="auto"/>
        </w:rPr>
        <w:fldChar w:fldCharType="separate"/>
      </w:r>
      <w:r>
        <w:rPr>
          <w:rStyle w:val="40"/>
          <w:rFonts w:hint="eastAsia"/>
          <w:color w:val="auto"/>
        </w:rPr>
        <w:t>一、总</w:t>
      </w:r>
      <w:r>
        <w:rPr>
          <w:rStyle w:val="40"/>
          <w:color w:val="auto"/>
        </w:rPr>
        <w:t xml:space="preserve">  </w:t>
      </w:r>
      <w:r>
        <w:rPr>
          <w:rStyle w:val="40"/>
          <w:rFonts w:hint="eastAsia"/>
          <w:color w:val="auto"/>
        </w:rPr>
        <w:t>则</w:t>
      </w:r>
      <w:r>
        <w:rPr>
          <w:color w:val="auto"/>
        </w:rPr>
        <w:tab/>
      </w:r>
      <w:r>
        <w:rPr>
          <w:color w:val="auto"/>
        </w:rPr>
        <w:fldChar w:fldCharType="begin"/>
      </w:r>
      <w:r>
        <w:rPr>
          <w:color w:val="auto"/>
        </w:rPr>
        <w:instrText xml:space="preserve"> PAGEREF _Toc80092995 \h </w:instrText>
      </w:r>
      <w:r>
        <w:rPr>
          <w:color w:val="auto"/>
        </w:rPr>
        <w:fldChar w:fldCharType="separate"/>
      </w:r>
      <w:r>
        <w:rPr>
          <w:color w:val="auto"/>
        </w:rPr>
        <w:t>50</w:t>
      </w:r>
      <w:r>
        <w:rPr>
          <w:color w:val="auto"/>
        </w:rPr>
        <w:fldChar w:fldCharType="end"/>
      </w:r>
      <w:r>
        <w:rPr>
          <w:color w:val="auto"/>
        </w:rPr>
        <w:fldChar w:fldCharType="end"/>
      </w:r>
    </w:p>
    <w:p w14:paraId="30B0635F">
      <w:pPr>
        <w:pStyle w:val="16"/>
        <w:tabs>
          <w:tab w:val="right" w:leader="dot" w:pos="9628"/>
        </w:tabs>
        <w:spacing w:line="440" w:lineRule="atLeast"/>
        <w:rPr>
          <w:smallCaps w:val="0"/>
          <w:color w:val="auto"/>
          <w:sz w:val="21"/>
        </w:rPr>
      </w:pPr>
      <w:r>
        <w:rPr>
          <w:color w:val="auto"/>
        </w:rPr>
        <w:fldChar w:fldCharType="begin"/>
      </w:r>
      <w:r>
        <w:rPr>
          <w:color w:val="auto"/>
        </w:rPr>
        <w:instrText xml:space="preserve"> HYPERLINK \l "_Toc80092996" </w:instrText>
      </w:r>
      <w:r>
        <w:rPr>
          <w:color w:val="auto"/>
        </w:rPr>
        <w:fldChar w:fldCharType="separate"/>
      </w:r>
      <w:r>
        <w:rPr>
          <w:rStyle w:val="40"/>
          <w:rFonts w:hint="eastAsia"/>
          <w:color w:val="auto"/>
        </w:rPr>
        <w:t>二、招标文件</w:t>
      </w:r>
      <w:r>
        <w:rPr>
          <w:color w:val="auto"/>
        </w:rPr>
        <w:tab/>
      </w:r>
      <w:r>
        <w:rPr>
          <w:color w:val="auto"/>
        </w:rPr>
        <w:fldChar w:fldCharType="begin"/>
      </w:r>
      <w:r>
        <w:rPr>
          <w:color w:val="auto"/>
        </w:rPr>
        <w:instrText xml:space="preserve"> PAGEREF _Toc80092996 \h </w:instrText>
      </w:r>
      <w:r>
        <w:rPr>
          <w:color w:val="auto"/>
        </w:rPr>
        <w:fldChar w:fldCharType="separate"/>
      </w:r>
      <w:r>
        <w:rPr>
          <w:color w:val="auto"/>
        </w:rPr>
        <w:t>52</w:t>
      </w:r>
      <w:r>
        <w:rPr>
          <w:color w:val="auto"/>
        </w:rPr>
        <w:fldChar w:fldCharType="end"/>
      </w:r>
      <w:r>
        <w:rPr>
          <w:color w:val="auto"/>
        </w:rPr>
        <w:fldChar w:fldCharType="end"/>
      </w:r>
    </w:p>
    <w:p w14:paraId="4A29D783">
      <w:pPr>
        <w:pStyle w:val="16"/>
        <w:tabs>
          <w:tab w:val="right" w:leader="dot" w:pos="9628"/>
        </w:tabs>
        <w:spacing w:line="440" w:lineRule="atLeast"/>
        <w:rPr>
          <w:smallCaps w:val="0"/>
          <w:color w:val="auto"/>
          <w:sz w:val="21"/>
        </w:rPr>
      </w:pPr>
      <w:r>
        <w:rPr>
          <w:color w:val="auto"/>
        </w:rPr>
        <w:fldChar w:fldCharType="begin"/>
      </w:r>
      <w:r>
        <w:rPr>
          <w:color w:val="auto"/>
        </w:rPr>
        <w:instrText xml:space="preserve"> HYPERLINK \l "_Toc80092997" </w:instrText>
      </w:r>
      <w:r>
        <w:rPr>
          <w:color w:val="auto"/>
        </w:rPr>
        <w:fldChar w:fldCharType="separate"/>
      </w:r>
      <w:r>
        <w:rPr>
          <w:rStyle w:val="40"/>
          <w:rFonts w:hint="eastAsia"/>
          <w:color w:val="auto"/>
        </w:rPr>
        <w:t>三、投标文件的编制</w:t>
      </w:r>
      <w:r>
        <w:rPr>
          <w:color w:val="auto"/>
        </w:rPr>
        <w:tab/>
      </w:r>
      <w:r>
        <w:rPr>
          <w:color w:val="auto"/>
        </w:rPr>
        <w:fldChar w:fldCharType="begin"/>
      </w:r>
      <w:r>
        <w:rPr>
          <w:color w:val="auto"/>
        </w:rPr>
        <w:instrText xml:space="preserve"> PAGEREF _Toc80092997 \h </w:instrText>
      </w:r>
      <w:r>
        <w:rPr>
          <w:color w:val="auto"/>
        </w:rPr>
        <w:fldChar w:fldCharType="separate"/>
      </w:r>
      <w:r>
        <w:rPr>
          <w:color w:val="auto"/>
        </w:rPr>
        <w:t>53</w:t>
      </w:r>
      <w:r>
        <w:rPr>
          <w:color w:val="auto"/>
        </w:rPr>
        <w:fldChar w:fldCharType="end"/>
      </w:r>
      <w:r>
        <w:rPr>
          <w:color w:val="auto"/>
        </w:rPr>
        <w:fldChar w:fldCharType="end"/>
      </w:r>
    </w:p>
    <w:p w14:paraId="358DA874">
      <w:pPr>
        <w:pStyle w:val="16"/>
        <w:tabs>
          <w:tab w:val="right" w:leader="dot" w:pos="9628"/>
        </w:tabs>
        <w:spacing w:line="440" w:lineRule="atLeast"/>
        <w:rPr>
          <w:smallCaps w:val="0"/>
          <w:color w:val="auto"/>
          <w:sz w:val="21"/>
        </w:rPr>
      </w:pPr>
      <w:r>
        <w:rPr>
          <w:color w:val="auto"/>
        </w:rPr>
        <w:fldChar w:fldCharType="begin"/>
      </w:r>
      <w:r>
        <w:rPr>
          <w:color w:val="auto"/>
        </w:rPr>
        <w:instrText xml:space="preserve"> HYPERLINK \l "_Toc80092998" </w:instrText>
      </w:r>
      <w:r>
        <w:rPr>
          <w:color w:val="auto"/>
        </w:rPr>
        <w:fldChar w:fldCharType="separate"/>
      </w:r>
      <w:r>
        <w:rPr>
          <w:rStyle w:val="40"/>
          <w:rFonts w:hint="eastAsia"/>
          <w:color w:val="auto"/>
        </w:rPr>
        <w:t>四、开</w:t>
      </w:r>
      <w:r>
        <w:rPr>
          <w:rStyle w:val="40"/>
          <w:color w:val="auto"/>
        </w:rPr>
        <w:t xml:space="preserve">  </w:t>
      </w:r>
      <w:r>
        <w:rPr>
          <w:rStyle w:val="40"/>
          <w:rFonts w:hint="eastAsia"/>
          <w:color w:val="auto"/>
        </w:rPr>
        <w:t>标</w:t>
      </w:r>
      <w:bookmarkStart w:id="0" w:name="_Hlt80093052"/>
      <w:r>
        <w:rPr>
          <w:color w:val="auto"/>
        </w:rPr>
        <w:tab/>
      </w:r>
      <w:bookmarkEnd w:id="0"/>
      <w:r>
        <w:rPr>
          <w:color w:val="auto"/>
        </w:rPr>
        <w:fldChar w:fldCharType="begin"/>
      </w:r>
      <w:r>
        <w:rPr>
          <w:color w:val="auto"/>
        </w:rPr>
        <w:instrText xml:space="preserve"> PAGEREF _Toc80092998 \h </w:instrText>
      </w:r>
      <w:r>
        <w:rPr>
          <w:color w:val="auto"/>
        </w:rPr>
        <w:fldChar w:fldCharType="separate"/>
      </w:r>
      <w:r>
        <w:rPr>
          <w:color w:val="auto"/>
        </w:rPr>
        <w:t>56</w:t>
      </w:r>
      <w:r>
        <w:rPr>
          <w:color w:val="auto"/>
        </w:rPr>
        <w:fldChar w:fldCharType="end"/>
      </w:r>
      <w:r>
        <w:rPr>
          <w:color w:val="auto"/>
        </w:rPr>
        <w:fldChar w:fldCharType="end"/>
      </w:r>
    </w:p>
    <w:p w14:paraId="0BBEEF0E">
      <w:pPr>
        <w:pStyle w:val="16"/>
        <w:tabs>
          <w:tab w:val="right" w:leader="dot" w:pos="9628"/>
        </w:tabs>
        <w:spacing w:line="440" w:lineRule="atLeast"/>
        <w:rPr>
          <w:smallCaps w:val="0"/>
          <w:color w:val="auto"/>
          <w:sz w:val="21"/>
        </w:rPr>
      </w:pPr>
      <w:r>
        <w:rPr>
          <w:color w:val="auto"/>
        </w:rPr>
        <w:fldChar w:fldCharType="begin"/>
      </w:r>
      <w:r>
        <w:rPr>
          <w:color w:val="auto"/>
        </w:rPr>
        <w:instrText xml:space="preserve"> HYPERLINK \l "_Toc80092999" </w:instrText>
      </w:r>
      <w:r>
        <w:rPr>
          <w:color w:val="auto"/>
        </w:rPr>
        <w:fldChar w:fldCharType="separate"/>
      </w:r>
      <w:r>
        <w:rPr>
          <w:rStyle w:val="40"/>
          <w:rFonts w:hint="eastAsia"/>
          <w:color w:val="auto"/>
        </w:rPr>
        <w:t>五、资格审查</w:t>
      </w:r>
      <w:r>
        <w:rPr>
          <w:color w:val="auto"/>
        </w:rPr>
        <w:tab/>
      </w:r>
      <w:r>
        <w:rPr>
          <w:color w:val="auto"/>
        </w:rPr>
        <w:fldChar w:fldCharType="begin"/>
      </w:r>
      <w:r>
        <w:rPr>
          <w:color w:val="auto"/>
        </w:rPr>
        <w:instrText xml:space="preserve"> PAGEREF _Toc80092999 \h </w:instrText>
      </w:r>
      <w:r>
        <w:rPr>
          <w:color w:val="auto"/>
        </w:rPr>
        <w:fldChar w:fldCharType="separate"/>
      </w:r>
      <w:r>
        <w:rPr>
          <w:color w:val="auto"/>
        </w:rPr>
        <w:t>57</w:t>
      </w:r>
      <w:r>
        <w:rPr>
          <w:color w:val="auto"/>
        </w:rPr>
        <w:fldChar w:fldCharType="end"/>
      </w:r>
      <w:r>
        <w:rPr>
          <w:color w:val="auto"/>
        </w:rPr>
        <w:fldChar w:fldCharType="end"/>
      </w:r>
    </w:p>
    <w:p w14:paraId="47F24EF9">
      <w:pPr>
        <w:pStyle w:val="16"/>
        <w:tabs>
          <w:tab w:val="right" w:leader="dot" w:pos="9628"/>
        </w:tabs>
        <w:spacing w:line="440" w:lineRule="atLeast"/>
        <w:rPr>
          <w:smallCaps w:val="0"/>
          <w:color w:val="auto"/>
          <w:sz w:val="21"/>
        </w:rPr>
      </w:pPr>
      <w:r>
        <w:rPr>
          <w:color w:val="auto"/>
        </w:rPr>
        <w:fldChar w:fldCharType="begin"/>
      </w:r>
      <w:r>
        <w:rPr>
          <w:color w:val="auto"/>
        </w:rPr>
        <w:instrText xml:space="preserve"> HYPERLINK \l "_Toc80093000" </w:instrText>
      </w:r>
      <w:r>
        <w:rPr>
          <w:color w:val="auto"/>
        </w:rPr>
        <w:fldChar w:fldCharType="separate"/>
      </w:r>
      <w:r>
        <w:rPr>
          <w:rStyle w:val="40"/>
          <w:rFonts w:hint="eastAsia"/>
          <w:color w:val="auto"/>
        </w:rPr>
        <w:t>六、评</w:t>
      </w:r>
      <w:r>
        <w:rPr>
          <w:rStyle w:val="40"/>
          <w:color w:val="auto"/>
        </w:rPr>
        <w:t xml:space="preserve">  </w:t>
      </w:r>
      <w:r>
        <w:rPr>
          <w:rStyle w:val="40"/>
          <w:rFonts w:hint="eastAsia"/>
          <w:color w:val="auto"/>
        </w:rPr>
        <w:t>标</w:t>
      </w:r>
      <w:r>
        <w:rPr>
          <w:color w:val="auto"/>
        </w:rPr>
        <w:tab/>
      </w:r>
      <w:r>
        <w:rPr>
          <w:color w:val="auto"/>
        </w:rPr>
        <w:fldChar w:fldCharType="begin"/>
      </w:r>
      <w:r>
        <w:rPr>
          <w:color w:val="auto"/>
        </w:rPr>
        <w:instrText xml:space="preserve"> PAGEREF _Toc80093000 \h </w:instrText>
      </w:r>
      <w:r>
        <w:rPr>
          <w:color w:val="auto"/>
        </w:rPr>
        <w:fldChar w:fldCharType="separate"/>
      </w:r>
      <w:r>
        <w:rPr>
          <w:color w:val="auto"/>
        </w:rPr>
        <w:t>57</w:t>
      </w:r>
      <w:r>
        <w:rPr>
          <w:color w:val="auto"/>
        </w:rPr>
        <w:fldChar w:fldCharType="end"/>
      </w:r>
      <w:r>
        <w:rPr>
          <w:color w:val="auto"/>
        </w:rPr>
        <w:fldChar w:fldCharType="end"/>
      </w:r>
    </w:p>
    <w:p w14:paraId="2FFD4280">
      <w:pPr>
        <w:pStyle w:val="16"/>
        <w:tabs>
          <w:tab w:val="right" w:leader="dot" w:pos="9628"/>
        </w:tabs>
        <w:spacing w:line="440" w:lineRule="atLeast"/>
        <w:rPr>
          <w:smallCaps w:val="0"/>
          <w:color w:val="auto"/>
          <w:sz w:val="21"/>
        </w:rPr>
      </w:pPr>
      <w:r>
        <w:rPr>
          <w:color w:val="auto"/>
        </w:rPr>
        <w:fldChar w:fldCharType="begin"/>
      </w:r>
      <w:r>
        <w:rPr>
          <w:color w:val="auto"/>
        </w:rPr>
        <w:instrText xml:space="preserve"> HYPERLINK \l "_Toc80093001" </w:instrText>
      </w:r>
      <w:r>
        <w:rPr>
          <w:color w:val="auto"/>
        </w:rPr>
        <w:fldChar w:fldCharType="separate"/>
      </w:r>
      <w:r>
        <w:rPr>
          <w:rStyle w:val="40"/>
          <w:rFonts w:hint="eastAsia"/>
          <w:color w:val="auto"/>
        </w:rPr>
        <w:t>七、中标和合同</w:t>
      </w:r>
      <w:r>
        <w:rPr>
          <w:color w:val="auto"/>
        </w:rPr>
        <w:tab/>
      </w:r>
      <w:r>
        <w:rPr>
          <w:color w:val="auto"/>
        </w:rPr>
        <w:fldChar w:fldCharType="begin"/>
      </w:r>
      <w:r>
        <w:rPr>
          <w:color w:val="auto"/>
        </w:rPr>
        <w:instrText xml:space="preserve"> PAGEREF _Toc80093001 \h </w:instrText>
      </w:r>
      <w:r>
        <w:rPr>
          <w:color w:val="auto"/>
        </w:rPr>
        <w:fldChar w:fldCharType="separate"/>
      </w:r>
      <w:r>
        <w:rPr>
          <w:color w:val="auto"/>
        </w:rPr>
        <w:t>59</w:t>
      </w:r>
      <w:r>
        <w:rPr>
          <w:color w:val="auto"/>
        </w:rPr>
        <w:fldChar w:fldCharType="end"/>
      </w:r>
      <w:r>
        <w:rPr>
          <w:color w:val="auto"/>
        </w:rPr>
        <w:fldChar w:fldCharType="end"/>
      </w:r>
    </w:p>
    <w:p w14:paraId="180BD115">
      <w:pPr>
        <w:pStyle w:val="16"/>
        <w:tabs>
          <w:tab w:val="right" w:leader="dot" w:pos="9628"/>
        </w:tabs>
        <w:spacing w:line="440" w:lineRule="atLeast"/>
        <w:rPr>
          <w:smallCaps w:val="0"/>
          <w:color w:val="auto"/>
          <w:sz w:val="21"/>
        </w:rPr>
      </w:pPr>
      <w:r>
        <w:rPr>
          <w:color w:val="auto"/>
        </w:rPr>
        <w:fldChar w:fldCharType="begin"/>
      </w:r>
      <w:r>
        <w:rPr>
          <w:color w:val="auto"/>
        </w:rPr>
        <w:instrText xml:space="preserve"> HYPERLINK \l "_Toc80093002" </w:instrText>
      </w:r>
      <w:r>
        <w:rPr>
          <w:color w:val="auto"/>
        </w:rPr>
        <w:fldChar w:fldCharType="separate"/>
      </w:r>
      <w:r>
        <w:rPr>
          <w:rStyle w:val="40"/>
          <w:rFonts w:hint="eastAsia"/>
          <w:color w:val="auto"/>
        </w:rPr>
        <w:t>九、其他事项</w:t>
      </w:r>
      <w:bookmarkStart w:id="1" w:name="_Hlt80896293"/>
      <w:bookmarkStart w:id="2" w:name="_Hlt80896292"/>
      <w:r>
        <w:rPr>
          <w:color w:val="auto"/>
        </w:rPr>
        <w:tab/>
      </w:r>
      <w:bookmarkEnd w:id="1"/>
      <w:bookmarkEnd w:id="2"/>
      <w:r>
        <w:rPr>
          <w:color w:val="auto"/>
        </w:rPr>
        <w:fldChar w:fldCharType="begin"/>
      </w:r>
      <w:r>
        <w:rPr>
          <w:color w:val="auto"/>
        </w:rPr>
        <w:instrText xml:space="preserve"> PAGEREF _Toc80093002 \h </w:instrText>
      </w:r>
      <w:r>
        <w:rPr>
          <w:color w:val="auto"/>
        </w:rPr>
        <w:fldChar w:fldCharType="separate"/>
      </w:r>
      <w:r>
        <w:rPr>
          <w:color w:val="auto"/>
        </w:rPr>
        <w:t>64</w:t>
      </w:r>
      <w:r>
        <w:rPr>
          <w:color w:val="auto"/>
        </w:rPr>
        <w:fldChar w:fldCharType="end"/>
      </w:r>
      <w:r>
        <w:rPr>
          <w:color w:val="auto"/>
        </w:rPr>
        <w:fldChar w:fldCharType="end"/>
      </w:r>
    </w:p>
    <w:p w14:paraId="13595BC6">
      <w:pPr>
        <w:pStyle w:val="24"/>
        <w:tabs>
          <w:tab w:val="right" w:leader="dot" w:pos="9628"/>
        </w:tabs>
        <w:spacing w:before="0" w:after="0" w:line="440" w:lineRule="atLeast"/>
        <w:rPr>
          <w:b w:val="0"/>
          <w:bCs w:val="0"/>
          <w:caps w:val="0"/>
          <w:color w:val="auto"/>
          <w:sz w:val="21"/>
          <w:u w:val="none"/>
        </w:rPr>
      </w:pPr>
      <w:r>
        <w:rPr>
          <w:color w:val="auto"/>
        </w:rPr>
        <w:fldChar w:fldCharType="begin"/>
      </w:r>
      <w:r>
        <w:rPr>
          <w:color w:val="auto"/>
        </w:rPr>
        <w:instrText xml:space="preserve"> HYPERLINK \l "_Toc80093003" </w:instrText>
      </w:r>
      <w:r>
        <w:rPr>
          <w:color w:val="auto"/>
        </w:rPr>
        <w:fldChar w:fldCharType="separate"/>
      </w:r>
      <w:r>
        <w:rPr>
          <w:rStyle w:val="40"/>
          <w:rFonts w:hint="eastAsia" w:ascii="Times New Roman" w:hAnsi="Times New Roman"/>
          <w:color w:val="auto"/>
        </w:rPr>
        <w:t>第四章</w:t>
      </w:r>
      <w:r>
        <w:rPr>
          <w:rStyle w:val="40"/>
          <w:rFonts w:ascii="Times New Roman" w:hAnsi="Times New Roman"/>
          <w:color w:val="auto"/>
        </w:rPr>
        <w:t xml:space="preserve">  </w:t>
      </w:r>
      <w:r>
        <w:rPr>
          <w:rStyle w:val="40"/>
          <w:rFonts w:hint="eastAsia" w:ascii="Times New Roman" w:hAnsi="Times New Roman"/>
          <w:color w:val="auto"/>
        </w:rPr>
        <w:t>评标方法及评分标准</w:t>
      </w:r>
      <w:r>
        <w:rPr>
          <w:color w:val="auto"/>
        </w:rPr>
        <w:tab/>
      </w:r>
      <w:r>
        <w:rPr>
          <w:color w:val="auto"/>
        </w:rPr>
        <w:fldChar w:fldCharType="begin"/>
      </w:r>
      <w:r>
        <w:rPr>
          <w:color w:val="auto"/>
        </w:rPr>
        <w:instrText xml:space="preserve"> PAGEREF _Toc80093003 \h </w:instrText>
      </w:r>
      <w:r>
        <w:rPr>
          <w:color w:val="auto"/>
        </w:rPr>
        <w:fldChar w:fldCharType="separate"/>
      </w:r>
      <w:r>
        <w:rPr>
          <w:color w:val="auto"/>
        </w:rPr>
        <w:t>66</w:t>
      </w:r>
      <w:r>
        <w:rPr>
          <w:color w:val="auto"/>
        </w:rPr>
        <w:fldChar w:fldCharType="end"/>
      </w:r>
      <w:r>
        <w:rPr>
          <w:color w:val="auto"/>
        </w:rPr>
        <w:fldChar w:fldCharType="end"/>
      </w:r>
    </w:p>
    <w:p w14:paraId="4AFD6C0A">
      <w:pPr>
        <w:pStyle w:val="28"/>
        <w:tabs>
          <w:tab w:val="right" w:leader="dot" w:pos="9628"/>
        </w:tabs>
        <w:spacing w:line="440" w:lineRule="atLeast"/>
        <w:rPr>
          <w:b w:val="0"/>
          <w:bCs w:val="0"/>
          <w:smallCaps w:val="0"/>
          <w:color w:val="auto"/>
          <w:sz w:val="21"/>
        </w:rPr>
      </w:pPr>
      <w:r>
        <w:rPr>
          <w:color w:val="auto"/>
        </w:rPr>
        <w:fldChar w:fldCharType="begin"/>
      </w:r>
      <w:r>
        <w:rPr>
          <w:color w:val="auto"/>
        </w:rPr>
        <w:instrText xml:space="preserve"> HYPERLINK \l "_Toc80093004" </w:instrText>
      </w:r>
      <w:r>
        <w:rPr>
          <w:color w:val="auto"/>
        </w:rPr>
        <w:fldChar w:fldCharType="separate"/>
      </w:r>
      <w:r>
        <w:rPr>
          <w:rStyle w:val="40"/>
          <w:rFonts w:hint="eastAsia" w:ascii="Times New Roman" w:hAnsi="Times New Roman"/>
          <w:color w:val="auto"/>
        </w:rPr>
        <w:t>第一节</w:t>
      </w:r>
      <w:r>
        <w:rPr>
          <w:rStyle w:val="40"/>
          <w:rFonts w:ascii="Times New Roman" w:hAnsi="Times New Roman"/>
          <w:color w:val="auto"/>
        </w:rPr>
        <w:t xml:space="preserve"> </w:t>
      </w:r>
      <w:r>
        <w:rPr>
          <w:rStyle w:val="40"/>
          <w:rFonts w:hint="eastAsia" w:ascii="Times New Roman" w:hAnsi="Times New Roman"/>
          <w:color w:val="auto"/>
        </w:rPr>
        <w:t>评标方法</w:t>
      </w:r>
      <w:r>
        <w:rPr>
          <w:color w:val="auto"/>
        </w:rPr>
        <w:tab/>
      </w:r>
      <w:r>
        <w:rPr>
          <w:color w:val="auto"/>
        </w:rPr>
        <w:fldChar w:fldCharType="begin"/>
      </w:r>
      <w:r>
        <w:rPr>
          <w:color w:val="auto"/>
        </w:rPr>
        <w:instrText xml:space="preserve"> PAGEREF _Toc80093004 \h </w:instrText>
      </w:r>
      <w:r>
        <w:rPr>
          <w:color w:val="auto"/>
        </w:rPr>
        <w:fldChar w:fldCharType="separate"/>
      </w:r>
      <w:r>
        <w:rPr>
          <w:color w:val="auto"/>
        </w:rPr>
        <w:t>66</w:t>
      </w:r>
      <w:r>
        <w:rPr>
          <w:color w:val="auto"/>
        </w:rPr>
        <w:fldChar w:fldCharType="end"/>
      </w:r>
      <w:r>
        <w:rPr>
          <w:color w:val="auto"/>
        </w:rPr>
        <w:fldChar w:fldCharType="end"/>
      </w:r>
    </w:p>
    <w:p w14:paraId="152DB376">
      <w:pPr>
        <w:pStyle w:val="28"/>
        <w:tabs>
          <w:tab w:val="right" w:leader="dot" w:pos="9628"/>
        </w:tabs>
        <w:spacing w:line="440" w:lineRule="atLeast"/>
        <w:rPr>
          <w:b w:val="0"/>
          <w:bCs w:val="0"/>
          <w:smallCaps w:val="0"/>
          <w:color w:val="auto"/>
          <w:sz w:val="21"/>
        </w:rPr>
      </w:pPr>
      <w:r>
        <w:rPr>
          <w:color w:val="auto"/>
        </w:rPr>
        <w:fldChar w:fldCharType="begin"/>
      </w:r>
      <w:r>
        <w:rPr>
          <w:color w:val="auto"/>
        </w:rPr>
        <w:instrText xml:space="preserve"> HYPERLINK \l "_Toc80093005" </w:instrText>
      </w:r>
      <w:r>
        <w:rPr>
          <w:color w:val="auto"/>
        </w:rPr>
        <w:fldChar w:fldCharType="separate"/>
      </w:r>
      <w:r>
        <w:rPr>
          <w:rStyle w:val="40"/>
          <w:rFonts w:hint="eastAsia" w:ascii="Times New Roman" w:hAnsi="Times New Roman"/>
          <w:color w:val="auto"/>
        </w:rPr>
        <w:t>第二节</w:t>
      </w:r>
      <w:r>
        <w:rPr>
          <w:rStyle w:val="40"/>
          <w:rFonts w:ascii="Times New Roman" w:hAnsi="Times New Roman"/>
          <w:color w:val="auto"/>
        </w:rPr>
        <w:t xml:space="preserve"> </w:t>
      </w:r>
      <w:r>
        <w:rPr>
          <w:rStyle w:val="40"/>
          <w:rFonts w:hint="eastAsia" w:ascii="Times New Roman" w:hAnsi="Times New Roman"/>
          <w:color w:val="auto"/>
        </w:rPr>
        <w:t>评标程序</w:t>
      </w:r>
      <w:r>
        <w:rPr>
          <w:color w:val="auto"/>
        </w:rPr>
        <w:tab/>
      </w:r>
      <w:r>
        <w:rPr>
          <w:color w:val="auto"/>
        </w:rPr>
        <w:fldChar w:fldCharType="begin"/>
      </w:r>
      <w:r>
        <w:rPr>
          <w:color w:val="auto"/>
        </w:rPr>
        <w:instrText xml:space="preserve"> PAGEREF _Toc80093005 \h </w:instrText>
      </w:r>
      <w:r>
        <w:rPr>
          <w:color w:val="auto"/>
        </w:rPr>
        <w:fldChar w:fldCharType="separate"/>
      </w:r>
      <w:r>
        <w:rPr>
          <w:color w:val="auto"/>
        </w:rPr>
        <w:t>66</w:t>
      </w:r>
      <w:r>
        <w:rPr>
          <w:color w:val="auto"/>
        </w:rPr>
        <w:fldChar w:fldCharType="end"/>
      </w:r>
      <w:r>
        <w:rPr>
          <w:color w:val="auto"/>
        </w:rPr>
        <w:fldChar w:fldCharType="end"/>
      </w:r>
    </w:p>
    <w:p w14:paraId="668808EF">
      <w:pPr>
        <w:pStyle w:val="28"/>
        <w:tabs>
          <w:tab w:val="right" w:leader="dot" w:pos="9628"/>
        </w:tabs>
        <w:spacing w:line="440" w:lineRule="atLeast"/>
        <w:rPr>
          <w:b w:val="0"/>
          <w:bCs w:val="0"/>
          <w:smallCaps w:val="0"/>
          <w:color w:val="auto"/>
          <w:sz w:val="21"/>
        </w:rPr>
      </w:pPr>
      <w:r>
        <w:rPr>
          <w:color w:val="auto"/>
        </w:rPr>
        <w:fldChar w:fldCharType="begin"/>
      </w:r>
      <w:r>
        <w:rPr>
          <w:color w:val="auto"/>
        </w:rPr>
        <w:instrText xml:space="preserve"> HYPERLINK \l "_Toc80093006" </w:instrText>
      </w:r>
      <w:r>
        <w:rPr>
          <w:color w:val="auto"/>
        </w:rPr>
        <w:fldChar w:fldCharType="separate"/>
      </w:r>
      <w:r>
        <w:rPr>
          <w:rStyle w:val="40"/>
          <w:rFonts w:hint="eastAsia"/>
          <w:color w:val="auto"/>
        </w:rPr>
        <w:t>第三节</w:t>
      </w:r>
      <w:r>
        <w:rPr>
          <w:rStyle w:val="40"/>
          <w:color w:val="auto"/>
        </w:rPr>
        <w:t xml:space="preserve"> </w:t>
      </w:r>
      <w:r>
        <w:rPr>
          <w:rStyle w:val="40"/>
          <w:rFonts w:hint="eastAsia"/>
          <w:color w:val="auto"/>
        </w:rPr>
        <w:t>评分标准</w:t>
      </w:r>
      <w:r>
        <w:rPr>
          <w:color w:val="auto"/>
        </w:rPr>
        <w:tab/>
      </w:r>
      <w:r>
        <w:rPr>
          <w:color w:val="auto"/>
        </w:rPr>
        <w:fldChar w:fldCharType="begin"/>
      </w:r>
      <w:r>
        <w:rPr>
          <w:color w:val="auto"/>
        </w:rPr>
        <w:instrText xml:space="preserve"> PAGEREF _Toc80093006 \h </w:instrText>
      </w:r>
      <w:r>
        <w:rPr>
          <w:color w:val="auto"/>
        </w:rPr>
        <w:fldChar w:fldCharType="separate"/>
      </w:r>
      <w:r>
        <w:rPr>
          <w:color w:val="auto"/>
        </w:rPr>
        <w:t>69</w:t>
      </w:r>
      <w:r>
        <w:rPr>
          <w:color w:val="auto"/>
        </w:rPr>
        <w:fldChar w:fldCharType="end"/>
      </w:r>
      <w:r>
        <w:rPr>
          <w:color w:val="auto"/>
        </w:rPr>
        <w:fldChar w:fldCharType="end"/>
      </w:r>
    </w:p>
    <w:p w14:paraId="32EB7C9E">
      <w:pPr>
        <w:pStyle w:val="28"/>
        <w:tabs>
          <w:tab w:val="right" w:leader="dot" w:pos="9628"/>
        </w:tabs>
        <w:spacing w:line="440" w:lineRule="atLeast"/>
        <w:rPr>
          <w:b w:val="0"/>
          <w:bCs w:val="0"/>
          <w:smallCaps w:val="0"/>
          <w:color w:val="auto"/>
          <w:sz w:val="21"/>
        </w:rPr>
      </w:pPr>
      <w:r>
        <w:rPr>
          <w:color w:val="auto"/>
        </w:rPr>
        <w:fldChar w:fldCharType="begin"/>
      </w:r>
      <w:r>
        <w:rPr>
          <w:color w:val="auto"/>
        </w:rPr>
        <w:instrText xml:space="preserve"> HYPERLINK \l "_Toc80093007" </w:instrText>
      </w:r>
      <w:r>
        <w:rPr>
          <w:color w:val="auto"/>
        </w:rPr>
        <w:fldChar w:fldCharType="separate"/>
      </w:r>
      <w:r>
        <w:rPr>
          <w:rStyle w:val="40"/>
          <w:rFonts w:hint="eastAsia"/>
          <w:color w:val="auto"/>
        </w:rPr>
        <w:t>第四节</w:t>
      </w:r>
      <w:r>
        <w:rPr>
          <w:rStyle w:val="40"/>
          <w:color w:val="auto"/>
        </w:rPr>
        <w:t xml:space="preserve"> </w:t>
      </w:r>
      <w:r>
        <w:rPr>
          <w:rStyle w:val="40"/>
          <w:rFonts w:hint="eastAsia"/>
          <w:color w:val="auto"/>
        </w:rPr>
        <w:t>中标候选人推荐原则</w:t>
      </w:r>
      <w:r>
        <w:rPr>
          <w:color w:val="auto"/>
        </w:rPr>
        <w:tab/>
      </w:r>
      <w:r>
        <w:rPr>
          <w:color w:val="auto"/>
        </w:rPr>
        <w:fldChar w:fldCharType="begin"/>
      </w:r>
      <w:r>
        <w:rPr>
          <w:color w:val="auto"/>
        </w:rPr>
        <w:instrText xml:space="preserve"> PAGEREF _Toc80093007 \h </w:instrText>
      </w:r>
      <w:r>
        <w:rPr>
          <w:color w:val="auto"/>
        </w:rPr>
        <w:fldChar w:fldCharType="separate"/>
      </w:r>
      <w:r>
        <w:rPr>
          <w:color w:val="auto"/>
        </w:rPr>
        <w:t>77</w:t>
      </w:r>
      <w:r>
        <w:rPr>
          <w:color w:val="auto"/>
        </w:rPr>
        <w:fldChar w:fldCharType="end"/>
      </w:r>
      <w:r>
        <w:rPr>
          <w:color w:val="auto"/>
        </w:rPr>
        <w:fldChar w:fldCharType="end"/>
      </w:r>
    </w:p>
    <w:p w14:paraId="13C77593">
      <w:pPr>
        <w:pStyle w:val="28"/>
        <w:tabs>
          <w:tab w:val="right" w:leader="dot" w:pos="9628"/>
        </w:tabs>
        <w:spacing w:line="440" w:lineRule="atLeast"/>
        <w:rPr>
          <w:b w:val="0"/>
          <w:bCs w:val="0"/>
          <w:smallCaps w:val="0"/>
          <w:color w:val="auto"/>
          <w:sz w:val="21"/>
        </w:rPr>
      </w:pPr>
      <w:r>
        <w:rPr>
          <w:color w:val="auto"/>
        </w:rPr>
        <w:fldChar w:fldCharType="begin"/>
      </w:r>
      <w:r>
        <w:rPr>
          <w:color w:val="auto"/>
        </w:rPr>
        <w:instrText xml:space="preserve"> HYPERLINK \l "_Toc80093008" </w:instrText>
      </w:r>
      <w:r>
        <w:rPr>
          <w:color w:val="auto"/>
        </w:rPr>
        <w:fldChar w:fldCharType="separate"/>
      </w:r>
      <w:r>
        <w:rPr>
          <w:rStyle w:val="40"/>
          <w:rFonts w:hint="eastAsia"/>
          <w:color w:val="auto"/>
        </w:rPr>
        <w:t>第五节</w:t>
      </w:r>
      <w:r>
        <w:rPr>
          <w:rStyle w:val="40"/>
          <w:color w:val="auto"/>
        </w:rPr>
        <w:t xml:space="preserve"> </w:t>
      </w:r>
      <w:r>
        <w:rPr>
          <w:rStyle w:val="40"/>
          <w:rFonts w:hint="eastAsia"/>
          <w:color w:val="auto"/>
        </w:rPr>
        <w:t>评标报告</w:t>
      </w:r>
      <w:r>
        <w:rPr>
          <w:color w:val="auto"/>
        </w:rPr>
        <w:tab/>
      </w:r>
      <w:r>
        <w:rPr>
          <w:color w:val="auto"/>
        </w:rPr>
        <w:fldChar w:fldCharType="begin"/>
      </w:r>
      <w:r>
        <w:rPr>
          <w:color w:val="auto"/>
        </w:rPr>
        <w:instrText xml:space="preserve"> PAGEREF _Toc80093008 \h </w:instrText>
      </w:r>
      <w:r>
        <w:rPr>
          <w:color w:val="auto"/>
        </w:rPr>
        <w:fldChar w:fldCharType="separate"/>
      </w:r>
      <w:r>
        <w:rPr>
          <w:color w:val="auto"/>
        </w:rPr>
        <w:t>77</w:t>
      </w:r>
      <w:r>
        <w:rPr>
          <w:color w:val="auto"/>
        </w:rPr>
        <w:fldChar w:fldCharType="end"/>
      </w:r>
      <w:r>
        <w:rPr>
          <w:color w:val="auto"/>
        </w:rPr>
        <w:fldChar w:fldCharType="end"/>
      </w:r>
    </w:p>
    <w:p w14:paraId="431690A5">
      <w:pPr>
        <w:pStyle w:val="24"/>
        <w:tabs>
          <w:tab w:val="right" w:leader="dot" w:pos="9628"/>
        </w:tabs>
        <w:spacing w:before="0" w:after="0" w:line="440" w:lineRule="atLeast"/>
        <w:rPr>
          <w:b w:val="0"/>
          <w:bCs w:val="0"/>
          <w:caps w:val="0"/>
          <w:color w:val="auto"/>
          <w:sz w:val="21"/>
          <w:u w:val="none"/>
        </w:rPr>
      </w:pPr>
      <w:r>
        <w:rPr>
          <w:color w:val="auto"/>
        </w:rPr>
        <w:fldChar w:fldCharType="begin"/>
      </w:r>
      <w:r>
        <w:rPr>
          <w:color w:val="auto"/>
        </w:rPr>
        <w:instrText xml:space="preserve"> HYPERLINK \l "_Toc80093009" </w:instrText>
      </w:r>
      <w:r>
        <w:rPr>
          <w:color w:val="auto"/>
        </w:rPr>
        <w:fldChar w:fldCharType="separate"/>
      </w:r>
      <w:r>
        <w:rPr>
          <w:rStyle w:val="40"/>
          <w:rFonts w:hint="eastAsia" w:ascii="Times New Roman" w:hAnsi="Times New Roman"/>
          <w:color w:val="auto"/>
        </w:rPr>
        <w:t>第五章</w:t>
      </w:r>
      <w:r>
        <w:rPr>
          <w:rStyle w:val="40"/>
          <w:rFonts w:ascii="Times New Roman" w:hAnsi="Times New Roman"/>
          <w:color w:val="auto"/>
        </w:rPr>
        <w:t xml:space="preserve"> </w:t>
      </w:r>
      <w:r>
        <w:rPr>
          <w:rStyle w:val="40"/>
          <w:rFonts w:hint="eastAsia" w:ascii="Times New Roman" w:hAnsi="Times New Roman"/>
          <w:color w:val="auto"/>
        </w:rPr>
        <w:t xml:space="preserve"> 拟签订的合同文本</w:t>
      </w:r>
      <w:r>
        <w:rPr>
          <w:color w:val="auto"/>
        </w:rPr>
        <w:tab/>
      </w:r>
      <w:r>
        <w:rPr>
          <w:color w:val="auto"/>
        </w:rPr>
        <w:fldChar w:fldCharType="begin"/>
      </w:r>
      <w:r>
        <w:rPr>
          <w:color w:val="auto"/>
        </w:rPr>
        <w:instrText xml:space="preserve"> PAGEREF _Toc80093009 \h </w:instrText>
      </w:r>
      <w:r>
        <w:rPr>
          <w:color w:val="auto"/>
        </w:rPr>
        <w:fldChar w:fldCharType="separate"/>
      </w:r>
      <w:r>
        <w:rPr>
          <w:color w:val="auto"/>
        </w:rPr>
        <w:t>78</w:t>
      </w:r>
      <w:r>
        <w:rPr>
          <w:color w:val="auto"/>
        </w:rPr>
        <w:fldChar w:fldCharType="end"/>
      </w:r>
      <w:r>
        <w:rPr>
          <w:color w:val="auto"/>
        </w:rPr>
        <w:fldChar w:fldCharType="end"/>
      </w:r>
    </w:p>
    <w:p w14:paraId="2102A027">
      <w:pPr>
        <w:pStyle w:val="24"/>
        <w:tabs>
          <w:tab w:val="right" w:leader="dot" w:pos="9628"/>
        </w:tabs>
        <w:spacing w:before="0" w:after="0" w:line="440" w:lineRule="atLeast"/>
        <w:rPr>
          <w:b w:val="0"/>
          <w:bCs w:val="0"/>
          <w:caps w:val="0"/>
          <w:color w:val="auto"/>
          <w:sz w:val="21"/>
          <w:u w:val="none"/>
        </w:rPr>
      </w:pPr>
      <w:r>
        <w:rPr>
          <w:color w:val="auto"/>
        </w:rPr>
        <w:fldChar w:fldCharType="begin"/>
      </w:r>
      <w:r>
        <w:rPr>
          <w:color w:val="auto"/>
        </w:rPr>
        <w:instrText xml:space="preserve"> HYPERLINK \l "_Toc80093010" </w:instrText>
      </w:r>
      <w:r>
        <w:rPr>
          <w:color w:val="auto"/>
        </w:rPr>
        <w:fldChar w:fldCharType="separate"/>
      </w:r>
      <w:r>
        <w:rPr>
          <w:rStyle w:val="40"/>
          <w:rFonts w:hint="eastAsia" w:ascii="Times New Roman" w:hAnsi="Times New Roman"/>
          <w:color w:val="auto"/>
        </w:rPr>
        <w:t>第六章</w:t>
      </w:r>
      <w:r>
        <w:rPr>
          <w:rStyle w:val="40"/>
          <w:rFonts w:ascii="Times New Roman" w:hAnsi="Times New Roman"/>
          <w:color w:val="auto"/>
        </w:rPr>
        <w:t xml:space="preserve"> </w:t>
      </w:r>
      <w:r>
        <w:rPr>
          <w:rStyle w:val="40"/>
          <w:rFonts w:hint="eastAsia" w:ascii="Times New Roman" w:hAnsi="Times New Roman"/>
          <w:color w:val="auto"/>
        </w:rPr>
        <w:t xml:space="preserve"> 投标文件</w:t>
      </w:r>
      <w:bookmarkStart w:id="3" w:name="_Hlt80697500"/>
      <w:bookmarkStart w:id="4" w:name="_Hlt80697499"/>
      <w:r>
        <w:rPr>
          <w:rStyle w:val="40"/>
          <w:rFonts w:hint="eastAsia" w:ascii="Times New Roman" w:hAnsi="Times New Roman"/>
          <w:color w:val="auto"/>
        </w:rPr>
        <w:t>格</w:t>
      </w:r>
      <w:bookmarkEnd w:id="3"/>
      <w:bookmarkEnd w:id="4"/>
      <w:r>
        <w:rPr>
          <w:rStyle w:val="40"/>
          <w:rFonts w:hint="eastAsia" w:ascii="Times New Roman" w:hAnsi="Times New Roman"/>
          <w:color w:val="auto"/>
        </w:rPr>
        <w:t>式</w:t>
      </w:r>
      <w:r>
        <w:rPr>
          <w:color w:val="auto"/>
        </w:rPr>
        <w:tab/>
      </w:r>
      <w:r>
        <w:rPr>
          <w:color w:val="auto"/>
        </w:rPr>
        <w:fldChar w:fldCharType="begin"/>
      </w:r>
      <w:r>
        <w:rPr>
          <w:color w:val="auto"/>
        </w:rPr>
        <w:instrText xml:space="preserve"> PAGEREF _Toc80093010 \h </w:instrText>
      </w:r>
      <w:r>
        <w:rPr>
          <w:color w:val="auto"/>
        </w:rPr>
        <w:fldChar w:fldCharType="separate"/>
      </w:r>
      <w:r>
        <w:rPr>
          <w:color w:val="auto"/>
        </w:rPr>
        <w:t>93</w:t>
      </w:r>
      <w:r>
        <w:rPr>
          <w:color w:val="auto"/>
        </w:rPr>
        <w:fldChar w:fldCharType="end"/>
      </w:r>
      <w:r>
        <w:rPr>
          <w:color w:val="auto"/>
        </w:rPr>
        <w:fldChar w:fldCharType="end"/>
      </w:r>
    </w:p>
    <w:p w14:paraId="073F97B8">
      <w:pPr>
        <w:pStyle w:val="28"/>
        <w:tabs>
          <w:tab w:val="right" w:leader="dot" w:pos="9628"/>
        </w:tabs>
        <w:spacing w:line="440" w:lineRule="atLeast"/>
        <w:rPr>
          <w:b w:val="0"/>
          <w:bCs w:val="0"/>
          <w:smallCaps w:val="0"/>
          <w:color w:val="auto"/>
          <w:sz w:val="21"/>
        </w:rPr>
      </w:pPr>
      <w:r>
        <w:rPr>
          <w:color w:val="auto"/>
        </w:rPr>
        <w:fldChar w:fldCharType="begin"/>
      </w:r>
      <w:r>
        <w:rPr>
          <w:color w:val="auto"/>
        </w:rPr>
        <w:instrText xml:space="preserve"> HYPERLINK \l "_Toc80093011" </w:instrText>
      </w:r>
      <w:r>
        <w:rPr>
          <w:color w:val="auto"/>
        </w:rPr>
        <w:fldChar w:fldCharType="separate"/>
      </w:r>
      <w:r>
        <w:rPr>
          <w:rStyle w:val="40"/>
          <w:rFonts w:hint="eastAsia" w:hAnsi="宋体"/>
          <w:color w:val="auto"/>
        </w:rPr>
        <w:t>第一节</w:t>
      </w:r>
      <w:r>
        <w:rPr>
          <w:rStyle w:val="40"/>
          <w:rFonts w:hAnsi="宋体"/>
          <w:color w:val="auto"/>
        </w:rPr>
        <w:t xml:space="preserve"> </w:t>
      </w:r>
      <w:r>
        <w:rPr>
          <w:rStyle w:val="40"/>
          <w:rFonts w:hint="eastAsia" w:hAnsi="宋体"/>
          <w:color w:val="auto"/>
        </w:rPr>
        <w:t>投标文件外层包装封面格式</w:t>
      </w:r>
      <w:r>
        <w:rPr>
          <w:color w:val="auto"/>
        </w:rPr>
        <w:tab/>
      </w:r>
      <w:r>
        <w:rPr>
          <w:color w:val="auto"/>
        </w:rPr>
        <w:fldChar w:fldCharType="begin"/>
      </w:r>
      <w:r>
        <w:rPr>
          <w:color w:val="auto"/>
        </w:rPr>
        <w:instrText xml:space="preserve"> PAGEREF _Toc80093011 \h </w:instrText>
      </w:r>
      <w:r>
        <w:rPr>
          <w:color w:val="auto"/>
        </w:rPr>
        <w:fldChar w:fldCharType="separate"/>
      </w:r>
      <w:r>
        <w:rPr>
          <w:color w:val="auto"/>
        </w:rPr>
        <w:t>94</w:t>
      </w:r>
      <w:r>
        <w:rPr>
          <w:color w:val="auto"/>
        </w:rPr>
        <w:fldChar w:fldCharType="end"/>
      </w:r>
      <w:r>
        <w:rPr>
          <w:color w:val="auto"/>
        </w:rPr>
        <w:fldChar w:fldCharType="end"/>
      </w:r>
    </w:p>
    <w:p w14:paraId="246472FD">
      <w:pPr>
        <w:pStyle w:val="28"/>
        <w:tabs>
          <w:tab w:val="right" w:leader="dot" w:pos="9628"/>
        </w:tabs>
        <w:spacing w:line="440" w:lineRule="atLeast"/>
        <w:rPr>
          <w:b w:val="0"/>
          <w:bCs w:val="0"/>
          <w:smallCaps w:val="0"/>
          <w:color w:val="auto"/>
          <w:sz w:val="21"/>
        </w:rPr>
      </w:pPr>
      <w:r>
        <w:rPr>
          <w:color w:val="auto"/>
        </w:rPr>
        <w:fldChar w:fldCharType="begin"/>
      </w:r>
      <w:r>
        <w:rPr>
          <w:color w:val="auto"/>
        </w:rPr>
        <w:instrText xml:space="preserve"> HYPERLINK \l "_Toc80093012" </w:instrText>
      </w:r>
      <w:r>
        <w:rPr>
          <w:color w:val="auto"/>
        </w:rPr>
        <w:fldChar w:fldCharType="separate"/>
      </w:r>
      <w:r>
        <w:rPr>
          <w:rStyle w:val="40"/>
          <w:rFonts w:hint="eastAsia" w:hAnsi="宋体"/>
          <w:color w:val="auto"/>
        </w:rPr>
        <w:t>第二节</w:t>
      </w:r>
      <w:r>
        <w:rPr>
          <w:rStyle w:val="40"/>
          <w:rFonts w:hAnsi="宋体"/>
          <w:color w:val="auto"/>
        </w:rPr>
        <w:t xml:space="preserve"> </w:t>
      </w:r>
      <w:r>
        <w:rPr>
          <w:rStyle w:val="40"/>
          <w:rFonts w:hint="eastAsia" w:hAnsi="宋体"/>
          <w:color w:val="auto"/>
        </w:rPr>
        <w:t>资格证明文件格式</w:t>
      </w:r>
      <w:r>
        <w:rPr>
          <w:color w:val="auto"/>
        </w:rPr>
        <w:tab/>
      </w:r>
      <w:r>
        <w:rPr>
          <w:color w:val="auto"/>
        </w:rPr>
        <w:fldChar w:fldCharType="begin"/>
      </w:r>
      <w:r>
        <w:rPr>
          <w:color w:val="auto"/>
        </w:rPr>
        <w:instrText xml:space="preserve"> PAGEREF _Toc80093012 \h </w:instrText>
      </w:r>
      <w:r>
        <w:rPr>
          <w:color w:val="auto"/>
        </w:rPr>
        <w:fldChar w:fldCharType="separate"/>
      </w:r>
      <w:r>
        <w:rPr>
          <w:color w:val="auto"/>
        </w:rPr>
        <w:t>95</w:t>
      </w:r>
      <w:r>
        <w:rPr>
          <w:color w:val="auto"/>
        </w:rPr>
        <w:fldChar w:fldCharType="end"/>
      </w:r>
      <w:r>
        <w:rPr>
          <w:color w:val="auto"/>
        </w:rPr>
        <w:fldChar w:fldCharType="end"/>
      </w:r>
    </w:p>
    <w:p w14:paraId="7780D93B">
      <w:pPr>
        <w:pStyle w:val="28"/>
        <w:tabs>
          <w:tab w:val="right" w:leader="dot" w:pos="9628"/>
        </w:tabs>
        <w:spacing w:line="440" w:lineRule="atLeast"/>
        <w:rPr>
          <w:b w:val="0"/>
          <w:bCs w:val="0"/>
          <w:smallCaps w:val="0"/>
          <w:color w:val="auto"/>
          <w:sz w:val="21"/>
        </w:rPr>
      </w:pPr>
      <w:r>
        <w:rPr>
          <w:color w:val="auto"/>
        </w:rPr>
        <w:fldChar w:fldCharType="begin"/>
      </w:r>
      <w:r>
        <w:rPr>
          <w:color w:val="auto"/>
        </w:rPr>
        <w:instrText xml:space="preserve"> HYPERLINK \l "_Toc80093013" </w:instrText>
      </w:r>
      <w:r>
        <w:rPr>
          <w:color w:val="auto"/>
        </w:rPr>
        <w:fldChar w:fldCharType="separate"/>
      </w:r>
      <w:r>
        <w:rPr>
          <w:rStyle w:val="40"/>
          <w:rFonts w:hint="eastAsia" w:hAnsi="宋体"/>
          <w:color w:val="auto"/>
        </w:rPr>
        <w:t>第三节</w:t>
      </w:r>
      <w:r>
        <w:rPr>
          <w:rStyle w:val="40"/>
          <w:rFonts w:hAnsi="宋体"/>
          <w:color w:val="auto"/>
        </w:rPr>
        <w:t xml:space="preserve"> </w:t>
      </w:r>
      <w:r>
        <w:rPr>
          <w:rStyle w:val="40"/>
          <w:rFonts w:hint="eastAsia" w:hAnsi="宋体"/>
          <w:color w:val="auto"/>
        </w:rPr>
        <w:t>商务文件格式</w:t>
      </w:r>
      <w:r>
        <w:rPr>
          <w:color w:val="auto"/>
        </w:rPr>
        <w:tab/>
      </w:r>
      <w:r>
        <w:rPr>
          <w:color w:val="auto"/>
        </w:rPr>
        <w:fldChar w:fldCharType="begin"/>
      </w:r>
      <w:r>
        <w:rPr>
          <w:color w:val="auto"/>
        </w:rPr>
        <w:instrText xml:space="preserve"> PAGEREF _Toc80093013 \h </w:instrText>
      </w:r>
      <w:r>
        <w:rPr>
          <w:color w:val="auto"/>
        </w:rPr>
        <w:fldChar w:fldCharType="separate"/>
      </w:r>
      <w:r>
        <w:rPr>
          <w:color w:val="auto"/>
        </w:rPr>
        <w:t>103</w:t>
      </w:r>
      <w:r>
        <w:rPr>
          <w:color w:val="auto"/>
        </w:rPr>
        <w:fldChar w:fldCharType="end"/>
      </w:r>
      <w:r>
        <w:rPr>
          <w:color w:val="auto"/>
        </w:rPr>
        <w:fldChar w:fldCharType="end"/>
      </w:r>
    </w:p>
    <w:p w14:paraId="012322D6">
      <w:pPr>
        <w:pStyle w:val="28"/>
        <w:tabs>
          <w:tab w:val="right" w:leader="dot" w:pos="9628"/>
        </w:tabs>
        <w:spacing w:line="440" w:lineRule="atLeast"/>
        <w:rPr>
          <w:b w:val="0"/>
          <w:bCs w:val="0"/>
          <w:smallCaps w:val="0"/>
          <w:color w:val="auto"/>
          <w:sz w:val="21"/>
        </w:rPr>
      </w:pPr>
      <w:r>
        <w:rPr>
          <w:color w:val="auto"/>
        </w:rPr>
        <w:fldChar w:fldCharType="begin"/>
      </w:r>
      <w:r>
        <w:rPr>
          <w:color w:val="auto"/>
        </w:rPr>
        <w:instrText xml:space="preserve"> HYPERLINK \l "_Toc80093014" </w:instrText>
      </w:r>
      <w:r>
        <w:rPr>
          <w:color w:val="auto"/>
        </w:rPr>
        <w:fldChar w:fldCharType="separate"/>
      </w:r>
      <w:r>
        <w:rPr>
          <w:rStyle w:val="40"/>
          <w:rFonts w:hint="eastAsia" w:hAnsi="宋体"/>
          <w:color w:val="auto"/>
        </w:rPr>
        <w:t>第四节</w:t>
      </w:r>
      <w:r>
        <w:rPr>
          <w:rStyle w:val="40"/>
          <w:rFonts w:hAnsi="宋体"/>
          <w:color w:val="auto"/>
        </w:rPr>
        <w:t xml:space="preserve"> </w:t>
      </w:r>
      <w:r>
        <w:rPr>
          <w:rStyle w:val="40"/>
          <w:rFonts w:hint="eastAsia" w:hAnsi="宋体"/>
          <w:color w:val="auto"/>
        </w:rPr>
        <w:t>技术文件格式</w:t>
      </w:r>
      <w:r>
        <w:rPr>
          <w:color w:val="auto"/>
        </w:rPr>
        <w:tab/>
      </w:r>
      <w:r>
        <w:rPr>
          <w:color w:val="auto"/>
        </w:rPr>
        <w:fldChar w:fldCharType="begin"/>
      </w:r>
      <w:r>
        <w:rPr>
          <w:color w:val="auto"/>
        </w:rPr>
        <w:instrText xml:space="preserve"> PAGEREF _Toc80093014 \h </w:instrText>
      </w:r>
      <w:r>
        <w:rPr>
          <w:color w:val="auto"/>
        </w:rPr>
        <w:fldChar w:fldCharType="separate"/>
      </w:r>
      <w:r>
        <w:rPr>
          <w:color w:val="auto"/>
        </w:rPr>
        <w:t>113</w:t>
      </w:r>
      <w:r>
        <w:rPr>
          <w:color w:val="auto"/>
        </w:rPr>
        <w:fldChar w:fldCharType="end"/>
      </w:r>
      <w:r>
        <w:rPr>
          <w:color w:val="auto"/>
        </w:rPr>
        <w:fldChar w:fldCharType="end"/>
      </w:r>
    </w:p>
    <w:p w14:paraId="7728531E">
      <w:pPr>
        <w:pStyle w:val="28"/>
        <w:tabs>
          <w:tab w:val="right" w:leader="dot" w:pos="9628"/>
        </w:tabs>
        <w:spacing w:line="440" w:lineRule="atLeast"/>
        <w:rPr>
          <w:b w:val="0"/>
          <w:bCs w:val="0"/>
          <w:smallCaps w:val="0"/>
          <w:color w:val="auto"/>
          <w:sz w:val="21"/>
        </w:rPr>
      </w:pPr>
      <w:r>
        <w:rPr>
          <w:color w:val="auto"/>
        </w:rPr>
        <w:fldChar w:fldCharType="begin"/>
      </w:r>
      <w:r>
        <w:rPr>
          <w:color w:val="auto"/>
        </w:rPr>
        <w:instrText xml:space="preserve"> HYPERLINK \l "_Toc80093015" </w:instrText>
      </w:r>
      <w:r>
        <w:rPr>
          <w:color w:val="auto"/>
        </w:rPr>
        <w:fldChar w:fldCharType="separate"/>
      </w:r>
      <w:r>
        <w:rPr>
          <w:rStyle w:val="40"/>
          <w:rFonts w:hint="eastAsia" w:hAnsi="宋体"/>
          <w:color w:val="auto"/>
        </w:rPr>
        <w:t>第五节</w:t>
      </w:r>
      <w:r>
        <w:rPr>
          <w:rStyle w:val="40"/>
          <w:rFonts w:hAnsi="宋体"/>
          <w:color w:val="auto"/>
        </w:rPr>
        <w:t xml:space="preserve"> </w:t>
      </w:r>
      <w:r>
        <w:rPr>
          <w:rStyle w:val="40"/>
          <w:rFonts w:hint="eastAsia" w:hAnsi="宋体"/>
          <w:color w:val="auto"/>
        </w:rPr>
        <w:t>报价文件格式</w:t>
      </w:r>
      <w:r>
        <w:rPr>
          <w:color w:val="auto"/>
        </w:rPr>
        <w:tab/>
      </w:r>
      <w:r>
        <w:rPr>
          <w:color w:val="auto"/>
        </w:rPr>
        <w:fldChar w:fldCharType="begin"/>
      </w:r>
      <w:r>
        <w:rPr>
          <w:color w:val="auto"/>
        </w:rPr>
        <w:instrText xml:space="preserve"> PAGEREF _Toc80093015 \h </w:instrText>
      </w:r>
      <w:r>
        <w:rPr>
          <w:color w:val="auto"/>
        </w:rPr>
        <w:fldChar w:fldCharType="separate"/>
      </w:r>
      <w:r>
        <w:rPr>
          <w:color w:val="auto"/>
        </w:rPr>
        <w:t>122</w:t>
      </w:r>
      <w:r>
        <w:rPr>
          <w:color w:val="auto"/>
        </w:rPr>
        <w:fldChar w:fldCharType="end"/>
      </w:r>
      <w:r>
        <w:rPr>
          <w:color w:val="auto"/>
        </w:rPr>
        <w:fldChar w:fldCharType="end"/>
      </w:r>
    </w:p>
    <w:p w14:paraId="6696B8AE">
      <w:pPr>
        <w:pStyle w:val="28"/>
        <w:tabs>
          <w:tab w:val="right" w:leader="dot" w:pos="9628"/>
        </w:tabs>
        <w:spacing w:line="440" w:lineRule="atLeast"/>
        <w:rPr>
          <w:b w:val="0"/>
          <w:bCs w:val="0"/>
          <w:smallCaps w:val="0"/>
          <w:color w:val="auto"/>
          <w:sz w:val="21"/>
        </w:rPr>
      </w:pPr>
      <w:r>
        <w:rPr>
          <w:color w:val="auto"/>
        </w:rPr>
        <w:fldChar w:fldCharType="begin"/>
      </w:r>
      <w:r>
        <w:rPr>
          <w:color w:val="auto"/>
        </w:rPr>
        <w:instrText xml:space="preserve"> HYPERLINK \l "_Toc80093016" </w:instrText>
      </w:r>
      <w:r>
        <w:rPr>
          <w:color w:val="auto"/>
        </w:rPr>
        <w:fldChar w:fldCharType="separate"/>
      </w:r>
      <w:r>
        <w:rPr>
          <w:rStyle w:val="40"/>
          <w:rFonts w:hint="eastAsia" w:ascii="宋体" w:hAnsi="宋体"/>
          <w:color w:val="auto"/>
        </w:rPr>
        <w:t>第六节</w:t>
      </w:r>
      <w:r>
        <w:rPr>
          <w:rStyle w:val="40"/>
          <w:rFonts w:ascii="宋体" w:hAnsi="宋体"/>
          <w:color w:val="auto"/>
        </w:rPr>
        <w:t xml:space="preserve"> </w:t>
      </w:r>
      <w:r>
        <w:rPr>
          <w:rStyle w:val="40"/>
          <w:rFonts w:hint="eastAsia" w:ascii="宋体" w:hAnsi="宋体"/>
          <w:color w:val="auto"/>
        </w:rPr>
        <w:t>其他文书、文件格式</w:t>
      </w:r>
      <w:r>
        <w:rPr>
          <w:color w:val="auto"/>
        </w:rPr>
        <w:tab/>
      </w:r>
      <w:r>
        <w:rPr>
          <w:color w:val="auto"/>
        </w:rPr>
        <w:fldChar w:fldCharType="begin"/>
      </w:r>
      <w:r>
        <w:rPr>
          <w:color w:val="auto"/>
        </w:rPr>
        <w:instrText xml:space="preserve"> PAGEREF _Toc80093016 \h </w:instrText>
      </w:r>
      <w:r>
        <w:rPr>
          <w:color w:val="auto"/>
        </w:rPr>
        <w:fldChar w:fldCharType="separate"/>
      </w:r>
      <w:r>
        <w:rPr>
          <w:color w:val="auto"/>
        </w:rPr>
        <w:t>129</w:t>
      </w:r>
      <w:r>
        <w:rPr>
          <w:color w:val="auto"/>
        </w:rPr>
        <w:fldChar w:fldCharType="end"/>
      </w:r>
      <w:r>
        <w:rPr>
          <w:color w:val="auto"/>
        </w:rPr>
        <w:fldChar w:fldCharType="end"/>
      </w:r>
    </w:p>
    <w:p w14:paraId="537EA107">
      <w:pPr>
        <w:pStyle w:val="24"/>
        <w:tabs>
          <w:tab w:val="right" w:leader="dot" w:pos="9628"/>
        </w:tabs>
        <w:spacing w:before="0" w:after="0" w:line="440" w:lineRule="atLeast"/>
        <w:rPr>
          <w:b w:val="0"/>
          <w:bCs w:val="0"/>
          <w:caps w:val="0"/>
          <w:color w:val="auto"/>
          <w:sz w:val="21"/>
          <w:u w:val="none"/>
        </w:rPr>
      </w:pPr>
      <w:r>
        <w:rPr>
          <w:color w:val="auto"/>
        </w:rPr>
        <w:fldChar w:fldCharType="begin"/>
      </w:r>
      <w:r>
        <w:rPr>
          <w:color w:val="auto"/>
        </w:rPr>
        <w:instrText xml:space="preserve"> HYPERLINK \l "_Toc80093017" </w:instrText>
      </w:r>
      <w:r>
        <w:rPr>
          <w:color w:val="auto"/>
        </w:rPr>
        <w:fldChar w:fldCharType="separate"/>
      </w:r>
      <w:r>
        <w:rPr>
          <w:rStyle w:val="40"/>
          <w:rFonts w:hint="eastAsia" w:ascii="Times New Roman" w:hAnsi="Times New Roman"/>
          <w:color w:val="auto"/>
        </w:rPr>
        <w:t>第七章</w:t>
      </w:r>
      <w:r>
        <w:rPr>
          <w:rStyle w:val="40"/>
          <w:rFonts w:ascii="Times New Roman" w:hAnsi="Times New Roman"/>
          <w:color w:val="auto"/>
        </w:rPr>
        <w:t xml:space="preserve"> </w:t>
      </w:r>
      <w:r>
        <w:rPr>
          <w:rStyle w:val="40"/>
          <w:rFonts w:hint="eastAsia" w:ascii="Times New Roman" w:hAnsi="Times New Roman"/>
          <w:color w:val="auto"/>
        </w:rPr>
        <w:t xml:space="preserve"> 质疑、投诉证明材料格式</w:t>
      </w:r>
      <w:r>
        <w:rPr>
          <w:color w:val="auto"/>
        </w:rPr>
        <w:tab/>
      </w:r>
      <w:r>
        <w:rPr>
          <w:color w:val="auto"/>
        </w:rPr>
        <w:fldChar w:fldCharType="begin"/>
      </w:r>
      <w:r>
        <w:rPr>
          <w:color w:val="auto"/>
        </w:rPr>
        <w:instrText xml:space="preserve"> PAGEREF _Toc80093017 \h </w:instrText>
      </w:r>
      <w:r>
        <w:rPr>
          <w:color w:val="auto"/>
        </w:rPr>
        <w:fldChar w:fldCharType="separate"/>
      </w:r>
      <w:r>
        <w:rPr>
          <w:color w:val="auto"/>
        </w:rPr>
        <w:t>130</w:t>
      </w:r>
      <w:r>
        <w:rPr>
          <w:color w:val="auto"/>
        </w:rPr>
        <w:fldChar w:fldCharType="end"/>
      </w:r>
      <w:r>
        <w:rPr>
          <w:color w:val="auto"/>
        </w:rPr>
        <w:fldChar w:fldCharType="end"/>
      </w:r>
    </w:p>
    <w:p w14:paraId="311CC0EF">
      <w:pPr>
        <w:pStyle w:val="28"/>
        <w:tabs>
          <w:tab w:val="right" w:leader="dot" w:pos="9628"/>
        </w:tabs>
        <w:spacing w:line="440" w:lineRule="atLeast"/>
        <w:rPr>
          <w:b w:val="0"/>
          <w:bCs w:val="0"/>
          <w:smallCaps w:val="0"/>
          <w:color w:val="auto"/>
          <w:sz w:val="21"/>
        </w:rPr>
      </w:pPr>
      <w:r>
        <w:rPr>
          <w:color w:val="auto"/>
        </w:rPr>
        <w:fldChar w:fldCharType="begin"/>
      </w:r>
      <w:r>
        <w:rPr>
          <w:color w:val="auto"/>
        </w:rPr>
        <w:instrText xml:space="preserve"> HYPERLINK \l "_Toc80093018" </w:instrText>
      </w:r>
      <w:r>
        <w:rPr>
          <w:color w:val="auto"/>
        </w:rPr>
        <w:fldChar w:fldCharType="separate"/>
      </w:r>
      <w:r>
        <w:rPr>
          <w:rStyle w:val="40"/>
          <w:rFonts w:hint="eastAsia" w:ascii="宋体" w:hAnsi="宋体"/>
          <w:color w:val="auto"/>
        </w:rPr>
        <w:t>第一节</w:t>
      </w:r>
      <w:r>
        <w:rPr>
          <w:rStyle w:val="40"/>
          <w:rFonts w:ascii="宋体" w:hAnsi="宋体"/>
          <w:color w:val="auto"/>
        </w:rPr>
        <w:t xml:space="preserve"> </w:t>
      </w:r>
      <w:r>
        <w:rPr>
          <w:rStyle w:val="40"/>
          <w:rFonts w:hint="eastAsia" w:ascii="宋体" w:hAnsi="宋体"/>
          <w:color w:val="auto"/>
        </w:rPr>
        <w:t>质疑函（格式）</w:t>
      </w:r>
      <w:r>
        <w:rPr>
          <w:color w:val="auto"/>
        </w:rPr>
        <w:tab/>
      </w:r>
      <w:r>
        <w:rPr>
          <w:color w:val="auto"/>
        </w:rPr>
        <w:fldChar w:fldCharType="begin"/>
      </w:r>
      <w:r>
        <w:rPr>
          <w:color w:val="auto"/>
        </w:rPr>
        <w:instrText xml:space="preserve"> PAGEREF _Toc80093018 \h </w:instrText>
      </w:r>
      <w:r>
        <w:rPr>
          <w:color w:val="auto"/>
        </w:rPr>
        <w:fldChar w:fldCharType="separate"/>
      </w:r>
      <w:r>
        <w:rPr>
          <w:color w:val="auto"/>
        </w:rPr>
        <w:t>131</w:t>
      </w:r>
      <w:r>
        <w:rPr>
          <w:color w:val="auto"/>
        </w:rPr>
        <w:fldChar w:fldCharType="end"/>
      </w:r>
      <w:r>
        <w:rPr>
          <w:color w:val="auto"/>
        </w:rPr>
        <w:fldChar w:fldCharType="end"/>
      </w:r>
    </w:p>
    <w:p w14:paraId="77784277">
      <w:pPr>
        <w:pStyle w:val="28"/>
        <w:tabs>
          <w:tab w:val="right" w:leader="dot" w:pos="9628"/>
        </w:tabs>
        <w:spacing w:line="440" w:lineRule="atLeast"/>
        <w:rPr>
          <w:b w:val="0"/>
          <w:bCs w:val="0"/>
          <w:smallCaps w:val="0"/>
          <w:color w:val="auto"/>
          <w:sz w:val="21"/>
        </w:rPr>
      </w:pPr>
      <w:r>
        <w:rPr>
          <w:color w:val="auto"/>
        </w:rPr>
        <w:fldChar w:fldCharType="begin"/>
      </w:r>
      <w:r>
        <w:rPr>
          <w:color w:val="auto"/>
        </w:rPr>
        <w:instrText xml:space="preserve"> HYPERLINK \l "_Toc80093019" </w:instrText>
      </w:r>
      <w:r>
        <w:rPr>
          <w:color w:val="auto"/>
        </w:rPr>
        <w:fldChar w:fldCharType="separate"/>
      </w:r>
      <w:r>
        <w:rPr>
          <w:rStyle w:val="40"/>
          <w:rFonts w:hint="eastAsia" w:ascii="宋体" w:hAnsi="宋体"/>
          <w:color w:val="auto"/>
        </w:rPr>
        <w:t>第二节</w:t>
      </w:r>
      <w:r>
        <w:rPr>
          <w:rStyle w:val="40"/>
          <w:rFonts w:ascii="宋体" w:hAnsi="宋体"/>
          <w:color w:val="auto"/>
        </w:rPr>
        <w:t xml:space="preserve"> </w:t>
      </w:r>
      <w:r>
        <w:rPr>
          <w:rStyle w:val="40"/>
          <w:rFonts w:hint="eastAsia" w:ascii="宋体" w:hAnsi="宋体"/>
          <w:color w:val="auto"/>
        </w:rPr>
        <w:t>投诉书（格式）</w:t>
      </w:r>
      <w:r>
        <w:rPr>
          <w:color w:val="auto"/>
        </w:rPr>
        <w:tab/>
      </w:r>
      <w:r>
        <w:rPr>
          <w:color w:val="auto"/>
        </w:rPr>
        <w:fldChar w:fldCharType="begin"/>
      </w:r>
      <w:r>
        <w:rPr>
          <w:color w:val="auto"/>
        </w:rPr>
        <w:instrText xml:space="preserve"> PAGEREF _Toc80093019 \h </w:instrText>
      </w:r>
      <w:r>
        <w:rPr>
          <w:color w:val="auto"/>
        </w:rPr>
        <w:fldChar w:fldCharType="separate"/>
      </w:r>
      <w:r>
        <w:rPr>
          <w:color w:val="auto"/>
        </w:rPr>
        <w:t>134</w:t>
      </w:r>
      <w:r>
        <w:rPr>
          <w:color w:val="auto"/>
        </w:rPr>
        <w:fldChar w:fldCharType="end"/>
      </w:r>
      <w:r>
        <w:rPr>
          <w:color w:val="auto"/>
        </w:rPr>
        <w:fldChar w:fldCharType="end"/>
      </w:r>
    </w:p>
    <w:p w14:paraId="53D819FD">
      <w:pPr>
        <w:pStyle w:val="17"/>
        <w:spacing w:line="440" w:lineRule="atLeast"/>
        <w:jc w:val="center"/>
        <w:rPr>
          <w:rFonts w:hAnsi="宋体"/>
          <w:b/>
          <w:color w:val="auto"/>
          <w:sz w:val="36"/>
          <w:szCs w:val="36"/>
        </w:rPr>
      </w:pPr>
      <w:r>
        <w:rPr>
          <w:rFonts w:ascii="Calibri" w:hAnsi="宋体"/>
          <w:b/>
          <w:bCs/>
          <w:caps/>
          <w:color w:val="auto"/>
          <w:sz w:val="28"/>
          <w:szCs w:val="28"/>
          <w:u w:val="single"/>
        </w:rPr>
        <w:fldChar w:fldCharType="end"/>
      </w:r>
      <w:bookmarkStart w:id="5" w:name="_Toc532545041"/>
      <w:bookmarkStart w:id="6" w:name="_Toc80092990"/>
      <w:r>
        <w:rPr>
          <w:rFonts w:ascii="Calibri" w:hAnsi="宋体"/>
          <w:b/>
          <w:bCs/>
          <w:caps/>
          <w:color w:val="auto"/>
          <w:sz w:val="28"/>
          <w:szCs w:val="28"/>
          <w:u w:val="single"/>
        </w:rPr>
        <w:br w:type="page"/>
      </w:r>
      <w:bookmarkStart w:id="313" w:name="_GoBack"/>
      <w:bookmarkEnd w:id="313"/>
      <w:r>
        <w:rPr>
          <w:rFonts w:hint="eastAsia" w:ascii="Times New Roman" w:hAnsi="Times New Roman"/>
          <w:b/>
          <w:color w:val="auto"/>
          <w:sz w:val="36"/>
        </w:rPr>
        <w:t>第一章</w:t>
      </w:r>
      <w:r>
        <w:rPr>
          <w:rFonts w:ascii="Times New Roman" w:hAnsi="Times New Roman"/>
          <w:b/>
          <w:color w:val="auto"/>
          <w:sz w:val="36"/>
        </w:rPr>
        <w:t xml:space="preserve">  </w:t>
      </w:r>
      <w:r>
        <w:rPr>
          <w:rFonts w:hint="eastAsia" w:ascii="Times New Roman" w:hAnsi="Times New Roman"/>
          <w:b/>
          <w:color w:val="auto"/>
          <w:sz w:val="36"/>
        </w:rPr>
        <w:t>招标公告</w:t>
      </w:r>
      <w:bookmarkEnd w:id="5"/>
      <w:bookmarkEnd w:id="6"/>
    </w:p>
    <w:p w14:paraId="10D171E0">
      <w:pPr>
        <w:pStyle w:val="17"/>
        <w:jc w:val="center"/>
        <w:rPr>
          <w:rFonts w:ascii="Times New Roman" w:hAnsi="Times New Roman"/>
          <w:b/>
          <w:color w:val="auto"/>
          <w:sz w:val="30"/>
          <w:szCs w:val="30"/>
        </w:rPr>
      </w:pPr>
      <w:r>
        <w:rPr>
          <w:rFonts w:hint="eastAsia" w:ascii="Times New Roman" w:hAnsi="Times New Roman"/>
          <w:b/>
          <w:color w:val="auto"/>
          <w:sz w:val="30"/>
          <w:szCs w:val="30"/>
        </w:rPr>
        <w:t>公开招标公告</w:t>
      </w:r>
    </w:p>
    <w:p w14:paraId="4BD2ABC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rPr>
      </w:pPr>
      <w:r>
        <w:rPr>
          <w:rFonts w:hint="eastAsia" w:ascii="宋体" w:hAnsi="宋体" w:cs="宋体"/>
          <w:color w:val="auto"/>
          <w:szCs w:val="21"/>
        </w:rPr>
        <w:t>项目概况</w:t>
      </w:r>
    </w:p>
    <w:p w14:paraId="615E53DC">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s="宋体"/>
          <w:color w:val="auto"/>
          <w:sz w:val="24"/>
          <w:u w:val="single"/>
        </w:rPr>
      </w:pPr>
      <w:r>
        <w:rPr>
          <w:rFonts w:hint="eastAsia" w:ascii="宋体" w:hAnsi="宋体" w:cs="宋体"/>
          <w:color w:val="auto"/>
          <w:szCs w:val="21"/>
          <w:u w:val="single"/>
        </w:rPr>
        <w:t xml:space="preserve">南宁职业技术大学跨境电子商务专业群赛训平台类项目采购 </w:t>
      </w:r>
      <w:r>
        <w:rPr>
          <w:rFonts w:hint="eastAsia" w:ascii="宋体" w:hAnsi="宋体" w:cs="宋体"/>
          <w:color w:val="auto"/>
          <w:szCs w:val="21"/>
        </w:rPr>
        <w:t>招标项目的潜在投标人应在</w:t>
      </w:r>
      <w:r>
        <w:rPr>
          <w:rFonts w:hint="eastAsia" w:ascii="宋体" w:hAnsi="宋体" w:cs="宋体"/>
          <w:color w:val="auto"/>
          <w:szCs w:val="21"/>
          <w:lang w:eastAsia="zh-CN"/>
        </w:rPr>
        <w:t>广西政府采购云平台</w:t>
      </w:r>
      <w:r>
        <w:rPr>
          <w:rFonts w:hint="eastAsia" w:ascii="宋体" w:hAnsi="宋体" w:cs="宋体"/>
          <w:color w:val="auto"/>
          <w:szCs w:val="21"/>
        </w:rPr>
        <w:t>（</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40"/>
          <w:rFonts w:hint="eastAsia" w:ascii="宋体" w:hAnsi="宋体" w:cs="宋体"/>
          <w:color w:val="auto"/>
          <w:szCs w:val="21"/>
        </w:rPr>
        <w:t>https://</w:t>
      </w:r>
      <w:r>
        <w:rPr>
          <w:rStyle w:val="40"/>
          <w:rFonts w:hint="eastAsia" w:ascii="宋体" w:hAnsi="宋体" w:cs="宋体"/>
          <w:color w:val="auto"/>
          <w:szCs w:val="21"/>
          <w:lang w:eastAsia="zh-CN"/>
        </w:rPr>
        <w:t>www.gcy.zfcg.gxzf.gov.cn</w:t>
      </w:r>
      <w:r>
        <w:rPr>
          <w:rStyle w:val="40"/>
          <w:rFonts w:hint="eastAsia" w:ascii="宋体" w:hAnsi="宋体" w:cs="宋体"/>
          <w:color w:val="auto"/>
          <w:szCs w:val="21"/>
        </w:rPr>
        <w:t>/）获取（下载）招标文件，并于2024年</w:t>
      </w:r>
      <w:r>
        <w:rPr>
          <w:rStyle w:val="40"/>
          <w:rFonts w:hint="eastAsia" w:ascii="宋体" w:hAnsi="宋体" w:cs="宋体"/>
          <w:color w:val="auto"/>
          <w:szCs w:val="21"/>
        </w:rPr>
        <w:fldChar w:fldCharType="end"/>
      </w:r>
      <w:r>
        <w:rPr>
          <w:rFonts w:hint="eastAsia" w:ascii="宋体" w:hAnsi="宋体" w:cs="宋体"/>
          <w:color w:val="auto"/>
          <w:szCs w:val="21"/>
          <w:u w:val="single"/>
          <w:lang w:val="en-US" w:eastAsia="zh-CN"/>
        </w:rPr>
        <w:t>12月20日</w:t>
      </w:r>
      <w:r>
        <w:rPr>
          <w:rFonts w:hint="eastAsia" w:ascii="宋体" w:hAnsi="宋体" w:cs="宋体"/>
          <w:color w:val="auto"/>
          <w:szCs w:val="21"/>
          <w:u w:val="single"/>
        </w:rPr>
        <w:t>09</w:t>
      </w:r>
      <w:r>
        <w:rPr>
          <w:rFonts w:hint="eastAsia" w:ascii="宋体" w:hAnsi="宋体" w:cs="宋体"/>
          <w:bCs/>
          <w:color w:val="auto"/>
          <w:szCs w:val="21"/>
          <w:u w:val="single"/>
        </w:rPr>
        <w:t>点30分</w:t>
      </w:r>
      <w:r>
        <w:rPr>
          <w:rFonts w:hint="eastAsia" w:ascii="宋体" w:hAnsi="宋体" w:cs="宋体"/>
          <w:bCs/>
          <w:color w:val="auto"/>
          <w:szCs w:val="21"/>
        </w:rPr>
        <w:t>（北京时间）前</w:t>
      </w:r>
      <w:r>
        <w:rPr>
          <w:rFonts w:hint="eastAsia" w:ascii="宋体" w:hAnsi="宋体" w:cs="宋体"/>
          <w:color w:val="auto"/>
          <w:szCs w:val="21"/>
        </w:rPr>
        <w:t>递交（上传）投标文件。</w:t>
      </w:r>
    </w:p>
    <w:p w14:paraId="0AA02C73">
      <w:pPr>
        <w:spacing w:line="480" w:lineRule="atLeast"/>
        <w:rPr>
          <w:rFonts w:ascii="黑体" w:hAnsi="黑体" w:eastAsia="黑体"/>
          <w:b/>
          <w:bCs/>
          <w:color w:val="auto"/>
          <w:sz w:val="24"/>
        </w:rPr>
      </w:pPr>
      <w:bookmarkStart w:id="7" w:name="_Toc28359002"/>
      <w:bookmarkStart w:id="8" w:name="_Toc35393621"/>
      <w:bookmarkStart w:id="9" w:name="_Toc28359079"/>
      <w:bookmarkStart w:id="10" w:name="_Toc35393790"/>
      <w:bookmarkStart w:id="11" w:name="_Hlk24379207"/>
      <w:r>
        <w:rPr>
          <w:rFonts w:hint="eastAsia" w:ascii="黑体" w:hAnsi="黑体" w:eastAsia="黑体"/>
          <w:b/>
          <w:bCs/>
          <w:color w:val="auto"/>
          <w:sz w:val="24"/>
        </w:rPr>
        <w:t>一、项目基本情况</w:t>
      </w:r>
      <w:bookmarkEnd w:id="7"/>
      <w:bookmarkEnd w:id="8"/>
      <w:bookmarkEnd w:id="9"/>
      <w:bookmarkEnd w:id="10"/>
    </w:p>
    <w:p w14:paraId="7E1B4941">
      <w:pPr>
        <w:spacing w:line="480" w:lineRule="atLeast"/>
        <w:ind w:firstLine="420" w:firstLineChars="200"/>
        <w:rPr>
          <w:rFonts w:ascii="宋体" w:hAnsi="宋体"/>
          <w:color w:val="auto"/>
          <w:szCs w:val="21"/>
        </w:rPr>
      </w:pPr>
      <w:r>
        <w:rPr>
          <w:rFonts w:hint="eastAsia" w:ascii="宋体" w:hAnsi="宋体"/>
          <w:color w:val="auto"/>
          <w:szCs w:val="21"/>
        </w:rPr>
        <w:t xml:space="preserve">项目编号：NNZC2024-G1-991721-GXTZ   </w:t>
      </w:r>
      <w:r>
        <w:rPr>
          <w:rFonts w:hint="eastAsia" w:ascii="宋体" w:hAnsi="宋体" w:cs="宋体"/>
          <w:color w:val="auto"/>
          <w:szCs w:val="21"/>
        </w:rPr>
        <w:t>采购计划文号：NNZC[2024]8490号</w:t>
      </w:r>
    </w:p>
    <w:p w14:paraId="36F69274">
      <w:pPr>
        <w:spacing w:line="480" w:lineRule="atLeast"/>
        <w:ind w:firstLine="420" w:firstLineChars="200"/>
        <w:rPr>
          <w:rFonts w:ascii="宋体" w:hAnsi="宋体"/>
          <w:color w:val="auto"/>
          <w:szCs w:val="21"/>
        </w:rPr>
      </w:pPr>
      <w:r>
        <w:rPr>
          <w:rFonts w:hint="eastAsia" w:ascii="宋体" w:hAnsi="宋体"/>
          <w:color w:val="auto"/>
          <w:szCs w:val="21"/>
        </w:rPr>
        <w:t>项目名称：南宁职业技术大学跨境电子商务专业群赛训平台类项目采购</w:t>
      </w:r>
    </w:p>
    <w:bookmarkEnd w:id="11"/>
    <w:p w14:paraId="2B5054CF">
      <w:pPr>
        <w:spacing w:line="480" w:lineRule="atLeast"/>
        <w:ind w:firstLine="420" w:firstLineChars="200"/>
        <w:rPr>
          <w:rFonts w:ascii="宋体" w:hAnsi="宋体"/>
          <w:color w:val="auto"/>
          <w:szCs w:val="21"/>
          <w:u w:val="single"/>
        </w:rPr>
      </w:pPr>
      <w:r>
        <w:rPr>
          <w:rFonts w:hint="eastAsia" w:ascii="宋体" w:hAnsi="宋体"/>
          <w:color w:val="auto"/>
          <w:szCs w:val="21"/>
        </w:rPr>
        <w:t>预算金额：</w:t>
      </w:r>
      <w:r>
        <w:rPr>
          <w:rFonts w:ascii="宋体" w:hAnsi="宋体"/>
          <w:color w:val="auto"/>
          <w:szCs w:val="21"/>
          <w:u w:val="single"/>
        </w:rPr>
        <w:t xml:space="preserve"> </w:t>
      </w:r>
      <w:r>
        <w:rPr>
          <w:rFonts w:hint="eastAsia" w:ascii="宋体" w:hAnsi="宋体"/>
          <w:color w:val="auto"/>
          <w:szCs w:val="21"/>
          <w:u w:val="single"/>
        </w:rPr>
        <w:t>1</w:t>
      </w:r>
      <w:r>
        <w:rPr>
          <w:rFonts w:ascii="宋体" w:hAnsi="宋体"/>
          <w:color w:val="auto"/>
          <w:szCs w:val="21"/>
          <w:u w:val="single"/>
        </w:rPr>
        <w:t xml:space="preserve"> </w:t>
      </w:r>
      <w:r>
        <w:rPr>
          <w:rFonts w:hint="eastAsia" w:ascii="宋体" w:hAnsi="宋体"/>
          <w:color w:val="auto"/>
          <w:szCs w:val="21"/>
        </w:rPr>
        <w:t>分标</w:t>
      </w:r>
      <w:r>
        <w:rPr>
          <w:rFonts w:hint="eastAsia" w:ascii="宋体" w:hAnsi="宋体"/>
          <w:color w:val="auto"/>
          <w:szCs w:val="21"/>
          <w:u w:val="single"/>
        </w:rPr>
        <w:t xml:space="preserve"> 240,000.00</w:t>
      </w:r>
      <w:r>
        <w:rPr>
          <w:rFonts w:hint="eastAsia" w:ascii="宋体" w:hAnsi="宋体"/>
          <w:color w:val="auto"/>
          <w:szCs w:val="21"/>
        </w:rPr>
        <w:t>元；</w:t>
      </w:r>
      <w:r>
        <w:rPr>
          <w:rFonts w:ascii="宋体" w:hAnsi="宋体"/>
          <w:color w:val="auto"/>
          <w:szCs w:val="21"/>
          <w:u w:val="single"/>
        </w:rPr>
        <w:t xml:space="preserve"> </w:t>
      </w:r>
      <w:r>
        <w:rPr>
          <w:rFonts w:hint="eastAsia" w:ascii="宋体" w:hAnsi="宋体"/>
          <w:color w:val="auto"/>
          <w:szCs w:val="21"/>
          <w:u w:val="single"/>
        </w:rPr>
        <w:t>2</w:t>
      </w:r>
      <w:r>
        <w:rPr>
          <w:rFonts w:ascii="宋体" w:hAnsi="宋体"/>
          <w:color w:val="auto"/>
          <w:szCs w:val="21"/>
          <w:u w:val="single"/>
        </w:rPr>
        <w:t xml:space="preserve"> </w:t>
      </w:r>
      <w:r>
        <w:rPr>
          <w:rFonts w:hint="eastAsia" w:ascii="宋体" w:hAnsi="宋体"/>
          <w:color w:val="auto"/>
          <w:szCs w:val="21"/>
        </w:rPr>
        <w:t>分标</w:t>
      </w:r>
      <w:r>
        <w:rPr>
          <w:rFonts w:hint="eastAsia" w:ascii="宋体" w:hAnsi="宋体"/>
          <w:color w:val="auto"/>
          <w:szCs w:val="21"/>
          <w:u w:val="single"/>
        </w:rPr>
        <w:t xml:space="preserve"> 200,000.00</w:t>
      </w:r>
      <w:r>
        <w:rPr>
          <w:rFonts w:hint="eastAsia" w:ascii="宋体" w:hAnsi="宋体"/>
          <w:color w:val="auto"/>
          <w:szCs w:val="21"/>
        </w:rPr>
        <w:t>元；</w:t>
      </w:r>
      <w:r>
        <w:rPr>
          <w:rFonts w:ascii="宋体" w:hAnsi="宋体"/>
          <w:color w:val="auto"/>
          <w:szCs w:val="21"/>
          <w:u w:val="single"/>
        </w:rPr>
        <w:t xml:space="preserve"> </w:t>
      </w:r>
      <w:r>
        <w:rPr>
          <w:rFonts w:hint="eastAsia" w:ascii="宋体" w:hAnsi="宋体"/>
          <w:color w:val="auto"/>
          <w:szCs w:val="21"/>
          <w:u w:val="single"/>
        </w:rPr>
        <w:t>3</w:t>
      </w:r>
      <w:r>
        <w:rPr>
          <w:rFonts w:ascii="宋体" w:hAnsi="宋体"/>
          <w:color w:val="auto"/>
          <w:szCs w:val="21"/>
          <w:u w:val="single"/>
        </w:rPr>
        <w:t xml:space="preserve"> </w:t>
      </w:r>
      <w:r>
        <w:rPr>
          <w:rFonts w:hint="eastAsia" w:ascii="宋体" w:hAnsi="宋体"/>
          <w:color w:val="auto"/>
          <w:szCs w:val="21"/>
        </w:rPr>
        <w:t>分标</w:t>
      </w:r>
      <w:r>
        <w:rPr>
          <w:rFonts w:hint="eastAsia" w:ascii="宋体" w:hAnsi="宋体"/>
          <w:color w:val="auto"/>
          <w:szCs w:val="21"/>
          <w:u w:val="single"/>
        </w:rPr>
        <w:t xml:space="preserve"> 200,000.00</w:t>
      </w:r>
      <w:r>
        <w:rPr>
          <w:rFonts w:hint="eastAsia" w:ascii="宋体" w:hAnsi="宋体"/>
          <w:color w:val="auto"/>
          <w:szCs w:val="21"/>
        </w:rPr>
        <w:t>元。</w:t>
      </w:r>
    </w:p>
    <w:p w14:paraId="0199DB53">
      <w:pPr>
        <w:spacing w:line="480" w:lineRule="atLeast"/>
        <w:ind w:firstLine="420" w:firstLineChars="200"/>
        <w:rPr>
          <w:rFonts w:ascii="宋体" w:hAnsi="宋体"/>
          <w:color w:val="auto"/>
          <w:szCs w:val="21"/>
        </w:rPr>
      </w:pPr>
      <w:r>
        <w:rPr>
          <w:rFonts w:hint="eastAsia" w:ascii="宋体" w:hAnsi="宋体"/>
          <w:color w:val="auto"/>
          <w:szCs w:val="21"/>
        </w:rPr>
        <w:t>采购需求：</w:t>
      </w:r>
    </w:p>
    <w:p w14:paraId="52330937">
      <w:pPr>
        <w:spacing w:line="480" w:lineRule="atLeast"/>
        <w:ind w:firstLine="420" w:firstLineChars="200"/>
        <w:rPr>
          <w:rFonts w:ascii="宋体" w:hAnsi="宋体"/>
          <w:color w:val="auto"/>
          <w:szCs w:val="21"/>
        </w:rPr>
      </w:pPr>
      <w:r>
        <w:rPr>
          <w:rFonts w:ascii="宋体" w:hAnsi="宋体"/>
          <w:color w:val="auto"/>
          <w:szCs w:val="21"/>
          <w:u w:val="single"/>
        </w:rPr>
        <w:t xml:space="preserve"> </w:t>
      </w:r>
      <w:r>
        <w:rPr>
          <w:rFonts w:hint="eastAsia" w:ascii="宋体" w:hAnsi="宋体"/>
          <w:color w:val="auto"/>
          <w:szCs w:val="21"/>
          <w:u w:val="single"/>
        </w:rPr>
        <w:t>1</w:t>
      </w:r>
      <w:r>
        <w:rPr>
          <w:rFonts w:ascii="宋体" w:hAnsi="宋体"/>
          <w:color w:val="auto"/>
          <w:szCs w:val="21"/>
          <w:u w:val="single"/>
        </w:rPr>
        <w:t xml:space="preserve"> </w:t>
      </w:r>
      <w:r>
        <w:rPr>
          <w:rFonts w:hint="eastAsia" w:ascii="宋体" w:hAnsi="宋体"/>
          <w:color w:val="auto"/>
          <w:szCs w:val="21"/>
        </w:rPr>
        <w:t>分标：</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7"/>
        <w:gridCol w:w="4740"/>
        <w:gridCol w:w="1335"/>
        <w:gridCol w:w="2745"/>
      </w:tblGrid>
      <w:tr w14:paraId="00422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97" w:type="dxa"/>
            <w:tcBorders>
              <w:top w:val="single" w:color="auto" w:sz="4" w:space="0"/>
              <w:left w:val="single" w:color="auto" w:sz="4" w:space="0"/>
              <w:bottom w:val="single" w:color="auto" w:sz="4" w:space="0"/>
              <w:right w:val="single" w:color="auto" w:sz="4" w:space="0"/>
            </w:tcBorders>
            <w:vAlign w:val="center"/>
          </w:tcPr>
          <w:p w14:paraId="5859BDE1">
            <w:pPr>
              <w:adjustRightInd w:val="0"/>
              <w:snapToGrid w:val="0"/>
              <w:spacing w:line="360" w:lineRule="atLeast"/>
              <w:jc w:val="center"/>
              <w:rPr>
                <w:rFonts w:ascii="宋体" w:hAnsi="宋体"/>
                <w:color w:val="auto"/>
                <w:szCs w:val="21"/>
              </w:rPr>
            </w:pPr>
            <w:r>
              <w:rPr>
                <w:rFonts w:hint="eastAsia" w:ascii="宋体" w:hAnsi="宋体"/>
                <w:color w:val="auto"/>
                <w:szCs w:val="21"/>
              </w:rPr>
              <w:t>序号</w:t>
            </w:r>
          </w:p>
        </w:tc>
        <w:tc>
          <w:tcPr>
            <w:tcW w:w="4740" w:type="dxa"/>
            <w:tcBorders>
              <w:top w:val="single" w:color="auto" w:sz="4" w:space="0"/>
              <w:left w:val="single" w:color="auto" w:sz="4" w:space="0"/>
              <w:bottom w:val="single" w:color="auto" w:sz="4" w:space="0"/>
              <w:right w:val="single" w:color="auto" w:sz="4" w:space="0"/>
            </w:tcBorders>
            <w:vAlign w:val="center"/>
          </w:tcPr>
          <w:p w14:paraId="47BC6E01">
            <w:pPr>
              <w:adjustRightInd w:val="0"/>
              <w:snapToGrid w:val="0"/>
              <w:spacing w:line="360" w:lineRule="atLeast"/>
              <w:jc w:val="center"/>
              <w:rPr>
                <w:rFonts w:ascii="宋体" w:hAnsi="宋体"/>
                <w:color w:val="auto"/>
                <w:szCs w:val="21"/>
              </w:rPr>
            </w:pPr>
            <w:r>
              <w:rPr>
                <w:rFonts w:hint="eastAsia" w:ascii="宋体" w:hAnsi="宋体"/>
                <w:color w:val="auto"/>
                <w:szCs w:val="21"/>
              </w:rPr>
              <w:t>标的的名称</w:t>
            </w:r>
          </w:p>
        </w:tc>
        <w:tc>
          <w:tcPr>
            <w:tcW w:w="1335" w:type="dxa"/>
            <w:tcBorders>
              <w:top w:val="single" w:color="auto" w:sz="4" w:space="0"/>
              <w:left w:val="single" w:color="auto" w:sz="4" w:space="0"/>
              <w:bottom w:val="single" w:color="auto" w:sz="4" w:space="0"/>
              <w:right w:val="single" w:color="auto" w:sz="4" w:space="0"/>
            </w:tcBorders>
            <w:vAlign w:val="center"/>
          </w:tcPr>
          <w:p w14:paraId="5ED5CD7F">
            <w:pPr>
              <w:adjustRightInd w:val="0"/>
              <w:snapToGrid w:val="0"/>
              <w:spacing w:line="360" w:lineRule="atLeast"/>
              <w:jc w:val="center"/>
              <w:rPr>
                <w:rFonts w:ascii="宋体" w:hAnsi="宋体"/>
                <w:color w:val="auto"/>
                <w:szCs w:val="21"/>
              </w:rPr>
            </w:pPr>
            <w:r>
              <w:rPr>
                <w:rFonts w:hint="eastAsia" w:ascii="宋体" w:hAnsi="宋体"/>
                <w:color w:val="auto"/>
                <w:szCs w:val="21"/>
              </w:rPr>
              <w:t>数量及</w:t>
            </w:r>
          </w:p>
          <w:p w14:paraId="1BA8689F">
            <w:pPr>
              <w:adjustRightInd w:val="0"/>
              <w:snapToGrid w:val="0"/>
              <w:spacing w:line="360" w:lineRule="atLeast"/>
              <w:jc w:val="center"/>
              <w:rPr>
                <w:rFonts w:ascii="宋体" w:hAnsi="宋体"/>
                <w:color w:val="auto"/>
                <w:szCs w:val="21"/>
              </w:rPr>
            </w:pPr>
            <w:r>
              <w:rPr>
                <w:rFonts w:hint="eastAsia" w:ascii="宋体" w:hAnsi="宋体"/>
                <w:color w:val="auto"/>
                <w:szCs w:val="21"/>
              </w:rPr>
              <w:t>单位</w:t>
            </w:r>
          </w:p>
        </w:tc>
        <w:tc>
          <w:tcPr>
            <w:tcW w:w="2745" w:type="dxa"/>
            <w:tcBorders>
              <w:top w:val="single" w:color="auto" w:sz="4" w:space="0"/>
              <w:left w:val="single" w:color="auto" w:sz="4" w:space="0"/>
              <w:bottom w:val="single" w:color="auto" w:sz="4" w:space="0"/>
              <w:right w:val="single" w:color="auto" w:sz="4" w:space="0"/>
            </w:tcBorders>
            <w:vAlign w:val="center"/>
          </w:tcPr>
          <w:p w14:paraId="6AE0DD92">
            <w:pPr>
              <w:adjustRightInd w:val="0"/>
              <w:snapToGrid w:val="0"/>
              <w:spacing w:line="360" w:lineRule="atLeast"/>
              <w:jc w:val="center"/>
              <w:rPr>
                <w:rFonts w:ascii="宋体" w:hAnsi="宋体"/>
                <w:color w:val="auto"/>
                <w:szCs w:val="21"/>
              </w:rPr>
            </w:pPr>
            <w:r>
              <w:rPr>
                <w:rFonts w:hint="eastAsia" w:ascii="宋体" w:hAnsi="宋体"/>
                <w:color w:val="auto"/>
                <w:szCs w:val="21"/>
              </w:rPr>
              <w:t>简要技术需求或者服务要求</w:t>
            </w:r>
          </w:p>
        </w:tc>
      </w:tr>
      <w:tr w14:paraId="3C1EE6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7" w:type="dxa"/>
            <w:tcBorders>
              <w:top w:val="single" w:color="auto" w:sz="4" w:space="0"/>
              <w:left w:val="single" w:color="auto" w:sz="4" w:space="0"/>
              <w:bottom w:val="single" w:color="auto" w:sz="4" w:space="0"/>
              <w:right w:val="single" w:color="auto" w:sz="4" w:space="0"/>
            </w:tcBorders>
            <w:vAlign w:val="center"/>
          </w:tcPr>
          <w:p w14:paraId="7F6C700A">
            <w:pPr>
              <w:adjustRightInd w:val="0"/>
              <w:snapToGrid w:val="0"/>
              <w:spacing w:line="360" w:lineRule="atLeast"/>
              <w:jc w:val="center"/>
              <w:rPr>
                <w:rFonts w:ascii="宋体" w:hAnsi="宋体"/>
                <w:color w:val="auto"/>
                <w:szCs w:val="21"/>
              </w:rPr>
            </w:pPr>
            <w:r>
              <w:rPr>
                <w:rFonts w:hint="eastAsia" w:ascii="宋体" w:hAnsi="宋体"/>
                <w:color w:val="auto"/>
                <w:szCs w:val="21"/>
              </w:rPr>
              <w:t>01</w:t>
            </w:r>
          </w:p>
        </w:tc>
        <w:tc>
          <w:tcPr>
            <w:tcW w:w="4740" w:type="dxa"/>
            <w:tcBorders>
              <w:top w:val="single" w:color="auto" w:sz="4" w:space="0"/>
              <w:left w:val="single" w:color="auto" w:sz="4" w:space="0"/>
              <w:bottom w:val="single" w:color="auto" w:sz="4" w:space="0"/>
              <w:right w:val="single" w:color="auto" w:sz="4" w:space="0"/>
            </w:tcBorders>
            <w:vAlign w:val="center"/>
          </w:tcPr>
          <w:p w14:paraId="4A0F577C">
            <w:pPr>
              <w:tabs>
                <w:tab w:val="left" w:pos="1440"/>
              </w:tabs>
              <w:adjustRightInd w:val="0"/>
              <w:snapToGrid w:val="0"/>
              <w:spacing w:line="360" w:lineRule="atLeast"/>
              <w:jc w:val="center"/>
              <w:rPr>
                <w:rFonts w:ascii="宋体" w:hAnsi="宋体"/>
                <w:color w:val="auto"/>
                <w:szCs w:val="21"/>
              </w:rPr>
            </w:pPr>
            <w:r>
              <w:rPr>
                <w:rFonts w:hint="eastAsia" w:ascii="宋体" w:hAnsi="宋体"/>
                <w:color w:val="auto"/>
                <w:szCs w:val="21"/>
              </w:rPr>
              <w:t>财务数字化训赛平台</w:t>
            </w:r>
          </w:p>
        </w:tc>
        <w:tc>
          <w:tcPr>
            <w:tcW w:w="1335" w:type="dxa"/>
            <w:tcBorders>
              <w:top w:val="single" w:color="auto" w:sz="4" w:space="0"/>
              <w:left w:val="single" w:color="auto" w:sz="4" w:space="0"/>
              <w:bottom w:val="single" w:color="auto" w:sz="4" w:space="0"/>
              <w:right w:val="single" w:color="auto" w:sz="4" w:space="0"/>
            </w:tcBorders>
            <w:vAlign w:val="center"/>
          </w:tcPr>
          <w:p w14:paraId="55248AF9">
            <w:pPr>
              <w:adjustRightInd w:val="0"/>
              <w:snapToGrid w:val="0"/>
              <w:spacing w:line="360" w:lineRule="atLeast"/>
              <w:jc w:val="center"/>
              <w:rPr>
                <w:rFonts w:ascii="宋体" w:hAnsi="宋体"/>
                <w:color w:val="auto"/>
                <w:szCs w:val="21"/>
              </w:rPr>
            </w:pPr>
            <w:r>
              <w:rPr>
                <w:rFonts w:hint="eastAsia" w:ascii="宋体" w:hAnsi="宋体"/>
                <w:color w:val="auto"/>
                <w:szCs w:val="21"/>
              </w:rPr>
              <w:t>1套</w:t>
            </w:r>
          </w:p>
        </w:tc>
        <w:tc>
          <w:tcPr>
            <w:tcW w:w="2745" w:type="dxa"/>
            <w:vMerge w:val="restart"/>
            <w:tcBorders>
              <w:top w:val="single" w:color="auto" w:sz="4" w:space="0"/>
              <w:left w:val="single" w:color="auto" w:sz="4" w:space="0"/>
              <w:right w:val="single" w:color="auto" w:sz="4" w:space="0"/>
            </w:tcBorders>
            <w:vAlign w:val="center"/>
          </w:tcPr>
          <w:p w14:paraId="4E0BEC0A">
            <w:pPr>
              <w:adjustRightInd w:val="0"/>
              <w:snapToGrid w:val="0"/>
              <w:spacing w:line="360" w:lineRule="atLeast"/>
              <w:jc w:val="center"/>
              <w:rPr>
                <w:rFonts w:ascii="宋体" w:hAnsi="宋体"/>
                <w:color w:val="auto"/>
                <w:szCs w:val="21"/>
              </w:rPr>
            </w:pPr>
            <w:r>
              <w:rPr>
                <w:rFonts w:hint="eastAsia" w:ascii="宋体" w:hAnsi="宋体"/>
                <w:color w:val="auto"/>
                <w:szCs w:val="21"/>
              </w:rPr>
              <w:t>具体需求详见货物需求</w:t>
            </w:r>
          </w:p>
          <w:p w14:paraId="3E6FA481">
            <w:pPr>
              <w:adjustRightInd w:val="0"/>
              <w:snapToGrid w:val="0"/>
              <w:spacing w:line="360" w:lineRule="atLeast"/>
              <w:jc w:val="center"/>
              <w:rPr>
                <w:rFonts w:ascii="宋体" w:hAnsi="宋体"/>
                <w:color w:val="auto"/>
                <w:szCs w:val="21"/>
              </w:rPr>
            </w:pPr>
            <w:r>
              <w:rPr>
                <w:rFonts w:hint="eastAsia" w:ascii="宋体" w:hAnsi="宋体"/>
                <w:color w:val="auto"/>
                <w:szCs w:val="21"/>
              </w:rPr>
              <w:t>一览表。</w:t>
            </w:r>
          </w:p>
        </w:tc>
      </w:tr>
      <w:tr w14:paraId="03217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997" w:type="dxa"/>
            <w:tcBorders>
              <w:top w:val="single" w:color="auto" w:sz="4" w:space="0"/>
              <w:left w:val="single" w:color="auto" w:sz="4" w:space="0"/>
              <w:bottom w:val="single" w:color="auto" w:sz="4" w:space="0"/>
              <w:right w:val="single" w:color="auto" w:sz="4" w:space="0"/>
            </w:tcBorders>
            <w:vAlign w:val="center"/>
          </w:tcPr>
          <w:p w14:paraId="0AC5AC9A">
            <w:pPr>
              <w:adjustRightInd w:val="0"/>
              <w:snapToGrid w:val="0"/>
              <w:spacing w:line="360" w:lineRule="atLeast"/>
              <w:jc w:val="center"/>
              <w:rPr>
                <w:rFonts w:ascii="宋体" w:hAnsi="宋体"/>
                <w:color w:val="auto"/>
                <w:szCs w:val="21"/>
              </w:rPr>
            </w:pPr>
            <w:r>
              <w:rPr>
                <w:rFonts w:hint="eastAsia" w:ascii="宋体" w:hAnsi="宋体"/>
                <w:color w:val="auto"/>
                <w:szCs w:val="21"/>
              </w:rPr>
              <w:t>0</w:t>
            </w:r>
            <w:r>
              <w:rPr>
                <w:rFonts w:ascii="宋体" w:hAnsi="宋体"/>
                <w:color w:val="auto"/>
                <w:szCs w:val="21"/>
              </w:rPr>
              <w:t>2</w:t>
            </w:r>
          </w:p>
        </w:tc>
        <w:tc>
          <w:tcPr>
            <w:tcW w:w="4740" w:type="dxa"/>
            <w:tcBorders>
              <w:top w:val="single" w:color="auto" w:sz="4" w:space="0"/>
              <w:left w:val="single" w:color="auto" w:sz="4" w:space="0"/>
              <w:bottom w:val="single" w:color="auto" w:sz="4" w:space="0"/>
              <w:right w:val="single" w:color="auto" w:sz="4" w:space="0"/>
            </w:tcBorders>
            <w:vAlign w:val="center"/>
          </w:tcPr>
          <w:p w14:paraId="117BFB71">
            <w:pPr>
              <w:tabs>
                <w:tab w:val="left" w:pos="1440"/>
              </w:tabs>
              <w:adjustRightInd w:val="0"/>
              <w:snapToGrid w:val="0"/>
              <w:spacing w:line="360" w:lineRule="atLeast"/>
              <w:jc w:val="center"/>
              <w:rPr>
                <w:rFonts w:ascii="宋体" w:hAnsi="宋体"/>
                <w:color w:val="auto"/>
                <w:szCs w:val="21"/>
              </w:rPr>
            </w:pPr>
            <w:r>
              <w:rPr>
                <w:rFonts w:hint="eastAsia" w:ascii="宋体" w:hAnsi="宋体"/>
                <w:color w:val="auto"/>
                <w:szCs w:val="21"/>
              </w:rPr>
              <w:t>会计实务企业案例库（C包）</w:t>
            </w:r>
          </w:p>
        </w:tc>
        <w:tc>
          <w:tcPr>
            <w:tcW w:w="1335" w:type="dxa"/>
            <w:tcBorders>
              <w:top w:val="single" w:color="auto" w:sz="4" w:space="0"/>
              <w:left w:val="single" w:color="auto" w:sz="4" w:space="0"/>
              <w:bottom w:val="single" w:color="auto" w:sz="4" w:space="0"/>
              <w:right w:val="single" w:color="auto" w:sz="4" w:space="0"/>
            </w:tcBorders>
            <w:vAlign w:val="center"/>
          </w:tcPr>
          <w:p w14:paraId="6C86C9B9">
            <w:pPr>
              <w:adjustRightInd w:val="0"/>
              <w:snapToGrid w:val="0"/>
              <w:spacing w:line="360" w:lineRule="atLeast"/>
              <w:jc w:val="center"/>
              <w:rPr>
                <w:rFonts w:ascii="宋体" w:hAnsi="宋体"/>
                <w:color w:val="auto"/>
                <w:szCs w:val="21"/>
              </w:rPr>
            </w:pPr>
            <w:r>
              <w:rPr>
                <w:rFonts w:hint="eastAsia" w:ascii="宋体" w:hAnsi="宋体"/>
                <w:color w:val="auto"/>
                <w:szCs w:val="21"/>
              </w:rPr>
              <w:t>1套</w:t>
            </w:r>
          </w:p>
        </w:tc>
        <w:tc>
          <w:tcPr>
            <w:tcW w:w="2745" w:type="dxa"/>
            <w:vMerge w:val="continue"/>
            <w:tcBorders>
              <w:left w:val="single" w:color="auto" w:sz="4" w:space="0"/>
              <w:right w:val="single" w:color="auto" w:sz="4" w:space="0"/>
            </w:tcBorders>
            <w:vAlign w:val="center"/>
          </w:tcPr>
          <w:p w14:paraId="7FE97128">
            <w:pPr>
              <w:adjustRightInd w:val="0"/>
              <w:snapToGrid w:val="0"/>
              <w:spacing w:line="360" w:lineRule="atLeast"/>
              <w:jc w:val="center"/>
              <w:rPr>
                <w:rFonts w:ascii="宋体" w:hAnsi="宋体"/>
                <w:color w:val="auto"/>
                <w:szCs w:val="21"/>
              </w:rPr>
            </w:pPr>
          </w:p>
        </w:tc>
      </w:tr>
    </w:tbl>
    <w:p w14:paraId="0B8DD4D1">
      <w:pPr>
        <w:spacing w:line="480" w:lineRule="atLeast"/>
        <w:ind w:firstLine="420" w:firstLineChars="200"/>
        <w:rPr>
          <w:rFonts w:ascii="宋体" w:hAnsi="宋体"/>
          <w:color w:val="auto"/>
          <w:szCs w:val="21"/>
          <w:u w:val="single"/>
        </w:rPr>
      </w:pPr>
      <w:r>
        <w:rPr>
          <w:rFonts w:hint="eastAsia" w:ascii="宋体" w:hAnsi="宋体"/>
          <w:color w:val="auto"/>
          <w:szCs w:val="21"/>
        </w:rPr>
        <w:t>合同履行期限：具体需求详见货物需求一览表。</w:t>
      </w:r>
    </w:p>
    <w:p w14:paraId="21FDBB95">
      <w:pPr>
        <w:spacing w:line="480" w:lineRule="atLeast"/>
        <w:ind w:firstLine="420" w:firstLineChars="200"/>
        <w:rPr>
          <w:rFonts w:ascii="宋体" w:hAnsi="宋体"/>
          <w:color w:val="auto"/>
          <w:szCs w:val="21"/>
        </w:rPr>
      </w:pPr>
      <w:r>
        <w:rPr>
          <w:rFonts w:ascii="宋体" w:hAnsi="宋体"/>
          <w:color w:val="auto"/>
          <w:szCs w:val="21"/>
          <w:u w:val="single"/>
        </w:rPr>
        <w:t xml:space="preserve"> </w:t>
      </w:r>
      <w:r>
        <w:rPr>
          <w:rFonts w:hint="eastAsia" w:ascii="宋体" w:hAnsi="宋体"/>
          <w:color w:val="auto"/>
          <w:szCs w:val="21"/>
          <w:u w:val="single"/>
        </w:rPr>
        <w:t>2</w:t>
      </w:r>
      <w:r>
        <w:rPr>
          <w:rFonts w:ascii="宋体" w:hAnsi="宋体"/>
          <w:color w:val="auto"/>
          <w:szCs w:val="21"/>
          <w:u w:val="single"/>
        </w:rPr>
        <w:t xml:space="preserve"> </w:t>
      </w:r>
      <w:r>
        <w:rPr>
          <w:rFonts w:hint="eastAsia" w:ascii="宋体" w:hAnsi="宋体"/>
          <w:color w:val="auto"/>
          <w:szCs w:val="21"/>
        </w:rPr>
        <w:t>分标：</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7"/>
        <w:gridCol w:w="4740"/>
        <w:gridCol w:w="1335"/>
        <w:gridCol w:w="2745"/>
      </w:tblGrid>
      <w:tr w14:paraId="0329B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7" w:type="dxa"/>
            <w:tcBorders>
              <w:top w:val="single" w:color="auto" w:sz="4" w:space="0"/>
              <w:left w:val="single" w:color="auto" w:sz="4" w:space="0"/>
              <w:bottom w:val="single" w:color="auto" w:sz="4" w:space="0"/>
              <w:right w:val="single" w:color="auto" w:sz="4" w:space="0"/>
            </w:tcBorders>
            <w:vAlign w:val="center"/>
          </w:tcPr>
          <w:p w14:paraId="6DE4A614">
            <w:pPr>
              <w:adjustRightInd w:val="0"/>
              <w:snapToGrid w:val="0"/>
              <w:spacing w:line="360" w:lineRule="atLeast"/>
              <w:jc w:val="center"/>
              <w:rPr>
                <w:rFonts w:ascii="宋体" w:hAnsi="宋体"/>
                <w:color w:val="auto"/>
                <w:szCs w:val="21"/>
              </w:rPr>
            </w:pPr>
            <w:r>
              <w:rPr>
                <w:rFonts w:hint="eastAsia" w:ascii="宋体" w:hAnsi="宋体"/>
                <w:color w:val="auto"/>
                <w:szCs w:val="21"/>
              </w:rPr>
              <w:t>序号</w:t>
            </w:r>
          </w:p>
        </w:tc>
        <w:tc>
          <w:tcPr>
            <w:tcW w:w="4740" w:type="dxa"/>
            <w:tcBorders>
              <w:top w:val="single" w:color="auto" w:sz="4" w:space="0"/>
              <w:left w:val="single" w:color="auto" w:sz="4" w:space="0"/>
              <w:bottom w:val="single" w:color="auto" w:sz="4" w:space="0"/>
              <w:right w:val="single" w:color="auto" w:sz="4" w:space="0"/>
            </w:tcBorders>
            <w:vAlign w:val="center"/>
          </w:tcPr>
          <w:p w14:paraId="0D73E4BF">
            <w:pPr>
              <w:adjustRightInd w:val="0"/>
              <w:snapToGrid w:val="0"/>
              <w:spacing w:line="360" w:lineRule="atLeast"/>
              <w:jc w:val="center"/>
              <w:rPr>
                <w:rFonts w:ascii="宋体" w:hAnsi="宋体"/>
                <w:color w:val="auto"/>
                <w:szCs w:val="21"/>
              </w:rPr>
            </w:pPr>
            <w:r>
              <w:rPr>
                <w:rFonts w:hint="eastAsia" w:ascii="宋体" w:hAnsi="宋体"/>
                <w:color w:val="auto"/>
                <w:szCs w:val="21"/>
              </w:rPr>
              <w:t>标的的名称</w:t>
            </w:r>
          </w:p>
        </w:tc>
        <w:tc>
          <w:tcPr>
            <w:tcW w:w="1335" w:type="dxa"/>
            <w:tcBorders>
              <w:top w:val="single" w:color="auto" w:sz="4" w:space="0"/>
              <w:left w:val="single" w:color="auto" w:sz="4" w:space="0"/>
              <w:bottom w:val="single" w:color="auto" w:sz="4" w:space="0"/>
              <w:right w:val="single" w:color="auto" w:sz="4" w:space="0"/>
            </w:tcBorders>
            <w:vAlign w:val="center"/>
          </w:tcPr>
          <w:p w14:paraId="1B50D876">
            <w:pPr>
              <w:adjustRightInd w:val="0"/>
              <w:snapToGrid w:val="0"/>
              <w:spacing w:line="360" w:lineRule="atLeast"/>
              <w:jc w:val="center"/>
              <w:rPr>
                <w:rFonts w:ascii="宋体" w:hAnsi="宋体"/>
                <w:color w:val="auto"/>
                <w:szCs w:val="21"/>
              </w:rPr>
            </w:pPr>
            <w:r>
              <w:rPr>
                <w:rFonts w:hint="eastAsia" w:ascii="宋体" w:hAnsi="宋体"/>
                <w:color w:val="auto"/>
                <w:szCs w:val="21"/>
              </w:rPr>
              <w:t>数量及</w:t>
            </w:r>
          </w:p>
          <w:p w14:paraId="6C724835">
            <w:pPr>
              <w:adjustRightInd w:val="0"/>
              <w:snapToGrid w:val="0"/>
              <w:spacing w:line="360" w:lineRule="atLeast"/>
              <w:jc w:val="center"/>
              <w:rPr>
                <w:rFonts w:ascii="宋体" w:hAnsi="宋体"/>
                <w:color w:val="auto"/>
                <w:szCs w:val="21"/>
              </w:rPr>
            </w:pPr>
            <w:r>
              <w:rPr>
                <w:rFonts w:hint="eastAsia" w:ascii="宋体" w:hAnsi="宋体"/>
                <w:color w:val="auto"/>
                <w:szCs w:val="21"/>
              </w:rPr>
              <w:t>单位</w:t>
            </w:r>
          </w:p>
        </w:tc>
        <w:tc>
          <w:tcPr>
            <w:tcW w:w="2745" w:type="dxa"/>
            <w:tcBorders>
              <w:top w:val="single" w:color="auto" w:sz="4" w:space="0"/>
              <w:left w:val="single" w:color="auto" w:sz="4" w:space="0"/>
              <w:bottom w:val="single" w:color="auto" w:sz="4" w:space="0"/>
              <w:right w:val="single" w:color="auto" w:sz="4" w:space="0"/>
            </w:tcBorders>
            <w:vAlign w:val="center"/>
          </w:tcPr>
          <w:p w14:paraId="5F8A7405">
            <w:pPr>
              <w:adjustRightInd w:val="0"/>
              <w:snapToGrid w:val="0"/>
              <w:spacing w:line="360" w:lineRule="atLeast"/>
              <w:jc w:val="center"/>
              <w:rPr>
                <w:rFonts w:ascii="宋体" w:hAnsi="宋体"/>
                <w:color w:val="auto"/>
                <w:szCs w:val="21"/>
              </w:rPr>
            </w:pPr>
            <w:r>
              <w:rPr>
                <w:rFonts w:hint="eastAsia" w:ascii="宋体" w:hAnsi="宋体"/>
                <w:color w:val="auto"/>
                <w:szCs w:val="21"/>
              </w:rPr>
              <w:t>简要技术需求或者服务要求</w:t>
            </w:r>
          </w:p>
        </w:tc>
      </w:tr>
      <w:tr w14:paraId="7FFAE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7" w:type="dxa"/>
            <w:tcBorders>
              <w:top w:val="single" w:color="auto" w:sz="4" w:space="0"/>
              <w:left w:val="single" w:color="auto" w:sz="4" w:space="0"/>
              <w:bottom w:val="single" w:color="auto" w:sz="4" w:space="0"/>
              <w:right w:val="single" w:color="auto" w:sz="4" w:space="0"/>
            </w:tcBorders>
            <w:vAlign w:val="center"/>
          </w:tcPr>
          <w:p w14:paraId="16B2249E">
            <w:pPr>
              <w:adjustRightInd w:val="0"/>
              <w:snapToGrid w:val="0"/>
              <w:spacing w:line="360" w:lineRule="atLeast"/>
              <w:jc w:val="center"/>
              <w:rPr>
                <w:rFonts w:ascii="宋体" w:hAnsi="宋体"/>
                <w:color w:val="auto"/>
                <w:szCs w:val="21"/>
              </w:rPr>
            </w:pPr>
            <w:r>
              <w:rPr>
                <w:rFonts w:hint="eastAsia" w:ascii="宋体" w:hAnsi="宋体"/>
                <w:color w:val="auto"/>
                <w:szCs w:val="21"/>
              </w:rPr>
              <w:t>01</w:t>
            </w:r>
          </w:p>
        </w:tc>
        <w:tc>
          <w:tcPr>
            <w:tcW w:w="4740" w:type="dxa"/>
            <w:tcBorders>
              <w:top w:val="single" w:color="auto" w:sz="4" w:space="0"/>
              <w:left w:val="single" w:color="auto" w:sz="4" w:space="0"/>
              <w:bottom w:val="single" w:color="auto" w:sz="4" w:space="0"/>
              <w:right w:val="single" w:color="auto" w:sz="4" w:space="0"/>
            </w:tcBorders>
            <w:vAlign w:val="center"/>
          </w:tcPr>
          <w:p w14:paraId="3F14774B">
            <w:pPr>
              <w:adjustRightInd w:val="0"/>
              <w:snapToGrid w:val="0"/>
              <w:spacing w:line="360" w:lineRule="atLeast"/>
              <w:jc w:val="center"/>
              <w:rPr>
                <w:rFonts w:ascii="宋体" w:hAnsi="宋体"/>
                <w:color w:val="auto"/>
                <w:szCs w:val="21"/>
              </w:rPr>
            </w:pPr>
            <w:r>
              <w:rPr>
                <w:rFonts w:hint="eastAsia" w:ascii="宋体" w:hAnsi="宋体"/>
                <w:color w:val="auto"/>
                <w:szCs w:val="21"/>
              </w:rPr>
              <w:t>业财税融合云上实训平台</w:t>
            </w:r>
          </w:p>
        </w:tc>
        <w:tc>
          <w:tcPr>
            <w:tcW w:w="1335" w:type="dxa"/>
            <w:tcBorders>
              <w:top w:val="single" w:color="auto" w:sz="4" w:space="0"/>
              <w:left w:val="single" w:color="auto" w:sz="4" w:space="0"/>
              <w:bottom w:val="single" w:color="auto" w:sz="4" w:space="0"/>
              <w:right w:val="single" w:color="auto" w:sz="4" w:space="0"/>
            </w:tcBorders>
            <w:vAlign w:val="center"/>
          </w:tcPr>
          <w:p w14:paraId="31097723">
            <w:pPr>
              <w:adjustRightInd w:val="0"/>
              <w:snapToGrid w:val="0"/>
              <w:spacing w:line="360" w:lineRule="atLeast"/>
              <w:jc w:val="center"/>
              <w:rPr>
                <w:rFonts w:ascii="宋体" w:hAnsi="宋体"/>
                <w:color w:val="auto"/>
                <w:szCs w:val="21"/>
              </w:rPr>
            </w:pPr>
            <w:r>
              <w:rPr>
                <w:rFonts w:hint="eastAsia" w:ascii="宋体" w:hAnsi="宋体"/>
                <w:color w:val="auto"/>
                <w:szCs w:val="21"/>
              </w:rPr>
              <w:t>1套</w:t>
            </w:r>
          </w:p>
        </w:tc>
        <w:tc>
          <w:tcPr>
            <w:tcW w:w="2745" w:type="dxa"/>
            <w:tcBorders>
              <w:top w:val="single" w:color="auto" w:sz="4" w:space="0"/>
              <w:left w:val="single" w:color="auto" w:sz="4" w:space="0"/>
              <w:right w:val="single" w:color="auto" w:sz="4" w:space="0"/>
            </w:tcBorders>
            <w:vAlign w:val="center"/>
          </w:tcPr>
          <w:p w14:paraId="5AD72F3A">
            <w:pPr>
              <w:adjustRightInd w:val="0"/>
              <w:snapToGrid w:val="0"/>
              <w:spacing w:line="360" w:lineRule="atLeast"/>
              <w:jc w:val="center"/>
              <w:rPr>
                <w:rFonts w:ascii="宋体" w:hAnsi="宋体"/>
                <w:color w:val="auto"/>
                <w:szCs w:val="21"/>
              </w:rPr>
            </w:pPr>
            <w:r>
              <w:rPr>
                <w:rFonts w:hint="eastAsia" w:ascii="宋体" w:hAnsi="宋体"/>
                <w:color w:val="auto"/>
                <w:szCs w:val="21"/>
              </w:rPr>
              <w:t>具体需求详见货物需求</w:t>
            </w:r>
          </w:p>
          <w:p w14:paraId="5560033C">
            <w:pPr>
              <w:adjustRightInd w:val="0"/>
              <w:snapToGrid w:val="0"/>
              <w:spacing w:line="360" w:lineRule="atLeast"/>
              <w:jc w:val="center"/>
              <w:rPr>
                <w:rFonts w:ascii="宋体" w:hAnsi="宋体"/>
                <w:color w:val="auto"/>
                <w:szCs w:val="21"/>
              </w:rPr>
            </w:pPr>
            <w:r>
              <w:rPr>
                <w:rFonts w:hint="eastAsia" w:ascii="宋体" w:hAnsi="宋体"/>
                <w:color w:val="auto"/>
                <w:szCs w:val="21"/>
              </w:rPr>
              <w:t>一览表。</w:t>
            </w:r>
          </w:p>
        </w:tc>
      </w:tr>
    </w:tbl>
    <w:p w14:paraId="6C0F5F95">
      <w:pPr>
        <w:spacing w:line="480" w:lineRule="atLeast"/>
        <w:ind w:firstLine="420" w:firstLineChars="200"/>
        <w:rPr>
          <w:rFonts w:ascii="宋体" w:hAnsi="宋体"/>
          <w:color w:val="auto"/>
          <w:szCs w:val="21"/>
          <w:u w:val="single"/>
        </w:rPr>
      </w:pPr>
      <w:r>
        <w:rPr>
          <w:rFonts w:hint="eastAsia" w:ascii="宋体" w:hAnsi="宋体"/>
          <w:color w:val="auto"/>
          <w:szCs w:val="21"/>
        </w:rPr>
        <w:t>合同履行期限：具体需求详见货物需求一览表。</w:t>
      </w:r>
    </w:p>
    <w:p w14:paraId="2803FE66">
      <w:pPr>
        <w:spacing w:line="480" w:lineRule="atLeast"/>
        <w:ind w:firstLine="420" w:firstLineChars="200"/>
        <w:rPr>
          <w:rFonts w:ascii="宋体" w:hAnsi="宋体"/>
          <w:color w:val="auto"/>
          <w:szCs w:val="21"/>
        </w:rPr>
      </w:pPr>
      <w:r>
        <w:rPr>
          <w:rFonts w:ascii="宋体" w:hAnsi="宋体"/>
          <w:color w:val="auto"/>
          <w:szCs w:val="21"/>
          <w:u w:val="single"/>
        </w:rPr>
        <w:t xml:space="preserve"> </w:t>
      </w:r>
      <w:r>
        <w:rPr>
          <w:rFonts w:hint="eastAsia" w:ascii="宋体" w:hAnsi="宋体"/>
          <w:color w:val="auto"/>
          <w:szCs w:val="21"/>
          <w:u w:val="single"/>
        </w:rPr>
        <w:t>3</w:t>
      </w:r>
      <w:r>
        <w:rPr>
          <w:rFonts w:ascii="宋体" w:hAnsi="宋体"/>
          <w:color w:val="auto"/>
          <w:szCs w:val="21"/>
          <w:u w:val="single"/>
        </w:rPr>
        <w:t xml:space="preserve"> </w:t>
      </w:r>
      <w:r>
        <w:rPr>
          <w:rFonts w:hint="eastAsia" w:ascii="宋体" w:hAnsi="宋体"/>
          <w:color w:val="auto"/>
          <w:szCs w:val="21"/>
        </w:rPr>
        <w:t>分标：</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7"/>
        <w:gridCol w:w="4740"/>
        <w:gridCol w:w="1335"/>
        <w:gridCol w:w="2745"/>
      </w:tblGrid>
      <w:tr w14:paraId="4F858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7" w:type="dxa"/>
            <w:tcBorders>
              <w:top w:val="single" w:color="auto" w:sz="4" w:space="0"/>
              <w:left w:val="single" w:color="auto" w:sz="4" w:space="0"/>
              <w:bottom w:val="single" w:color="auto" w:sz="4" w:space="0"/>
              <w:right w:val="single" w:color="auto" w:sz="4" w:space="0"/>
            </w:tcBorders>
            <w:vAlign w:val="center"/>
          </w:tcPr>
          <w:p w14:paraId="69DF26DB">
            <w:pPr>
              <w:adjustRightInd w:val="0"/>
              <w:snapToGrid w:val="0"/>
              <w:spacing w:line="360" w:lineRule="atLeast"/>
              <w:jc w:val="center"/>
              <w:rPr>
                <w:rFonts w:ascii="宋体" w:hAnsi="宋体"/>
                <w:color w:val="auto"/>
                <w:szCs w:val="21"/>
              </w:rPr>
            </w:pPr>
            <w:r>
              <w:rPr>
                <w:rFonts w:hint="eastAsia" w:ascii="宋体" w:hAnsi="宋体"/>
                <w:color w:val="auto"/>
                <w:szCs w:val="21"/>
              </w:rPr>
              <w:t>序号</w:t>
            </w:r>
          </w:p>
        </w:tc>
        <w:tc>
          <w:tcPr>
            <w:tcW w:w="4740" w:type="dxa"/>
            <w:tcBorders>
              <w:top w:val="single" w:color="auto" w:sz="4" w:space="0"/>
              <w:left w:val="single" w:color="auto" w:sz="4" w:space="0"/>
              <w:bottom w:val="single" w:color="auto" w:sz="4" w:space="0"/>
              <w:right w:val="single" w:color="auto" w:sz="4" w:space="0"/>
            </w:tcBorders>
            <w:vAlign w:val="center"/>
          </w:tcPr>
          <w:p w14:paraId="13F10302">
            <w:pPr>
              <w:adjustRightInd w:val="0"/>
              <w:snapToGrid w:val="0"/>
              <w:spacing w:line="360" w:lineRule="atLeast"/>
              <w:jc w:val="center"/>
              <w:rPr>
                <w:rFonts w:ascii="宋体" w:hAnsi="宋体"/>
                <w:color w:val="auto"/>
                <w:szCs w:val="21"/>
              </w:rPr>
            </w:pPr>
            <w:r>
              <w:rPr>
                <w:rFonts w:hint="eastAsia" w:ascii="宋体" w:hAnsi="宋体"/>
                <w:color w:val="auto"/>
                <w:szCs w:val="21"/>
              </w:rPr>
              <w:t>标的的名称</w:t>
            </w:r>
          </w:p>
        </w:tc>
        <w:tc>
          <w:tcPr>
            <w:tcW w:w="1335" w:type="dxa"/>
            <w:tcBorders>
              <w:top w:val="single" w:color="auto" w:sz="4" w:space="0"/>
              <w:left w:val="single" w:color="auto" w:sz="4" w:space="0"/>
              <w:bottom w:val="single" w:color="auto" w:sz="4" w:space="0"/>
              <w:right w:val="single" w:color="auto" w:sz="4" w:space="0"/>
            </w:tcBorders>
            <w:vAlign w:val="center"/>
          </w:tcPr>
          <w:p w14:paraId="7433FA0C">
            <w:pPr>
              <w:adjustRightInd w:val="0"/>
              <w:snapToGrid w:val="0"/>
              <w:spacing w:line="360" w:lineRule="atLeast"/>
              <w:jc w:val="center"/>
              <w:rPr>
                <w:rFonts w:ascii="宋体" w:hAnsi="宋体"/>
                <w:color w:val="auto"/>
                <w:szCs w:val="21"/>
              </w:rPr>
            </w:pPr>
            <w:r>
              <w:rPr>
                <w:rFonts w:hint="eastAsia" w:ascii="宋体" w:hAnsi="宋体"/>
                <w:color w:val="auto"/>
                <w:szCs w:val="21"/>
              </w:rPr>
              <w:t>数量及</w:t>
            </w:r>
          </w:p>
          <w:p w14:paraId="226DC218">
            <w:pPr>
              <w:adjustRightInd w:val="0"/>
              <w:snapToGrid w:val="0"/>
              <w:spacing w:line="360" w:lineRule="atLeast"/>
              <w:jc w:val="center"/>
              <w:rPr>
                <w:rFonts w:ascii="宋体" w:hAnsi="宋体"/>
                <w:color w:val="auto"/>
                <w:szCs w:val="21"/>
              </w:rPr>
            </w:pPr>
            <w:r>
              <w:rPr>
                <w:rFonts w:hint="eastAsia" w:ascii="宋体" w:hAnsi="宋体"/>
                <w:color w:val="auto"/>
                <w:szCs w:val="21"/>
              </w:rPr>
              <w:t>单位</w:t>
            </w:r>
          </w:p>
        </w:tc>
        <w:tc>
          <w:tcPr>
            <w:tcW w:w="2745" w:type="dxa"/>
            <w:tcBorders>
              <w:top w:val="single" w:color="auto" w:sz="4" w:space="0"/>
              <w:left w:val="single" w:color="auto" w:sz="4" w:space="0"/>
              <w:bottom w:val="single" w:color="auto" w:sz="4" w:space="0"/>
              <w:right w:val="single" w:color="auto" w:sz="4" w:space="0"/>
            </w:tcBorders>
            <w:vAlign w:val="center"/>
          </w:tcPr>
          <w:p w14:paraId="1BB3CFF2">
            <w:pPr>
              <w:adjustRightInd w:val="0"/>
              <w:snapToGrid w:val="0"/>
              <w:spacing w:line="360" w:lineRule="atLeast"/>
              <w:jc w:val="center"/>
              <w:rPr>
                <w:rFonts w:ascii="宋体" w:hAnsi="宋体"/>
                <w:color w:val="auto"/>
                <w:szCs w:val="21"/>
              </w:rPr>
            </w:pPr>
            <w:r>
              <w:rPr>
                <w:rFonts w:hint="eastAsia" w:ascii="宋体" w:hAnsi="宋体"/>
                <w:color w:val="auto"/>
                <w:szCs w:val="21"/>
              </w:rPr>
              <w:t>简要技术需求或者服务要求</w:t>
            </w:r>
          </w:p>
        </w:tc>
      </w:tr>
      <w:tr w14:paraId="7C908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7" w:type="dxa"/>
            <w:tcBorders>
              <w:top w:val="single" w:color="auto" w:sz="4" w:space="0"/>
              <w:left w:val="single" w:color="auto" w:sz="4" w:space="0"/>
              <w:bottom w:val="single" w:color="auto" w:sz="4" w:space="0"/>
              <w:right w:val="single" w:color="auto" w:sz="4" w:space="0"/>
            </w:tcBorders>
            <w:vAlign w:val="center"/>
          </w:tcPr>
          <w:p w14:paraId="6E1DC946">
            <w:pPr>
              <w:adjustRightInd w:val="0"/>
              <w:snapToGrid w:val="0"/>
              <w:spacing w:line="360" w:lineRule="atLeast"/>
              <w:jc w:val="center"/>
              <w:rPr>
                <w:rFonts w:ascii="宋体" w:hAnsi="宋体"/>
                <w:color w:val="auto"/>
                <w:szCs w:val="21"/>
              </w:rPr>
            </w:pPr>
            <w:r>
              <w:rPr>
                <w:rFonts w:hint="eastAsia" w:ascii="宋体" w:hAnsi="宋体"/>
                <w:color w:val="auto"/>
                <w:szCs w:val="21"/>
              </w:rPr>
              <w:t>01</w:t>
            </w:r>
          </w:p>
        </w:tc>
        <w:tc>
          <w:tcPr>
            <w:tcW w:w="4740" w:type="dxa"/>
            <w:tcBorders>
              <w:top w:val="single" w:color="auto" w:sz="4" w:space="0"/>
              <w:left w:val="single" w:color="auto" w:sz="4" w:space="0"/>
              <w:bottom w:val="single" w:color="auto" w:sz="4" w:space="0"/>
              <w:right w:val="single" w:color="auto" w:sz="4" w:space="0"/>
            </w:tcBorders>
            <w:vAlign w:val="center"/>
          </w:tcPr>
          <w:p w14:paraId="7A8801E4">
            <w:pPr>
              <w:adjustRightInd w:val="0"/>
              <w:snapToGrid w:val="0"/>
              <w:spacing w:line="360" w:lineRule="atLeast"/>
              <w:jc w:val="center"/>
              <w:rPr>
                <w:rFonts w:ascii="宋体" w:hAnsi="宋体"/>
                <w:color w:val="auto"/>
                <w:szCs w:val="21"/>
              </w:rPr>
            </w:pPr>
            <w:r>
              <w:rPr>
                <w:rFonts w:hint="eastAsia" w:ascii="宋体" w:hAnsi="宋体"/>
                <w:color w:val="auto"/>
                <w:szCs w:val="21"/>
              </w:rPr>
              <w:t>跨境电子商务运营基础课赛融通教学系统</w:t>
            </w:r>
          </w:p>
        </w:tc>
        <w:tc>
          <w:tcPr>
            <w:tcW w:w="1335" w:type="dxa"/>
            <w:tcBorders>
              <w:top w:val="single" w:color="auto" w:sz="4" w:space="0"/>
              <w:left w:val="single" w:color="auto" w:sz="4" w:space="0"/>
              <w:bottom w:val="single" w:color="auto" w:sz="4" w:space="0"/>
              <w:right w:val="single" w:color="auto" w:sz="4" w:space="0"/>
            </w:tcBorders>
            <w:vAlign w:val="center"/>
          </w:tcPr>
          <w:p w14:paraId="2361CC58">
            <w:pPr>
              <w:adjustRightInd w:val="0"/>
              <w:snapToGrid w:val="0"/>
              <w:spacing w:line="360" w:lineRule="atLeast"/>
              <w:jc w:val="center"/>
              <w:rPr>
                <w:rFonts w:ascii="宋体" w:hAnsi="宋体"/>
                <w:color w:val="auto"/>
                <w:szCs w:val="21"/>
              </w:rPr>
            </w:pPr>
            <w:r>
              <w:rPr>
                <w:rFonts w:hint="eastAsia" w:ascii="宋体" w:hAnsi="宋体"/>
                <w:color w:val="auto"/>
                <w:szCs w:val="21"/>
              </w:rPr>
              <w:t>1套</w:t>
            </w:r>
          </w:p>
        </w:tc>
        <w:tc>
          <w:tcPr>
            <w:tcW w:w="2745" w:type="dxa"/>
            <w:tcBorders>
              <w:top w:val="single" w:color="auto" w:sz="4" w:space="0"/>
              <w:left w:val="single" w:color="auto" w:sz="4" w:space="0"/>
              <w:right w:val="single" w:color="auto" w:sz="4" w:space="0"/>
            </w:tcBorders>
            <w:vAlign w:val="center"/>
          </w:tcPr>
          <w:p w14:paraId="12F4A7F1">
            <w:pPr>
              <w:adjustRightInd w:val="0"/>
              <w:snapToGrid w:val="0"/>
              <w:spacing w:line="360" w:lineRule="atLeast"/>
              <w:jc w:val="center"/>
              <w:rPr>
                <w:rFonts w:ascii="宋体" w:hAnsi="宋体"/>
                <w:color w:val="auto"/>
                <w:szCs w:val="21"/>
              </w:rPr>
            </w:pPr>
            <w:r>
              <w:rPr>
                <w:rFonts w:hint="eastAsia" w:ascii="宋体" w:hAnsi="宋体"/>
                <w:color w:val="auto"/>
                <w:szCs w:val="21"/>
              </w:rPr>
              <w:t>具体需求详见货物需求</w:t>
            </w:r>
          </w:p>
          <w:p w14:paraId="197F9EFE">
            <w:pPr>
              <w:adjustRightInd w:val="0"/>
              <w:snapToGrid w:val="0"/>
              <w:spacing w:line="360" w:lineRule="atLeast"/>
              <w:jc w:val="center"/>
              <w:rPr>
                <w:rFonts w:ascii="宋体" w:hAnsi="宋体"/>
                <w:color w:val="auto"/>
                <w:szCs w:val="21"/>
              </w:rPr>
            </w:pPr>
            <w:r>
              <w:rPr>
                <w:rFonts w:hint="eastAsia" w:ascii="宋体" w:hAnsi="宋体"/>
                <w:color w:val="auto"/>
                <w:szCs w:val="21"/>
              </w:rPr>
              <w:t>一览表。</w:t>
            </w:r>
          </w:p>
        </w:tc>
      </w:tr>
    </w:tbl>
    <w:p w14:paraId="3E6777E0">
      <w:pPr>
        <w:spacing w:line="480" w:lineRule="atLeast"/>
        <w:ind w:firstLine="420" w:firstLineChars="200"/>
        <w:rPr>
          <w:rFonts w:hint="eastAsia" w:ascii="宋体" w:hAnsi="宋体"/>
          <w:color w:val="auto"/>
          <w:szCs w:val="21"/>
        </w:rPr>
      </w:pPr>
      <w:r>
        <w:rPr>
          <w:rFonts w:hint="eastAsia" w:ascii="宋体" w:hAnsi="宋体"/>
          <w:color w:val="auto"/>
          <w:szCs w:val="21"/>
        </w:rPr>
        <w:t>合同履行期限：具体需求详见货物需求一览表。</w:t>
      </w:r>
    </w:p>
    <w:p w14:paraId="6ED04377">
      <w:pPr>
        <w:spacing w:line="480" w:lineRule="atLeast"/>
        <w:ind w:firstLine="420" w:firstLineChars="200"/>
        <w:rPr>
          <w:rFonts w:ascii="宋体" w:hAnsi="宋体"/>
          <w:color w:val="auto"/>
          <w:szCs w:val="21"/>
        </w:rPr>
      </w:pPr>
      <w:r>
        <w:rPr>
          <w:rFonts w:hint="eastAsia" w:ascii="宋体" w:hAnsi="宋体"/>
          <w:color w:val="auto"/>
          <w:szCs w:val="21"/>
        </w:rPr>
        <w:t>本项目是否接受联合体投标：□是，☑</w:t>
      </w:r>
      <w:r>
        <w:rPr>
          <w:rFonts w:ascii="宋体" w:hAnsi="宋体"/>
          <w:color w:val="auto"/>
          <w:szCs w:val="21"/>
        </w:rPr>
        <w:t>否</w:t>
      </w:r>
      <w:r>
        <w:rPr>
          <w:rFonts w:hint="eastAsia" w:ascii="宋体" w:hAnsi="宋体"/>
          <w:color w:val="auto"/>
          <w:szCs w:val="21"/>
        </w:rPr>
        <w:t>。</w:t>
      </w:r>
    </w:p>
    <w:p w14:paraId="5ACB69CA">
      <w:pPr>
        <w:spacing w:line="480" w:lineRule="atLeast"/>
        <w:rPr>
          <w:rFonts w:ascii="黑体" w:hAnsi="黑体" w:eastAsia="黑体"/>
          <w:b/>
          <w:bCs/>
          <w:color w:val="auto"/>
          <w:sz w:val="24"/>
        </w:rPr>
      </w:pPr>
      <w:bookmarkStart w:id="12" w:name="_Toc28359080"/>
      <w:bookmarkStart w:id="13" w:name="_Toc35393622"/>
      <w:bookmarkStart w:id="14" w:name="_Toc35393791"/>
      <w:bookmarkStart w:id="15" w:name="_Toc28359003"/>
      <w:r>
        <w:rPr>
          <w:rFonts w:hint="eastAsia" w:ascii="黑体" w:hAnsi="黑体" w:eastAsia="黑体"/>
          <w:b/>
          <w:bCs/>
          <w:color w:val="auto"/>
          <w:sz w:val="24"/>
        </w:rPr>
        <w:t>二、投标人的资格要求：</w:t>
      </w:r>
      <w:bookmarkEnd w:id="12"/>
      <w:bookmarkEnd w:id="13"/>
      <w:bookmarkEnd w:id="14"/>
      <w:bookmarkEnd w:id="15"/>
    </w:p>
    <w:p w14:paraId="78642894">
      <w:pPr>
        <w:spacing w:line="480" w:lineRule="atLeast"/>
        <w:ind w:firstLine="420" w:firstLineChars="200"/>
        <w:rPr>
          <w:rFonts w:ascii="宋体" w:hAnsi="宋体"/>
          <w:color w:val="auto"/>
          <w:szCs w:val="21"/>
        </w:rPr>
      </w:pPr>
      <w:r>
        <w:rPr>
          <w:rFonts w:hint="eastAsia" w:ascii="宋体" w:hAnsi="宋体"/>
          <w:color w:val="auto"/>
          <w:szCs w:val="21"/>
        </w:rPr>
        <w:t>1.满足《中华人民共和国政府采购法》第二十二条规定；</w:t>
      </w:r>
    </w:p>
    <w:p w14:paraId="018B3977">
      <w:pPr>
        <w:spacing w:line="480" w:lineRule="atLeast"/>
        <w:ind w:firstLine="420" w:firstLineChars="200"/>
        <w:rPr>
          <w:rFonts w:ascii="宋体" w:hAnsi="宋体"/>
          <w:color w:val="auto"/>
          <w:szCs w:val="21"/>
        </w:rPr>
      </w:pPr>
      <w:bookmarkStart w:id="16" w:name="_Toc28359081"/>
      <w:bookmarkStart w:id="17" w:name="_Toc28359004"/>
      <w:r>
        <w:rPr>
          <w:rFonts w:ascii="宋体" w:hAnsi="宋体"/>
          <w:color w:val="auto"/>
          <w:szCs w:val="21"/>
        </w:rPr>
        <w:t>2</w:t>
      </w:r>
      <w:r>
        <w:rPr>
          <w:rFonts w:hint="eastAsia" w:ascii="宋体" w:hAnsi="宋体"/>
          <w:color w:val="auto"/>
          <w:szCs w:val="21"/>
        </w:rPr>
        <w:t>.落实政府采购政策需满足的资格要求：</w:t>
      </w:r>
    </w:p>
    <w:p w14:paraId="4A49C796">
      <w:pPr>
        <w:spacing w:line="480" w:lineRule="atLeast"/>
        <w:ind w:firstLine="420" w:firstLineChars="200"/>
        <w:rPr>
          <w:rFonts w:ascii="宋体" w:hAnsi="宋体"/>
          <w:color w:val="auto"/>
          <w:szCs w:val="21"/>
        </w:rPr>
      </w:pPr>
      <w:r>
        <w:rPr>
          <w:rFonts w:hint="eastAsia" w:ascii="宋体" w:hAnsi="宋体"/>
          <w:color w:val="auto"/>
          <w:szCs w:val="21"/>
        </w:rPr>
        <w:t>☑专门面向中小企业采购的项目（供应商应为中小微企业、监狱企业、残疾人福利性单位)</w:t>
      </w:r>
    </w:p>
    <w:p w14:paraId="64D8BD5A">
      <w:pPr>
        <w:spacing w:line="480" w:lineRule="atLeast"/>
        <w:ind w:firstLine="420" w:firstLineChars="200"/>
        <w:rPr>
          <w:rFonts w:ascii="宋体" w:hAnsi="宋体"/>
          <w:color w:val="auto"/>
          <w:szCs w:val="21"/>
        </w:rPr>
      </w:pPr>
      <w:r>
        <w:rPr>
          <w:rFonts w:hint="eastAsia" w:ascii="宋体" w:hAnsi="宋体"/>
          <w:color w:val="auto"/>
          <w:szCs w:val="21"/>
        </w:rPr>
        <w:t>□非专门面向中小企业采购的项目</w:t>
      </w:r>
    </w:p>
    <w:p w14:paraId="00825C73">
      <w:pPr>
        <w:spacing w:line="480" w:lineRule="atLeast"/>
        <w:ind w:firstLine="420" w:firstLineChars="200"/>
        <w:rPr>
          <w:rFonts w:ascii="宋体" w:hAnsi="宋体"/>
          <w:color w:val="auto"/>
          <w:szCs w:val="21"/>
          <w:u w:val="single"/>
        </w:rPr>
      </w:pPr>
      <w:r>
        <w:rPr>
          <w:rFonts w:hint="eastAsia" w:ascii="宋体" w:hAnsi="宋体"/>
          <w:color w:val="auto"/>
          <w:szCs w:val="21"/>
        </w:rPr>
        <w:t>3.本项目的特定资格要求：无</w:t>
      </w:r>
    </w:p>
    <w:p w14:paraId="67CB2740">
      <w:pPr>
        <w:spacing w:line="480" w:lineRule="atLeast"/>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本项目的特定条件：无</w:t>
      </w:r>
    </w:p>
    <w:p w14:paraId="1EBBB084">
      <w:pPr>
        <w:snapToGrid w:val="0"/>
        <w:spacing w:line="480" w:lineRule="atLeast"/>
        <w:ind w:firstLine="420"/>
        <w:jc w:val="left"/>
        <w:rPr>
          <w:rFonts w:ascii="宋体" w:hAnsi="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8C89323">
      <w:pPr>
        <w:spacing w:line="480" w:lineRule="atLeast"/>
        <w:ind w:firstLine="420" w:firstLineChars="200"/>
        <w:rPr>
          <w:rFonts w:ascii="宋体" w:hAnsi="宋体"/>
          <w:color w:val="auto"/>
          <w:szCs w:val="21"/>
        </w:rPr>
      </w:pPr>
      <w:r>
        <w:rPr>
          <w:rFonts w:hint="eastAsia" w:ascii="宋体" w:hAnsi="宋体"/>
          <w:color w:val="auto"/>
          <w:szCs w:val="21"/>
        </w:rPr>
        <w:t>6</w:t>
      </w:r>
      <w:r>
        <w:rPr>
          <w:rFonts w:ascii="宋体" w:hAnsi="宋体"/>
          <w:color w:val="auto"/>
          <w:szCs w:val="21"/>
        </w:rPr>
        <w:t>.</w:t>
      </w:r>
      <w:r>
        <w:rPr>
          <w:rFonts w:hint="eastAsia" w:ascii="宋体" w:hAnsi="宋体"/>
          <w:color w:val="auto"/>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5F737EF">
      <w:pPr>
        <w:spacing w:line="480" w:lineRule="atLeast"/>
        <w:rPr>
          <w:rFonts w:ascii="黑体" w:hAnsi="黑体" w:eastAsia="黑体"/>
          <w:b/>
          <w:bCs/>
          <w:color w:val="auto"/>
          <w:sz w:val="24"/>
        </w:rPr>
      </w:pPr>
      <w:bookmarkStart w:id="18" w:name="_Toc35393792"/>
      <w:bookmarkStart w:id="19" w:name="_Toc35393623"/>
      <w:r>
        <w:rPr>
          <w:rFonts w:hint="eastAsia" w:ascii="黑体" w:hAnsi="黑体" w:eastAsia="黑体"/>
          <w:b/>
          <w:bCs/>
          <w:color w:val="auto"/>
          <w:sz w:val="24"/>
        </w:rPr>
        <w:t>三、获取招标文件</w:t>
      </w:r>
      <w:bookmarkEnd w:id="16"/>
      <w:bookmarkEnd w:id="17"/>
      <w:bookmarkEnd w:id="18"/>
      <w:bookmarkEnd w:id="19"/>
    </w:p>
    <w:p w14:paraId="53F57120">
      <w:pPr>
        <w:snapToGrid w:val="0"/>
        <w:spacing w:line="480" w:lineRule="atLeast"/>
        <w:ind w:firstLine="472" w:firstLineChars="225"/>
        <w:rPr>
          <w:rFonts w:ascii="宋体" w:hAnsi="宋体"/>
          <w:color w:val="auto"/>
          <w:szCs w:val="21"/>
        </w:rPr>
      </w:pPr>
      <w:bookmarkStart w:id="20" w:name="_Toc28359082"/>
      <w:bookmarkStart w:id="21" w:name="_Toc28359005"/>
      <w:bookmarkStart w:id="22" w:name="_Toc35393624"/>
      <w:bookmarkStart w:id="23" w:name="_Toc35393793"/>
      <w:r>
        <w:rPr>
          <w:rFonts w:hint="eastAsia" w:ascii="宋体" w:hAnsi="宋体"/>
          <w:color w:val="auto"/>
          <w:szCs w:val="21"/>
        </w:rPr>
        <w:t>时间：自公告发布之日起。</w:t>
      </w:r>
    </w:p>
    <w:p w14:paraId="1E81FD90">
      <w:pPr>
        <w:spacing w:line="480" w:lineRule="atLeast"/>
        <w:ind w:firstLine="420" w:firstLineChars="200"/>
        <w:rPr>
          <w:rFonts w:ascii="黑体" w:hAnsi="黑体" w:eastAsia="黑体"/>
          <w:b/>
          <w:bCs/>
          <w:color w:val="auto"/>
          <w:sz w:val="24"/>
        </w:rPr>
      </w:pPr>
      <w:r>
        <w:rPr>
          <w:rFonts w:hint="eastAsia" w:ascii="宋体" w:hAnsi="宋体"/>
          <w:color w:val="auto"/>
          <w:szCs w:val="21"/>
        </w:rPr>
        <w:t>获取方式:网上下载。本项目不发放纸质文件，供应商可自行在</w:t>
      </w:r>
      <w:r>
        <w:rPr>
          <w:color w:val="auto"/>
        </w:rPr>
        <w:fldChar w:fldCharType="begin"/>
      </w:r>
      <w:r>
        <w:rPr>
          <w:color w:val="auto"/>
        </w:rPr>
        <w:instrText xml:space="preserve"> HYPERLINK </w:instrText>
      </w:r>
      <w:r>
        <w:rPr>
          <w:color w:val="auto"/>
        </w:rPr>
        <w:fldChar w:fldCharType="separate"/>
      </w:r>
      <w:r>
        <w:rPr>
          <w:color w:val="auto"/>
        </w:rPr>
        <w:fldChar w:fldCharType="end"/>
      </w:r>
      <w:r>
        <w:rPr>
          <w:rFonts w:hint="eastAsia" w:ascii="宋体" w:hAnsi="宋体"/>
          <w:color w:val="auto"/>
          <w:szCs w:val="21"/>
        </w:rPr>
        <w:t>本公告“六、其他补充事宜”中网上查询地址的信息公告处下载招标文件。电子投标文件制作需要基于</w:t>
      </w:r>
      <w:r>
        <w:rPr>
          <w:rFonts w:hint="eastAsia" w:ascii="宋体" w:hAnsi="宋体"/>
          <w:color w:val="auto"/>
          <w:szCs w:val="21"/>
          <w:lang w:eastAsia="zh-CN"/>
        </w:rPr>
        <w:t>广西政府采购云平台</w:t>
      </w:r>
      <w:r>
        <w:rPr>
          <w:rFonts w:hint="eastAsia" w:ascii="宋体" w:hAnsi="宋体"/>
          <w:color w:val="auto"/>
          <w:szCs w:val="21"/>
        </w:rPr>
        <w:t>（http：/</w:t>
      </w:r>
      <w:r>
        <w:rPr>
          <w:rFonts w:ascii="宋体" w:hAnsi="宋体"/>
          <w:color w:val="auto"/>
          <w:szCs w:val="21"/>
        </w:rPr>
        <w:t>/</w:t>
      </w:r>
      <w:r>
        <w:rPr>
          <w:rFonts w:hint="eastAsia" w:ascii="宋体" w:hAnsi="宋体"/>
          <w:color w:val="auto"/>
          <w:szCs w:val="21"/>
          <w:lang w:eastAsia="zh-CN"/>
        </w:rPr>
        <w:t>www.gcy.zfcg.gxzf.gov.cn</w:t>
      </w:r>
      <w:r>
        <w:rPr>
          <w:rFonts w:hint="eastAsia" w:ascii="宋体" w:hAnsi="宋体"/>
          <w:color w:val="auto"/>
          <w:szCs w:val="21"/>
        </w:rPr>
        <w:t>）获取的招标文件编制，拟参与本项目的潜在供应商需使用账号登录或者使用CA登录</w:t>
      </w:r>
      <w:r>
        <w:rPr>
          <w:rFonts w:hint="eastAsia" w:ascii="宋体" w:hAnsi="宋体"/>
          <w:color w:val="auto"/>
          <w:szCs w:val="21"/>
          <w:lang w:eastAsia="zh-CN"/>
        </w:rPr>
        <w:t>广西政府采购云平台</w:t>
      </w:r>
      <w:r>
        <w:rPr>
          <w:rFonts w:hint="eastAsia" w:ascii="宋体" w:hAnsi="宋体"/>
          <w:color w:val="auto"/>
          <w:szCs w:val="21"/>
        </w:rPr>
        <w:t>-进入“项目采购”应用，在获取采购文件菜单中选择项目，获取采购文件。</w:t>
      </w:r>
    </w:p>
    <w:p w14:paraId="04A8B45E">
      <w:pPr>
        <w:snapToGrid w:val="0"/>
        <w:spacing w:line="480" w:lineRule="atLeast"/>
        <w:ind w:firstLine="420" w:firstLineChars="200"/>
        <w:rPr>
          <w:rFonts w:ascii="宋体" w:hAnsi="宋体"/>
          <w:color w:val="auto"/>
          <w:szCs w:val="21"/>
        </w:rPr>
      </w:pPr>
      <w:r>
        <w:rPr>
          <w:rFonts w:hint="eastAsia" w:ascii="宋体" w:hAnsi="宋体"/>
          <w:color w:val="auto"/>
          <w:szCs w:val="21"/>
        </w:rPr>
        <w:t>售价：0元。</w:t>
      </w:r>
    </w:p>
    <w:p w14:paraId="0424255E">
      <w:pPr>
        <w:spacing w:line="480" w:lineRule="atLeast"/>
        <w:rPr>
          <w:rFonts w:ascii="黑体" w:hAnsi="黑体" w:eastAsia="黑体"/>
          <w:b/>
          <w:bCs/>
          <w:color w:val="auto"/>
          <w:sz w:val="24"/>
        </w:rPr>
      </w:pPr>
      <w:r>
        <w:rPr>
          <w:rFonts w:hint="eastAsia" w:ascii="黑体" w:hAnsi="黑体" w:eastAsia="黑体"/>
          <w:b/>
          <w:bCs/>
          <w:color w:val="auto"/>
          <w:sz w:val="24"/>
        </w:rPr>
        <w:t>四、提交投标文件</w:t>
      </w:r>
      <w:bookmarkEnd w:id="20"/>
      <w:bookmarkEnd w:id="21"/>
      <w:r>
        <w:rPr>
          <w:rFonts w:hint="eastAsia" w:ascii="黑体" w:hAnsi="黑体" w:eastAsia="黑体"/>
          <w:b/>
          <w:bCs/>
          <w:color w:val="auto"/>
          <w:sz w:val="24"/>
        </w:rPr>
        <w:t>截止时间、开标时间和地点</w:t>
      </w:r>
      <w:bookmarkEnd w:id="22"/>
      <w:bookmarkEnd w:id="23"/>
    </w:p>
    <w:p w14:paraId="2BCB1FC2">
      <w:pPr>
        <w:spacing w:line="480" w:lineRule="atLeast"/>
        <w:ind w:firstLine="420" w:firstLineChars="200"/>
        <w:rPr>
          <w:rFonts w:ascii="宋体" w:hAnsi="宋体" w:cs="宋体"/>
          <w:color w:val="auto"/>
          <w:szCs w:val="21"/>
          <w:u w:val="single"/>
        </w:rPr>
      </w:pPr>
      <w:r>
        <w:rPr>
          <w:rFonts w:hint="eastAsia" w:ascii="宋体" w:hAnsi="宋体"/>
          <w:bCs/>
          <w:color w:val="auto"/>
          <w:szCs w:val="21"/>
        </w:rPr>
        <w:t>1.提交投标文件截止时间和开标时间：</w:t>
      </w:r>
      <w:r>
        <w:rPr>
          <w:rFonts w:hint="eastAsia" w:ascii="宋体" w:hAnsi="宋体"/>
          <w:bCs/>
          <w:color w:val="auto"/>
          <w:szCs w:val="21"/>
          <w:u w:val="single"/>
        </w:rPr>
        <w:t>2024年</w:t>
      </w:r>
      <w:r>
        <w:rPr>
          <w:rFonts w:hint="eastAsia" w:ascii="宋体" w:hAnsi="宋体"/>
          <w:bCs/>
          <w:color w:val="auto"/>
          <w:szCs w:val="21"/>
          <w:u w:val="single"/>
          <w:lang w:val="en-US" w:eastAsia="zh-CN"/>
        </w:rPr>
        <w:t>12月20日</w:t>
      </w:r>
      <w:r>
        <w:rPr>
          <w:rFonts w:hint="eastAsia" w:ascii="宋体" w:hAnsi="宋体"/>
          <w:bCs/>
          <w:color w:val="auto"/>
          <w:szCs w:val="21"/>
          <w:u w:val="single"/>
        </w:rPr>
        <w:t>09时30分</w:t>
      </w:r>
      <w:r>
        <w:rPr>
          <w:rFonts w:hint="eastAsia" w:ascii="宋体" w:hAnsi="宋体"/>
          <w:bCs/>
          <w:color w:val="auto"/>
          <w:szCs w:val="21"/>
        </w:rPr>
        <w:t>（北京时间）</w:t>
      </w:r>
    </w:p>
    <w:p w14:paraId="66D33C3B">
      <w:pPr>
        <w:spacing w:line="480" w:lineRule="atLeas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.投标和开标地点：</w:t>
      </w:r>
    </w:p>
    <w:p w14:paraId="7ABC54F9">
      <w:pPr>
        <w:widowControl/>
        <w:spacing w:line="480" w:lineRule="atLeast"/>
        <w:ind w:firstLine="420" w:firstLineChars="200"/>
        <w:jc w:val="left"/>
        <w:rPr>
          <w:rFonts w:ascii="宋体" w:hAnsi="宋体"/>
          <w:color w:val="auto"/>
          <w:szCs w:val="21"/>
        </w:rPr>
      </w:pPr>
      <w:r>
        <w:rPr>
          <w:rFonts w:hint="eastAsia" w:ascii="宋体" w:hAnsi="宋体"/>
          <w:color w:val="auto"/>
          <w:szCs w:val="21"/>
        </w:rPr>
        <w:t>（1）投标文件提交方式：本项目为南宁市全流程电子化项目，通过</w:t>
      </w:r>
      <w:r>
        <w:rPr>
          <w:rFonts w:hint="eastAsia" w:ascii="宋体" w:hAnsi="宋体"/>
          <w:color w:val="auto"/>
          <w:szCs w:val="21"/>
          <w:lang w:eastAsia="zh-CN"/>
        </w:rPr>
        <w:t>广西政府采购云平台</w:t>
      </w:r>
      <w:r>
        <w:rPr>
          <w:rFonts w:hint="eastAsia" w:ascii="宋体" w:hAnsi="宋体"/>
          <w:color w:val="auto"/>
          <w:szCs w:val="21"/>
        </w:rPr>
        <w:t>（http：/</w:t>
      </w:r>
      <w:r>
        <w:rPr>
          <w:rFonts w:ascii="宋体" w:hAnsi="宋体"/>
          <w:color w:val="auto"/>
          <w:szCs w:val="21"/>
        </w:rPr>
        <w:t>/</w:t>
      </w:r>
      <w:r>
        <w:rPr>
          <w:rFonts w:hint="eastAsia" w:ascii="宋体" w:hAnsi="宋体"/>
          <w:color w:val="auto"/>
          <w:szCs w:val="21"/>
          <w:lang w:eastAsia="zh-CN"/>
        </w:rPr>
        <w:t>www.gcy.zfcg.gxzf.gov.cn</w:t>
      </w:r>
      <w:r>
        <w:rPr>
          <w:rFonts w:hint="eastAsia" w:ascii="宋体" w:hAnsi="宋体"/>
          <w:color w:val="auto"/>
          <w:szCs w:val="21"/>
        </w:rPr>
        <w:t>）实行在线电子投标，供应商应先安装“政采云电子交易客户端”（请自行前往</w:t>
      </w:r>
      <w:r>
        <w:rPr>
          <w:rFonts w:hint="eastAsia" w:ascii="宋体" w:hAnsi="宋体"/>
          <w:color w:val="auto"/>
          <w:szCs w:val="21"/>
          <w:lang w:eastAsia="zh-CN"/>
        </w:rPr>
        <w:t>广西政府采购云平台</w:t>
      </w:r>
      <w:r>
        <w:rPr>
          <w:rFonts w:hint="eastAsia" w:ascii="宋体" w:hAnsi="宋体"/>
          <w:color w:val="auto"/>
          <w:szCs w:val="21"/>
        </w:rPr>
        <w:t>进行下载），并按照本项目招标文件和</w:t>
      </w:r>
      <w:r>
        <w:rPr>
          <w:rFonts w:hint="eastAsia" w:ascii="宋体" w:hAnsi="宋体"/>
          <w:color w:val="auto"/>
          <w:szCs w:val="21"/>
          <w:lang w:eastAsia="zh-CN"/>
        </w:rPr>
        <w:t>广西政府采购云平台</w:t>
      </w:r>
      <w:r>
        <w:rPr>
          <w:rFonts w:hint="eastAsia" w:ascii="宋体" w:hAnsi="宋体"/>
          <w:color w:val="auto"/>
          <w:szCs w:val="21"/>
        </w:rPr>
        <w:t>的要求编制、加密后在投标截止时间前通过网络上传至南宁市本级</w:t>
      </w:r>
      <w:r>
        <w:rPr>
          <w:rFonts w:hint="eastAsia" w:ascii="宋体" w:hAnsi="宋体"/>
          <w:color w:val="auto"/>
          <w:szCs w:val="21"/>
          <w:lang w:eastAsia="zh-CN"/>
        </w:rPr>
        <w:t>广西政府采购云平台</w:t>
      </w:r>
      <w:r>
        <w:rPr>
          <w:rFonts w:hint="eastAsia" w:ascii="宋体" w:hAnsi="宋体"/>
          <w:color w:val="auto"/>
          <w:szCs w:val="21"/>
        </w:rPr>
        <w:t>，</w:t>
      </w:r>
      <w:r>
        <w:rPr>
          <w:rFonts w:hint="eastAsia" w:ascii="宋体" w:hAnsi="宋体"/>
          <w:b/>
          <w:color w:val="auto"/>
          <w:szCs w:val="21"/>
        </w:rPr>
        <w:t>供应商在</w:t>
      </w:r>
      <w:r>
        <w:rPr>
          <w:rFonts w:hint="eastAsia" w:ascii="宋体" w:hAnsi="宋体"/>
          <w:b/>
          <w:color w:val="auto"/>
          <w:szCs w:val="21"/>
          <w:lang w:eastAsia="zh-CN"/>
        </w:rPr>
        <w:t>广西政府采购云平台</w:t>
      </w:r>
      <w:r>
        <w:rPr>
          <w:rFonts w:hint="eastAsia" w:ascii="宋体" w:hAnsi="宋体"/>
          <w:b/>
          <w:color w:val="auto"/>
          <w:szCs w:val="21"/>
        </w:rPr>
        <w:t>提交电子版投标文件时，请填写参加远程开标活动经办人联系方式，</w:t>
      </w:r>
      <w:r>
        <w:rPr>
          <w:rFonts w:hint="eastAsia" w:ascii="宋体" w:hAnsi="宋体"/>
          <w:color w:val="auto"/>
          <w:szCs w:val="21"/>
        </w:rPr>
        <w:t>电子投标具体操作流程详见本公告附件2。</w:t>
      </w:r>
    </w:p>
    <w:p w14:paraId="1C34B73C">
      <w:pPr>
        <w:widowControl/>
        <w:spacing w:line="480" w:lineRule="atLeast"/>
        <w:ind w:firstLine="420" w:firstLineChars="200"/>
        <w:jc w:val="left"/>
        <w:rPr>
          <w:rFonts w:ascii="宋体" w:hAnsi="宋体"/>
          <w:color w:val="auto"/>
          <w:szCs w:val="21"/>
        </w:rPr>
      </w:pPr>
      <w:r>
        <w:rPr>
          <w:rFonts w:hint="eastAsia" w:ascii="宋体" w:hAnsi="宋体"/>
          <w:color w:val="auto"/>
          <w:szCs w:val="21"/>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w:t>
      </w:r>
      <w:r>
        <w:rPr>
          <w:rFonts w:hint="eastAsia" w:ascii="宋体" w:hAnsi="宋体" w:cs="宋体"/>
          <w:color w:val="auto"/>
          <w:szCs w:val="21"/>
        </w:rPr>
        <w:t>投标人只需办理其中一家</w:t>
      </w:r>
      <w:r>
        <w:rPr>
          <w:rFonts w:ascii="宋体" w:hAnsi="宋体" w:cs="宋体"/>
          <w:color w:val="auto"/>
          <w:szCs w:val="21"/>
        </w:rPr>
        <w:t>CA数字证书及签章</w:t>
      </w:r>
      <w:r>
        <w:rPr>
          <w:rFonts w:hint="eastAsia" w:ascii="宋体" w:hAnsi="宋体" w:cs="宋体"/>
          <w:color w:val="auto"/>
          <w:szCs w:val="21"/>
        </w:rPr>
        <w:t>，</w:t>
      </w:r>
      <w:r>
        <w:rPr>
          <w:rFonts w:hint="eastAsia" w:ascii="宋体" w:hAnsi="宋体"/>
          <w:color w:val="auto"/>
          <w:szCs w:val="21"/>
        </w:rPr>
        <w:t>建议各投标人抓紧时间办理。</w:t>
      </w:r>
    </w:p>
    <w:p w14:paraId="412E1077">
      <w:pPr>
        <w:widowControl/>
        <w:spacing w:line="480" w:lineRule="atLeast"/>
        <w:ind w:firstLine="420" w:firstLineChars="200"/>
        <w:jc w:val="left"/>
        <w:rPr>
          <w:rFonts w:ascii="宋体" w:hAnsi="宋体"/>
          <w:color w:val="auto"/>
          <w:szCs w:val="21"/>
        </w:rPr>
      </w:pPr>
      <w:r>
        <w:rPr>
          <w:rFonts w:hint="eastAsia" w:ascii="宋体" w:hAnsi="宋体"/>
          <w:color w:val="auto"/>
          <w:szCs w:val="21"/>
        </w:rPr>
        <w:t>（3）为确保网上操作合法、有效和安全，请投标供应商确保在电子投标过程中能够对相关数据电文进行加密和使用电子签章，妥善保管C</w:t>
      </w:r>
      <w:r>
        <w:rPr>
          <w:rFonts w:ascii="宋体" w:hAnsi="宋体"/>
          <w:color w:val="auto"/>
          <w:szCs w:val="21"/>
        </w:rPr>
        <w:t>A</w:t>
      </w:r>
      <w:r>
        <w:rPr>
          <w:rFonts w:hint="eastAsia" w:ascii="宋体" w:hAnsi="宋体"/>
          <w:color w:val="auto"/>
          <w:szCs w:val="21"/>
        </w:rPr>
        <w:t>数字证书并使用有效的CA数字证书参与整个招标活动。</w:t>
      </w:r>
    </w:p>
    <w:p w14:paraId="47D4E403">
      <w:pPr>
        <w:spacing w:line="480" w:lineRule="atLeast"/>
        <w:ind w:firstLine="420" w:firstLineChars="200"/>
        <w:rPr>
          <w:rFonts w:ascii="宋体" w:hAnsi="宋体"/>
          <w:bCs/>
          <w:color w:val="auto"/>
          <w:szCs w:val="21"/>
          <w:u w:val="single"/>
        </w:rPr>
      </w:pPr>
      <w:r>
        <w:rPr>
          <w:rFonts w:hint="eastAsia" w:ascii="宋体" w:hAnsi="宋体"/>
          <w:bCs/>
          <w:color w:val="auto"/>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bCs/>
          <w:color w:val="auto"/>
          <w:szCs w:val="21"/>
          <w:u w:val="single"/>
          <w:lang w:eastAsia="zh-CN"/>
        </w:rPr>
        <w:t>广西政府采购云平台</w:t>
      </w:r>
      <w:r>
        <w:rPr>
          <w:rFonts w:hint="eastAsia" w:ascii="宋体" w:hAnsi="宋体"/>
          <w:bCs/>
          <w:color w:val="auto"/>
          <w:szCs w:val="21"/>
          <w:u w:val="single"/>
        </w:rPr>
        <w:t>将予以拒收。</w:t>
      </w:r>
    </w:p>
    <w:p w14:paraId="0C73DDBF">
      <w:pPr>
        <w:widowControl/>
        <w:spacing w:line="480" w:lineRule="atLeast"/>
        <w:ind w:firstLine="420" w:firstLineChars="200"/>
        <w:jc w:val="left"/>
        <w:rPr>
          <w:rFonts w:ascii="宋体" w:hAnsi="宋体"/>
          <w:color w:val="auto"/>
          <w:szCs w:val="21"/>
        </w:rPr>
      </w:pPr>
      <w:r>
        <w:rPr>
          <w:rFonts w:hint="eastAsia" w:ascii="宋体" w:hAnsi="宋体"/>
          <w:color w:val="auto"/>
          <w:szCs w:val="21"/>
        </w:rPr>
        <w:t>（4）开标地点：本次招标将</w:t>
      </w:r>
      <w:r>
        <w:rPr>
          <w:rFonts w:hint="eastAsia" w:ascii="宋体" w:hAnsi="宋体"/>
          <w:color w:val="auto"/>
          <w:szCs w:val="21"/>
          <w:u w:val="single"/>
        </w:rPr>
        <w:t>于2024年</w:t>
      </w:r>
      <w:r>
        <w:rPr>
          <w:rFonts w:hint="eastAsia" w:ascii="宋体" w:hAnsi="宋体"/>
          <w:color w:val="auto"/>
          <w:szCs w:val="21"/>
          <w:u w:val="single"/>
          <w:lang w:val="en-US" w:eastAsia="zh-CN"/>
        </w:rPr>
        <w:t>12月20日</w:t>
      </w:r>
      <w:r>
        <w:rPr>
          <w:rFonts w:hint="eastAsia" w:ascii="宋体" w:hAnsi="宋体"/>
          <w:color w:val="auto"/>
          <w:szCs w:val="21"/>
          <w:u w:val="single"/>
        </w:rPr>
        <w:t>9时30分（北京时间）</w:t>
      </w:r>
      <w:r>
        <w:rPr>
          <w:rFonts w:hint="eastAsia" w:ascii="宋体" w:hAnsi="宋体"/>
          <w:color w:val="auto"/>
          <w:szCs w:val="21"/>
        </w:rPr>
        <w:t>在</w:t>
      </w:r>
      <w:r>
        <w:rPr>
          <w:rFonts w:hint="eastAsia" w:ascii="宋体" w:hAnsi="宋体"/>
          <w:color w:val="auto"/>
          <w:szCs w:val="21"/>
          <w:lang w:eastAsia="zh-CN"/>
        </w:rPr>
        <w:t>广西政府采购云平台</w:t>
      </w:r>
      <w:r>
        <w:rPr>
          <w:rFonts w:hint="eastAsia" w:ascii="宋体" w:hAnsi="宋体"/>
          <w:color w:val="auto"/>
          <w:szCs w:val="21"/>
        </w:rPr>
        <w:t>电子开标大厅开标。</w:t>
      </w:r>
    </w:p>
    <w:p w14:paraId="64CD7F67">
      <w:pPr>
        <w:snapToGrid w:val="0"/>
        <w:spacing w:line="480" w:lineRule="atLeast"/>
        <w:ind w:firstLine="420" w:firstLineChars="200"/>
        <w:rPr>
          <w:rFonts w:ascii="宋体" w:hAnsi="宋体" w:cs="宋体"/>
          <w:color w:val="auto"/>
          <w:kern w:val="0"/>
          <w:szCs w:val="21"/>
        </w:rPr>
      </w:pPr>
      <w:r>
        <w:rPr>
          <w:rFonts w:hint="eastAsia" w:ascii="宋体" w:hAnsi="宋体" w:cs="宋体"/>
          <w:color w:val="auto"/>
          <w:kern w:val="0"/>
          <w:szCs w:val="21"/>
        </w:rPr>
        <w:t>（5）CA证书在线解密：供应商投标时，需携带制作投标文件时用来加密的有效数字证书（CA认证）登录</w:t>
      </w:r>
      <w:r>
        <w:rPr>
          <w:rFonts w:hint="eastAsia" w:ascii="宋体" w:hAnsi="宋体" w:cs="宋体"/>
          <w:color w:val="auto"/>
          <w:kern w:val="0"/>
          <w:szCs w:val="21"/>
          <w:lang w:eastAsia="zh-CN"/>
        </w:rPr>
        <w:t>广西政府采购云平台</w:t>
      </w:r>
      <w:r>
        <w:rPr>
          <w:rFonts w:hint="eastAsia" w:ascii="宋体" w:hAnsi="宋体" w:cs="宋体"/>
          <w:color w:val="auto"/>
          <w:kern w:val="0"/>
          <w:szCs w:val="21"/>
        </w:rPr>
        <w:t>电子开标大厅现场按规定时间对加密的投标文件进行解密，否则后果自负。</w:t>
      </w:r>
    </w:p>
    <w:p w14:paraId="71745BBC">
      <w:pPr>
        <w:spacing w:line="480" w:lineRule="atLeast"/>
        <w:rPr>
          <w:rFonts w:ascii="黑体" w:hAnsi="黑体" w:eastAsia="黑体"/>
          <w:b/>
          <w:bCs/>
          <w:color w:val="auto"/>
          <w:sz w:val="24"/>
        </w:rPr>
      </w:pPr>
      <w:bookmarkStart w:id="24" w:name="_Toc28359084"/>
      <w:bookmarkStart w:id="25" w:name="_Toc35393625"/>
      <w:bookmarkStart w:id="26" w:name="_Toc28359007"/>
      <w:bookmarkStart w:id="27" w:name="_Toc35393794"/>
      <w:r>
        <w:rPr>
          <w:rFonts w:hint="eastAsia" w:ascii="黑体" w:hAnsi="黑体" w:eastAsia="黑体"/>
          <w:b/>
          <w:bCs/>
          <w:color w:val="auto"/>
          <w:sz w:val="24"/>
        </w:rPr>
        <w:t>五、公告期限</w:t>
      </w:r>
      <w:bookmarkEnd w:id="24"/>
      <w:bookmarkEnd w:id="25"/>
      <w:bookmarkEnd w:id="26"/>
      <w:bookmarkEnd w:id="27"/>
    </w:p>
    <w:p w14:paraId="7C2D21CA">
      <w:pPr>
        <w:spacing w:line="480" w:lineRule="atLeas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14:paraId="42CD59A7">
      <w:pPr>
        <w:spacing w:line="480" w:lineRule="atLeast"/>
        <w:rPr>
          <w:rFonts w:ascii="黑体" w:hAnsi="黑体" w:eastAsia="黑体"/>
          <w:b/>
          <w:bCs/>
          <w:color w:val="auto"/>
          <w:sz w:val="24"/>
        </w:rPr>
      </w:pPr>
      <w:bookmarkStart w:id="28" w:name="_Toc35393626"/>
      <w:bookmarkStart w:id="29" w:name="_Toc35393795"/>
      <w:r>
        <w:rPr>
          <w:rFonts w:hint="eastAsia" w:ascii="黑体" w:hAnsi="黑体" w:eastAsia="黑体"/>
          <w:b/>
          <w:bCs/>
          <w:color w:val="auto"/>
          <w:sz w:val="24"/>
        </w:rPr>
        <w:t>六、其他补充事宜</w:t>
      </w:r>
      <w:bookmarkEnd w:id="28"/>
      <w:bookmarkEnd w:id="29"/>
    </w:p>
    <w:p w14:paraId="2F496489">
      <w:pPr>
        <w:spacing w:line="480" w:lineRule="atLeast"/>
        <w:ind w:firstLine="315" w:firstLineChars="150"/>
        <w:rPr>
          <w:rFonts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w:t>
      </w:r>
      <w:r>
        <w:rPr>
          <w:rFonts w:hint="eastAsia" w:ascii="宋体" w:hAnsi="宋体" w:cs="宋体"/>
          <w:color w:val="auto"/>
          <w:kern w:val="0"/>
          <w:szCs w:val="21"/>
        </w:rPr>
        <w:t>投标保证金：本项目不收取投标保证金</w:t>
      </w:r>
    </w:p>
    <w:p w14:paraId="459D7F88">
      <w:pPr>
        <w:spacing w:line="480" w:lineRule="atLeast"/>
        <w:ind w:firstLine="315" w:firstLineChars="150"/>
        <w:rPr>
          <w:rFonts w:ascii="宋体" w:hAnsi="宋体" w:cs="宋体"/>
          <w:color w:val="auto"/>
          <w:kern w:val="0"/>
          <w:szCs w:val="21"/>
        </w:rPr>
      </w:pPr>
      <w:bookmarkStart w:id="30" w:name="_Hlk37429585"/>
      <w:r>
        <w:rPr>
          <w:rFonts w:hint="eastAsia" w:ascii="宋体" w:hAnsi="宋体" w:cs="宋体"/>
          <w:color w:val="auto"/>
          <w:kern w:val="0"/>
          <w:szCs w:val="21"/>
        </w:rPr>
        <w:t>2.采购意向公开链接：</w:t>
      </w:r>
    </w:p>
    <w:p w14:paraId="50C7B694">
      <w:pPr>
        <w:spacing w:line="480" w:lineRule="atLeast"/>
        <w:ind w:firstLine="315" w:firstLineChars="150"/>
        <w:rPr>
          <w:rFonts w:ascii="宋体" w:hAnsi="宋体" w:cs="宋体"/>
          <w:color w:val="auto"/>
          <w:kern w:val="0"/>
          <w:szCs w:val="21"/>
        </w:rPr>
      </w:pPr>
      <w:r>
        <w:rPr>
          <w:rFonts w:hint="eastAsia" w:ascii="宋体" w:hAnsi="宋体" w:cs="宋体"/>
          <w:color w:val="auto"/>
          <w:kern w:val="0"/>
          <w:szCs w:val="21"/>
        </w:rPr>
        <w:t>http://zfcg.gxzf.gov.cn/site/detail?categoryCode=reformColumn&amp;parentId=66601&amp;articleId=yWY7Za7XUESwM8HV1ALa1g==</w:t>
      </w:r>
    </w:p>
    <w:p w14:paraId="799EC3FF">
      <w:pPr>
        <w:spacing w:line="480" w:lineRule="atLeast"/>
        <w:ind w:firstLine="315" w:firstLineChars="150"/>
        <w:rPr>
          <w:rFonts w:ascii="宋体" w:hAnsi="宋体" w:cs="宋体"/>
          <w:color w:val="auto"/>
          <w:kern w:val="0"/>
          <w:szCs w:val="21"/>
        </w:rPr>
      </w:pPr>
      <w:r>
        <w:rPr>
          <w:rFonts w:hint="eastAsia" w:ascii="宋体" w:hAnsi="宋体" w:cs="宋体"/>
          <w:color w:val="auto"/>
          <w:kern w:val="0"/>
          <w:szCs w:val="21"/>
        </w:rPr>
        <w:t>3.</w:t>
      </w:r>
      <w:bookmarkStart w:id="31" w:name="_Hlk37429595"/>
      <w:r>
        <w:rPr>
          <w:rFonts w:hint="eastAsia" w:ascii="宋体" w:hAnsi="宋体" w:cs="宋体"/>
          <w:color w:val="auto"/>
          <w:kern w:val="0"/>
          <w:szCs w:val="21"/>
        </w:rPr>
        <w:t>网上查询地址：</w:t>
      </w:r>
    </w:p>
    <w:bookmarkEnd w:id="30"/>
    <w:bookmarkEnd w:id="31"/>
    <w:p w14:paraId="14FD30FD">
      <w:pPr>
        <w:spacing w:line="480" w:lineRule="atLeast"/>
        <w:ind w:firstLine="315" w:firstLineChars="150"/>
        <w:rPr>
          <w:rFonts w:ascii="宋体" w:hAnsi="宋体" w:cs="宋体"/>
          <w:color w:val="auto"/>
          <w:kern w:val="0"/>
          <w:szCs w:val="21"/>
        </w:rPr>
      </w:pPr>
      <w:bookmarkStart w:id="32" w:name="_Hlk37429674"/>
      <w:r>
        <w:rPr>
          <w:rFonts w:hint="eastAsia" w:ascii="宋体" w:hAnsi="宋体" w:cs="宋体"/>
          <w:color w:val="auto"/>
          <w:kern w:val="0"/>
          <w:szCs w:val="21"/>
        </w:rPr>
        <w:t>http：//www.ccgp.gov.cn（中国政府采购网）、http://zfcg.gxzf.gov.cn（广西政府采购网）、http://ggzy.jgswj.gxzf.gov.cn/nnggzy/（全国公共资源交易平台（广西•南宁））</w:t>
      </w:r>
    </w:p>
    <w:p w14:paraId="4788DADE">
      <w:pPr>
        <w:spacing w:line="480" w:lineRule="atLeast"/>
        <w:ind w:firstLine="315" w:firstLineChars="150"/>
        <w:rPr>
          <w:rFonts w:ascii="宋体" w:hAnsi="宋体" w:cs="宋体"/>
          <w:color w:val="auto"/>
          <w:kern w:val="0"/>
          <w:szCs w:val="21"/>
        </w:rPr>
      </w:pPr>
      <w:r>
        <w:rPr>
          <w:rFonts w:hint="eastAsia" w:ascii="宋体" w:hAnsi="宋体"/>
          <w:color w:val="auto"/>
          <w:szCs w:val="21"/>
        </w:rPr>
        <w:t>4</w:t>
      </w:r>
      <w:r>
        <w:rPr>
          <w:rFonts w:ascii="宋体" w:hAnsi="宋体"/>
          <w:color w:val="auto"/>
          <w:szCs w:val="21"/>
        </w:rPr>
        <w:t>.</w:t>
      </w:r>
      <w:r>
        <w:rPr>
          <w:rFonts w:hint="eastAsia" w:ascii="宋体" w:hAnsi="宋体" w:cs="宋体"/>
          <w:color w:val="auto"/>
          <w:kern w:val="0"/>
          <w:szCs w:val="21"/>
        </w:rPr>
        <w:t>本项目需要落实的政府采购政策</w:t>
      </w:r>
    </w:p>
    <w:p w14:paraId="65BE26CE">
      <w:pPr>
        <w:spacing w:line="480" w:lineRule="atLeast"/>
        <w:ind w:firstLine="315" w:firstLineChars="150"/>
        <w:rPr>
          <w:rFonts w:ascii="宋体" w:hAnsi="宋体" w:cs="宋体"/>
          <w:color w:val="auto"/>
          <w:kern w:val="0"/>
          <w:szCs w:val="21"/>
        </w:rPr>
      </w:pPr>
      <w:r>
        <w:rPr>
          <w:rFonts w:hint="eastAsia" w:ascii="宋体" w:hAnsi="宋体" w:cs="宋体"/>
          <w:color w:val="auto"/>
          <w:kern w:val="0"/>
          <w:szCs w:val="21"/>
        </w:rPr>
        <w:t>（1）政府采购促进中小企业发展。</w:t>
      </w:r>
    </w:p>
    <w:p w14:paraId="36703BAA">
      <w:pPr>
        <w:spacing w:line="480" w:lineRule="atLeast"/>
        <w:ind w:firstLine="315" w:firstLineChars="150"/>
        <w:rPr>
          <w:rFonts w:ascii="宋体" w:hAnsi="宋体" w:cs="宋体"/>
          <w:color w:val="auto"/>
          <w:kern w:val="0"/>
          <w:szCs w:val="21"/>
        </w:rPr>
      </w:pPr>
      <w:r>
        <w:rPr>
          <w:rFonts w:hint="eastAsia" w:ascii="宋体" w:hAnsi="宋体" w:cs="宋体"/>
          <w:color w:val="auto"/>
          <w:kern w:val="0"/>
          <w:szCs w:val="21"/>
        </w:rPr>
        <w:t>（2）政府采购支持采用本国产品的政策。</w:t>
      </w:r>
    </w:p>
    <w:p w14:paraId="54CCE1D3">
      <w:pPr>
        <w:spacing w:line="480" w:lineRule="atLeast"/>
        <w:ind w:firstLine="315" w:firstLineChars="150"/>
        <w:rPr>
          <w:rFonts w:ascii="宋体" w:hAnsi="宋体" w:cs="宋体"/>
          <w:color w:val="auto"/>
          <w:kern w:val="0"/>
          <w:szCs w:val="21"/>
        </w:rPr>
      </w:pPr>
      <w:r>
        <w:rPr>
          <w:rFonts w:hint="eastAsia" w:ascii="宋体" w:hAnsi="宋体" w:cs="宋体"/>
          <w:color w:val="auto"/>
          <w:kern w:val="0"/>
          <w:szCs w:val="21"/>
        </w:rPr>
        <w:t>（3）强制采购节能产品；优先采购节能产品、环境标志产品。</w:t>
      </w:r>
    </w:p>
    <w:p w14:paraId="06863FA4">
      <w:pPr>
        <w:spacing w:line="480" w:lineRule="atLeast"/>
        <w:ind w:firstLine="315" w:firstLineChars="150"/>
        <w:rPr>
          <w:rFonts w:ascii="宋体" w:hAnsi="宋体" w:cs="宋体"/>
          <w:color w:val="auto"/>
          <w:kern w:val="0"/>
          <w:szCs w:val="21"/>
        </w:rPr>
      </w:pPr>
      <w:r>
        <w:rPr>
          <w:rFonts w:hint="eastAsia" w:ascii="宋体" w:hAnsi="宋体" w:cs="宋体"/>
          <w:color w:val="auto"/>
          <w:kern w:val="0"/>
          <w:szCs w:val="21"/>
        </w:rPr>
        <w:t>（4）政府采购促进残疾人就业政策。</w:t>
      </w:r>
    </w:p>
    <w:p w14:paraId="220E2BAA">
      <w:pPr>
        <w:spacing w:line="480" w:lineRule="atLeast"/>
        <w:ind w:firstLine="315" w:firstLineChars="150"/>
        <w:rPr>
          <w:rFonts w:ascii="宋体" w:hAnsi="宋体" w:cs="宋体"/>
          <w:color w:val="auto"/>
          <w:kern w:val="0"/>
          <w:szCs w:val="21"/>
        </w:rPr>
      </w:pPr>
      <w:r>
        <w:rPr>
          <w:rFonts w:hint="eastAsia" w:ascii="宋体" w:hAnsi="宋体" w:cs="宋体"/>
          <w:color w:val="auto"/>
          <w:kern w:val="0"/>
          <w:szCs w:val="21"/>
        </w:rPr>
        <w:t>（5）政府采购支持监狱企业发展。</w:t>
      </w:r>
      <w:bookmarkEnd w:id="32"/>
    </w:p>
    <w:p w14:paraId="3722FA70">
      <w:pPr>
        <w:spacing w:line="480" w:lineRule="atLeast"/>
        <w:ind w:firstLine="315" w:firstLineChars="150"/>
        <w:rPr>
          <w:rFonts w:ascii="宋体" w:hAnsi="宋体" w:cs="宋体"/>
          <w:color w:val="auto"/>
          <w:kern w:val="0"/>
          <w:szCs w:val="21"/>
        </w:rPr>
      </w:pPr>
      <w:r>
        <w:rPr>
          <w:rFonts w:hint="eastAsia" w:ascii="宋体" w:hAnsi="宋体" w:cs="宋体"/>
          <w:color w:val="auto"/>
          <w:kern w:val="0"/>
          <w:szCs w:val="21"/>
        </w:rPr>
        <w:t>（6）</w:t>
      </w:r>
      <w:r>
        <w:rPr>
          <w:rFonts w:hint="eastAsia"/>
          <w:color w:val="auto"/>
        </w:rPr>
        <w:t>扶持不发达地区和少数民族地区政策</w:t>
      </w:r>
    </w:p>
    <w:p w14:paraId="1FDB470F">
      <w:pPr>
        <w:spacing w:line="480" w:lineRule="atLeast"/>
        <w:ind w:firstLine="315" w:firstLineChars="150"/>
        <w:rPr>
          <w:rFonts w:ascii="宋体" w:hAnsi="宋体" w:cs="宋体"/>
          <w:color w:val="auto"/>
          <w:kern w:val="0"/>
          <w:szCs w:val="21"/>
        </w:rPr>
      </w:pPr>
      <w:r>
        <w:rPr>
          <w:rFonts w:hint="eastAsia" w:ascii="宋体" w:hAnsi="宋体" w:cs="宋体"/>
          <w:color w:val="auto"/>
          <w:kern w:val="0"/>
          <w:szCs w:val="21"/>
        </w:rPr>
        <w:t>5</w:t>
      </w:r>
      <w:r>
        <w:rPr>
          <w:rFonts w:ascii="宋体" w:hAnsi="宋体" w:cs="宋体"/>
          <w:color w:val="auto"/>
          <w:kern w:val="0"/>
          <w:szCs w:val="21"/>
        </w:rPr>
        <w:t>.</w:t>
      </w:r>
      <w:r>
        <w:rPr>
          <w:rFonts w:hint="eastAsia" w:ascii="宋体" w:hAnsi="宋体" w:cs="宋体"/>
          <w:color w:val="auto"/>
          <w:kern w:val="0"/>
          <w:szCs w:val="21"/>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4786CB0D">
      <w:pPr>
        <w:spacing w:line="480" w:lineRule="atLeast"/>
        <w:ind w:firstLine="420" w:firstLineChars="200"/>
        <w:rPr>
          <w:rFonts w:ascii="宋体" w:hAnsi="宋体" w:cs="宋体"/>
          <w:color w:val="auto"/>
          <w:kern w:val="0"/>
          <w:szCs w:val="21"/>
        </w:rPr>
      </w:pPr>
      <w:r>
        <w:rPr>
          <w:rFonts w:hint="eastAsia" w:ascii="宋体" w:hAnsi="宋体" w:cs="宋体"/>
          <w:color w:val="auto"/>
          <w:kern w:val="0"/>
          <w:szCs w:val="21"/>
        </w:rPr>
        <w:t>6</w:t>
      </w:r>
      <w:r>
        <w:rPr>
          <w:rFonts w:ascii="宋体" w:hAnsi="宋体" w:cs="宋体"/>
          <w:color w:val="auto"/>
          <w:kern w:val="0"/>
          <w:szCs w:val="21"/>
        </w:rPr>
        <w:t>.</w:t>
      </w:r>
      <w:r>
        <w:rPr>
          <w:rFonts w:hint="eastAsia" w:ascii="宋体" w:hAnsi="宋体" w:cs="宋体"/>
          <w:color w:val="auto"/>
          <w:kern w:val="0"/>
          <w:szCs w:val="21"/>
        </w:rPr>
        <w:t>若对项目采购电子交易系统操作有疑问，可登录</w:t>
      </w:r>
      <w:r>
        <w:rPr>
          <w:rFonts w:hint="eastAsia" w:ascii="宋体" w:hAnsi="宋体" w:cs="宋体"/>
          <w:color w:val="auto"/>
          <w:kern w:val="0"/>
          <w:szCs w:val="21"/>
          <w:lang w:eastAsia="zh-CN"/>
        </w:rPr>
        <w:t>广西政府采购云平台</w:t>
      </w:r>
      <w:r>
        <w:rPr>
          <w:rFonts w:hint="eastAsia" w:ascii="宋体" w:hAnsi="宋体" w:cs="宋体"/>
          <w:color w:val="auto"/>
          <w:kern w:val="0"/>
          <w:szCs w:val="21"/>
        </w:rPr>
        <w:t>（https://</w:t>
      </w:r>
      <w:r>
        <w:rPr>
          <w:rFonts w:hint="eastAsia" w:ascii="宋体" w:hAnsi="宋体" w:cs="宋体"/>
          <w:color w:val="auto"/>
          <w:kern w:val="0"/>
          <w:szCs w:val="21"/>
          <w:lang w:eastAsia="zh-CN"/>
        </w:rPr>
        <w:t>www.gcy.zfcg.gxzf.gov.cn</w:t>
      </w:r>
      <w:r>
        <w:rPr>
          <w:rFonts w:hint="eastAsia" w:ascii="宋体" w:hAnsi="宋体" w:cs="宋体"/>
          <w:color w:val="auto"/>
          <w:kern w:val="0"/>
          <w:szCs w:val="21"/>
        </w:rPr>
        <w:t>/），点击右侧咨询小采，获取采小蜜智能服务管家帮助，或拨打政采云服务热线95763获取热线服务帮助。</w:t>
      </w:r>
    </w:p>
    <w:p w14:paraId="5383CC26">
      <w:pPr>
        <w:spacing w:line="480" w:lineRule="atLeast"/>
        <w:rPr>
          <w:rFonts w:ascii="黑体" w:hAnsi="黑体" w:eastAsia="黑体"/>
          <w:b/>
          <w:bCs/>
          <w:color w:val="auto"/>
          <w:sz w:val="24"/>
        </w:rPr>
      </w:pPr>
      <w:bookmarkStart w:id="33" w:name="_Toc35393796"/>
      <w:bookmarkStart w:id="34" w:name="_Toc28359085"/>
      <w:bookmarkStart w:id="35" w:name="_Toc28359008"/>
      <w:bookmarkStart w:id="36" w:name="_Toc35393627"/>
      <w:r>
        <w:rPr>
          <w:rFonts w:hint="eastAsia" w:ascii="黑体" w:hAnsi="黑体" w:eastAsia="黑体"/>
          <w:b/>
          <w:bCs/>
          <w:color w:val="auto"/>
          <w:sz w:val="24"/>
        </w:rPr>
        <w:t>七、对本次招标提出询问，请按</w:t>
      </w:r>
      <w:r>
        <w:rPr>
          <w:rFonts w:ascii="黑体" w:hAnsi="黑体" w:eastAsia="黑体"/>
          <w:b/>
          <w:bCs/>
          <w:color w:val="auto"/>
          <w:sz w:val="24"/>
        </w:rPr>
        <w:t>以下方式</w:t>
      </w:r>
      <w:r>
        <w:rPr>
          <w:rFonts w:hint="eastAsia" w:ascii="黑体" w:hAnsi="黑体" w:eastAsia="黑体"/>
          <w:b/>
          <w:bCs/>
          <w:color w:val="auto"/>
          <w:sz w:val="24"/>
        </w:rPr>
        <w:t>联系。</w:t>
      </w:r>
      <w:bookmarkEnd w:id="33"/>
      <w:bookmarkEnd w:id="34"/>
      <w:bookmarkEnd w:id="35"/>
      <w:bookmarkEnd w:id="36"/>
    </w:p>
    <w:p w14:paraId="7D1903BF">
      <w:pPr>
        <w:spacing w:line="480" w:lineRule="atLeast"/>
        <w:ind w:firstLine="420" w:firstLineChars="200"/>
        <w:jc w:val="left"/>
        <w:rPr>
          <w:rFonts w:ascii="宋体" w:hAnsi="宋体"/>
          <w:color w:val="auto"/>
          <w:szCs w:val="21"/>
        </w:rPr>
      </w:pPr>
      <w:r>
        <w:rPr>
          <w:rFonts w:hint="eastAsia" w:ascii="宋体" w:hAnsi="宋体"/>
          <w:color w:val="auto"/>
          <w:szCs w:val="21"/>
        </w:rPr>
        <w:t>1.采购人信息</w:t>
      </w:r>
    </w:p>
    <w:p w14:paraId="33CE72E1">
      <w:pPr>
        <w:spacing w:line="480" w:lineRule="atLeast"/>
        <w:ind w:firstLine="420" w:firstLineChars="200"/>
        <w:jc w:val="left"/>
        <w:rPr>
          <w:rFonts w:hint="eastAsia" w:ascii="宋体" w:hAnsi="宋体" w:eastAsia="宋体"/>
          <w:color w:val="auto"/>
          <w:szCs w:val="21"/>
          <w:lang w:eastAsia="zh-CN"/>
        </w:rPr>
      </w:pPr>
      <w:r>
        <w:rPr>
          <w:rFonts w:hint="eastAsia" w:ascii="宋体" w:hAnsi="宋体"/>
          <w:color w:val="auto"/>
          <w:szCs w:val="21"/>
        </w:rPr>
        <w:t>名  称：</w:t>
      </w:r>
      <w:r>
        <w:rPr>
          <w:rFonts w:hint="eastAsia" w:ascii="宋体" w:hAnsi="宋体"/>
          <w:color w:val="auto"/>
          <w:szCs w:val="21"/>
          <w:lang w:eastAsia="zh-CN"/>
        </w:rPr>
        <w:t>南宁职业技术大学</w:t>
      </w:r>
    </w:p>
    <w:p w14:paraId="6121AA5B">
      <w:pPr>
        <w:spacing w:line="480" w:lineRule="atLeast"/>
        <w:ind w:firstLine="420" w:firstLineChars="200"/>
        <w:jc w:val="left"/>
        <w:rPr>
          <w:rFonts w:ascii="宋体" w:hAnsi="宋体"/>
          <w:color w:val="auto"/>
          <w:szCs w:val="21"/>
        </w:rPr>
      </w:pPr>
      <w:r>
        <w:rPr>
          <w:rFonts w:hint="eastAsia" w:ascii="宋体" w:hAnsi="宋体"/>
          <w:color w:val="auto"/>
          <w:szCs w:val="21"/>
        </w:rPr>
        <w:t>地  址：广西南宁市大学西路169号</w:t>
      </w:r>
    </w:p>
    <w:p w14:paraId="0E4C6F18">
      <w:pPr>
        <w:spacing w:line="480" w:lineRule="atLeast"/>
        <w:ind w:firstLine="420" w:firstLineChars="200"/>
        <w:jc w:val="left"/>
        <w:rPr>
          <w:rFonts w:ascii="宋体" w:hAnsi="宋体"/>
          <w:color w:val="auto"/>
          <w:szCs w:val="21"/>
          <w:u w:val="single"/>
        </w:rPr>
      </w:pPr>
      <w:r>
        <w:rPr>
          <w:rFonts w:hint="eastAsia" w:ascii="宋体" w:hAnsi="宋体"/>
          <w:color w:val="auto"/>
          <w:szCs w:val="21"/>
        </w:rPr>
        <w:t>项目联系人：孔老师      联系电话：0771-2029355</w:t>
      </w:r>
    </w:p>
    <w:p w14:paraId="4E4ADFF2">
      <w:pPr>
        <w:spacing w:line="480" w:lineRule="atLeast"/>
        <w:ind w:firstLine="420" w:firstLineChars="200"/>
        <w:jc w:val="left"/>
        <w:rPr>
          <w:rFonts w:ascii="宋体" w:hAnsi="宋体"/>
          <w:color w:val="auto"/>
          <w:szCs w:val="21"/>
        </w:rPr>
      </w:pPr>
      <w:r>
        <w:rPr>
          <w:rFonts w:hint="eastAsia" w:ascii="宋体" w:hAnsi="宋体"/>
          <w:color w:val="auto"/>
          <w:szCs w:val="21"/>
        </w:rPr>
        <w:t>2.采购代理机构信息</w:t>
      </w:r>
    </w:p>
    <w:p w14:paraId="35E61D2C">
      <w:pPr>
        <w:spacing w:line="480" w:lineRule="atLeast"/>
        <w:ind w:firstLine="420" w:firstLineChars="200"/>
        <w:jc w:val="left"/>
        <w:rPr>
          <w:rFonts w:ascii="宋体" w:hAnsi="宋体"/>
          <w:color w:val="auto"/>
          <w:szCs w:val="21"/>
        </w:rPr>
      </w:pPr>
      <w:r>
        <w:rPr>
          <w:rFonts w:hint="eastAsia" w:ascii="宋体" w:hAnsi="宋体"/>
          <w:color w:val="auto"/>
          <w:szCs w:val="21"/>
        </w:rPr>
        <w:t>名  称：广西同泽工程项目管理股份有限公司</w:t>
      </w:r>
    </w:p>
    <w:p w14:paraId="1A6C0CF9">
      <w:pPr>
        <w:spacing w:line="480" w:lineRule="atLeast"/>
        <w:ind w:firstLine="420" w:firstLineChars="200"/>
        <w:jc w:val="left"/>
        <w:rPr>
          <w:rFonts w:ascii="宋体" w:hAnsi="宋体"/>
          <w:color w:val="auto"/>
          <w:szCs w:val="21"/>
        </w:rPr>
      </w:pPr>
      <w:r>
        <w:rPr>
          <w:rFonts w:hint="eastAsia" w:ascii="宋体" w:hAnsi="宋体"/>
          <w:color w:val="auto"/>
          <w:szCs w:val="21"/>
        </w:rPr>
        <w:t>地  址：中国（广西）自由贸易试验区南宁片区凯旋路16号五象总部基地广东大厦十八层</w:t>
      </w:r>
    </w:p>
    <w:p w14:paraId="3D6BB47A">
      <w:pPr>
        <w:spacing w:line="480" w:lineRule="atLeast"/>
        <w:ind w:firstLine="420" w:firstLineChars="200"/>
        <w:jc w:val="left"/>
        <w:rPr>
          <w:rFonts w:ascii="宋体" w:hAnsi="宋体"/>
          <w:color w:val="auto"/>
          <w:szCs w:val="21"/>
        </w:rPr>
      </w:pPr>
      <w:r>
        <w:rPr>
          <w:rFonts w:hint="eastAsia" w:ascii="宋体" w:hAnsi="宋体"/>
          <w:color w:val="auto"/>
          <w:szCs w:val="21"/>
        </w:rPr>
        <w:t>联系电话：0771-4305766</w:t>
      </w:r>
    </w:p>
    <w:p w14:paraId="66F04909">
      <w:pPr>
        <w:spacing w:line="480" w:lineRule="atLeast"/>
        <w:ind w:firstLine="420" w:firstLineChars="200"/>
        <w:jc w:val="left"/>
        <w:rPr>
          <w:rFonts w:ascii="宋体" w:hAnsi="宋体"/>
          <w:color w:val="auto"/>
          <w:szCs w:val="21"/>
        </w:rPr>
      </w:pPr>
      <w:r>
        <w:rPr>
          <w:rFonts w:hint="eastAsia" w:ascii="宋体" w:hAnsi="宋体"/>
          <w:color w:val="auto"/>
          <w:szCs w:val="21"/>
        </w:rPr>
        <w:t>3.项目联系方式</w:t>
      </w:r>
    </w:p>
    <w:p w14:paraId="2E0859D7">
      <w:pPr>
        <w:spacing w:line="480" w:lineRule="atLeast"/>
        <w:ind w:firstLine="420" w:firstLineChars="200"/>
        <w:jc w:val="left"/>
        <w:rPr>
          <w:rFonts w:ascii="宋体" w:hAnsi="宋体"/>
          <w:color w:val="auto"/>
          <w:szCs w:val="21"/>
        </w:rPr>
      </w:pPr>
      <w:r>
        <w:rPr>
          <w:rFonts w:hint="eastAsia" w:ascii="宋体" w:hAnsi="宋体"/>
          <w:color w:val="auto"/>
          <w:szCs w:val="21"/>
        </w:rPr>
        <w:t>项目联系人：黄工           电    话：0771-4305766</w:t>
      </w:r>
    </w:p>
    <w:p w14:paraId="2D3A909A">
      <w:pPr>
        <w:pStyle w:val="11"/>
        <w:spacing w:line="480" w:lineRule="atLeast"/>
        <w:ind w:firstLine="420" w:firstLineChars="200"/>
        <w:rPr>
          <w:rFonts w:ascii="宋体" w:hAnsi="宋体"/>
          <w:color w:val="auto"/>
          <w:szCs w:val="21"/>
        </w:rPr>
      </w:pPr>
    </w:p>
    <w:p w14:paraId="5588ECBB">
      <w:pPr>
        <w:pStyle w:val="11"/>
        <w:spacing w:line="480" w:lineRule="atLeast"/>
        <w:ind w:firstLine="420" w:firstLineChars="200"/>
        <w:rPr>
          <w:rFonts w:ascii="宋体" w:hAnsi="宋体"/>
          <w:color w:val="auto"/>
          <w:szCs w:val="21"/>
        </w:rPr>
      </w:pPr>
      <w:r>
        <w:rPr>
          <w:rFonts w:hint="eastAsia" w:ascii="宋体" w:hAnsi="宋体"/>
          <w:color w:val="auto"/>
          <w:szCs w:val="21"/>
        </w:rPr>
        <w:t>附件：</w:t>
      </w:r>
    </w:p>
    <w:p w14:paraId="7A3361E3">
      <w:pPr>
        <w:spacing w:line="480" w:lineRule="atLeast"/>
        <w:ind w:firstLine="420" w:firstLineChars="200"/>
        <w:rPr>
          <w:rFonts w:ascii="宋体" w:hAnsi="宋体"/>
          <w:color w:val="auto"/>
          <w:szCs w:val="21"/>
        </w:rPr>
      </w:pPr>
      <w:r>
        <w:rPr>
          <w:rFonts w:hint="eastAsia" w:ascii="宋体" w:hAnsi="宋体"/>
          <w:color w:val="auto"/>
          <w:szCs w:val="21"/>
        </w:rPr>
        <w:t>1.CA证书申请方式及操作指南下载地址（现场申请方式见网址：</w:t>
      </w:r>
    </w:p>
    <w:p w14:paraId="128A0693">
      <w:pPr>
        <w:spacing w:line="480" w:lineRule="atLeast"/>
        <w:rPr>
          <w:color w:val="auto"/>
        </w:rPr>
      </w:pPr>
      <w:r>
        <w:rPr>
          <w:color w:val="auto"/>
        </w:rPr>
        <w:fldChar w:fldCharType="begin"/>
      </w:r>
      <w:r>
        <w:rPr>
          <w:color w:val="auto"/>
        </w:rPr>
        <w:instrText xml:space="preserve"> HYPERLINK "http://www.ccgp-guangxi.gov.cn/OfficeService/DownloadArea/8354055.html?utm=a0003.39a112b4.cmp001.d0002.f0464b20ff2a11eb873141bf9e381949" </w:instrText>
      </w:r>
      <w:r>
        <w:rPr>
          <w:color w:val="auto"/>
        </w:rPr>
        <w:fldChar w:fldCharType="separate"/>
      </w:r>
      <w:r>
        <w:rPr>
          <w:rStyle w:val="40"/>
          <w:rFonts w:hint="eastAsia"/>
          <w:color w:val="auto"/>
        </w:rPr>
        <w:t>http://www.ccgp-guangxi.gov.cn/OfficeService/DownloadArea/8354055.html?utm=a0003.39a112b4.cmp001.d0002.f0464b20ff2a11eb873141bf9e381949</w:t>
      </w:r>
      <w:r>
        <w:rPr>
          <w:rStyle w:val="40"/>
          <w:rFonts w:hint="eastAsia"/>
          <w:color w:val="auto"/>
        </w:rPr>
        <w:fldChar w:fldCharType="end"/>
      </w:r>
      <w:r>
        <w:rPr>
          <w:rFonts w:hint="eastAsia"/>
          <w:color w:val="auto"/>
        </w:rPr>
        <w:t xml:space="preserve">（广西政府采购网）/网上申请方式见网址： </w:t>
      </w:r>
      <w:r>
        <w:rPr>
          <w:color w:val="auto"/>
        </w:rPr>
        <w:fldChar w:fldCharType="begin"/>
      </w:r>
      <w:r>
        <w:rPr>
          <w:color w:val="auto"/>
        </w:rPr>
        <w:instrText xml:space="preserve"> HYPERLINK "http://nncz.nanning.gov.cn/" </w:instrText>
      </w:r>
      <w:r>
        <w:rPr>
          <w:color w:val="auto"/>
        </w:rPr>
        <w:fldChar w:fldCharType="separate"/>
      </w:r>
      <w:r>
        <w:rPr>
          <w:rStyle w:val="40"/>
          <w:rFonts w:hint="eastAsia"/>
          <w:color w:val="auto"/>
        </w:rPr>
        <w:t>http://nncz.nanning.gov.cn/</w:t>
      </w:r>
      <w:r>
        <w:rPr>
          <w:rStyle w:val="40"/>
          <w:rFonts w:hint="eastAsia"/>
          <w:color w:val="auto"/>
        </w:rPr>
        <w:fldChar w:fldCharType="end"/>
      </w:r>
      <w:r>
        <w:rPr>
          <w:rFonts w:hint="eastAsia"/>
          <w:color w:val="auto"/>
        </w:rPr>
        <w:t>（南宁市财政局官网）-下载专区-南宁市政采云CA证书办理操作指南</w:t>
      </w:r>
      <w:r>
        <w:rPr>
          <w:rFonts w:hint="eastAsia" w:ascii="宋体" w:hAnsi="宋体"/>
          <w:color w:val="auto"/>
          <w:szCs w:val="21"/>
        </w:rPr>
        <w:t>）</w:t>
      </w:r>
    </w:p>
    <w:p w14:paraId="1DD53DBB">
      <w:pPr>
        <w:pStyle w:val="11"/>
        <w:spacing w:line="480" w:lineRule="atLeast"/>
        <w:ind w:firstLine="420" w:firstLineChars="200"/>
        <w:rPr>
          <w:rFonts w:ascii="宋体" w:hAnsi="宋体"/>
          <w:color w:val="auto"/>
          <w:szCs w:val="21"/>
        </w:rPr>
      </w:pPr>
      <w:r>
        <w:rPr>
          <w:rFonts w:hint="eastAsia" w:ascii="宋体" w:hAnsi="宋体"/>
          <w:color w:val="auto"/>
          <w:szCs w:val="21"/>
        </w:rPr>
        <w:t>2.电子投标文件制作与投送教程（在此网址下载：</w:t>
      </w:r>
      <w:r>
        <w:rPr>
          <w:color w:val="auto"/>
        </w:rPr>
        <w:fldChar w:fldCharType="begin"/>
      </w:r>
      <w:r>
        <w:rPr>
          <w:color w:val="auto"/>
        </w:rPr>
        <w:instrText xml:space="preserve"> HYPERLINK "http://nncz.nanning.gov.cn/" </w:instrText>
      </w:r>
      <w:r>
        <w:rPr>
          <w:color w:val="auto"/>
        </w:rPr>
        <w:fldChar w:fldCharType="separate"/>
      </w:r>
      <w:r>
        <w:rPr>
          <w:rStyle w:val="40"/>
          <w:rFonts w:hint="eastAsia"/>
          <w:color w:val="auto"/>
        </w:rPr>
        <w:t>http://nncz.nanning.gov.cn/</w:t>
      </w:r>
      <w:r>
        <w:rPr>
          <w:rStyle w:val="40"/>
          <w:rFonts w:hint="eastAsia"/>
          <w:color w:val="auto"/>
        </w:rPr>
        <w:fldChar w:fldCharType="end"/>
      </w:r>
      <w:r>
        <w:rPr>
          <w:rFonts w:hint="eastAsia"/>
          <w:color w:val="auto"/>
        </w:rPr>
        <w:t>（南宁市财政局官网）-下载专区</w:t>
      </w:r>
      <w:r>
        <w:rPr>
          <w:rFonts w:hint="eastAsia" w:ascii="宋体" w:hAnsi="宋体"/>
          <w:color w:val="auto"/>
          <w:szCs w:val="21"/>
        </w:rPr>
        <w:t>）</w:t>
      </w:r>
    </w:p>
    <w:p w14:paraId="41D27565">
      <w:pPr>
        <w:spacing w:line="480" w:lineRule="atLeast"/>
        <w:jc w:val="right"/>
        <w:rPr>
          <w:rFonts w:ascii="宋体" w:hAnsi="宋体"/>
          <w:color w:val="auto"/>
          <w:szCs w:val="21"/>
        </w:rPr>
      </w:pPr>
      <w:r>
        <w:rPr>
          <w:rFonts w:hint="eastAsia" w:ascii="宋体" w:hAnsi="宋体"/>
          <w:color w:val="auto"/>
          <w:szCs w:val="21"/>
        </w:rPr>
        <w:t>广西同泽工程项目管理股份有限公司</w:t>
      </w:r>
    </w:p>
    <w:p w14:paraId="2910E604">
      <w:pPr>
        <w:spacing w:line="480" w:lineRule="atLeast"/>
        <w:ind w:firstLine="210" w:firstLineChars="100"/>
        <w:jc w:val="right"/>
        <w:rPr>
          <w:rFonts w:ascii="宋体" w:hAnsi="宋体"/>
          <w:color w:val="auto"/>
        </w:rPr>
      </w:pPr>
      <w:r>
        <w:rPr>
          <w:rFonts w:hint="eastAsia" w:ascii="宋体" w:hAnsi="宋体"/>
          <w:color w:val="auto"/>
          <w:szCs w:val="21"/>
        </w:rPr>
        <w:t>2024年11月</w:t>
      </w:r>
      <w:r>
        <w:rPr>
          <w:rFonts w:hint="eastAsia" w:ascii="宋体" w:hAnsi="宋体"/>
          <w:color w:val="auto"/>
          <w:szCs w:val="21"/>
          <w:lang w:val="en-US" w:eastAsia="zh-CN"/>
        </w:rPr>
        <w:t>28</w:t>
      </w:r>
      <w:r>
        <w:rPr>
          <w:rFonts w:hint="eastAsia" w:ascii="宋体" w:hAnsi="宋体"/>
          <w:color w:val="auto"/>
          <w:szCs w:val="21"/>
        </w:rPr>
        <w:t>日</w:t>
      </w:r>
    </w:p>
    <w:p w14:paraId="3CA8D20B">
      <w:pPr>
        <w:snapToGrid w:val="0"/>
        <w:spacing w:line="480" w:lineRule="atLeast"/>
        <w:ind w:firstLine="420"/>
        <w:rPr>
          <w:rFonts w:ascii="宋体" w:hAnsi="宋体" w:cs="宋体"/>
          <w:color w:val="auto"/>
          <w:sz w:val="24"/>
          <w:highlight w:val="yellow"/>
          <w:lang w:val="zh-CN"/>
        </w:rPr>
      </w:pPr>
    </w:p>
    <w:p w14:paraId="433B3C1D">
      <w:pPr>
        <w:snapToGrid w:val="0"/>
        <w:spacing w:line="480" w:lineRule="atLeast"/>
        <w:ind w:firstLine="420"/>
        <w:rPr>
          <w:rFonts w:ascii="宋体" w:hAnsi="宋体" w:cs="宋体"/>
          <w:color w:val="auto"/>
          <w:sz w:val="24"/>
          <w:highlight w:val="yellow"/>
          <w:lang w:val="zh-CN"/>
        </w:rPr>
        <w:sectPr>
          <w:pgSz w:w="11906" w:h="16838"/>
          <w:pgMar w:top="1134" w:right="1134" w:bottom="1134" w:left="1134" w:header="720" w:footer="720" w:gutter="0"/>
          <w:pgNumType w:start="1"/>
          <w:cols w:space="720" w:num="1"/>
          <w:docGrid w:type="lines" w:linePitch="331" w:charSpace="0"/>
        </w:sectPr>
      </w:pPr>
    </w:p>
    <w:p w14:paraId="1DA5BD69">
      <w:pPr>
        <w:pStyle w:val="17"/>
        <w:jc w:val="center"/>
        <w:outlineLvl w:val="0"/>
        <w:rPr>
          <w:rFonts w:ascii="Times New Roman" w:hAnsi="Times New Roman"/>
          <w:b/>
          <w:color w:val="auto"/>
          <w:sz w:val="36"/>
        </w:rPr>
      </w:pPr>
      <w:bookmarkStart w:id="37" w:name="_Toc532545042"/>
      <w:bookmarkStart w:id="38" w:name="_Toc80092991"/>
      <w:r>
        <w:rPr>
          <w:rFonts w:hint="eastAsia" w:ascii="Times New Roman" w:hAnsi="Times New Roman"/>
          <w:b/>
          <w:color w:val="auto"/>
          <w:sz w:val="36"/>
        </w:rPr>
        <w:t>第二章</w:t>
      </w:r>
      <w:r>
        <w:rPr>
          <w:rFonts w:ascii="Times New Roman" w:hAnsi="Times New Roman"/>
          <w:b/>
          <w:color w:val="auto"/>
          <w:sz w:val="36"/>
        </w:rPr>
        <w:t xml:space="preserve">  </w:t>
      </w:r>
      <w:bookmarkEnd w:id="37"/>
      <w:r>
        <w:rPr>
          <w:rFonts w:hint="eastAsia" w:ascii="Times New Roman" w:hAnsi="Times New Roman"/>
          <w:b/>
          <w:color w:val="auto"/>
          <w:sz w:val="36"/>
        </w:rPr>
        <w:t>采购需求</w:t>
      </w:r>
      <w:bookmarkEnd w:id="38"/>
    </w:p>
    <w:p w14:paraId="6BC7D2AC">
      <w:pPr>
        <w:adjustRightInd w:val="0"/>
        <w:spacing w:line="340" w:lineRule="exact"/>
        <w:rPr>
          <w:rFonts w:hAnsi="宋体"/>
          <w:b/>
          <w:color w:val="auto"/>
          <w:szCs w:val="21"/>
        </w:rPr>
      </w:pPr>
    </w:p>
    <w:p w14:paraId="118AA811">
      <w:pPr>
        <w:adjustRightInd w:val="0"/>
        <w:spacing w:line="340" w:lineRule="exact"/>
        <w:rPr>
          <w:rFonts w:hAnsi="宋体"/>
          <w:b/>
          <w:color w:val="auto"/>
          <w:szCs w:val="21"/>
        </w:rPr>
      </w:pPr>
      <w:r>
        <w:rPr>
          <w:rFonts w:hint="eastAsia" w:hAnsi="宋体"/>
          <w:b/>
          <w:color w:val="auto"/>
          <w:szCs w:val="21"/>
        </w:rPr>
        <w:t>说明：</w:t>
      </w:r>
    </w:p>
    <w:p w14:paraId="0E6CDF15">
      <w:pPr>
        <w:spacing w:line="360" w:lineRule="auto"/>
        <w:ind w:firstLine="420" w:firstLineChars="200"/>
        <w:jc w:val="left"/>
        <w:rPr>
          <w:rFonts w:ascii="宋体" w:hAnsi="宋体" w:cs="宋体"/>
          <w:color w:val="auto"/>
          <w:szCs w:val="21"/>
        </w:rPr>
      </w:pPr>
      <w:r>
        <w:rPr>
          <w:rFonts w:hint="eastAsia" w:ascii="宋体" w:hAnsi="宋体" w:cs="宋体"/>
          <w:color w:val="auto"/>
        </w:rPr>
        <w:t>1.为落实政府采购政策需满足的要求（根据项目实际情况填写内容）</w:t>
      </w:r>
    </w:p>
    <w:p w14:paraId="048E192B">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（1）本招标文件所称中小企业必须符合《政府采购促进中小企业发展管理办法》（财库〔2020〕46号）的规定。</w:t>
      </w:r>
    </w:p>
    <w:p w14:paraId="2BE94D27">
      <w:pPr>
        <w:spacing w:line="360" w:lineRule="auto"/>
        <w:ind w:firstLine="424" w:firstLineChars="202"/>
        <w:jc w:val="left"/>
        <w:rPr>
          <w:rFonts w:ascii="宋体" w:hAnsi="宋体" w:cs="宋体"/>
          <w:color w:val="auto"/>
          <w:szCs w:val="21"/>
        </w:rPr>
      </w:pPr>
      <w:r>
        <w:rPr>
          <w:rFonts w:hint="eastAsia" w:ascii="宋体" w:hAnsi="宋体" w:cs="宋体"/>
          <w:color w:val="auto"/>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hint="eastAsia" w:ascii="宋体" w:hAnsi="宋体" w:cs="宋体"/>
          <w:b/>
          <w:bCs/>
          <w:color w:val="auto"/>
          <w:szCs w:val="21"/>
        </w:rPr>
        <w:t>否则投标文件作无效处理</w:t>
      </w:r>
      <w:r>
        <w:rPr>
          <w:rFonts w:hint="eastAsia" w:ascii="宋体" w:hAnsi="宋体" w:cs="宋体"/>
          <w:color w:val="auto"/>
          <w:szCs w:val="21"/>
        </w:rPr>
        <w:t>。如本项目包含的货物属于品目清单内非标注“★”的产品时，应优先采购，具体详见“第四章 评标方法及评标标准”。</w:t>
      </w:r>
    </w:p>
    <w:p w14:paraId="41C110EA">
      <w:pPr>
        <w:spacing w:line="360" w:lineRule="auto"/>
        <w:ind w:firstLine="424" w:firstLineChars="202"/>
        <w:jc w:val="left"/>
        <w:rPr>
          <w:rFonts w:ascii="宋体" w:hAnsi="宋体" w:cs="宋体"/>
          <w:color w:val="auto"/>
          <w:szCs w:val="21"/>
        </w:rPr>
      </w:pPr>
      <w:r>
        <w:rPr>
          <w:rFonts w:hint="eastAsia" w:ascii="宋体" w:hAnsi="宋体" w:cs="宋体"/>
          <w:color w:val="auto"/>
          <w:szCs w:val="21"/>
        </w:rPr>
        <w:t>（3）根据《关于调整网络安全专用产品安全管理有关事项的公告》（2023 年1 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w:t>
      </w:r>
      <w:r>
        <w:rPr>
          <w:rFonts w:hint="eastAsia" w:ascii="宋体" w:hAnsi="宋体" w:cs="宋体"/>
          <w:b/>
          <w:bCs/>
          <w:color w:val="auto"/>
          <w:szCs w:val="21"/>
        </w:rPr>
        <w:t>投标无效。</w:t>
      </w:r>
      <w:r>
        <w:rPr>
          <w:rFonts w:hint="eastAsia" w:ascii="宋体" w:hAnsi="宋体" w:cs="宋体"/>
          <w:color w:val="auto"/>
          <w:szCs w:val="21"/>
        </w:rPr>
        <w:t>注：网络安全专用产品在中共中央网络安全和信息化委员会办公室网站上发布的《网络关键设备和网络安全专用产品目录》中查询。 目前共 15 类：路由器、交换机、服务器（机架式）、可编程逻辑控制器（PLC 设备）、数据备份一体机、防火墙（硬件）、WEB 应用防火墙（WAF）、入侵检测系统（IDS）、入侵防御系统（IPS）、安全隔离与信息交换产品（网闸）、反垃圾邮件产品、网络综合审计系统、网络脆弱性扫描产品、安全数据库系统、网站恢复产品（硬件）。</w:t>
      </w:r>
    </w:p>
    <w:p w14:paraId="1E099B59">
      <w:pPr>
        <w:spacing w:line="360" w:lineRule="auto"/>
        <w:ind w:firstLine="424" w:firstLineChars="202"/>
        <w:jc w:val="left"/>
        <w:rPr>
          <w:rFonts w:ascii="宋体" w:hAnsi="宋体" w:cs="宋体"/>
          <w:color w:val="auto"/>
          <w:szCs w:val="21"/>
        </w:rPr>
      </w:pPr>
      <w:r>
        <w:rPr>
          <w:rFonts w:hint="eastAsia" w:ascii="宋体" w:hAnsi="宋体" w:cs="宋体"/>
          <w:color w:val="auto"/>
          <w:szCs w:val="21"/>
        </w:rPr>
        <w:t>2.“实质性要求”是指招标文件中已经指明不满足则投标无效的条款，或者不能负偏离的条款，或者采购需求中带“▲”的条款。</w:t>
      </w:r>
    </w:p>
    <w:p w14:paraId="3B6D9C57">
      <w:pPr>
        <w:spacing w:line="360" w:lineRule="auto"/>
        <w:ind w:firstLine="424" w:firstLineChars="202"/>
        <w:jc w:val="left"/>
        <w:rPr>
          <w:rFonts w:ascii="宋体" w:hAnsi="宋体" w:cs="宋体"/>
          <w:color w:val="auto"/>
          <w:szCs w:val="21"/>
        </w:rPr>
      </w:pPr>
      <w:r>
        <w:rPr>
          <w:rFonts w:hint="eastAsia" w:ascii="宋体" w:hAnsi="宋体" w:cs="宋体"/>
          <w:color w:val="auto"/>
          <w:szCs w:val="21"/>
        </w:rPr>
        <w:t>3.如投标人投标产品存在侵犯他人的知识产权或者专利成果行为的，应承担相应法律责任。</w:t>
      </w:r>
    </w:p>
    <w:p w14:paraId="061796E0">
      <w:pPr>
        <w:spacing w:line="360" w:lineRule="auto"/>
        <w:ind w:firstLine="424" w:firstLineChars="202"/>
        <w:jc w:val="left"/>
        <w:rPr>
          <w:rFonts w:ascii="宋体" w:hAnsi="宋体" w:cs="宋体"/>
          <w:color w:val="auto"/>
          <w:sz w:val="24"/>
          <w:szCs w:val="32"/>
        </w:rPr>
      </w:pPr>
      <w:r>
        <w:rPr>
          <w:rFonts w:hint="eastAsia"/>
          <w:color w:val="auto"/>
        </w:rPr>
        <w:br w:type="page"/>
      </w:r>
      <w:r>
        <w:rPr>
          <w:rFonts w:hint="eastAsia" w:ascii="宋体" w:hAnsi="宋体" w:cs="宋体"/>
          <w:color w:val="auto"/>
          <w:sz w:val="24"/>
          <w:szCs w:val="32"/>
        </w:rPr>
        <w:t>1分标：</w:t>
      </w:r>
    </w:p>
    <w:p w14:paraId="5B0DE92A">
      <w:pPr>
        <w:spacing w:line="360" w:lineRule="auto"/>
        <w:jc w:val="left"/>
        <w:rPr>
          <w:rFonts w:ascii="宋体" w:hAnsi="宋体" w:cs="宋体"/>
          <w:color w:val="auto"/>
          <w:sz w:val="24"/>
          <w:szCs w:val="32"/>
        </w:rPr>
      </w:pPr>
      <w:r>
        <w:rPr>
          <w:rFonts w:hint="eastAsia" w:ascii="宋体" w:hAnsi="宋体" w:cs="宋体"/>
          <w:color w:val="auto"/>
          <w:sz w:val="24"/>
          <w:szCs w:val="32"/>
        </w:rPr>
        <w:t>采购预算：240,000.00元</w:t>
      </w:r>
    </w:p>
    <w:p w14:paraId="31BC01AC">
      <w:pPr>
        <w:spacing w:line="360" w:lineRule="auto"/>
        <w:jc w:val="left"/>
        <w:rPr>
          <w:rFonts w:ascii="宋体" w:hAnsi="宋体" w:cs="宋体"/>
          <w:color w:val="auto"/>
          <w:sz w:val="24"/>
          <w:szCs w:val="32"/>
        </w:rPr>
      </w:pPr>
      <w:r>
        <w:rPr>
          <w:rFonts w:hint="eastAsia" w:ascii="宋体" w:hAnsi="宋体" w:cs="宋体"/>
          <w:color w:val="auto"/>
          <w:sz w:val="24"/>
          <w:szCs w:val="32"/>
        </w:rPr>
        <w:t>中小企业划分标准所属行业名称：软件和信息技术服务业</w:t>
      </w:r>
    </w:p>
    <w:tbl>
      <w:tblPr>
        <w:tblStyle w:val="34"/>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6"/>
        <w:gridCol w:w="993"/>
        <w:gridCol w:w="614"/>
        <w:gridCol w:w="532"/>
        <w:gridCol w:w="6111"/>
        <w:gridCol w:w="1355"/>
      </w:tblGrid>
      <w:tr w14:paraId="191C1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6"/>
            <w:tcBorders>
              <w:top w:val="single" w:color="auto" w:sz="4" w:space="0"/>
              <w:left w:val="single" w:color="auto" w:sz="4" w:space="0"/>
              <w:right w:val="single" w:color="auto" w:sz="4" w:space="0"/>
            </w:tcBorders>
            <w:vAlign w:val="center"/>
          </w:tcPr>
          <w:p w14:paraId="2A1A0829">
            <w:pPr>
              <w:spacing w:line="320" w:lineRule="exact"/>
              <w:jc w:val="center"/>
              <w:rPr>
                <w:rFonts w:ascii="宋体" w:hAnsi="宋体" w:cs="宋体"/>
                <w:b/>
                <w:color w:val="auto"/>
                <w:sz w:val="24"/>
              </w:rPr>
            </w:pPr>
            <w:r>
              <w:rPr>
                <w:rFonts w:hint="eastAsia" w:ascii="仿宋_GB2312" w:hAnsi="宋体" w:eastAsia="仿宋_GB2312" w:cs="Arial"/>
                <w:b/>
                <w:color w:val="auto"/>
                <w:sz w:val="32"/>
                <w:szCs w:val="32"/>
              </w:rPr>
              <w:t>货物需求一览表</w:t>
            </w:r>
          </w:p>
        </w:tc>
      </w:tr>
      <w:tr w14:paraId="13B86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14:paraId="62EBA7DF">
            <w:pPr>
              <w:jc w:val="center"/>
              <w:rPr>
                <w:rFonts w:ascii="宋体" w:hAnsi="宋体" w:cs="宋体"/>
                <w:b/>
                <w:color w:val="auto"/>
                <w:sz w:val="24"/>
              </w:rPr>
            </w:pPr>
            <w:r>
              <w:rPr>
                <w:rFonts w:hint="eastAsia" w:ascii="宋体" w:hAnsi="宋体" w:cs="宋体"/>
                <w:b/>
                <w:color w:val="auto"/>
                <w:sz w:val="24"/>
              </w:rPr>
              <w:t>序号</w:t>
            </w:r>
          </w:p>
        </w:tc>
        <w:tc>
          <w:tcPr>
            <w:tcW w:w="993" w:type="dxa"/>
            <w:tcBorders>
              <w:top w:val="single" w:color="auto" w:sz="4" w:space="0"/>
              <w:left w:val="single" w:color="auto" w:sz="4" w:space="0"/>
              <w:bottom w:val="single" w:color="auto" w:sz="4" w:space="0"/>
              <w:right w:val="single" w:color="auto" w:sz="4" w:space="0"/>
            </w:tcBorders>
            <w:vAlign w:val="center"/>
          </w:tcPr>
          <w:p w14:paraId="1BC141C5">
            <w:pPr>
              <w:jc w:val="center"/>
              <w:rPr>
                <w:rFonts w:ascii="宋体" w:hAnsi="宋体" w:cs="宋体"/>
                <w:b/>
                <w:color w:val="auto"/>
                <w:sz w:val="24"/>
              </w:rPr>
            </w:pPr>
            <w:r>
              <w:rPr>
                <w:rFonts w:hint="eastAsia" w:ascii="宋体" w:hAnsi="宋体" w:cs="宋体"/>
                <w:b/>
                <w:color w:val="auto"/>
                <w:sz w:val="24"/>
              </w:rPr>
              <w:t>采购货物名称</w:t>
            </w:r>
          </w:p>
        </w:tc>
        <w:tc>
          <w:tcPr>
            <w:tcW w:w="614" w:type="dxa"/>
            <w:tcBorders>
              <w:top w:val="single" w:color="auto" w:sz="4" w:space="0"/>
              <w:left w:val="single" w:color="auto" w:sz="4" w:space="0"/>
              <w:bottom w:val="single" w:color="auto" w:sz="4" w:space="0"/>
              <w:right w:val="single" w:color="auto" w:sz="4" w:space="0"/>
            </w:tcBorders>
            <w:vAlign w:val="center"/>
          </w:tcPr>
          <w:p w14:paraId="506790D1">
            <w:pPr>
              <w:jc w:val="center"/>
              <w:rPr>
                <w:rFonts w:ascii="宋体" w:hAnsi="宋体" w:cs="宋体"/>
                <w:b/>
                <w:color w:val="auto"/>
                <w:sz w:val="24"/>
              </w:rPr>
            </w:pPr>
            <w:r>
              <w:rPr>
                <w:rFonts w:hint="eastAsia" w:ascii="宋体" w:hAnsi="宋体" w:cs="宋体"/>
                <w:b/>
                <w:color w:val="auto"/>
                <w:sz w:val="24"/>
              </w:rPr>
              <w:t>单位</w:t>
            </w:r>
          </w:p>
        </w:tc>
        <w:tc>
          <w:tcPr>
            <w:tcW w:w="532" w:type="dxa"/>
            <w:tcBorders>
              <w:top w:val="single" w:color="auto" w:sz="4" w:space="0"/>
              <w:left w:val="single" w:color="auto" w:sz="4" w:space="0"/>
              <w:bottom w:val="single" w:color="auto" w:sz="4" w:space="0"/>
              <w:right w:val="single" w:color="auto" w:sz="4" w:space="0"/>
            </w:tcBorders>
            <w:vAlign w:val="center"/>
          </w:tcPr>
          <w:p w14:paraId="1003E6DF">
            <w:pPr>
              <w:jc w:val="center"/>
              <w:rPr>
                <w:rFonts w:ascii="宋体" w:hAnsi="宋体" w:cs="宋体"/>
                <w:b/>
                <w:color w:val="auto"/>
                <w:sz w:val="24"/>
              </w:rPr>
            </w:pPr>
            <w:r>
              <w:rPr>
                <w:rFonts w:hint="eastAsia" w:ascii="宋体" w:hAnsi="宋体" w:cs="宋体"/>
                <w:b/>
                <w:color w:val="auto"/>
                <w:sz w:val="24"/>
              </w:rPr>
              <w:t>数量</w:t>
            </w:r>
          </w:p>
        </w:tc>
        <w:tc>
          <w:tcPr>
            <w:tcW w:w="6111" w:type="dxa"/>
            <w:tcBorders>
              <w:top w:val="single" w:color="auto" w:sz="4" w:space="0"/>
              <w:left w:val="single" w:color="auto" w:sz="4" w:space="0"/>
              <w:bottom w:val="single" w:color="auto" w:sz="4" w:space="0"/>
              <w:right w:val="single" w:color="auto" w:sz="4" w:space="0"/>
            </w:tcBorders>
            <w:vAlign w:val="center"/>
          </w:tcPr>
          <w:p w14:paraId="160F6C3F">
            <w:pPr>
              <w:jc w:val="center"/>
              <w:rPr>
                <w:rFonts w:ascii="宋体" w:hAnsi="宋体" w:cs="宋体"/>
                <w:b/>
                <w:color w:val="auto"/>
                <w:sz w:val="24"/>
              </w:rPr>
            </w:pPr>
            <w:r>
              <w:rPr>
                <w:rFonts w:hint="eastAsia" w:ascii="宋体" w:hAnsi="宋体" w:cs="宋体"/>
                <w:b/>
                <w:color w:val="auto"/>
                <w:sz w:val="24"/>
              </w:rPr>
              <w:t>货物参数</w:t>
            </w:r>
          </w:p>
        </w:tc>
        <w:tc>
          <w:tcPr>
            <w:tcW w:w="1355" w:type="dxa"/>
            <w:tcBorders>
              <w:top w:val="single" w:color="auto" w:sz="4" w:space="0"/>
              <w:left w:val="single" w:color="auto" w:sz="4" w:space="0"/>
              <w:bottom w:val="single" w:color="auto" w:sz="4" w:space="0"/>
              <w:right w:val="single" w:color="auto" w:sz="4" w:space="0"/>
            </w:tcBorders>
            <w:vAlign w:val="center"/>
          </w:tcPr>
          <w:p w14:paraId="2BFC7A4C">
            <w:pPr>
              <w:jc w:val="center"/>
              <w:rPr>
                <w:rFonts w:ascii="宋体" w:hAnsi="宋体" w:cs="宋体"/>
                <w:b/>
                <w:color w:val="auto"/>
                <w:sz w:val="24"/>
              </w:rPr>
            </w:pPr>
            <w:r>
              <w:rPr>
                <w:rFonts w:hint="eastAsia" w:ascii="宋体" w:hAnsi="宋体" w:cs="宋体"/>
                <w:b/>
                <w:color w:val="auto"/>
                <w:sz w:val="24"/>
              </w:rPr>
              <w:t>分项预算合计（元）</w:t>
            </w:r>
          </w:p>
        </w:tc>
      </w:tr>
      <w:tr w14:paraId="48956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14:paraId="5B45EE29">
            <w:pPr>
              <w:pStyle w:val="33"/>
              <w:spacing w:line="360" w:lineRule="atLeast"/>
              <w:ind w:firstLine="0" w:firstLineChars="0"/>
              <w:jc w:val="center"/>
              <w:rPr>
                <w:rFonts w:hAnsi="宋体"/>
                <w:color w:val="auto"/>
                <w:szCs w:val="21"/>
              </w:rPr>
            </w:pPr>
            <w:r>
              <w:rPr>
                <w:rFonts w:hint="eastAsia" w:hAnsi="宋体" w:cs="宋体"/>
                <w:bCs/>
                <w:color w:val="auto"/>
                <w:sz w:val="21"/>
                <w:szCs w:val="21"/>
              </w:rPr>
              <w:t>1</w:t>
            </w:r>
          </w:p>
        </w:tc>
        <w:tc>
          <w:tcPr>
            <w:tcW w:w="993" w:type="dxa"/>
            <w:tcBorders>
              <w:top w:val="single" w:color="auto" w:sz="4" w:space="0"/>
              <w:left w:val="single" w:color="auto" w:sz="4" w:space="0"/>
              <w:bottom w:val="single" w:color="auto" w:sz="4" w:space="0"/>
              <w:right w:val="single" w:color="auto" w:sz="4" w:space="0"/>
            </w:tcBorders>
            <w:vAlign w:val="center"/>
          </w:tcPr>
          <w:p w14:paraId="58AFAB74">
            <w:pPr>
              <w:tabs>
                <w:tab w:val="left" w:pos="1440"/>
              </w:tabs>
              <w:spacing w:line="360" w:lineRule="atLeast"/>
              <w:jc w:val="center"/>
              <w:rPr>
                <w:rFonts w:ascii="宋体" w:hAnsi="宋体"/>
                <w:color w:val="auto"/>
                <w:szCs w:val="21"/>
              </w:rPr>
            </w:pPr>
            <w:r>
              <w:rPr>
                <w:rFonts w:hint="eastAsia" w:ascii="宋体" w:hAnsi="宋体"/>
                <w:color w:val="auto"/>
                <w:szCs w:val="21"/>
              </w:rPr>
              <w:t>财务数字化训赛平台</w:t>
            </w:r>
          </w:p>
        </w:tc>
        <w:tc>
          <w:tcPr>
            <w:tcW w:w="614" w:type="dxa"/>
            <w:tcBorders>
              <w:top w:val="single" w:color="auto" w:sz="4" w:space="0"/>
              <w:left w:val="single" w:color="auto" w:sz="4" w:space="0"/>
              <w:bottom w:val="single" w:color="auto" w:sz="4" w:space="0"/>
              <w:right w:val="single" w:color="auto" w:sz="4" w:space="0"/>
            </w:tcBorders>
            <w:vAlign w:val="center"/>
          </w:tcPr>
          <w:p w14:paraId="7C443E6A">
            <w:pPr>
              <w:tabs>
                <w:tab w:val="left" w:pos="1440"/>
              </w:tabs>
              <w:spacing w:line="360" w:lineRule="atLeast"/>
              <w:jc w:val="center"/>
              <w:rPr>
                <w:rFonts w:ascii="宋体" w:hAnsi="宋体"/>
                <w:color w:val="auto"/>
                <w:szCs w:val="21"/>
              </w:rPr>
            </w:pPr>
            <w:r>
              <w:rPr>
                <w:rFonts w:hint="eastAsia" w:ascii="宋体" w:hAnsi="宋体"/>
                <w:color w:val="auto"/>
                <w:szCs w:val="21"/>
              </w:rPr>
              <w:t>套</w:t>
            </w:r>
          </w:p>
        </w:tc>
        <w:tc>
          <w:tcPr>
            <w:tcW w:w="532" w:type="dxa"/>
            <w:tcBorders>
              <w:top w:val="single" w:color="auto" w:sz="4" w:space="0"/>
              <w:left w:val="single" w:color="auto" w:sz="4" w:space="0"/>
              <w:bottom w:val="single" w:color="auto" w:sz="4" w:space="0"/>
              <w:right w:val="single" w:color="auto" w:sz="4" w:space="0"/>
            </w:tcBorders>
            <w:vAlign w:val="center"/>
          </w:tcPr>
          <w:p w14:paraId="7CDDEFB7">
            <w:pPr>
              <w:tabs>
                <w:tab w:val="left" w:pos="1440"/>
              </w:tabs>
              <w:spacing w:line="360" w:lineRule="atLeast"/>
              <w:jc w:val="center"/>
              <w:rPr>
                <w:rFonts w:ascii="宋体" w:hAnsi="宋体"/>
                <w:color w:val="auto"/>
                <w:szCs w:val="21"/>
              </w:rPr>
            </w:pPr>
            <w:r>
              <w:rPr>
                <w:rFonts w:hint="eastAsia" w:ascii="宋体" w:hAnsi="宋体"/>
                <w:color w:val="auto"/>
                <w:szCs w:val="21"/>
              </w:rPr>
              <w:t>1</w:t>
            </w:r>
          </w:p>
        </w:tc>
        <w:tc>
          <w:tcPr>
            <w:tcW w:w="6111" w:type="dxa"/>
            <w:tcBorders>
              <w:top w:val="single" w:color="auto" w:sz="4" w:space="0"/>
              <w:left w:val="single" w:color="auto" w:sz="4" w:space="0"/>
              <w:bottom w:val="single" w:color="auto" w:sz="4" w:space="0"/>
              <w:right w:val="single" w:color="auto" w:sz="4" w:space="0"/>
            </w:tcBorders>
          </w:tcPr>
          <w:p w14:paraId="5B285822">
            <w:pPr>
              <w:tabs>
                <w:tab w:val="left" w:pos="1440"/>
              </w:tabs>
              <w:spacing w:line="360" w:lineRule="atLeast"/>
              <w:jc w:val="left"/>
              <w:rPr>
                <w:rFonts w:ascii="宋体" w:hAnsi="宋体" w:cs="宋体"/>
                <w:b/>
                <w:bCs/>
                <w:color w:val="auto"/>
                <w:szCs w:val="21"/>
              </w:rPr>
            </w:pPr>
            <w:r>
              <w:rPr>
                <w:rFonts w:hint="eastAsia" w:ascii="宋体" w:hAnsi="宋体" w:cs="宋体"/>
                <w:b/>
                <w:bCs/>
                <w:color w:val="auto"/>
                <w:szCs w:val="21"/>
              </w:rPr>
              <w:t>一、总体指标</w:t>
            </w:r>
          </w:p>
          <w:p w14:paraId="66DCE0C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平台全面基于“岗课赛证”理念设计与研发。基于对新型产业“岗”的理解，充分研究并深度分析了财务共享运营岗位群、财务大数据分析师岗位群、智能财务工程师岗位群、会计信息化\财务数字化应用岗位群的能力要求；结合对院校教育“课”的需求，充分研究并开发了几十套产业数字化场景与最佳实践案例；结合对职业教育“赛”的经验，充分融入数字化技术与产业场景于真实企业技能平台，通过数据库甄别技术一比一还原工作情景，并获得自动评分；结合对学生职业发展“证”的融合，充分对接学生能力培养与鉴定，为个人发展与就业完整衔接。</w:t>
            </w:r>
          </w:p>
          <w:p w14:paraId="21B2C71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平台依据大数据与会计专业目标，通过对接世界技能大赛新理念，将数智技术与新经济、新业态、新职业紧密结合。平台以专业教学标准和人才培养方案等为基础，运用真实企业数智化信息系统，将公司最佳实践客户案例还原为典型工作情景、体现完整任务流程。依托互联网、人工智能、大数据、可视化智能分析等先进技术，融合信息化账务处理与大数据财务分析、财务共享账务处理、管理会计工具、智能财务技术在实际财务工作中的应用与实践，重点考核学生对数智化信息系统、大数据工具的综合应用能力、分析决策能力、强化职业素养。平台应用最新财税法规、制度准则、行业标准及规范，将财务共享中心业务、财务信息化业务处理、业财一体化流程设计、大数据财务分析与应用、财务机器人等新技术、新系统融于一体，全面体现数字产业化、产业数字化、跨界融合化新技能。</w:t>
            </w:r>
          </w:p>
          <w:p w14:paraId="6552FE41">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1.赛务模块：</w:t>
            </w:r>
            <w:r>
              <w:rPr>
                <w:rFonts w:hint="eastAsia" w:ascii="宋体" w:hAnsi="宋体" w:cs="宋体"/>
                <w:color w:val="auto"/>
                <w:szCs w:val="21"/>
              </w:rPr>
              <w:t>主要功能包括参赛人员信息管理、竞赛过程管理和成绩管理，可通过数字化大屏实施监控学生答题情况，动态观察学生考试成绩。</w:t>
            </w:r>
          </w:p>
          <w:p w14:paraId="642D3107">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2.答题模块：</w:t>
            </w:r>
            <w:r>
              <w:rPr>
                <w:rFonts w:hint="eastAsia" w:ascii="宋体" w:hAnsi="宋体" w:cs="宋体"/>
                <w:color w:val="auto"/>
                <w:szCs w:val="21"/>
              </w:rPr>
              <w:t>主要功能包括答题系统、甄别系统，学生在平台上可以直接进入企业版财务共享系统进行单据整理、判断、业财处理，应用企业版大数据分析系统进行数据采集、整理、分析决策及可视化呈现，直接运用EXCEL工具进行数据计算，同时可以完成银企直连、税务处理及纳税申报等操作。</w:t>
            </w:r>
          </w:p>
          <w:p w14:paraId="71515BE9">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3.评分模块：</w:t>
            </w:r>
            <w:r>
              <w:rPr>
                <w:rFonts w:hint="eastAsia" w:ascii="宋体" w:hAnsi="宋体" w:cs="宋体"/>
                <w:color w:val="auto"/>
                <w:szCs w:val="21"/>
              </w:rPr>
              <w:t>针对不同类型的试题，进行结果甄别及操作系统的过程甄别、操作结果甄别，系统可以的自动评判、自动进行成绩采集、分析等。</w:t>
            </w:r>
          </w:p>
          <w:p w14:paraId="7DE7835D">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4.▲业务系统：</w:t>
            </w:r>
            <w:r>
              <w:rPr>
                <w:rFonts w:hint="eastAsia" w:ascii="宋体" w:hAnsi="宋体" w:cs="宋体"/>
                <w:color w:val="auto"/>
                <w:szCs w:val="21"/>
              </w:rPr>
              <w:t>主要包括分析云系统、代码编辑器、数据清洗工具、数据算法工具、数据中心-仿真上交所；</w:t>
            </w:r>
          </w:p>
          <w:p w14:paraId="476D63B3">
            <w:pPr>
              <w:tabs>
                <w:tab w:val="left" w:pos="1440"/>
              </w:tabs>
              <w:spacing w:line="360" w:lineRule="atLeast"/>
              <w:ind w:firstLine="422" w:firstLineChars="200"/>
              <w:jc w:val="left"/>
              <w:rPr>
                <w:rFonts w:ascii="宋体" w:hAnsi="宋体" w:cs="宋体"/>
                <w:b/>
                <w:bCs/>
                <w:color w:val="auto"/>
                <w:szCs w:val="21"/>
              </w:rPr>
            </w:pPr>
            <w:r>
              <w:rPr>
                <w:rFonts w:hint="eastAsia" w:ascii="宋体" w:hAnsi="宋体" w:cs="宋体"/>
                <w:b/>
                <w:bCs/>
                <w:color w:val="auto"/>
                <w:szCs w:val="21"/>
              </w:rPr>
              <w:t>5.支持站点数100人在线。</w:t>
            </w:r>
          </w:p>
          <w:p w14:paraId="1B95387B">
            <w:pPr>
              <w:tabs>
                <w:tab w:val="left" w:pos="1440"/>
              </w:tabs>
              <w:spacing w:line="360" w:lineRule="atLeast"/>
              <w:jc w:val="left"/>
              <w:rPr>
                <w:rFonts w:ascii="宋体" w:hAnsi="宋体" w:cs="宋体"/>
                <w:b/>
                <w:bCs/>
                <w:color w:val="auto"/>
                <w:szCs w:val="21"/>
              </w:rPr>
            </w:pPr>
            <w:r>
              <w:rPr>
                <w:rFonts w:hint="eastAsia" w:ascii="宋体" w:hAnsi="宋体" w:cs="宋体"/>
                <w:b/>
                <w:bCs/>
                <w:color w:val="auto"/>
                <w:szCs w:val="21"/>
              </w:rPr>
              <w:t>二、系统管理端功能</w:t>
            </w:r>
          </w:p>
          <w:p w14:paraId="2A930ABC">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1.新建考赛管理员：</w:t>
            </w:r>
            <w:r>
              <w:rPr>
                <w:rFonts w:hint="eastAsia" w:ascii="宋体" w:hAnsi="宋体" w:cs="宋体"/>
                <w:color w:val="auto"/>
                <w:szCs w:val="21"/>
              </w:rPr>
              <w:t>支持通过给考赛管理员授权考赛类型，实现针对不同院系、不同专业的考试或比赛进行集中或独立管理。</w:t>
            </w:r>
          </w:p>
          <w:p w14:paraId="1E35052B">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2.考赛管理员管理：</w:t>
            </w:r>
            <w:r>
              <w:rPr>
                <w:rFonts w:hint="eastAsia" w:ascii="宋体" w:hAnsi="宋体" w:cs="宋体"/>
                <w:color w:val="auto"/>
                <w:szCs w:val="21"/>
              </w:rPr>
              <w:t>支持修改、删除考赛管理员，支持修改考赛管理员所授权的考赛类型及其他相关信息。</w:t>
            </w:r>
          </w:p>
          <w:p w14:paraId="329FBE0D">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3.赛事界面定制：</w:t>
            </w:r>
            <w:r>
              <w:rPr>
                <w:rFonts w:hint="eastAsia" w:ascii="宋体" w:hAnsi="宋体" w:cs="宋体"/>
                <w:color w:val="auto"/>
                <w:szCs w:val="21"/>
              </w:rPr>
              <w:t>支持根据不同的赛事维护赛事名称，上传赛事logo以及个性化皮肤设置。</w:t>
            </w:r>
          </w:p>
          <w:p w14:paraId="44C7EA84">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4.账号管理：</w:t>
            </w:r>
            <w:r>
              <w:rPr>
                <w:rFonts w:hint="eastAsia" w:ascii="宋体" w:hAnsi="宋体" w:cs="宋体"/>
                <w:color w:val="auto"/>
                <w:szCs w:val="21"/>
              </w:rPr>
              <w:t>支持除考赛管理员之外的管理账号，具体有：场次管理员、监考员、大屏人员；支持为以上管理类账号授权不同考赛类型，且可随时修改授权的考赛类型，实现教师针对考试、比赛轮岗需求，支持对已维护的管理账号启用或停用操作。</w:t>
            </w:r>
          </w:p>
          <w:p w14:paraId="26C3654A">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5.试卷授权：</w:t>
            </w:r>
            <w:r>
              <w:rPr>
                <w:rFonts w:hint="eastAsia" w:ascii="宋体" w:hAnsi="宋体" w:cs="宋体"/>
                <w:color w:val="auto"/>
                <w:szCs w:val="21"/>
              </w:rPr>
              <w:t>支持对导入已购买的考试、比赛试卷。</w:t>
            </w:r>
          </w:p>
          <w:p w14:paraId="0A01FEAD">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6.授权清理：</w:t>
            </w:r>
            <w:r>
              <w:rPr>
                <w:rFonts w:hint="eastAsia" w:ascii="宋体" w:hAnsi="宋体" w:cs="宋体"/>
                <w:color w:val="auto"/>
                <w:szCs w:val="21"/>
              </w:rPr>
              <w:t>支持按照考赛类型、比赛模式、场次状态、监考员查询考生，可对考生执行强制下线，将违规或违纪学生踢出考试平台。</w:t>
            </w:r>
          </w:p>
          <w:p w14:paraId="1AE37A04">
            <w:pPr>
              <w:tabs>
                <w:tab w:val="left" w:pos="1440"/>
              </w:tabs>
              <w:spacing w:line="360" w:lineRule="atLeast"/>
              <w:jc w:val="left"/>
              <w:rPr>
                <w:rFonts w:ascii="宋体" w:hAnsi="宋体" w:cs="宋体"/>
                <w:b/>
                <w:bCs/>
                <w:color w:val="auto"/>
                <w:szCs w:val="21"/>
              </w:rPr>
            </w:pPr>
            <w:r>
              <w:rPr>
                <w:rFonts w:hint="eastAsia" w:ascii="宋体" w:hAnsi="宋体" w:cs="宋体"/>
                <w:b/>
                <w:bCs/>
                <w:color w:val="auto"/>
                <w:szCs w:val="21"/>
              </w:rPr>
              <w:t>三、赛务端功能</w:t>
            </w:r>
          </w:p>
          <w:p w14:paraId="7B273A9D">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1.场次管理：</w:t>
            </w:r>
            <w:r>
              <w:rPr>
                <w:rFonts w:hint="eastAsia" w:ascii="宋体" w:hAnsi="宋体" w:cs="宋体"/>
                <w:color w:val="auto"/>
                <w:szCs w:val="21"/>
              </w:rPr>
              <w:t>支持通过场次名称筛选或查询考试、比赛场次，支持编辑、删除、维护考试、比赛场次。</w:t>
            </w:r>
          </w:p>
          <w:p w14:paraId="050D48F1">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2.新建场次：</w:t>
            </w:r>
            <w:r>
              <w:rPr>
                <w:rFonts w:hint="eastAsia" w:ascii="宋体" w:hAnsi="宋体" w:cs="宋体"/>
                <w:color w:val="auto"/>
                <w:szCs w:val="21"/>
              </w:rPr>
              <w:t>支持根据考赛类型建立场次，选择监考人员、大屏人员，自定义维护场次说明。</w:t>
            </w:r>
          </w:p>
          <w:p w14:paraId="6031FA2E">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3.场次界面设置：</w:t>
            </w:r>
            <w:r>
              <w:rPr>
                <w:rFonts w:hint="eastAsia" w:ascii="宋体" w:hAnsi="宋体" w:cs="宋体"/>
                <w:color w:val="auto"/>
                <w:szCs w:val="21"/>
              </w:rPr>
              <w:t>支持自定义在学生端答题界面上方显示的场次环节名称和场次环节logo，以及场次个性化皮肤设置。</w:t>
            </w:r>
          </w:p>
          <w:p w14:paraId="489AFC9F">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4.场次参数设置：</w:t>
            </w:r>
            <w:r>
              <w:rPr>
                <w:rFonts w:hint="eastAsia" w:ascii="宋体" w:hAnsi="宋体" w:cs="宋体"/>
                <w:color w:val="auto"/>
                <w:szCs w:val="21"/>
              </w:rPr>
              <w:t>支持对学生端是否显示交卷按钮、是否可以查看其他岗位考核任务、是否可以查看答案对比、是否显示其他岗位任务进行、是否启用二次登录密码进行维护；支持自定义维护学生二次甚至多次重复登录平台时所需核验密码进行维护，防止串岗操作；支持针对考生等待页面显示的考赛须知进行自定义维护，并且提供考赛须知样例，便于修改形成个性化版本。</w:t>
            </w:r>
          </w:p>
          <w:p w14:paraId="35078C5D">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5.场次时间管理：</w:t>
            </w:r>
            <w:r>
              <w:rPr>
                <w:rFonts w:hint="eastAsia" w:ascii="宋体" w:hAnsi="宋体" w:cs="宋体"/>
                <w:color w:val="auto"/>
                <w:szCs w:val="21"/>
              </w:rPr>
              <w:t>支持设置正式和练习模式；支持针对正式模式的场次，维护开始时间、考赛时长，自动计算考赛结束时间；</w:t>
            </w:r>
          </w:p>
          <w:p w14:paraId="71B4CA20">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6.场次试卷：</w:t>
            </w:r>
            <w:r>
              <w:rPr>
                <w:rFonts w:hint="eastAsia" w:ascii="宋体" w:hAnsi="宋体" w:cs="宋体"/>
                <w:color w:val="auto"/>
                <w:szCs w:val="21"/>
              </w:rPr>
              <w:t>支持固定试卷、AB卷；支持按当前场次考赛类型选择对应一个或两个试卷；支持在组卷之前删除试卷。</w:t>
            </w:r>
          </w:p>
          <w:p w14:paraId="06C55560">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7.场次岗位：</w:t>
            </w:r>
            <w:r>
              <w:rPr>
                <w:rFonts w:hint="eastAsia" w:ascii="宋体" w:hAnsi="宋体" w:cs="宋体"/>
                <w:color w:val="auto"/>
                <w:szCs w:val="21"/>
              </w:rPr>
              <w:t>支持按照团队设置交卷岗位，交卷岗位点击交卷后，当前团队其余岗位一起交卷；支持团队内学生进行独立交卷，任意考生交卷后，团队内其他未交卷考生可正常答题；支持将试卷中原有岗位进行合并，形成自定义岗位；支持在导入考生前恢复初始岗位。</w:t>
            </w:r>
          </w:p>
          <w:p w14:paraId="298C627C">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8.场次考生：</w:t>
            </w:r>
            <w:r>
              <w:rPr>
                <w:rFonts w:hint="eastAsia" w:ascii="宋体" w:hAnsi="宋体" w:cs="宋体"/>
                <w:color w:val="auto"/>
                <w:szCs w:val="21"/>
              </w:rPr>
              <w:t>提供考生导入模板，支持按照场次岗位中已维护完成的岗位导入考生；支持清空考生，重新导入；支持针对全部考生设置随机密码、重置密码，也支持对个别考生进行密码重置；支持按照打印模板导出考生台位号、队伍号、座位号、考试号、密码、岗位、场次名称，可直接用于答案账号密码条，便于考试或比赛账号裁剪及发放；支持按照手工方式导入抽签结果，也支持通过导入台位号，实现系统自动抽签和重复抽签；支持按照考生姓名搜索考生信息。</w:t>
            </w:r>
          </w:p>
          <w:p w14:paraId="4FE829A0">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9.考生组卷：</w:t>
            </w:r>
            <w:r>
              <w:rPr>
                <w:rFonts w:hint="eastAsia" w:ascii="宋体" w:hAnsi="宋体" w:cs="宋体"/>
                <w:color w:val="auto"/>
                <w:szCs w:val="21"/>
              </w:rPr>
              <w:t>支持针对当前当如考生和当前场次所选试卷进行组卷，确定不同考生或不同团队所使用的考生或比赛试卷；支持清空组卷结果，重新进行组卷；支持以Excel形式导出组卷信息；支持选择AB卷的场次对组卷后的结果进行手工调整；支持按照考生姓名或账号搜索组卷信息。</w:t>
            </w:r>
          </w:p>
          <w:p w14:paraId="0D67DBEA">
            <w:pPr>
              <w:tabs>
                <w:tab w:val="left" w:pos="1440"/>
              </w:tabs>
              <w:spacing w:line="360" w:lineRule="atLeast"/>
              <w:ind w:firstLine="422" w:firstLineChars="200"/>
              <w:jc w:val="left"/>
              <w:rPr>
                <w:rFonts w:ascii="宋体" w:hAnsi="宋体" w:cs="宋体"/>
                <w:color w:val="auto"/>
                <w:szCs w:val="21"/>
                <w:highlight w:val="yellow"/>
              </w:rPr>
            </w:pPr>
            <w:r>
              <w:rPr>
                <w:rFonts w:hint="eastAsia" w:ascii="宋体" w:hAnsi="宋体" w:cs="宋体"/>
                <w:b/>
                <w:bCs/>
                <w:color w:val="auto"/>
                <w:szCs w:val="21"/>
                <w:highlight w:val="yellow"/>
              </w:rPr>
              <w:t>10.业务系统：</w:t>
            </w:r>
            <w:r>
              <w:rPr>
                <w:rFonts w:hint="eastAsia" w:ascii="宋体" w:hAnsi="宋体" w:cs="宋体"/>
                <w:color w:val="auto"/>
                <w:szCs w:val="21"/>
                <w:highlight w:val="yellow"/>
              </w:rPr>
              <w:t>支持维护NCC、分析云、python、数据中心、数据清洗、数据算法及RPA七个业务系统，支持输入各业务系统的服务器网址并以团队为单位进行服务器设置，支持配置完成后对配置结果进行测试；支持以团队为单位进行NCC数据源分配，支持手工调整数据源；支持查看当前场次所选试卷中不同阶段所对应的NCC账号及账号角色与试卷岗位的对应关系。</w:t>
            </w:r>
          </w:p>
          <w:p w14:paraId="257F4D9F">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11.全体控制：</w:t>
            </w:r>
            <w:r>
              <w:rPr>
                <w:rFonts w:hint="eastAsia" w:ascii="宋体" w:hAnsi="宋体" w:cs="宋体"/>
                <w:color w:val="auto"/>
                <w:szCs w:val="21"/>
              </w:rPr>
              <w:t>支持对当前场次考生导入、组卷设置、业务系统设置进行检测，除业务系统设置外，其余两项检测内容不通过，则不能进行后续操作；支持对全部考生进行开始登录、结束考赛操作；支持针对全部考生进行暂停操作；支持针对当前场次总人数、在线人数、离线人数、暂停人数、成绩统计完成人数、成绩统计未完成人数、IP异常人数、ERP异常人数、ERP初始化完成人数汇总数据进行查询；支持对考赛状态进行刷新；支持设置开场后禁入时间；支持按照已登录、未登录、已交卷、未交卷四种考赛状态筛选查看数据；支持按照考试号、考赛状态、初始化状态进行排序。</w:t>
            </w:r>
          </w:p>
          <w:p w14:paraId="686FEC19">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12.阶段控制：</w:t>
            </w:r>
            <w:r>
              <w:rPr>
                <w:rFonts w:hint="eastAsia" w:ascii="宋体" w:hAnsi="宋体" w:cs="宋体"/>
                <w:color w:val="auto"/>
                <w:szCs w:val="21"/>
              </w:rPr>
              <w:t>显示当前场次所选试卷、阶段及任务；支持以任务为最小单位进行任务解锁和锁定，解锁后学生可查看任务并进行答题，锁定后不可查看任务；也支持针对任务进行批量解锁和锁定。</w:t>
            </w:r>
          </w:p>
          <w:p w14:paraId="6A9F06A5">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13.单体控制：</w:t>
            </w:r>
            <w:r>
              <w:rPr>
                <w:rFonts w:hint="eastAsia" w:ascii="宋体" w:hAnsi="宋体" w:cs="宋体"/>
                <w:color w:val="auto"/>
                <w:szCs w:val="21"/>
              </w:rPr>
              <w:t>支持针对全部学生进行开始考试或比赛；支持以一个学生为最小单位进行暂停、恢复、延时、强制交卷、取消交卷、IP锁定；支持针对当前场次总人数、在线人数、离线人数、暂停人数、已结束已交卷人数、已结束未交卷人数、IP异常人数、ERP异常人数、ERP初始化完成人数汇总数据进行查询；支持对考赛状态进行刷新；支持按照已登录、未登录、已交卷、未交卷四种考赛状态筛选查看数据；支持按照姓名或手机号搜索考生；支持按照考试号、剩余时间、延时记录、考赛状态进行排序。</w:t>
            </w:r>
          </w:p>
          <w:p w14:paraId="5560D861">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14.▲数据大屏：</w:t>
            </w:r>
            <w:r>
              <w:rPr>
                <w:rFonts w:hint="eastAsia" w:ascii="宋体" w:hAnsi="宋体" w:cs="宋体"/>
                <w:color w:val="auto"/>
                <w:szCs w:val="21"/>
              </w:rPr>
              <w:t>支持考试或比赛过程中以柱状图的形式显示所有团队的实时成绩，支持全屏展示；支持以大屏人员账号登录，仅用于数据大屏展示实时成绩；支持双击柱状图查看团队内各岗位成绩；支持为数据大屏设置是否显示logo、是否显示分值、字体颜色、刷新模式、刷新时长、柱状图显示行数（1行/2行）、背景颜色。</w:t>
            </w:r>
          </w:p>
          <w:p w14:paraId="4F990353">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15.成绩查询：</w:t>
            </w:r>
            <w:r>
              <w:rPr>
                <w:rFonts w:hint="eastAsia" w:ascii="宋体" w:hAnsi="宋体" w:cs="宋体"/>
                <w:color w:val="auto"/>
                <w:szCs w:val="21"/>
              </w:rPr>
              <w:t>支持按照台位号、队伍号、院校名称查询团队成绩和个人成绩；支持为全部学生推送成绩，推送成绩后，学生端显示当前团队总成绩；支持为查询的学生单独推送成绩；支持以Excel格式导出成绩。</w:t>
            </w:r>
          </w:p>
          <w:p w14:paraId="345A2B24">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16.错误查看：</w:t>
            </w:r>
            <w:r>
              <w:rPr>
                <w:rFonts w:hint="eastAsia" w:ascii="宋体" w:hAnsi="宋体" w:cs="宋体"/>
                <w:color w:val="auto"/>
                <w:szCs w:val="21"/>
              </w:rPr>
              <w:t>支持以场次管理员身份查看学生各任务得分情况；支持查看学生各任务中失分之处；</w:t>
            </w:r>
          </w:p>
          <w:p w14:paraId="3CA83889">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17. RPA答题文件：</w:t>
            </w:r>
            <w:r>
              <w:rPr>
                <w:rFonts w:hint="eastAsia" w:ascii="宋体" w:hAnsi="宋体" w:cs="宋体"/>
                <w:color w:val="auto"/>
                <w:szCs w:val="21"/>
              </w:rPr>
              <w:t>支持以场次管理员身份查看学生提交的RPA答题文件；支持以姓名、考试号和手机号查询学生的RPA答案文件；</w:t>
            </w:r>
          </w:p>
          <w:p w14:paraId="3165923B">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18.服务器处理：</w:t>
            </w:r>
            <w:r>
              <w:rPr>
                <w:rFonts w:hint="eastAsia" w:ascii="宋体" w:hAnsi="宋体" w:cs="宋体"/>
                <w:color w:val="auto"/>
                <w:szCs w:val="21"/>
              </w:rPr>
              <w:t>场次考试或比赛全部结束后，支持清除考生、清除考生答题记录、清除场次信息、清除试卷信息；</w:t>
            </w:r>
          </w:p>
          <w:p w14:paraId="4927AF65">
            <w:pPr>
              <w:tabs>
                <w:tab w:val="left" w:pos="1440"/>
              </w:tabs>
              <w:spacing w:line="360" w:lineRule="atLeast"/>
              <w:jc w:val="left"/>
              <w:rPr>
                <w:rFonts w:ascii="宋体" w:hAnsi="宋体" w:cs="宋体"/>
                <w:b/>
                <w:bCs/>
                <w:color w:val="auto"/>
                <w:szCs w:val="21"/>
              </w:rPr>
            </w:pPr>
            <w:r>
              <w:rPr>
                <w:rFonts w:hint="eastAsia" w:ascii="宋体" w:hAnsi="宋体" w:cs="宋体"/>
                <w:b/>
                <w:bCs/>
                <w:color w:val="auto"/>
                <w:szCs w:val="21"/>
              </w:rPr>
              <w:t>四、答题端功能</w:t>
            </w:r>
          </w:p>
          <w:p w14:paraId="7706D1E6">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1.场次管理：</w:t>
            </w:r>
            <w:r>
              <w:rPr>
                <w:rFonts w:hint="eastAsia" w:ascii="宋体" w:hAnsi="宋体" w:cs="宋体"/>
                <w:color w:val="auto"/>
                <w:szCs w:val="21"/>
              </w:rPr>
              <w:t>支持通过考赛类型查找场次，也可通过场次状态筛选场次。</w:t>
            </w:r>
          </w:p>
          <w:p w14:paraId="33144D44">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2.环境检测：</w:t>
            </w:r>
            <w:r>
              <w:rPr>
                <w:rFonts w:hint="eastAsia" w:ascii="宋体" w:hAnsi="宋体" w:cs="宋体"/>
                <w:color w:val="auto"/>
                <w:szCs w:val="21"/>
              </w:rPr>
              <w:t>支持在考试或比赛前对考赛服务及所使用的业务系统进行检测；支持查看其他岗位登录状态及考赛服务和业务系统的检测结果。</w:t>
            </w:r>
          </w:p>
          <w:p w14:paraId="2193451E">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3.考赛须知：</w:t>
            </w:r>
            <w:r>
              <w:rPr>
                <w:rFonts w:hint="eastAsia" w:ascii="宋体" w:hAnsi="宋体" w:cs="宋体"/>
                <w:color w:val="auto"/>
                <w:szCs w:val="21"/>
              </w:rPr>
              <w:t>在开始比赛前，可在考试等待页面查看考试号、考试时长、岗位、及考赛须知。</w:t>
            </w:r>
          </w:p>
          <w:p w14:paraId="5B76E166">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4.全部任务：</w:t>
            </w:r>
            <w:r>
              <w:rPr>
                <w:rFonts w:hint="eastAsia" w:ascii="宋体" w:hAnsi="宋体" w:cs="宋体"/>
                <w:color w:val="auto"/>
                <w:szCs w:val="21"/>
              </w:rPr>
              <w:t>支持按阶段查看任务简要说明；支持按任务状态状态查看所有任务；支持通过点击全部任务中具体任务定位至指定任务；支持按阶段查看任务简要说明及业务资源，点击即可查看业务资源；支持按照业务资源名称搜索所需资源；支持按阶段查看任务简要说明及业务考核单据，点击即可查看业务考核单据；支持按照单据名称搜索所需单据；支持按阶段查看任务简要说明及业务背景单据，点击即可查看业务背景单据；支持按照单据名称搜索所需单据；支持按阶段查看任务的业务流程图；练习模式的场次，任务提交后，支持按照按阶段查看任务的答案，并将显示错误提示或将错误内容突出显示。</w:t>
            </w:r>
          </w:p>
          <w:p w14:paraId="1FEE806A">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5.任务列表：</w:t>
            </w:r>
            <w:r>
              <w:rPr>
                <w:rFonts w:hint="eastAsia" w:ascii="宋体" w:hAnsi="宋体" w:cs="宋体"/>
                <w:color w:val="auto"/>
                <w:szCs w:val="21"/>
              </w:rPr>
              <w:t>支持按阶段展开或收起任务。</w:t>
            </w:r>
          </w:p>
          <w:p w14:paraId="0BC2290A">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6.阶段公共资源：</w:t>
            </w:r>
            <w:r>
              <w:rPr>
                <w:rFonts w:hint="eastAsia" w:ascii="宋体" w:hAnsi="宋体" w:cs="宋体"/>
                <w:color w:val="auto"/>
                <w:szCs w:val="21"/>
              </w:rPr>
              <w:t>支持按阶段查看公共资源；支持以新窗口查看公共资源。</w:t>
            </w:r>
          </w:p>
          <w:p w14:paraId="63DB99AE">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7.任务状态：</w:t>
            </w:r>
            <w:r>
              <w:rPr>
                <w:rFonts w:hint="eastAsia" w:ascii="宋体" w:hAnsi="宋体" w:cs="宋体"/>
                <w:color w:val="auto"/>
                <w:szCs w:val="21"/>
              </w:rPr>
              <w:t>支持查看任务状态：任务未解锁、无本岗任务、任务已完成、本岗未完成、他岗未完成，按任务状态进行答题。</w:t>
            </w:r>
          </w:p>
          <w:p w14:paraId="3811B627">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8.业务描述：</w:t>
            </w:r>
            <w:r>
              <w:rPr>
                <w:rFonts w:hint="eastAsia" w:ascii="宋体" w:hAnsi="宋体" w:cs="宋体"/>
                <w:color w:val="auto"/>
                <w:szCs w:val="21"/>
              </w:rPr>
              <w:t>支持查看任务答题所需业务描述。</w:t>
            </w:r>
          </w:p>
          <w:p w14:paraId="1F78C8D5">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9.考核单据：</w:t>
            </w:r>
            <w:r>
              <w:rPr>
                <w:rFonts w:hint="eastAsia" w:ascii="宋体" w:hAnsi="宋体" w:cs="宋体"/>
                <w:color w:val="auto"/>
                <w:szCs w:val="21"/>
              </w:rPr>
              <w:t>支持查看和切换考核单据；支持Excel单据复制；支持将Excel单据计算结果批量复制回平台；支持其余单据填写、计算及保存；支持将考核单据放大至全屏进行答题；若当前任务无需本岗位填写，则显示业务流程图。</w:t>
            </w:r>
          </w:p>
          <w:p w14:paraId="7F4304CE">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10.答题按钮：</w:t>
            </w:r>
            <w:r>
              <w:rPr>
                <w:rFonts w:hint="eastAsia" w:ascii="宋体" w:hAnsi="宋体" w:cs="宋体"/>
                <w:color w:val="auto"/>
                <w:szCs w:val="21"/>
              </w:rPr>
              <w:t>支持保存并查看下一步考核单据；支持退回上一步修改答题记录；支持标记任务；支持提交任务进行评分；支持收回任务，修改后重新提交；练习模式场次，任务提交后，可按查看当前任务当前岗位得分情况。</w:t>
            </w:r>
          </w:p>
          <w:p w14:paraId="26662FE6">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11.倒计时：</w:t>
            </w:r>
            <w:r>
              <w:rPr>
                <w:rFonts w:hint="eastAsia" w:ascii="宋体" w:hAnsi="宋体" w:cs="宋体"/>
                <w:color w:val="auto"/>
                <w:szCs w:val="21"/>
              </w:rPr>
              <w:t>支持答题过程中随时查看倒计时。</w:t>
            </w:r>
          </w:p>
          <w:p w14:paraId="2DE98C77">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12.交卷：</w:t>
            </w:r>
            <w:r>
              <w:rPr>
                <w:rFonts w:hint="eastAsia" w:ascii="宋体" w:hAnsi="宋体" w:cs="宋体"/>
                <w:color w:val="auto"/>
                <w:szCs w:val="21"/>
              </w:rPr>
              <w:t>支持按场次管理员设置的交卷岗位进行交卷，点击后出现三次弹窗提醒，全部点击确定后，团队内其余岗位均会交卷。</w:t>
            </w:r>
          </w:p>
          <w:p w14:paraId="11DFE0EA">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13.业务流程：</w:t>
            </w:r>
            <w:r>
              <w:rPr>
                <w:rFonts w:hint="eastAsia" w:ascii="宋体" w:hAnsi="宋体" w:cs="宋体"/>
                <w:color w:val="auto"/>
                <w:szCs w:val="21"/>
              </w:rPr>
              <w:t>支持查看当前任务业务流程及业务进度。</w:t>
            </w:r>
          </w:p>
          <w:p w14:paraId="186DEB3C">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14.业务资源：</w:t>
            </w:r>
            <w:r>
              <w:rPr>
                <w:rFonts w:hint="eastAsia" w:ascii="宋体" w:hAnsi="宋体" w:cs="宋体"/>
                <w:color w:val="auto"/>
                <w:szCs w:val="21"/>
              </w:rPr>
              <w:t>支持查看及切换当前任务业务资源，可放大查看，也可以新页签形式打开查看资源；支持将允许下载的资源下载至本地，便于答题。</w:t>
            </w:r>
          </w:p>
          <w:p w14:paraId="4D02343B">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15.业务背景：</w:t>
            </w:r>
            <w:r>
              <w:rPr>
                <w:rFonts w:hint="eastAsia" w:ascii="宋体" w:hAnsi="宋体" w:cs="宋体"/>
                <w:color w:val="auto"/>
                <w:szCs w:val="21"/>
              </w:rPr>
              <w:t>支持查看及切换当前任务业务背景单据，可放大查看，也可以新页签形式打开查看业务背景单据。</w:t>
            </w:r>
          </w:p>
          <w:p w14:paraId="0424D809">
            <w:pPr>
              <w:tabs>
                <w:tab w:val="left" w:pos="1440"/>
              </w:tabs>
              <w:spacing w:line="360" w:lineRule="atLeast"/>
              <w:ind w:firstLine="422" w:firstLineChars="200"/>
              <w:jc w:val="left"/>
              <w:rPr>
                <w:rFonts w:ascii="宋体" w:hAnsi="宋体" w:cs="宋体"/>
                <w:color w:val="auto"/>
                <w:szCs w:val="21"/>
                <w:highlight w:val="yellow"/>
              </w:rPr>
            </w:pPr>
            <w:r>
              <w:rPr>
                <w:rFonts w:hint="eastAsia" w:ascii="宋体" w:hAnsi="宋体" w:cs="宋体"/>
                <w:b/>
                <w:bCs/>
                <w:color w:val="auto"/>
                <w:szCs w:val="21"/>
              </w:rPr>
              <w:t>16.业务系统：</w:t>
            </w:r>
            <w:r>
              <w:rPr>
                <w:rFonts w:hint="eastAsia" w:ascii="宋体" w:hAnsi="宋体" w:cs="宋体"/>
                <w:color w:val="auto"/>
                <w:szCs w:val="21"/>
                <w:highlight w:val="yellow"/>
              </w:rPr>
              <w:t>支持接入NCCloud（以下简称NCC）系统，通过平台中按钮跳过NCC登录界面直接跳转进入NCC；支持接入分析云系统，通过平台中按钮跳过分析云登录界面直接跳转进入分析云；支持接入python系统，通过平台中按钮直接跳转进入python代码编辑器；支持接入数据中心，通过平台中按钮直接进入上交所网站；支持接入数据清洗系统，通过平台中按钮直接进入数据清洗系统；支持接入数据算法系统，通过平台中按钮直接进入数据算法系统；支持接入RPA系统，通过平台中按钮直接进入智多星RPA设计器；支持针对以上业务系统进行环境检测，测试环境是否可正常使用。</w:t>
            </w:r>
          </w:p>
          <w:p w14:paraId="5A81FB2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16.1业务系统-分析云主要功能</w:t>
            </w:r>
          </w:p>
          <w:p w14:paraId="02E8CC4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16.1.1分析云是数据服务解决方案的重要组成部分，致力于通过云服务模式（专属云服务）向用户提供灵活、便捷的数据分析服务，其便捷的数据获取、高效的存储计算、丰富的输出展现、友好的互动体验、可靠的数据安全、多端（PC）浏览适配能力有效支撑了用户各类数据应用需求的实现。</w:t>
            </w:r>
          </w:p>
          <w:p w14:paraId="2A1EB51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16.1.2分析云采用所见即所得的设计界面，无需编写代码，拖拽设计使得业务人员也可以轻松设计报表和故事板，与数据进行友好交互。使用者可以自由创建数据模型，对数据进行筛选排序，使用表格和多种可视化控件设计出美观使用的数据分析页面。</w:t>
            </w:r>
          </w:p>
          <w:p w14:paraId="1212F01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16.1.3分析云满足用户的深度业务分析需求，又可以快速的帮助用户实现个性化定制数据分析，实现良好的项目体验，真正实现了数据分析驱动业务改进。</w:t>
            </w:r>
          </w:p>
          <w:p w14:paraId="1739F4F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16.1.4分析云目前内置有34种图表，包括柱状图、阶梯瀑布图、条形图、图案填充条形图、堆叠柱状图、堆叠条形图、饼图、环形图、玫瑰图、折线图、堆叠区域图、中国地图、散点中国地图、世界地图、迁徙图、百度地图、双轴图、仪表盘、表格、指标图、气泡图、漏斗图、热力图、矩形树图、雷达图、桑基图、和弦图、词云图、时序预测图、回归分析图、子弹图、直方图。</w:t>
            </w:r>
          </w:p>
          <w:p w14:paraId="73367C3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 xml:space="preserve">16.1.5支持设置辅助线和预警线。用户通过辅助线可以快速识别出数据中的异常值；预警线除了识别出异常值，还支持用户设置预警的级别和预警推送的对象， </w:t>
            </w:r>
          </w:p>
          <w:p w14:paraId="2C131A2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16.1.6支持用户自定义钻取路径，拖拽层级字段到维度后选择图形则实现对数据的下钻和上卷，点击图可以逐层查看数据。同时支持用户设置每一层的图形样式和字段数量，实现每一层级的自定义。</w:t>
            </w:r>
          </w:p>
          <w:p w14:paraId="727724F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16.1.7支持用户选择可视化、创建综合分析界面，设置联动、链接；选择多个可视化创建故事板，把可视化对象在故事板页面中拖拽布局，支持故事板页面分页；支持页面灵活布局，拖拽位置和可视化对象大小；支持设置展示属性，添加全局筛选、文本、图片；设置图表、联动，支持多个数据集设置字段关联；支持设置链接，可链接打开故事板和第三方对象，并传递参数。</w:t>
            </w:r>
          </w:p>
          <w:p w14:paraId="2347862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16.2业务系统-大数据辅助工具主要功能</w:t>
            </w:r>
          </w:p>
          <w:p w14:paraId="3FA048E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16.2.1数据清洗工具：支持对用户上传的数据进行自动清洗。支持通过教学管理平台预置数据，支持学生自行上传数据表格。支持在当前页面查看数据源数据预览，预览数据条数用户可自行调整。支持2种字符清理以及4种字符替换全局规则，支持字符替换、字段切分、字段合并、缺失值填补等。支持在当前页面查看清洗结果数据预览，预览数据条数用户可自行调整。支持用户自行下载清洗完成的数据到本地客户机。</w:t>
            </w:r>
          </w:p>
          <w:p w14:paraId="78035628">
            <w:pPr>
              <w:tabs>
                <w:tab w:val="left" w:pos="1440"/>
              </w:tabs>
              <w:spacing w:line="360" w:lineRule="atLeast"/>
              <w:ind w:firstLine="420" w:firstLineChars="200"/>
              <w:jc w:val="left"/>
              <w:rPr>
                <w:rFonts w:ascii="宋体" w:hAnsi="宋体" w:cs="宋体"/>
                <w:color w:val="auto"/>
                <w:szCs w:val="21"/>
                <w:highlight w:val="yellow"/>
              </w:rPr>
            </w:pPr>
            <w:r>
              <w:rPr>
                <w:rFonts w:hint="eastAsia" w:ascii="宋体" w:hAnsi="宋体" w:cs="宋体"/>
                <w:color w:val="auto"/>
                <w:szCs w:val="21"/>
                <w:highlight w:val="yellow"/>
              </w:rPr>
              <w:t>16.2.2数据算法工具：采用任务流式处理设计。默认流程为选择数据源-配置模型-开始建模-选择预测数据-开始预测，采用流式非闭环模式，执行数据挖掘时将严格按照此流程顺序执行。内置机器学习算法库。有监督学习包括：回归分析多元回归算法、逻辑回归算法，分类分析朴素贝叶斯算法、决策树算法，文本分析，无监督学习包括：聚类分析K-Means，降维分析PCA算法。支持学生基于选用的模型进行参数配置和调整。支持添加多个自变量，并可设置按比例随机抽选训练集与测试集。支持在当前页面查看预测结果数据预览，预览数据条数用户可自行调整。支持用户自行下载模型质量数据报告以及预测完成的数据到本地客户机。</w:t>
            </w:r>
          </w:p>
          <w:p w14:paraId="6E6A9E8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▲16.2.3 python代码编辑器：由生产厂家自主研发，预置有“代码模式”。代码模式：服务器端安装全部程序，学生端无需搭建环境，打开即可使用，支持语法高亮、代码自动补全、实时代码，数学方程，可视化。用途包括：数据清理和转换，数值模拟，统计建模，机器学习等功能。内置python常用类库，支持脚本上传及导出，同时可实现代码质量甄别，对学生编写的代码进行评分。</w:t>
            </w:r>
          </w:p>
          <w:p w14:paraId="7CB4854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16.2.4数据中心-仿真上交所：仿真上海证券交易所XBRL财报。模拟上交所XBRL财报列表页与财报页面，支持按交易代码、企业简称、企业简称首字母、年份、财报类型方式查询或筛选财报，便于教学时使用，避免使用真实网站带来责任事故。报告类型包括：一季度报、半年报、三季度报、年报；。</w:t>
            </w:r>
          </w:p>
          <w:p w14:paraId="515C9091">
            <w:pPr>
              <w:tabs>
                <w:tab w:val="left" w:pos="1440"/>
              </w:tabs>
              <w:spacing w:line="360" w:lineRule="atLeast"/>
              <w:ind w:firstLine="422" w:firstLineChars="200"/>
              <w:jc w:val="left"/>
              <w:rPr>
                <w:rFonts w:ascii="宋体" w:hAnsi="宋体" w:cs="宋体"/>
                <w:color w:val="auto"/>
                <w:szCs w:val="21"/>
                <w:highlight w:val="yellow"/>
              </w:rPr>
            </w:pPr>
            <w:r>
              <w:rPr>
                <w:rFonts w:hint="eastAsia" w:ascii="宋体" w:hAnsi="宋体" w:cs="宋体"/>
                <w:b/>
                <w:bCs/>
                <w:color w:val="auto"/>
                <w:szCs w:val="21"/>
                <w:highlight w:val="yellow"/>
              </w:rPr>
              <w:t>17.金融计算器：</w:t>
            </w:r>
            <w:r>
              <w:rPr>
                <w:rFonts w:hint="eastAsia" w:ascii="宋体" w:hAnsi="宋体" w:cs="宋体"/>
                <w:color w:val="auto"/>
                <w:szCs w:val="21"/>
                <w:highlight w:val="yellow"/>
              </w:rPr>
              <w:t>支持通过金融计算器计算现值、终值、利率转换、年金现值、复利现值、年金终值、复利终值。</w:t>
            </w:r>
          </w:p>
          <w:p w14:paraId="5454D5A8">
            <w:pPr>
              <w:tabs>
                <w:tab w:val="left" w:pos="1440"/>
              </w:tabs>
              <w:spacing w:line="360" w:lineRule="atLeast"/>
              <w:ind w:firstLine="422" w:firstLineChars="200"/>
              <w:jc w:val="left"/>
              <w:rPr>
                <w:rFonts w:ascii="宋体" w:hAnsi="宋体" w:cs="宋体"/>
                <w:color w:val="auto"/>
                <w:szCs w:val="21"/>
                <w:highlight w:val="yellow"/>
              </w:rPr>
            </w:pPr>
            <w:r>
              <w:rPr>
                <w:rFonts w:hint="eastAsia" w:ascii="宋体" w:hAnsi="宋体" w:cs="宋体"/>
                <w:b/>
                <w:bCs/>
                <w:color w:val="auto"/>
                <w:szCs w:val="21"/>
                <w:highlight w:val="yellow"/>
              </w:rPr>
              <w:t>18.RPA上传：</w:t>
            </w:r>
            <w:r>
              <w:rPr>
                <w:rFonts w:hint="eastAsia" w:ascii="宋体" w:hAnsi="宋体" w:cs="宋体"/>
                <w:color w:val="auto"/>
                <w:szCs w:val="21"/>
                <w:highlight w:val="yellow"/>
              </w:rPr>
              <w:t>支持将RPA设计完成后的结果打包形成压缩文件上传至平台并进行评分。</w:t>
            </w:r>
          </w:p>
          <w:p w14:paraId="11B3B4CC">
            <w:pPr>
              <w:tabs>
                <w:tab w:val="left" w:pos="1440"/>
              </w:tabs>
              <w:spacing w:line="360" w:lineRule="atLeast"/>
              <w:jc w:val="left"/>
              <w:rPr>
                <w:rFonts w:ascii="宋体" w:hAnsi="宋体" w:cs="宋体"/>
                <w:b/>
                <w:bCs/>
                <w:color w:val="auto"/>
                <w:szCs w:val="21"/>
              </w:rPr>
            </w:pPr>
            <w:r>
              <w:rPr>
                <w:rFonts w:hint="eastAsia" w:ascii="宋体" w:hAnsi="宋体" w:cs="宋体"/>
                <w:b/>
                <w:bCs/>
                <w:color w:val="auto"/>
                <w:szCs w:val="21"/>
              </w:rPr>
              <w:t>五、配套教辅资源要求</w:t>
            </w:r>
          </w:p>
          <w:p w14:paraId="501C0757">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1.配套样题：</w:t>
            </w:r>
            <w:r>
              <w:rPr>
                <w:rFonts w:hint="eastAsia" w:ascii="宋体" w:hAnsi="宋体" w:cs="宋体"/>
                <w:color w:val="auto"/>
                <w:szCs w:val="21"/>
              </w:rPr>
              <w:t>提供大数据管理会计样题一套；</w:t>
            </w:r>
          </w:p>
          <w:p w14:paraId="66358BC6">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2.操作手册一套。</w:t>
            </w:r>
          </w:p>
        </w:tc>
        <w:tc>
          <w:tcPr>
            <w:tcW w:w="1355" w:type="dxa"/>
            <w:tcBorders>
              <w:top w:val="single" w:color="auto" w:sz="4" w:space="0"/>
              <w:left w:val="single" w:color="auto" w:sz="4" w:space="0"/>
              <w:bottom w:val="single" w:color="auto" w:sz="4" w:space="0"/>
              <w:right w:val="single" w:color="auto" w:sz="4" w:space="0"/>
            </w:tcBorders>
            <w:vAlign w:val="center"/>
          </w:tcPr>
          <w:p w14:paraId="4900508D">
            <w:pPr>
              <w:tabs>
                <w:tab w:val="left" w:pos="1440"/>
              </w:tabs>
              <w:spacing w:line="360" w:lineRule="atLeast"/>
              <w:jc w:val="center"/>
              <w:rPr>
                <w:rFonts w:ascii="宋体" w:hAnsi="宋体"/>
                <w:color w:val="auto"/>
                <w:szCs w:val="21"/>
              </w:rPr>
            </w:pPr>
            <w:r>
              <w:rPr>
                <w:rFonts w:hint="eastAsia" w:ascii="宋体" w:hAnsi="宋体" w:cs="宋体"/>
                <w:bCs/>
                <w:color w:val="auto"/>
                <w:kern w:val="0"/>
                <w:szCs w:val="21"/>
              </w:rPr>
              <w:t>9</w:t>
            </w:r>
            <w:r>
              <w:rPr>
                <w:rFonts w:ascii="宋体" w:hAnsi="宋体" w:cs="宋体"/>
                <w:bCs/>
                <w:color w:val="auto"/>
                <w:kern w:val="0"/>
                <w:szCs w:val="21"/>
              </w:rPr>
              <w:t>0</w:t>
            </w:r>
            <w:r>
              <w:rPr>
                <w:rFonts w:hint="eastAsia" w:ascii="宋体" w:hAnsi="宋体" w:cs="宋体"/>
                <w:bCs/>
                <w:color w:val="auto"/>
                <w:kern w:val="0"/>
                <w:szCs w:val="21"/>
              </w:rPr>
              <w:t>,000.00</w:t>
            </w:r>
          </w:p>
        </w:tc>
      </w:tr>
      <w:tr w14:paraId="52E6D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14:paraId="5C87F221">
            <w:pPr>
              <w:pStyle w:val="33"/>
              <w:spacing w:line="360" w:lineRule="atLeast"/>
              <w:ind w:firstLine="0" w:firstLineChars="0"/>
              <w:rPr>
                <w:rFonts w:hAnsi="宋体"/>
                <w:color w:val="auto"/>
                <w:szCs w:val="21"/>
              </w:rPr>
            </w:pPr>
            <w:r>
              <w:rPr>
                <w:rFonts w:hint="eastAsia" w:hAnsi="宋体" w:cs="宋体"/>
                <w:bCs/>
                <w:color w:val="auto"/>
                <w:sz w:val="21"/>
                <w:szCs w:val="21"/>
              </w:rPr>
              <w:t>2</w:t>
            </w:r>
          </w:p>
        </w:tc>
        <w:tc>
          <w:tcPr>
            <w:tcW w:w="993" w:type="dxa"/>
            <w:tcBorders>
              <w:top w:val="single" w:color="auto" w:sz="4" w:space="0"/>
              <w:left w:val="single" w:color="auto" w:sz="4" w:space="0"/>
              <w:bottom w:val="single" w:color="auto" w:sz="4" w:space="0"/>
              <w:right w:val="single" w:color="auto" w:sz="4" w:space="0"/>
            </w:tcBorders>
            <w:vAlign w:val="center"/>
          </w:tcPr>
          <w:p w14:paraId="28B1775E">
            <w:pPr>
              <w:tabs>
                <w:tab w:val="left" w:pos="1440"/>
              </w:tabs>
              <w:spacing w:line="360" w:lineRule="atLeast"/>
              <w:jc w:val="center"/>
              <w:rPr>
                <w:rFonts w:ascii="宋体" w:hAnsi="宋体"/>
                <w:color w:val="auto"/>
                <w:szCs w:val="21"/>
              </w:rPr>
            </w:pPr>
            <w:r>
              <w:rPr>
                <w:rFonts w:hint="eastAsia" w:ascii="宋体" w:hAnsi="宋体"/>
                <w:color w:val="auto"/>
                <w:szCs w:val="21"/>
              </w:rPr>
              <w:t>会计实务企业案例库（C包）</w:t>
            </w:r>
          </w:p>
        </w:tc>
        <w:tc>
          <w:tcPr>
            <w:tcW w:w="614" w:type="dxa"/>
            <w:tcBorders>
              <w:top w:val="single" w:color="auto" w:sz="4" w:space="0"/>
              <w:left w:val="single" w:color="auto" w:sz="4" w:space="0"/>
              <w:bottom w:val="single" w:color="auto" w:sz="4" w:space="0"/>
              <w:right w:val="single" w:color="auto" w:sz="4" w:space="0"/>
            </w:tcBorders>
            <w:vAlign w:val="center"/>
          </w:tcPr>
          <w:p w14:paraId="0423743D">
            <w:pPr>
              <w:tabs>
                <w:tab w:val="left" w:pos="1440"/>
              </w:tabs>
              <w:spacing w:line="360" w:lineRule="atLeast"/>
              <w:jc w:val="center"/>
              <w:rPr>
                <w:rFonts w:ascii="宋体" w:hAnsi="宋体"/>
                <w:color w:val="auto"/>
                <w:szCs w:val="21"/>
              </w:rPr>
            </w:pPr>
            <w:r>
              <w:rPr>
                <w:rFonts w:hint="eastAsia" w:ascii="宋体" w:hAnsi="宋体"/>
                <w:color w:val="auto"/>
                <w:szCs w:val="21"/>
              </w:rPr>
              <w:t>套</w:t>
            </w:r>
          </w:p>
        </w:tc>
        <w:tc>
          <w:tcPr>
            <w:tcW w:w="532" w:type="dxa"/>
            <w:tcBorders>
              <w:top w:val="single" w:color="auto" w:sz="4" w:space="0"/>
              <w:left w:val="single" w:color="auto" w:sz="4" w:space="0"/>
              <w:bottom w:val="single" w:color="auto" w:sz="4" w:space="0"/>
              <w:right w:val="single" w:color="auto" w:sz="4" w:space="0"/>
            </w:tcBorders>
            <w:vAlign w:val="center"/>
          </w:tcPr>
          <w:p w14:paraId="68E717E9">
            <w:pPr>
              <w:tabs>
                <w:tab w:val="left" w:pos="1440"/>
              </w:tabs>
              <w:spacing w:line="360" w:lineRule="atLeast"/>
              <w:jc w:val="center"/>
              <w:rPr>
                <w:rFonts w:ascii="宋体" w:hAnsi="宋体"/>
                <w:color w:val="auto"/>
                <w:szCs w:val="21"/>
              </w:rPr>
            </w:pPr>
            <w:r>
              <w:rPr>
                <w:rFonts w:ascii="宋体" w:hAnsi="宋体"/>
                <w:color w:val="auto"/>
                <w:szCs w:val="21"/>
              </w:rPr>
              <w:t>1</w:t>
            </w:r>
          </w:p>
        </w:tc>
        <w:tc>
          <w:tcPr>
            <w:tcW w:w="6111" w:type="dxa"/>
            <w:tcBorders>
              <w:top w:val="single" w:color="auto" w:sz="4" w:space="0"/>
              <w:left w:val="single" w:color="auto" w:sz="4" w:space="0"/>
              <w:bottom w:val="single" w:color="auto" w:sz="4" w:space="0"/>
              <w:right w:val="single" w:color="auto" w:sz="4" w:space="0"/>
            </w:tcBorders>
            <w:shd w:val="clear" w:color="auto" w:fill="auto"/>
          </w:tcPr>
          <w:p w14:paraId="4C7FAC0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至少包括以下案例：</w:t>
            </w:r>
          </w:p>
          <w:p w14:paraId="6C7F75EE">
            <w:pPr>
              <w:tabs>
                <w:tab w:val="left" w:pos="1440"/>
              </w:tabs>
              <w:spacing w:line="360" w:lineRule="atLeast"/>
              <w:ind w:firstLine="422" w:firstLineChars="200"/>
              <w:jc w:val="left"/>
              <w:rPr>
                <w:rFonts w:ascii="宋体" w:hAnsi="宋体" w:cs="宋体"/>
                <w:b/>
                <w:bCs/>
                <w:color w:val="auto"/>
                <w:szCs w:val="21"/>
              </w:rPr>
            </w:pPr>
            <w:r>
              <w:rPr>
                <w:rFonts w:hint="eastAsia" w:ascii="宋体" w:hAnsi="宋体" w:cs="宋体"/>
                <w:b/>
                <w:bCs/>
                <w:color w:val="auto"/>
                <w:szCs w:val="21"/>
              </w:rPr>
              <w:t>案例一</w:t>
            </w:r>
          </w:p>
          <w:p w14:paraId="6634EAD6">
            <w:pPr>
              <w:tabs>
                <w:tab w:val="left" w:pos="1440"/>
              </w:tabs>
              <w:spacing w:line="360" w:lineRule="atLeast"/>
              <w:ind w:firstLine="422" w:firstLineChars="200"/>
              <w:jc w:val="left"/>
              <w:rPr>
                <w:rFonts w:ascii="宋体" w:hAnsi="宋体" w:cs="宋体"/>
                <w:b/>
                <w:bCs/>
                <w:color w:val="auto"/>
                <w:szCs w:val="21"/>
              </w:rPr>
            </w:pPr>
            <w:r>
              <w:rPr>
                <w:rFonts w:hint="eastAsia" w:ascii="宋体" w:hAnsi="宋体" w:cs="宋体"/>
                <w:b/>
                <w:bCs/>
                <w:color w:val="auto"/>
                <w:szCs w:val="21"/>
              </w:rPr>
              <w:t>阶段1：业财信息化阶段</w:t>
            </w:r>
          </w:p>
          <w:p w14:paraId="7E99072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【公司名称】器材设备行业</w:t>
            </w:r>
          </w:p>
          <w:p w14:paraId="4E8019D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【案例类型】业财信息化企业案例</w:t>
            </w:r>
          </w:p>
          <w:p w14:paraId="73E2BA8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【领域设置】基础档案维护、业财税资融合业务处理、财务报表编制、大数据业财分析四部分</w:t>
            </w:r>
          </w:p>
          <w:p w14:paraId="16B735F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【难易程度】低</w:t>
            </w:r>
          </w:p>
          <w:p w14:paraId="3ED0141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【案例概述】</w:t>
            </w:r>
          </w:p>
          <w:p w14:paraId="2A34C94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1.考试时间为180分钟，业务会计岗90分，成本会计岗90分，共享会计岗110分，财务主管岗110分，团队合计400分。</w:t>
            </w:r>
          </w:p>
          <w:p w14:paraId="2CF1CAB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2.本案例使用财务数字化训赛平台V2.0赛务模块、业务系统-NCC、分析云、python、数据中心-上证、数据清洗工具，完成业财信息化四个岗位的工作。</w:t>
            </w:r>
          </w:p>
          <w:p w14:paraId="34AC047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【案例说明】</w:t>
            </w:r>
          </w:p>
          <w:p w14:paraId="4430473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业务001</w:t>
            </w:r>
            <w:r>
              <w:rPr>
                <w:rFonts w:hint="eastAsia" w:ascii="宋体" w:hAnsi="宋体" w:cs="宋体"/>
                <w:color w:val="auto"/>
                <w:szCs w:val="21"/>
              </w:rPr>
              <w:tab/>
            </w:r>
            <w:r>
              <w:rPr>
                <w:rFonts w:hint="eastAsia" w:ascii="宋体" w:hAnsi="宋体" w:cs="宋体"/>
                <w:color w:val="auto"/>
                <w:szCs w:val="21"/>
              </w:rPr>
              <w:t>供应商档案</w:t>
            </w:r>
          </w:p>
          <w:p w14:paraId="05D01BD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业务002</w:t>
            </w:r>
            <w:r>
              <w:rPr>
                <w:rFonts w:hint="eastAsia" w:ascii="宋体" w:hAnsi="宋体" w:cs="宋体"/>
                <w:color w:val="auto"/>
                <w:szCs w:val="21"/>
              </w:rPr>
              <w:tab/>
            </w:r>
            <w:r>
              <w:rPr>
                <w:rFonts w:hint="eastAsia" w:ascii="宋体" w:hAnsi="宋体" w:cs="宋体"/>
                <w:color w:val="auto"/>
                <w:szCs w:val="21"/>
              </w:rPr>
              <w:t>会计科目维护</w:t>
            </w:r>
          </w:p>
          <w:p w14:paraId="1A3D587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业务003</w:t>
            </w:r>
            <w:r>
              <w:rPr>
                <w:rFonts w:hint="eastAsia" w:ascii="宋体" w:hAnsi="宋体" w:cs="宋体"/>
                <w:color w:val="auto"/>
                <w:szCs w:val="21"/>
              </w:rPr>
              <w:tab/>
            </w:r>
            <w:r>
              <w:rPr>
                <w:rFonts w:hint="eastAsia" w:ascii="宋体" w:hAnsi="宋体" w:cs="宋体"/>
                <w:color w:val="auto"/>
                <w:szCs w:val="21"/>
              </w:rPr>
              <w:t>物料档案维护</w:t>
            </w:r>
          </w:p>
          <w:p w14:paraId="46D6277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业务004</w:t>
            </w:r>
            <w:r>
              <w:rPr>
                <w:rFonts w:hint="eastAsia" w:ascii="宋体" w:hAnsi="宋体" w:cs="宋体"/>
                <w:color w:val="auto"/>
                <w:szCs w:val="21"/>
              </w:rPr>
              <w:tab/>
            </w:r>
            <w:r>
              <w:rPr>
                <w:rFonts w:hint="eastAsia" w:ascii="宋体" w:hAnsi="宋体" w:cs="宋体"/>
                <w:color w:val="auto"/>
                <w:szCs w:val="21"/>
              </w:rPr>
              <w:t>维护现金期初</w:t>
            </w:r>
          </w:p>
          <w:p w14:paraId="17331F3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业务005</w:t>
            </w:r>
            <w:r>
              <w:rPr>
                <w:rFonts w:hint="eastAsia" w:ascii="宋体" w:hAnsi="宋体" w:cs="宋体"/>
                <w:color w:val="auto"/>
                <w:szCs w:val="21"/>
              </w:rPr>
              <w:tab/>
            </w:r>
            <w:r>
              <w:rPr>
                <w:rFonts w:hint="eastAsia" w:ascii="宋体" w:hAnsi="宋体" w:cs="宋体"/>
                <w:color w:val="auto"/>
                <w:szCs w:val="21"/>
              </w:rPr>
              <w:t>采购成本要素定义</w:t>
            </w:r>
          </w:p>
          <w:p w14:paraId="237513E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业务006</w:t>
            </w:r>
            <w:r>
              <w:rPr>
                <w:rFonts w:hint="eastAsia" w:ascii="宋体" w:hAnsi="宋体" w:cs="宋体"/>
                <w:color w:val="auto"/>
                <w:szCs w:val="21"/>
              </w:rPr>
              <w:tab/>
            </w:r>
            <w:r>
              <w:rPr>
                <w:rFonts w:hint="eastAsia" w:ascii="宋体" w:hAnsi="宋体" w:cs="宋体"/>
                <w:color w:val="auto"/>
                <w:szCs w:val="21"/>
              </w:rPr>
              <w:t>库存期初</w:t>
            </w:r>
          </w:p>
          <w:p w14:paraId="3DE378E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业务007</w:t>
            </w:r>
            <w:r>
              <w:rPr>
                <w:rFonts w:hint="eastAsia" w:ascii="宋体" w:hAnsi="宋体" w:cs="宋体"/>
                <w:color w:val="auto"/>
                <w:szCs w:val="21"/>
              </w:rPr>
              <w:tab/>
            </w:r>
            <w:r>
              <w:rPr>
                <w:rFonts w:hint="eastAsia" w:ascii="宋体" w:hAnsi="宋体" w:cs="宋体"/>
                <w:color w:val="auto"/>
                <w:szCs w:val="21"/>
              </w:rPr>
              <w:t>维护存货期初</w:t>
            </w:r>
          </w:p>
          <w:p w14:paraId="688CB16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业务008</w:t>
            </w:r>
            <w:r>
              <w:rPr>
                <w:rFonts w:hint="eastAsia" w:ascii="宋体" w:hAnsi="宋体" w:cs="宋体"/>
                <w:color w:val="auto"/>
                <w:szCs w:val="21"/>
              </w:rPr>
              <w:tab/>
            </w:r>
            <w:r>
              <w:rPr>
                <w:rFonts w:hint="eastAsia" w:ascii="宋体" w:hAnsi="宋体" w:cs="宋体"/>
                <w:color w:val="auto"/>
                <w:szCs w:val="21"/>
              </w:rPr>
              <w:t>维护应付期初</w:t>
            </w:r>
          </w:p>
          <w:p w14:paraId="40C6987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业务009</w:t>
            </w:r>
            <w:r>
              <w:rPr>
                <w:rFonts w:hint="eastAsia" w:ascii="宋体" w:hAnsi="宋体" w:cs="宋体"/>
                <w:color w:val="auto"/>
                <w:szCs w:val="21"/>
              </w:rPr>
              <w:tab/>
            </w:r>
            <w:r>
              <w:rPr>
                <w:rFonts w:hint="eastAsia" w:ascii="宋体" w:hAnsi="宋体" w:cs="宋体"/>
                <w:color w:val="auto"/>
                <w:szCs w:val="21"/>
              </w:rPr>
              <w:t>维护应收期初</w:t>
            </w:r>
          </w:p>
          <w:p w14:paraId="6B3EA0C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业务010</w:t>
            </w:r>
            <w:r>
              <w:rPr>
                <w:rFonts w:hint="eastAsia" w:ascii="宋体" w:hAnsi="宋体" w:cs="宋体"/>
                <w:color w:val="auto"/>
                <w:szCs w:val="21"/>
              </w:rPr>
              <w:tab/>
            </w:r>
            <w:r>
              <w:rPr>
                <w:rFonts w:hint="eastAsia" w:ascii="宋体" w:hAnsi="宋体" w:cs="宋体"/>
                <w:color w:val="auto"/>
                <w:szCs w:val="21"/>
              </w:rPr>
              <w:t>维护固定资产及总账期初</w:t>
            </w:r>
          </w:p>
          <w:p w14:paraId="00E1D5B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业务011</w:t>
            </w:r>
            <w:r>
              <w:rPr>
                <w:rFonts w:hint="eastAsia" w:ascii="宋体" w:hAnsi="宋体" w:cs="宋体"/>
                <w:color w:val="auto"/>
                <w:szCs w:val="21"/>
              </w:rPr>
              <w:tab/>
            </w:r>
            <w:r>
              <w:rPr>
                <w:rFonts w:hint="eastAsia" w:ascii="宋体" w:hAnsi="宋体" w:cs="宋体"/>
                <w:color w:val="auto"/>
                <w:szCs w:val="21"/>
              </w:rPr>
              <w:t>租入资产</w:t>
            </w:r>
          </w:p>
          <w:p w14:paraId="3520CAD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业务012</w:t>
            </w:r>
            <w:r>
              <w:rPr>
                <w:rFonts w:hint="eastAsia" w:ascii="宋体" w:hAnsi="宋体" w:cs="宋体"/>
                <w:color w:val="auto"/>
                <w:szCs w:val="21"/>
              </w:rPr>
              <w:tab/>
            </w:r>
            <w:r>
              <w:rPr>
                <w:rFonts w:hint="eastAsia" w:ascii="宋体" w:hAnsi="宋体" w:cs="宋体"/>
                <w:color w:val="auto"/>
                <w:szCs w:val="21"/>
              </w:rPr>
              <w:t>销售商品</w:t>
            </w:r>
          </w:p>
          <w:p w14:paraId="7B1F335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业务013</w:t>
            </w:r>
            <w:r>
              <w:rPr>
                <w:rFonts w:hint="eastAsia" w:ascii="宋体" w:hAnsi="宋体" w:cs="宋体"/>
                <w:color w:val="auto"/>
                <w:szCs w:val="21"/>
              </w:rPr>
              <w:tab/>
            </w:r>
            <w:r>
              <w:rPr>
                <w:rFonts w:hint="eastAsia" w:ascii="宋体" w:hAnsi="宋体" w:cs="宋体"/>
                <w:color w:val="auto"/>
                <w:szCs w:val="21"/>
              </w:rPr>
              <w:t>购入一批角钢</w:t>
            </w:r>
          </w:p>
          <w:p w14:paraId="3A1ECA7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业务014</w:t>
            </w:r>
            <w:r>
              <w:rPr>
                <w:rFonts w:hint="eastAsia" w:ascii="宋体" w:hAnsi="宋体" w:cs="宋体"/>
                <w:color w:val="auto"/>
                <w:szCs w:val="21"/>
              </w:rPr>
              <w:tab/>
            </w:r>
            <w:r>
              <w:rPr>
                <w:rFonts w:hint="eastAsia" w:ascii="宋体" w:hAnsi="宋体" w:cs="宋体"/>
                <w:color w:val="auto"/>
                <w:szCs w:val="21"/>
              </w:rPr>
              <w:t>销售商品</w:t>
            </w:r>
          </w:p>
          <w:p w14:paraId="1D0C5F7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业务015</w:t>
            </w:r>
            <w:r>
              <w:rPr>
                <w:rFonts w:hint="eastAsia" w:ascii="宋体" w:hAnsi="宋体" w:cs="宋体"/>
                <w:color w:val="auto"/>
                <w:szCs w:val="21"/>
              </w:rPr>
              <w:tab/>
            </w:r>
            <w:r>
              <w:rPr>
                <w:rFonts w:hint="eastAsia" w:ascii="宋体" w:hAnsi="宋体" w:cs="宋体"/>
                <w:color w:val="auto"/>
                <w:szCs w:val="21"/>
              </w:rPr>
              <w:t>通过商业银行收到公司货款</w:t>
            </w:r>
          </w:p>
          <w:p w14:paraId="188C3FB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业务016</w:t>
            </w:r>
            <w:r>
              <w:rPr>
                <w:rFonts w:hint="eastAsia" w:ascii="宋体" w:hAnsi="宋体" w:cs="宋体"/>
                <w:color w:val="auto"/>
                <w:szCs w:val="21"/>
              </w:rPr>
              <w:tab/>
            </w:r>
            <w:r>
              <w:rPr>
                <w:rFonts w:hint="eastAsia" w:ascii="宋体" w:hAnsi="宋体" w:cs="宋体"/>
                <w:color w:val="auto"/>
                <w:szCs w:val="21"/>
              </w:rPr>
              <w:t>申请办理银行汇票</w:t>
            </w:r>
          </w:p>
          <w:p w14:paraId="0D9F3F6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业务017</w:t>
            </w:r>
            <w:r>
              <w:rPr>
                <w:rFonts w:hint="eastAsia" w:ascii="宋体" w:hAnsi="宋体" w:cs="宋体"/>
                <w:color w:val="auto"/>
                <w:szCs w:val="21"/>
              </w:rPr>
              <w:tab/>
            </w:r>
            <w:r>
              <w:rPr>
                <w:rFonts w:hint="eastAsia" w:ascii="宋体" w:hAnsi="宋体" w:cs="宋体"/>
                <w:color w:val="auto"/>
                <w:szCs w:val="21"/>
              </w:rPr>
              <w:t>报销总经理出差费</w:t>
            </w:r>
          </w:p>
          <w:p w14:paraId="5A1D60D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业务018</w:t>
            </w:r>
            <w:r>
              <w:rPr>
                <w:rFonts w:hint="eastAsia" w:ascii="宋体" w:hAnsi="宋体" w:cs="宋体"/>
                <w:color w:val="auto"/>
                <w:szCs w:val="21"/>
              </w:rPr>
              <w:tab/>
            </w:r>
            <w:r>
              <w:rPr>
                <w:rFonts w:hint="eastAsia" w:ascii="宋体" w:hAnsi="宋体" w:cs="宋体"/>
                <w:color w:val="auto"/>
                <w:szCs w:val="21"/>
              </w:rPr>
              <w:t>用银行汇票购入原材料</w:t>
            </w:r>
          </w:p>
          <w:p w14:paraId="38F63FE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业务019</w:t>
            </w:r>
            <w:r>
              <w:rPr>
                <w:rFonts w:hint="eastAsia" w:ascii="宋体" w:hAnsi="宋体" w:cs="宋体"/>
                <w:color w:val="auto"/>
                <w:szCs w:val="21"/>
              </w:rPr>
              <w:tab/>
            </w:r>
            <w:r>
              <w:rPr>
                <w:rFonts w:hint="eastAsia" w:ascii="宋体" w:hAnsi="宋体" w:cs="宋体"/>
                <w:color w:val="auto"/>
                <w:szCs w:val="21"/>
              </w:rPr>
              <w:t>销售商品</w:t>
            </w:r>
          </w:p>
          <w:p w14:paraId="693CC31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业务020</w:t>
            </w:r>
            <w:r>
              <w:rPr>
                <w:rFonts w:hint="eastAsia" w:ascii="宋体" w:hAnsi="宋体" w:cs="宋体"/>
                <w:color w:val="auto"/>
                <w:szCs w:val="21"/>
              </w:rPr>
              <w:tab/>
            </w:r>
            <w:r>
              <w:rPr>
                <w:rFonts w:hint="eastAsia" w:ascii="宋体" w:hAnsi="宋体" w:cs="宋体"/>
                <w:color w:val="auto"/>
                <w:szCs w:val="21"/>
              </w:rPr>
              <w:t>赊购原材料</w:t>
            </w:r>
          </w:p>
          <w:p w14:paraId="3D9685A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业务021</w:t>
            </w:r>
            <w:r>
              <w:rPr>
                <w:rFonts w:hint="eastAsia" w:ascii="宋体" w:hAnsi="宋体" w:cs="宋体"/>
                <w:color w:val="auto"/>
                <w:szCs w:val="21"/>
              </w:rPr>
              <w:tab/>
            </w:r>
            <w:r>
              <w:rPr>
                <w:rFonts w:hint="eastAsia" w:ascii="宋体" w:hAnsi="宋体" w:cs="宋体"/>
                <w:color w:val="auto"/>
                <w:szCs w:val="21"/>
              </w:rPr>
              <w:t>支付本月广告费</w:t>
            </w:r>
          </w:p>
          <w:p w14:paraId="1BAFA45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业务022</w:t>
            </w:r>
            <w:r>
              <w:rPr>
                <w:rFonts w:hint="eastAsia" w:ascii="宋体" w:hAnsi="宋体" w:cs="宋体"/>
                <w:color w:val="auto"/>
                <w:szCs w:val="21"/>
              </w:rPr>
              <w:tab/>
            </w:r>
            <w:r>
              <w:rPr>
                <w:rFonts w:hint="eastAsia" w:ascii="宋体" w:hAnsi="宋体" w:cs="宋体"/>
                <w:color w:val="auto"/>
                <w:szCs w:val="21"/>
              </w:rPr>
              <w:t>采购原材料及低值易耗品</w:t>
            </w:r>
          </w:p>
          <w:p w14:paraId="42825B5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业务023</w:t>
            </w:r>
            <w:r>
              <w:rPr>
                <w:rFonts w:hint="eastAsia" w:ascii="宋体" w:hAnsi="宋体" w:cs="宋体"/>
                <w:color w:val="auto"/>
                <w:szCs w:val="21"/>
              </w:rPr>
              <w:tab/>
            </w:r>
            <w:r>
              <w:rPr>
                <w:rFonts w:hint="eastAsia" w:ascii="宋体" w:hAnsi="宋体" w:cs="宋体"/>
                <w:color w:val="auto"/>
                <w:szCs w:val="21"/>
              </w:rPr>
              <w:t>报销销售部经理出差费，并收回未使用的借款</w:t>
            </w:r>
          </w:p>
          <w:p w14:paraId="71A918E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业务024</w:t>
            </w:r>
            <w:r>
              <w:rPr>
                <w:rFonts w:hint="eastAsia" w:ascii="宋体" w:hAnsi="宋体" w:cs="宋体"/>
                <w:color w:val="auto"/>
                <w:szCs w:val="21"/>
              </w:rPr>
              <w:tab/>
            </w:r>
            <w:r>
              <w:rPr>
                <w:rFonts w:hint="eastAsia" w:ascii="宋体" w:hAnsi="宋体" w:cs="宋体"/>
                <w:color w:val="auto"/>
                <w:szCs w:val="21"/>
              </w:rPr>
              <w:t>销售产品，当天通过交通银行收到货款</w:t>
            </w:r>
          </w:p>
          <w:p w14:paraId="1CA11AD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业务025</w:t>
            </w:r>
            <w:r>
              <w:rPr>
                <w:rFonts w:hint="eastAsia" w:ascii="宋体" w:hAnsi="宋体" w:cs="宋体"/>
                <w:color w:val="auto"/>
                <w:szCs w:val="21"/>
              </w:rPr>
              <w:tab/>
            </w:r>
            <w:r>
              <w:rPr>
                <w:rFonts w:hint="eastAsia" w:ascii="宋体" w:hAnsi="宋体" w:cs="宋体"/>
                <w:color w:val="auto"/>
                <w:szCs w:val="21"/>
              </w:rPr>
              <w:t>采购材料有限公司原材料</w:t>
            </w:r>
          </w:p>
          <w:p w14:paraId="4B18C98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业务026</w:t>
            </w:r>
            <w:r>
              <w:rPr>
                <w:rFonts w:hint="eastAsia" w:ascii="宋体" w:hAnsi="宋体" w:cs="宋体"/>
                <w:color w:val="auto"/>
                <w:szCs w:val="21"/>
              </w:rPr>
              <w:tab/>
            </w:r>
            <w:r>
              <w:rPr>
                <w:rFonts w:hint="eastAsia" w:ascii="宋体" w:hAnsi="宋体" w:cs="宋体"/>
                <w:color w:val="auto"/>
                <w:szCs w:val="21"/>
              </w:rPr>
              <w:t>缴纳增值税及附加税</w:t>
            </w:r>
          </w:p>
          <w:p w14:paraId="001C57D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业务027</w:t>
            </w:r>
            <w:r>
              <w:rPr>
                <w:rFonts w:hint="eastAsia" w:ascii="宋体" w:hAnsi="宋体" w:cs="宋体"/>
                <w:color w:val="auto"/>
                <w:szCs w:val="21"/>
              </w:rPr>
              <w:tab/>
            </w:r>
            <w:r>
              <w:rPr>
                <w:rFonts w:hint="eastAsia" w:ascii="宋体" w:hAnsi="宋体" w:cs="宋体"/>
                <w:color w:val="auto"/>
                <w:szCs w:val="21"/>
              </w:rPr>
              <w:t>通过商业银行发放上月工资</w:t>
            </w:r>
          </w:p>
          <w:p w14:paraId="7CC931C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业务028</w:t>
            </w:r>
            <w:r>
              <w:rPr>
                <w:rFonts w:hint="eastAsia" w:ascii="宋体" w:hAnsi="宋体" w:cs="宋体"/>
                <w:color w:val="auto"/>
                <w:szCs w:val="21"/>
              </w:rPr>
              <w:tab/>
            </w:r>
            <w:r>
              <w:rPr>
                <w:rFonts w:hint="eastAsia" w:ascii="宋体" w:hAnsi="宋体" w:cs="宋体"/>
                <w:color w:val="auto"/>
                <w:szCs w:val="21"/>
              </w:rPr>
              <w:t>报销总经办业务招待费</w:t>
            </w:r>
          </w:p>
          <w:p w14:paraId="2BFB2BA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业务029</w:t>
            </w:r>
            <w:r>
              <w:rPr>
                <w:rFonts w:hint="eastAsia" w:ascii="宋体" w:hAnsi="宋体" w:cs="宋体"/>
                <w:color w:val="auto"/>
                <w:szCs w:val="21"/>
              </w:rPr>
              <w:tab/>
            </w:r>
            <w:r>
              <w:rPr>
                <w:rFonts w:hint="eastAsia" w:ascii="宋体" w:hAnsi="宋体" w:cs="宋体"/>
                <w:color w:val="auto"/>
                <w:szCs w:val="21"/>
              </w:rPr>
              <w:t>增持股票实施重大影响</w:t>
            </w:r>
          </w:p>
          <w:p w14:paraId="552B55D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业务030</w:t>
            </w:r>
            <w:r>
              <w:rPr>
                <w:rFonts w:hint="eastAsia" w:ascii="宋体" w:hAnsi="宋体" w:cs="宋体"/>
                <w:color w:val="auto"/>
                <w:szCs w:val="21"/>
              </w:rPr>
              <w:tab/>
            </w:r>
            <w:r>
              <w:rPr>
                <w:rFonts w:hint="eastAsia" w:ascii="宋体" w:hAnsi="宋体" w:cs="宋体"/>
                <w:color w:val="auto"/>
                <w:szCs w:val="21"/>
              </w:rPr>
              <w:t>缴纳上月个税</w:t>
            </w:r>
          </w:p>
          <w:p w14:paraId="65F1904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业务031</w:t>
            </w:r>
            <w:r>
              <w:rPr>
                <w:rFonts w:hint="eastAsia" w:ascii="宋体" w:hAnsi="宋体" w:cs="宋体"/>
                <w:color w:val="auto"/>
                <w:szCs w:val="21"/>
              </w:rPr>
              <w:tab/>
            </w:r>
            <w:r>
              <w:rPr>
                <w:rFonts w:hint="eastAsia" w:ascii="宋体" w:hAnsi="宋体" w:cs="宋体"/>
                <w:color w:val="auto"/>
                <w:szCs w:val="21"/>
              </w:rPr>
              <w:t>缴纳本月公积金</w:t>
            </w:r>
          </w:p>
          <w:p w14:paraId="2A2118D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业务032</w:t>
            </w:r>
            <w:r>
              <w:rPr>
                <w:rFonts w:hint="eastAsia" w:ascii="宋体" w:hAnsi="宋体" w:cs="宋体"/>
                <w:color w:val="auto"/>
                <w:szCs w:val="21"/>
              </w:rPr>
              <w:tab/>
            </w:r>
            <w:r>
              <w:rPr>
                <w:rFonts w:hint="eastAsia" w:ascii="宋体" w:hAnsi="宋体" w:cs="宋体"/>
                <w:color w:val="auto"/>
                <w:szCs w:val="21"/>
              </w:rPr>
              <w:t>缴纳本月社会保险费</w:t>
            </w:r>
          </w:p>
          <w:p w14:paraId="194FCCB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业务033</w:t>
            </w:r>
            <w:r>
              <w:rPr>
                <w:rFonts w:hint="eastAsia" w:ascii="宋体" w:hAnsi="宋体" w:cs="宋体"/>
                <w:color w:val="auto"/>
                <w:szCs w:val="21"/>
              </w:rPr>
              <w:tab/>
            </w:r>
            <w:r>
              <w:rPr>
                <w:rFonts w:hint="eastAsia" w:ascii="宋体" w:hAnsi="宋体" w:cs="宋体"/>
                <w:color w:val="auto"/>
                <w:szCs w:val="21"/>
              </w:rPr>
              <w:t>拨交上月工会经费</w:t>
            </w:r>
          </w:p>
          <w:p w14:paraId="442DEE5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业务034</w:t>
            </w:r>
            <w:r>
              <w:rPr>
                <w:rFonts w:hint="eastAsia" w:ascii="宋体" w:hAnsi="宋体" w:cs="宋体"/>
                <w:color w:val="auto"/>
                <w:szCs w:val="21"/>
              </w:rPr>
              <w:tab/>
            </w:r>
            <w:r>
              <w:rPr>
                <w:rFonts w:hint="eastAsia" w:ascii="宋体" w:hAnsi="宋体" w:cs="宋体"/>
                <w:color w:val="auto"/>
                <w:szCs w:val="21"/>
              </w:rPr>
              <w:t>提取备用金</w:t>
            </w:r>
          </w:p>
          <w:p w14:paraId="5AE03EB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业务035</w:t>
            </w:r>
            <w:r>
              <w:rPr>
                <w:rFonts w:hint="eastAsia" w:ascii="宋体" w:hAnsi="宋体" w:cs="宋体"/>
                <w:color w:val="auto"/>
                <w:szCs w:val="21"/>
              </w:rPr>
              <w:tab/>
            </w:r>
            <w:r>
              <w:rPr>
                <w:rFonts w:hint="eastAsia" w:ascii="宋体" w:hAnsi="宋体" w:cs="宋体"/>
                <w:color w:val="auto"/>
                <w:szCs w:val="21"/>
              </w:rPr>
              <w:t>总经理借5000元现金</w:t>
            </w:r>
          </w:p>
          <w:p w14:paraId="7AFB343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业务036</w:t>
            </w:r>
            <w:r>
              <w:rPr>
                <w:rFonts w:hint="eastAsia" w:ascii="宋体" w:hAnsi="宋体" w:cs="宋体"/>
                <w:color w:val="auto"/>
                <w:szCs w:val="21"/>
              </w:rPr>
              <w:tab/>
            </w:r>
            <w:r>
              <w:rPr>
                <w:rFonts w:hint="eastAsia" w:ascii="宋体" w:hAnsi="宋体" w:cs="宋体"/>
                <w:color w:val="auto"/>
                <w:szCs w:val="21"/>
              </w:rPr>
              <w:t>支付员工培训费</w:t>
            </w:r>
          </w:p>
          <w:p w14:paraId="396E85C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业务037</w:t>
            </w:r>
            <w:r>
              <w:rPr>
                <w:rFonts w:hint="eastAsia" w:ascii="宋体" w:hAnsi="宋体" w:cs="宋体"/>
                <w:color w:val="auto"/>
                <w:szCs w:val="21"/>
              </w:rPr>
              <w:tab/>
            </w:r>
            <w:r>
              <w:rPr>
                <w:rFonts w:hint="eastAsia" w:ascii="宋体" w:hAnsi="宋体" w:cs="宋体"/>
                <w:color w:val="auto"/>
                <w:szCs w:val="21"/>
              </w:rPr>
              <w:t>银行承兑汇票1,948,800元到期</w:t>
            </w:r>
          </w:p>
          <w:p w14:paraId="1E25154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业务038</w:t>
            </w:r>
            <w:r>
              <w:rPr>
                <w:rFonts w:hint="eastAsia" w:ascii="宋体" w:hAnsi="宋体" w:cs="宋体"/>
                <w:color w:val="auto"/>
                <w:szCs w:val="21"/>
              </w:rPr>
              <w:tab/>
            </w:r>
            <w:r>
              <w:rPr>
                <w:rFonts w:hint="eastAsia" w:ascii="宋体" w:hAnsi="宋体" w:cs="宋体"/>
                <w:color w:val="auto"/>
                <w:szCs w:val="21"/>
              </w:rPr>
              <w:t>收到员工违纪罚款</w:t>
            </w:r>
          </w:p>
          <w:p w14:paraId="1C84B06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业务039</w:t>
            </w:r>
            <w:r>
              <w:rPr>
                <w:rFonts w:hint="eastAsia" w:ascii="宋体" w:hAnsi="宋体" w:cs="宋体"/>
                <w:color w:val="auto"/>
                <w:szCs w:val="21"/>
              </w:rPr>
              <w:tab/>
            </w:r>
            <w:r>
              <w:rPr>
                <w:rFonts w:hint="eastAsia" w:ascii="宋体" w:hAnsi="宋体" w:cs="宋体"/>
                <w:color w:val="auto"/>
                <w:szCs w:val="21"/>
              </w:rPr>
              <w:t>支付五金有限公司货款</w:t>
            </w:r>
          </w:p>
          <w:p w14:paraId="7409740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业务040</w:t>
            </w:r>
            <w:r>
              <w:rPr>
                <w:rFonts w:hint="eastAsia" w:ascii="宋体" w:hAnsi="宋体" w:cs="宋体"/>
                <w:color w:val="auto"/>
                <w:szCs w:val="21"/>
              </w:rPr>
              <w:tab/>
            </w:r>
            <w:r>
              <w:rPr>
                <w:rFonts w:hint="eastAsia" w:ascii="宋体" w:hAnsi="宋体" w:cs="宋体"/>
                <w:color w:val="auto"/>
                <w:szCs w:val="21"/>
              </w:rPr>
              <w:t>购买办公用品</w:t>
            </w:r>
          </w:p>
          <w:p w14:paraId="12E81E6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业务041</w:t>
            </w:r>
            <w:r>
              <w:rPr>
                <w:rFonts w:hint="eastAsia" w:ascii="宋体" w:hAnsi="宋体" w:cs="宋体"/>
                <w:color w:val="auto"/>
                <w:szCs w:val="21"/>
              </w:rPr>
              <w:tab/>
            </w:r>
            <w:r>
              <w:rPr>
                <w:rFonts w:hint="eastAsia" w:ascii="宋体" w:hAnsi="宋体" w:cs="宋体"/>
                <w:color w:val="auto"/>
                <w:szCs w:val="21"/>
              </w:rPr>
              <w:t>购入一台需要安装的设备</w:t>
            </w:r>
          </w:p>
          <w:p w14:paraId="76A9A7A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业务042</w:t>
            </w:r>
            <w:r>
              <w:rPr>
                <w:rFonts w:hint="eastAsia" w:ascii="宋体" w:hAnsi="宋体" w:cs="宋体"/>
                <w:color w:val="auto"/>
                <w:szCs w:val="21"/>
              </w:rPr>
              <w:tab/>
            </w:r>
            <w:r>
              <w:rPr>
                <w:rFonts w:hint="eastAsia" w:ascii="宋体" w:hAnsi="宋体" w:cs="宋体"/>
                <w:color w:val="auto"/>
                <w:szCs w:val="21"/>
              </w:rPr>
              <w:t>产成品完工入库</w:t>
            </w:r>
          </w:p>
          <w:p w14:paraId="106ADAD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业务043</w:t>
            </w:r>
            <w:r>
              <w:rPr>
                <w:rFonts w:hint="eastAsia" w:ascii="宋体" w:hAnsi="宋体" w:cs="宋体"/>
                <w:color w:val="auto"/>
                <w:szCs w:val="21"/>
              </w:rPr>
              <w:tab/>
            </w:r>
            <w:r>
              <w:rPr>
                <w:rFonts w:hint="eastAsia" w:ascii="宋体" w:hAnsi="宋体" w:cs="宋体"/>
                <w:color w:val="auto"/>
                <w:szCs w:val="21"/>
              </w:rPr>
              <w:t>支付短期借款利息</w:t>
            </w:r>
          </w:p>
          <w:p w14:paraId="0B75440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业务044</w:t>
            </w:r>
            <w:r>
              <w:rPr>
                <w:rFonts w:hint="eastAsia" w:ascii="宋体" w:hAnsi="宋体" w:cs="宋体"/>
                <w:color w:val="auto"/>
                <w:szCs w:val="21"/>
              </w:rPr>
              <w:tab/>
            </w:r>
            <w:r>
              <w:rPr>
                <w:rFonts w:hint="eastAsia" w:ascii="宋体" w:hAnsi="宋体" w:cs="宋体"/>
                <w:color w:val="auto"/>
                <w:szCs w:val="21"/>
              </w:rPr>
              <w:t>收到存款利息</w:t>
            </w:r>
          </w:p>
          <w:p w14:paraId="6DDA262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业务045</w:t>
            </w:r>
            <w:r>
              <w:rPr>
                <w:rFonts w:hint="eastAsia" w:ascii="宋体" w:hAnsi="宋体" w:cs="宋体"/>
                <w:color w:val="auto"/>
                <w:szCs w:val="21"/>
              </w:rPr>
              <w:tab/>
            </w:r>
            <w:r>
              <w:rPr>
                <w:rFonts w:hint="eastAsia" w:ascii="宋体" w:hAnsi="宋体" w:cs="宋体"/>
                <w:color w:val="auto"/>
                <w:szCs w:val="21"/>
              </w:rPr>
              <w:t>预付材料款</w:t>
            </w:r>
          </w:p>
          <w:p w14:paraId="1DEBC53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业务046</w:t>
            </w:r>
            <w:r>
              <w:rPr>
                <w:rFonts w:hint="eastAsia" w:ascii="宋体" w:hAnsi="宋体" w:cs="宋体"/>
                <w:color w:val="auto"/>
                <w:szCs w:val="21"/>
              </w:rPr>
              <w:tab/>
            </w:r>
            <w:r>
              <w:rPr>
                <w:rFonts w:hint="eastAsia" w:ascii="宋体" w:hAnsi="宋体" w:cs="宋体"/>
                <w:color w:val="auto"/>
                <w:szCs w:val="21"/>
              </w:rPr>
              <w:t>报销研发人员出差费</w:t>
            </w:r>
          </w:p>
          <w:p w14:paraId="5E90A74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业务047</w:t>
            </w:r>
            <w:r>
              <w:rPr>
                <w:rFonts w:hint="eastAsia" w:ascii="宋体" w:hAnsi="宋体" w:cs="宋体"/>
                <w:color w:val="auto"/>
                <w:szCs w:val="21"/>
              </w:rPr>
              <w:tab/>
            </w:r>
            <w:r>
              <w:rPr>
                <w:rFonts w:hint="eastAsia" w:ascii="宋体" w:hAnsi="宋体" w:cs="宋体"/>
                <w:color w:val="auto"/>
                <w:szCs w:val="21"/>
              </w:rPr>
              <w:t>支付充氮机安装费</w:t>
            </w:r>
          </w:p>
          <w:p w14:paraId="4701DF7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业务048</w:t>
            </w:r>
            <w:r>
              <w:rPr>
                <w:rFonts w:hint="eastAsia" w:ascii="宋体" w:hAnsi="宋体" w:cs="宋体"/>
                <w:color w:val="auto"/>
                <w:szCs w:val="21"/>
              </w:rPr>
              <w:tab/>
            </w:r>
            <w:r>
              <w:rPr>
                <w:rFonts w:hint="eastAsia" w:ascii="宋体" w:hAnsi="宋体" w:cs="宋体"/>
                <w:color w:val="auto"/>
                <w:szCs w:val="21"/>
              </w:rPr>
              <w:t>报销新型充氮机培训费</w:t>
            </w:r>
          </w:p>
          <w:p w14:paraId="0C407FF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业务049</w:t>
            </w:r>
            <w:r>
              <w:rPr>
                <w:rFonts w:hint="eastAsia" w:ascii="宋体" w:hAnsi="宋体" w:cs="宋体"/>
                <w:color w:val="auto"/>
                <w:szCs w:val="21"/>
              </w:rPr>
              <w:tab/>
            </w:r>
            <w:r>
              <w:rPr>
                <w:rFonts w:hint="eastAsia" w:ascii="宋体" w:hAnsi="宋体" w:cs="宋体"/>
                <w:color w:val="auto"/>
                <w:szCs w:val="21"/>
              </w:rPr>
              <w:t>销售产品，收到银行承兑汇票</w:t>
            </w:r>
          </w:p>
          <w:p w14:paraId="5567380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业务050</w:t>
            </w:r>
            <w:r>
              <w:rPr>
                <w:rFonts w:hint="eastAsia" w:ascii="宋体" w:hAnsi="宋体" w:cs="宋体"/>
                <w:color w:val="auto"/>
                <w:szCs w:val="21"/>
              </w:rPr>
              <w:tab/>
            </w:r>
            <w:r>
              <w:rPr>
                <w:rFonts w:hint="eastAsia" w:ascii="宋体" w:hAnsi="宋体" w:cs="宋体"/>
                <w:color w:val="auto"/>
                <w:szCs w:val="21"/>
              </w:rPr>
              <w:t>通过库存现金报销单位用车油费</w:t>
            </w:r>
          </w:p>
          <w:p w14:paraId="4ADEC03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业务051</w:t>
            </w:r>
            <w:r>
              <w:rPr>
                <w:rFonts w:hint="eastAsia" w:ascii="宋体" w:hAnsi="宋体" w:cs="宋体"/>
                <w:color w:val="auto"/>
                <w:szCs w:val="21"/>
              </w:rPr>
              <w:tab/>
            </w:r>
            <w:r>
              <w:rPr>
                <w:rFonts w:hint="eastAsia" w:ascii="宋体" w:hAnsi="宋体" w:cs="宋体"/>
                <w:color w:val="auto"/>
                <w:szCs w:val="21"/>
              </w:rPr>
              <w:t>从二级市场购入股票，将其划分为交易性金融资产</w:t>
            </w:r>
          </w:p>
          <w:p w14:paraId="438F95F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业务052</w:t>
            </w:r>
            <w:r>
              <w:rPr>
                <w:rFonts w:hint="eastAsia" w:ascii="宋体" w:hAnsi="宋体" w:cs="宋体"/>
                <w:color w:val="auto"/>
                <w:szCs w:val="21"/>
              </w:rPr>
              <w:tab/>
            </w:r>
            <w:r>
              <w:rPr>
                <w:rFonts w:hint="eastAsia" w:ascii="宋体" w:hAnsi="宋体" w:cs="宋体"/>
                <w:color w:val="auto"/>
                <w:szCs w:val="21"/>
              </w:rPr>
              <w:t>银行汇票贴现</w:t>
            </w:r>
          </w:p>
          <w:p w14:paraId="0E07A54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业务053</w:t>
            </w:r>
            <w:r>
              <w:rPr>
                <w:rFonts w:hint="eastAsia" w:ascii="宋体" w:hAnsi="宋体" w:cs="宋体"/>
                <w:color w:val="auto"/>
                <w:szCs w:val="21"/>
              </w:rPr>
              <w:tab/>
            </w:r>
            <w:r>
              <w:rPr>
                <w:rFonts w:hint="eastAsia" w:ascii="宋体" w:hAnsi="宋体" w:cs="宋体"/>
                <w:color w:val="auto"/>
                <w:szCs w:val="21"/>
              </w:rPr>
              <w:t>通过交通银行支付集体餐费</w:t>
            </w:r>
          </w:p>
          <w:p w14:paraId="084DD53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业务054</w:t>
            </w:r>
            <w:r>
              <w:rPr>
                <w:rFonts w:hint="eastAsia" w:ascii="宋体" w:hAnsi="宋体" w:cs="宋体"/>
                <w:color w:val="auto"/>
                <w:szCs w:val="21"/>
              </w:rPr>
              <w:tab/>
            </w:r>
            <w:r>
              <w:rPr>
                <w:rFonts w:hint="eastAsia" w:ascii="宋体" w:hAnsi="宋体" w:cs="宋体"/>
                <w:color w:val="auto"/>
                <w:szCs w:val="21"/>
              </w:rPr>
              <w:t>赊购原材料</w:t>
            </w:r>
          </w:p>
          <w:p w14:paraId="58978AF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业务055</w:t>
            </w:r>
            <w:r>
              <w:rPr>
                <w:rFonts w:hint="eastAsia" w:ascii="宋体" w:hAnsi="宋体" w:cs="宋体"/>
                <w:color w:val="auto"/>
                <w:szCs w:val="21"/>
              </w:rPr>
              <w:tab/>
            </w:r>
            <w:r>
              <w:rPr>
                <w:rFonts w:hint="eastAsia" w:ascii="宋体" w:hAnsi="宋体" w:cs="宋体"/>
                <w:color w:val="auto"/>
                <w:szCs w:val="21"/>
              </w:rPr>
              <w:t>销售产品</w:t>
            </w:r>
          </w:p>
          <w:p w14:paraId="3B5FA8D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业务056</w:t>
            </w:r>
            <w:r>
              <w:rPr>
                <w:rFonts w:hint="eastAsia" w:ascii="宋体" w:hAnsi="宋体" w:cs="宋体"/>
                <w:color w:val="auto"/>
                <w:szCs w:val="21"/>
              </w:rPr>
              <w:tab/>
            </w:r>
            <w:r>
              <w:rPr>
                <w:rFonts w:hint="eastAsia" w:ascii="宋体" w:hAnsi="宋体" w:cs="宋体"/>
                <w:color w:val="auto"/>
                <w:szCs w:val="21"/>
              </w:rPr>
              <w:t>通过交通银行支付销售中心搬迁运费</w:t>
            </w:r>
          </w:p>
          <w:p w14:paraId="0C19A81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业务057</w:t>
            </w:r>
            <w:r>
              <w:rPr>
                <w:rFonts w:hint="eastAsia" w:ascii="宋体" w:hAnsi="宋体" w:cs="宋体"/>
                <w:color w:val="auto"/>
                <w:szCs w:val="21"/>
              </w:rPr>
              <w:tab/>
            </w:r>
            <w:r>
              <w:rPr>
                <w:rFonts w:hint="eastAsia" w:ascii="宋体" w:hAnsi="宋体" w:cs="宋体"/>
                <w:color w:val="auto"/>
                <w:szCs w:val="21"/>
              </w:rPr>
              <w:t>采购材料</w:t>
            </w:r>
          </w:p>
          <w:p w14:paraId="46007B1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业务058</w:t>
            </w:r>
            <w:r>
              <w:rPr>
                <w:rFonts w:hint="eastAsia" w:ascii="宋体" w:hAnsi="宋体" w:cs="宋体"/>
                <w:color w:val="auto"/>
                <w:szCs w:val="21"/>
              </w:rPr>
              <w:tab/>
            </w:r>
            <w:r>
              <w:rPr>
                <w:rFonts w:hint="eastAsia" w:ascii="宋体" w:hAnsi="宋体" w:cs="宋体"/>
                <w:color w:val="auto"/>
                <w:szCs w:val="21"/>
              </w:rPr>
              <w:t>产成品完工入库</w:t>
            </w:r>
          </w:p>
          <w:p w14:paraId="5C86185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业务059</w:t>
            </w:r>
            <w:r>
              <w:rPr>
                <w:rFonts w:hint="eastAsia" w:ascii="宋体" w:hAnsi="宋体" w:cs="宋体"/>
                <w:color w:val="auto"/>
                <w:szCs w:val="21"/>
              </w:rPr>
              <w:tab/>
            </w:r>
            <w:r>
              <w:rPr>
                <w:rFonts w:hint="eastAsia" w:ascii="宋体" w:hAnsi="宋体" w:cs="宋体"/>
                <w:color w:val="auto"/>
                <w:szCs w:val="21"/>
              </w:rPr>
              <w:t>报销销售人员通讯费</w:t>
            </w:r>
          </w:p>
          <w:p w14:paraId="37FD43E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业务060</w:t>
            </w:r>
            <w:r>
              <w:rPr>
                <w:rFonts w:hint="eastAsia" w:ascii="宋体" w:hAnsi="宋体" w:cs="宋体"/>
                <w:color w:val="auto"/>
                <w:szCs w:val="21"/>
              </w:rPr>
              <w:tab/>
            </w:r>
            <w:r>
              <w:rPr>
                <w:rFonts w:hint="eastAsia" w:ascii="宋体" w:hAnsi="宋体" w:cs="宋体"/>
                <w:color w:val="auto"/>
                <w:szCs w:val="21"/>
              </w:rPr>
              <w:t>领用角钢</w:t>
            </w:r>
          </w:p>
          <w:p w14:paraId="4F9201C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业务061</w:t>
            </w:r>
            <w:r>
              <w:rPr>
                <w:rFonts w:hint="eastAsia" w:ascii="宋体" w:hAnsi="宋体" w:cs="宋体"/>
                <w:color w:val="auto"/>
                <w:szCs w:val="21"/>
              </w:rPr>
              <w:tab/>
            </w:r>
            <w:r>
              <w:rPr>
                <w:rFonts w:hint="eastAsia" w:ascii="宋体" w:hAnsi="宋体" w:cs="宋体"/>
                <w:color w:val="auto"/>
                <w:szCs w:val="21"/>
              </w:rPr>
              <w:t>分摊未确认融资收益</w:t>
            </w:r>
          </w:p>
          <w:p w14:paraId="619C8D7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业务062</w:t>
            </w:r>
            <w:r>
              <w:rPr>
                <w:rFonts w:hint="eastAsia" w:ascii="宋体" w:hAnsi="宋体" w:cs="宋体"/>
                <w:color w:val="auto"/>
                <w:szCs w:val="21"/>
              </w:rPr>
              <w:tab/>
            </w:r>
            <w:r>
              <w:rPr>
                <w:rFonts w:hint="eastAsia" w:ascii="宋体" w:hAnsi="宋体" w:cs="宋体"/>
                <w:color w:val="auto"/>
                <w:szCs w:val="21"/>
              </w:rPr>
              <w:t>采购业务期末处理</w:t>
            </w:r>
          </w:p>
          <w:p w14:paraId="21B7017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业务063</w:t>
            </w:r>
            <w:r>
              <w:rPr>
                <w:rFonts w:hint="eastAsia" w:ascii="宋体" w:hAnsi="宋体" w:cs="宋体"/>
                <w:color w:val="auto"/>
                <w:szCs w:val="21"/>
              </w:rPr>
              <w:tab/>
            </w:r>
            <w:r>
              <w:rPr>
                <w:rFonts w:hint="eastAsia" w:ascii="宋体" w:hAnsi="宋体" w:cs="宋体"/>
                <w:color w:val="auto"/>
                <w:szCs w:val="21"/>
              </w:rPr>
              <w:t>分配本月职工福利费</w:t>
            </w:r>
          </w:p>
          <w:p w14:paraId="0F46F42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业务064</w:t>
            </w:r>
            <w:r>
              <w:rPr>
                <w:rFonts w:hint="eastAsia" w:ascii="宋体" w:hAnsi="宋体" w:cs="宋体"/>
                <w:color w:val="auto"/>
                <w:szCs w:val="21"/>
              </w:rPr>
              <w:tab/>
            </w:r>
            <w:r>
              <w:rPr>
                <w:rFonts w:hint="eastAsia" w:ascii="宋体" w:hAnsi="宋体" w:cs="宋体"/>
                <w:color w:val="auto"/>
                <w:szCs w:val="21"/>
              </w:rPr>
              <w:t>分配本月职工教育经费</w:t>
            </w:r>
          </w:p>
          <w:p w14:paraId="2DA4631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业务065</w:t>
            </w:r>
            <w:r>
              <w:rPr>
                <w:rFonts w:hint="eastAsia" w:ascii="宋体" w:hAnsi="宋体" w:cs="宋体"/>
                <w:color w:val="auto"/>
                <w:szCs w:val="21"/>
              </w:rPr>
              <w:tab/>
            </w:r>
            <w:r>
              <w:rPr>
                <w:rFonts w:hint="eastAsia" w:ascii="宋体" w:hAnsi="宋体" w:cs="宋体"/>
                <w:color w:val="auto"/>
                <w:szCs w:val="21"/>
              </w:rPr>
              <w:t>采购退货</w:t>
            </w:r>
          </w:p>
          <w:p w14:paraId="3956505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业务066</w:t>
            </w:r>
            <w:r>
              <w:rPr>
                <w:rFonts w:hint="eastAsia" w:ascii="宋体" w:hAnsi="宋体" w:cs="宋体"/>
                <w:color w:val="auto"/>
                <w:szCs w:val="21"/>
              </w:rPr>
              <w:tab/>
            </w:r>
            <w:r>
              <w:rPr>
                <w:rFonts w:hint="eastAsia" w:ascii="宋体" w:hAnsi="宋体" w:cs="宋体"/>
                <w:color w:val="auto"/>
                <w:szCs w:val="21"/>
              </w:rPr>
              <w:t>计提本月个人所得税</w:t>
            </w:r>
          </w:p>
          <w:p w14:paraId="4AD0FB4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业务067</w:t>
            </w:r>
            <w:r>
              <w:rPr>
                <w:rFonts w:hint="eastAsia" w:ascii="宋体" w:hAnsi="宋体" w:cs="宋体"/>
                <w:color w:val="auto"/>
                <w:szCs w:val="21"/>
              </w:rPr>
              <w:tab/>
            </w:r>
            <w:r>
              <w:rPr>
                <w:rFonts w:hint="eastAsia" w:ascii="宋体" w:hAnsi="宋体" w:cs="宋体"/>
                <w:color w:val="auto"/>
                <w:szCs w:val="21"/>
              </w:rPr>
              <w:t>分配本月职工薪酬</w:t>
            </w:r>
          </w:p>
          <w:p w14:paraId="7493694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业务068</w:t>
            </w:r>
            <w:r>
              <w:rPr>
                <w:rFonts w:hint="eastAsia" w:ascii="宋体" w:hAnsi="宋体" w:cs="宋体"/>
                <w:color w:val="auto"/>
                <w:szCs w:val="21"/>
              </w:rPr>
              <w:tab/>
            </w:r>
            <w:r>
              <w:rPr>
                <w:rFonts w:hint="eastAsia" w:ascii="宋体" w:hAnsi="宋体" w:cs="宋体"/>
                <w:color w:val="auto"/>
                <w:szCs w:val="21"/>
              </w:rPr>
              <w:t>通过交通银行支付并分摊水费</w:t>
            </w:r>
          </w:p>
          <w:p w14:paraId="127041A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业务069</w:t>
            </w:r>
            <w:r>
              <w:rPr>
                <w:rFonts w:hint="eastAsia" w:ascii="宋体" w:hAnsi="宋体" w:cs="宋体"/>
                <w:color w:val="auto"/>
                <w:szCs w:val="21"/>
              </w:rPr>
              <w:tab/>
            </w:r>
            <w:r>
              <w:rPr>
                <w:rFonts w:hint="eastAsia" w:ascii="宋体" w:hAnsi="宋体" w:cs="宋体"/>
                <w:color w:val="auto"/>
                <w:szCs w:val="21"/>
              </w:rPr>
              <w:t>支付并分摊电费</w:t>
            </w:r>
          </w:p>
          <w:p w14:paraId="2B4FF3A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业务070</w:t>
            </w:r>
            <w:r>
              <w:rPr>
                <w:rFonts w:hint="eastAsia" w:ascii="宋体" w:hAnsi="宋体" w:cs="宋体"/>
                <w:color w:val="auto"/>
                <w:szCs w:val="21"/>
              </w:rPr>
              <w:tab/>
            </w:r>
            <w:r>
              <w:rPr>
                <w:rFonts w:hint="eastAsia" w:ascii="宋体" w:hAnsi="宋体" w:cs="宋体"/>
                <w:color w:val="auto"/>
                <w:szCs w:val="21"/>
              </w:rPr>
              <w:t>固定资产对外出租</w:t>
            </w:r>
          </w:p>
          <w:p w14:paraId="6472B99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业务071</w:t>
            </w:r>
            <w:r>
              <w:rPr>
                <w:rFonts w:hint="eastAsia" w:ascii="宋体" w:hAnsi="宋体" w:cs="宋体"/>
                <w:color w:val="auto"/>
                <w:szCs w:val="21"/>
              </w:rPr>
              <w:tab/>
            </w:r>
            <w:r>
              <w:rPr>
                <w:rFonts w:hint="eastAsia" w:ascii="宋体" w:hAnsi="宋体" w:cs="宋体"/>
                <w:color w:val="auto"/>
                <w:szCs w:val="21"/>
              </w:rPr>
              <w:t>计提折旧</w:t>
            </w:r>
          </w:p>
          <w:p w14:paraId="091D66F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业务072</w:t>
            </w:r>
            <w:r>
              <w:rPr>
                <w:rFonts w:hint="eastAsia" w:ascii="宋体" w:hAnsi="宋体" w:cs="宋体"/>
                <w:color w:val="auto"/>
                <w:szCs w:val="21"/>
              </w:rPr>
              <w:tab/>
            </w:r>
            <w:r>
              <w:rPr>
                <w:rFonts w:hint="eastAsia" w:ascii="宋体" w:hAnsi="宋体" w:cs="宋体"/>
                <w:color w:val="auto"/>
                <w:szCs w:val="21"/>
              </w:rPr>
              <w:t>报废一台设备</w:t>
            </w:r>
          </w:p>
          <w:p w14:paraId="134C5AE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业务073</w:t>
            </w:r>
            <w:r>
              <w:rPr>
                <w:rFonts w:hint="eastAsia" w:ascii="宋体" w:hAnsi="宋体" w:cs="宋体"/>
                <w:color w:val="auto"/>
                <w:szCs w:val="21"/>
              </w:rPr>
              <w:tab/>
            </w:r>
            <w:r>
              <w:rPr>
                <w:rFonts w:hint="eastAsia" w:ascii="宋体" w:hAnsi="宋体" w:cs="宋体"/>
                <w:color w:val="auto"/>
                <w:szCs w:val="21"/>
              </w:rPr>
              <w:t>将公寓出售给员工</w:t>
            </w:r>
          </w:p>
          <w:p w14:paraId="26E0668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业务074</w:t>
            </w:r>
            <w:r>
              <w:rPr>
                <w:rFonts w:hint="eastAsia" w:ascii="宋体" w:hAnsi="宋体" w:cs="宋体"/>
                <w:color w:val="auto"/>
                <w:szCs w:val="21"/>
              </w:rPr>
              <w:tab/>
            </w:r>
            <w:r>
              <w:rPr>
                <w:rFonts w:hint="eastAsia" w:ascii="宋体" w:hAnsi="宋体" w:cs="宋体"/>
                <w:color w:val="auto"/>
                <w:szCs w:val="21"/>
              </w:rPr>
              <w:t>分摊长期待摊费用</w:t>
            </w:r>
          </w:p>
          <w:p w14:paraId="3E2BD6C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业务075</w:t>
            </w:r>
            <w:r>
              <w:rPr>
                <w:rFonts w:hint="eastAsia" w:ascii="宋体" w:hAnsi="宋体" w:cs="宋体"/>
                <w:color w:val="auto"/>
                <w:szCs w:val="21"/>
              </w:rPr>
              <w:tab/>
            </w:r>
            <w:r>
              <w:rPr>
                <w:rFonts w:hint="eastAsia" w:ascii="宋体" w:hAnsi="宋体" w:cs="宋体"/>
                <w:color w:val="auto"/>
                <w:szCs w:val="21"/>
              </w:rPr>
              <w:t>无形资产摊销</w:t>
            </w:r>
          </w:p>
          <w:p w14:paraId="5040170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业务076</w:t>
            </w:r>
            <w:r>
              <w:rPr>
                <w:rFonts w:hint="eastAsia" w:ascii="宋体" w:hAnsi="宋体" w:cs="宋体"/>
                <w:color w:val="auto"/>
                <w:szCs w:val="21"/>
              </w:rPr>
              <w:tab/>
            </w:r>
            <w:r>
              <w:rPr>
                <w:rFonts w:hint="eastAsia" w:ascii="宋体" w:hAnsi="宋体" w:cs="宋体"/>
                <w:color w:val="auto"/>
                <w:szCs w:val="21"/>
              </w:rPr>
              <w:t>结转易耗品领料成本</w:t>
            </w:r>
          </w:p>
          <w:p w14:paraId="49500CD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业务077</w:t>
            </w:r>
            <w:r>
              <w:rPr>
                <w:rFonts w:hint="eastAsia" w:ascii="宋体" w:hAnsi="宋体" w:cs="宋体"/>
                <w:color w:val="auto"/>
                <w:szCs w:val="21"/>
              </w:rPr>
              <w:tab/>
            </w:r>
            <w:r>
              <w:rPr>
                <w:rFonts w:hint="eastAsia" w:ascii="宋体" w:hAnsi="宋体" w:cs="宋体"/>
                <w:color w:val="auto"/>
                <w:szCs w:val="21"/>
              </w:rPr>
              <w:t>结转制造费用</w:t>
            </w:r>
          </w:p>
          <w:p w14:paraId="6E07F59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业务078</w:t>
            </w:r>
            <w:r>
              <w:rPr>
                <w:rFonts w:hint="eastAsia" w:ascii="宋体" w:hAnsi="宋体" w:cs="宋体"/>
                <w:color w:val="auto"/>
                <w:szCs w:val="21"/>
              </w:rPr>
              <w:tab/>
            </w:r>
            <w:r>
              <w:rPr>
                <w:rFonts w:hint="eastAsia" w:ascii="宋体" w:hAnsi="宋体" w:cs="宋体"/>
                <w:color w:val="auto"/>
                <w:szCs w:val="21"/>
              </w:rPr>
              <w:t>边角料入库</w:t>
            </w:r>
          </w:p>
          <w:p w14:paraId="5F18A14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业务079</w:t>
            </w:r>
            <w:r>
              <w:rPr>
                <w:rFonts w:hint="eastAsia" w:ascii="宋体" w:hAnsi="宋体" w:cs="宋体"/>
                <w:color w:val="auto"/>
                <w:szCs w:val="21"/>
              </w:rPr>
              <w:tab/>
            </w:r>
            <w:r>
              <w:rPr>
                <w:rFonts w:hint="eastAsia" w:ascii="宋体" w:hAnsi="宋体" w:cs="宋体"/>
                <w:color w:val="auto"/>
                <w:szCs w:val="21"/>
              </w:rPr>
              <w:t>销售废料</w:t>
            </w:r>
          </w:p>
          <w:p w14:paraId="51A1092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业务080</w:t>
            </w:r>
            <w:r>
              <w:rPr>
                <w:rFonts w:hint="eastAsia" w:ascii="宋体" w:hAnsi="宋体" w:cs="宋体"/>
                <w:color w:val="auto"/>
                <w:szCs w:val="21"/>
              </w:rPr>
              <w:tab/>
            </w:r>
            <w:r>
              <w:rPr>
                <w:rFonts w:hint="eastAsia" w:ascii="宋体" w:hAnsi="宋体" w:cs="宋体"/>
                <w:color w:val="auto"/>
                <w:szCs w:val="21"/>
              </w:rPr>
              <w:t>结转焊接车间领料成本</w:t>
            </w:r>
          </w:p>
          <w:p w14:paraId="1C94271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业务081</w:t>
            </w:r>
            <w:r>
              <w:rPr>
                <w:rFonts w:hint="eastAsia" w:ascii="宋体" w:hAnsi="宋体" w:cs="宋体"/>
                <w:color w:val="auto"/>
                <w:szCs w:val="21"/>
              </w:rPr>
              <w:tab/>
            </w:r>
            <w:r>
              <w:rPr>
                <w:rFonts w:hint="eastAsia" w:ascii="宋体" w:hAnsi="宋体" w:cs="宋体"/>
                <w:color w:val="auto"/>
                <w:szCs w:val="21"/>
              </w:rPr>
              <w:t>结转喷涂车间领料成本</w:t>
            </w:r>
          </w:p>
          <w:p w14:paraId="0E19FE4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业务082</w:t>
            </w:r>
            <w:r>
              <w:rPr>
                <w:rFonts w:hint="eastAsia" w:ascii="宋体" w:hAnsi="宋体" w:cs="宋体"/>
                <w:color w:val="auto"/>
                <w:szCs w:val="21"/>
              </w:rPr>
              <w:tab/>
            </w:r>
            <w:r>
              <w:rPr>
                <w:rFonts w:hint="eastAsia" w:ascii="宋体" w:hAnsi="宋体" w:cs="宋体"/>
                <w:color w:val="auto"/>
                <w:szCs w:val="21"/>
              </w:rPr>
              <w:t>结转车架总成成本</w:t>
            </w:r>
          </w:p>
          <w:p w14:paraId="46B7016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业务083</w:t>
            </w:r>
            <w:r>
              <w:rPr>
                <w:rFonts w:hint="eastAsia" w:ascii="宋体" w:hAnsi="宋体" w:cs="宋体"/>
                <w:color w:val="auto"/>
                <w:szCs w:val="21"/>
              </w:rPr>
              <w:tab/>
            </w:r>
            <w:r>
              <w:rPr>
                <w:rFonts w:hint="eastAsia" w:ascii="宋体" w:hAnsi="宋体" w:cs="宋体"/>
                <w:color w:val="auto"/>
                <w:szCs w:val="21"/>
              </w:rPr>
              <w:t>结转瓶体车间领料成本</w:t>
            </w:r>
          </w:p>
          <w:p w14:paraId="4C852AE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业务084</w:t>
            </w:r>
            <w:r>
              <w:rPr>
                <w:rFonts w:hint="eastAsia" w:ascii="宋体" w:hAnsi="宋体" w:cs="宋体"/>
                <w:color w:val="auto"/>
                <w:szCs w:val="21"/>
              </w:rPr>
              <w:tab/>
            </w:r>
            <w:r>
              <w:rPr>
                <w:rFonts w:hint="eastAsia" w:ascii="宋体" w:hAnsi="宋体" w:cs="宋体"/>
                <w:color w:val="auto"/>
                <w:szCs w:val="21"/>
              </w:rPr>
              <w:t>结转瓶体总成成本</w:t>
            </w:r>
          </w:p>
          <w:p w14:paraId="074B873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业务085</w:t>
            </w:r>
            <w:r>
              <w:rPr>
                <w:rFonts w:hint="eastAsia" w:ascii="宋体" w:hAnsi="宋体" w:cs="宋体"/>
                <w:color w:val="auto"/>
                <w:szCs w:val="21"/>
              </w:rPr>
              <w:tab/>
            </w:r>
            <w:r>
              <w:rPr>
                <w:rFonts w:hint="eastAsia" w:ascii="宋体" w:hAnsi="宋体" w:cs="宋体"/>
                <w:color w:val="auto"/>
                <w:szCs w:val="21"/>
              </w:rPr>
              <w:t>领用灭火剂进行充氮机试运行</w:t>
            </w:r>
          </w:p>
          <w:p w14:paraId="019F72A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业务086</w:t>
            </w:r>
            <w:r>
              <w:rPr>
                <w:rFonts w:hint="eastAsia" w:ascii="宋体" w:hAnsi="宋体" w:cs="宋体"/>
                <w:color w:val="auto"/>
                <w:szCs w:val="21"/>
              </w:rPr>
              <w:tab/>
            </w:r>
            <w:r>
              <w:rPr>
                <w:rFonts w:hint="eastAsia" w:ascii="宋体" w:hAnsi="宋体" w:cs="宋体"/>
                <w:color w:val="auto"/>
                <w:szCs w:val="21"/>
              </w:rPr>
              <w:t>充氮机验收24200.00元</w:t>
            </w:r>
          </w:p>
          <w:p w14:paraId="29F2F79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业务087</w:t>
            </w:r>
            <w:r>
              <w:rPr>
                <w:rFonts w:hint="eastAsia" w:ascii="宋体" w:hAnsi="宋体" w:cs="宋体"/>
                <w:color w:val="auto"/>
                <w:szCs w:val="21"/>
              </w:rPr>
              <w:tab/>
            </w:r>
            <w:r>
              <w:rPr>
                <w:rFonts w:hint="eastAsia" w:ascii="宋体" w:hAnsi="宋体" w:cs="宋体"/>
                <w:color w:val="auto"/>
                <w:szCs w:val="21"/>
              </w:rPr>
              <w:t>结转组装车间领料成本</w:t>
            </w:r>
          </w:p>
          <w:p w14:paraId="132740D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业务088</w:t>
            </w:r>
            <w:r>
              <w:rPr>
                <w:rFonts w:hint="eastAsia" w:ascii="宋体" w:hAnsi="宋体" w:cs="宋体"/>
                <w:color w:val="auto"/>
                <w:szCs w:val="21"/>
              </w:rPr>
              <w:tab/>
            </w:r>
            <w:r>
              <w:rPr>
                <w:rFonts w:hint="eastAsia" w:ascii="宋体" w:hAnsi="宋体" w:cs="宋体"/>
                <w:color w:val="auto"/>
                <w:szCs w:val="21"/>
              </w:rPr>
              <w:t>结转产成品成本</w:t>
            </w:r>
          </w:p>
          <w:p w14:paraId="195EE00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业务089</w:t>
            </w:r>
            <w:r>
              <w:rPr>
                <w:rFonts w:hint="eastAsia" w:ascii="宋体" w:hAnsi="宋体" w:cs="宋体"/>
                <w:color w:val="auto"/>
                <w:szCs w:val="21"/>
              </w:rPr>
              <w:tab/>
            </w:r>
            <w:r>
              <w:rPr>
                <w:rFonts w:hint="eastAsia" w:ascii="宋体" w:hAnsi="宋体" w:cs="宋体"/>
                <w:color w:val="auto"/>
                <w:szCs w:val="21"/>
              </w:rPr>
              <w:t>结转废料成本</w:t>
            </w:r>
          </w:p>
          <w:p w14:paraId="541620F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业务090</w:t>
            </w:r>
            <w:r>
              <w:rPr>
                <w:rFonts w:hint="eastAsia" w:ascii="宋体" w:hAnsi="宋体" w:cs="宋体"/>
                <w:color w:val="auto"/>
                <w:szCs w:val="21"/>
              </w:rPr>
              <w:tab/>
            </w:r>
            <w:r>
              <w:rPr>
                <w:rFonts w:hint="eastAsia" w:ascii="宋体" w:hAnsi="宋体" w:cs="宋体"/>
                <w:color w:val="auto"/>
                <w:szCs w:val="21"/>
              </w:rPr>
              <w:t>通过交通银行支付管理部门话费及网络服务费</w:t>
            </w:r>
          </w:p>
          <w:p w14:paraId="42F1860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业务091</w:t>
            </w:r>
            <w:r>
              <w:rPr>
                <w:rFonts w:hint="eastAsia" w:ascii="宋体" w:hAnsi="宋体" w:cs="宋体"/>
                <w:color w:val="auto"/>
                <w:szCs w:val="21"/>
              </w:rPr>
              <w:tab/>
            </w:r>
            <w:r>
              <w:rPr>
                <w:rFonts w:hint="eastAsia" w:ascii="宋体" w:hAnsi="宋体" w:cs="宋体"/>
                <w:color w:val="auto"/>
                <w:szCs w:val="21"/>
              </w:rPr>
              <w:t>计算并结转本月销售产品的成本</w:t>
            </w:r>
          </w:p>
          <w:p w14:paraId="476C5C4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业务092</w:t>
            </w:r>
            <w:r>
              <w:rPr>
                <w:rFonts w:hint="eastAsia" w:ascii="宋体" w:hAnsi="宋体" w:cs="宋体"/>
                <w:color w:val="auto"/>
                <w:szCs w:val="21"/>
              </w:rPr>
              <w:tab/>
            </w:r>
            <w:r>
              <w:rPr>
                <w:rFonts w:hint="eastAsia" w:ascii="宋体" w:hAnsi="宋体" w:cs="宋体"/>
                <w:color w:val="auto"/>
                <w:szCs w:val="21"/>
              </w:rPr>
              <w:t>上海长隆科宣告发放股利20,000元</w:t>
            </w:r>
          </w:p>
          <w:p w14:paraId="5F323F4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业务093</w:t>
            </w:r>
            <w:r>
              <w:rPr>
                <w:rFonts w:hint="eastAsia" w:ascii="宋体" w:hAnsi="宋体" w:cs="宋体"/>
                <w:color w:val="auto"/>
                <w:szCs w:val="21"/>
              </w:rPr>
              <w:tab/>
            </w:r>
            <w:r>
              <w:rPr>
                <w:rFonts w:hint="eastAsia" w:ascii="宋体" w:hAnsi="宋体" w:cs="宋体"/>
                <w:color w:val="auto"/>
                <w:szCs w:val="21"/>
              </w:rPr>
              <w:t>出售股票</w:t>
            </w:r>
          </w:p>
          <w:p w14:paraId="0A77D05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业务094</w:t>
            </w:r>
            <w:r>
              <w:rPr>
                <w:rFonts w:hint="eastAsia" w:ascii="宋体" w:hAnsi="宋体" w:cs="宋体"/>
                <w:color w:val="auto"/>
                <w:szCs w:val="21"/>
              </w:rPr>
              <w:tab/>
            </w:r>
            <w:r>
              <w:rPr>
                <w:rFonts w:hint="eastAsia" w:ascii="宋体" w:hAnsi="宋体" w:cs="宋体"/>
                <w:color w:val="auto"/>
                <w:szCs w:val="21"/>
              </w:rPr>
              <w:t>结转费用化支出</w:t>
            </w:r>
          </w:p>
          <w:p w14:paraId="1D19DAC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业务095</w:t>
            </w:r>
            <w:r>
              <w:rPr>
                <w:rFonts w:hint="eastAsia" w:ascii="宋体" w:hAnsi="宋体" w:cs="宋体"/>
                <w:color w:val="auto"/>
                <w:szCs w:val="21"/>
              </w:rPr>
              <w:tab/>
            </w:r>
            <w:r>
              <w:rPr>
                <w:rFonts w:hint="eastAsia" w:ascii="宋体" w:hAnsi="宋体" w:cs="宋体"/>
                <w:color w:val="auto"/>
                <w:szCs w:val="21"/>
              </w:rPr>
              <w:t>计算并结转本月未交增值税</w:t>
            </w:r>
          </w:p>
          <w:p w14:paraId="10F1106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业务096</w:t>
            </w:r>
            <w:r>
              <w:rPr>
                <w:rFonts w:hint="eastAsia" w:ascii="宋体" w:hAnsi="宋体" w:cs="宋体"/>
                <w:color w:val="auto"/>
                <w:szCs w:val="21"/>
              </w:rPr>
              <w:tab/>
            </w:r>
            <w:r>
              <w:rPr>
                <w:rFonts w:hint="eastAsia" w:ascii="宋体" w:hAnsi="宋体" w:cs="宋体"/>
                <w:color w:val="auto"/>
                <w:szCs w:val="21"/>
              </w:rPr>
              <w:t>转让金融商品应交增值税</w:t>
            </w:r>
          </w:p>
          <w:p w14:paraId="6490245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业务097</w:t>
            </w:r>
            <w:r>
              <w:rPr>
                <w:rFonts w:hint="eastAsia" w:ascii="宋体" w:hAnsi="宋体" w:cs="宋体"/>
                <w:color w:val="auto"/>
                <w:szCs w:val="21"/>
              </w:rPr>
              <w:tab/>
            </w:r>
            <w:r>
              <w:rPr>
                <w:rFonts w:hint="eastAsia" w:ascii="宋体" w:hAnsi="宋体" w:cs="宋体"/>
                <w:color w:val="auto"/>
                <w:szCs w:val="21"/>
              </w:rPr>
              <w:t>计算并计提城市维护建设税及附加税</w:t>
            </w:r>
          </w:p>
          <w:p w14:paraId="78DD52A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业务098</w:t>
            </w:r>
            <w:r>
              <w:rPr>
                <w:rFonts w:hint="eastAsia" w:ascii="宋体" w:hAnsi="宋体" w:cs="宋体"/>
                <w:color w:val="auto"/>
                <w:szCs w:val="21"/>
              </w:rPr>
              <w:tab/>
            </w:r>
            <w:r>
              <w:rPr>
                <w:rFonts w:hint="eastAsia" w:ascii="宋体" w:hAnsi="宋体" w:cs="宋体"/>
                <w:color w:val="auto"/>
                <w:szCs w:val="21"/>
              </w:rPr>
              <w:t>支付中国工商银行长期借款利息60,000元</w:t>
            </w:r>
          </w:p>
          <w:p w14:paraId="2EB7B90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业务099</w:t>
            </w:r>
            <w:r>
              <w:rPr>
                <w:rFonts w:hint="eastAsia" w:ascii="宋体" w:hAnsi="宋体" w:cs="宋体"/>
                <w:color w:val="auto"/>
                <w:szCs w:val="21"/>
              </w:rPr>
              <w:tab/>
            </w:r>
            <w:r>
              <w:rPr>
                <w:rFonts w:hint="eastAsia" w:ascii="宋体" w:hAnsi="宋体" w:cs="宋体"/>
                <w:color w:val="auto"/>
                <w:szCs w:val="21"/>
              </w:rPr>
              <w:t>结转损益</w:t>
            </w:r>
          </w:p>
          <w:p w14:paraId="0168D60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业务100</w:t>
            </w:r>
            <w:r>
              <w:rPr>
                <w:rFonts w:hint="eastAsia" w:ascii="宋体" w:hAnsi="宋体" w:cs="宋体"/>
                <w:color w:val="auto"/>
                <w:szCs w:val="21"/>
              </w:rPr>
              <w:tab/>
            </w:r>
            <w:r>
              <w:rPr>
                <w:rFonts w:hint="eastAsia" w:ascii="宋体" w:hAnsi="宋体" w:cs="宋体"/>
                <w:color w:val="auto"/>
                <w:szCs w:val="21"/>
              </w:rPr>
              <w:t>计提第一季度所得税</w:t>
            </w:r>
          </w:p>
          <w:p w14:paraId="04B3713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业务101</w:t>
            </w:r>
            <w:r>
              <w:rPr>
                <w:rFonts w:hint="eastAsia" w:ascii="宋体" w:hAnsi="宋体" w:cs="宋体"/>
                <w:color w:val="auto"/>
                <w:szCs w:val="21"/>
              </w:rPr>
              <w:tab/>
            </w:r>
            <w:r>
              <w:rPr>
                <w:rFonts w:hint="eastAsia" w:ascii="宋体" w:hAnsi="宋体" w:cs="宋体"/>
                <w:color w:val="auto"/>
                <w:szCs w:val="21"/>
              </w:rPr>
              <w:t>编制资产负债表</w:t>
            </w:r>
          </w:p>
          <w:p w14:paraId="01CAD29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业务102</w:t>
            </w:r>
            <w:r>
              <w:rPr>
                <w:rFonts w:hint="eastAsia" w:ascii="宋体" w:hAnsi="宋体" w:cs="宋体"/>
                <w:color w:val="auto"/>
                <w:szCs w:val="21"/>
              </w:rPr>
              <w:tab/>
            </w:r>
            <w:r>
              <w:rPr>
                <w:rFonts w:hint="eastAsia" w:ascii="宋体" w:hAnsi="宋体" w:cs="宋体"/>
                <w:color w:val="auto"/>
                <w:szCs w:val="21"/>
              </w:rPr>
              <w:t>编制利润表</w:t>
            </w:r>
          </w:p>
          <w:p w14:paraId="0235E5C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业务103</w:t>
            </w:r>
            <w:r>
              <w:rPr>
                <w:rFonts w:hint="eastAsia" w:ascii="宋体" w:hAnsi="宋体" w:cs="宋体"/>
                <w:color w:val="auto"/>
                <w:szCs w:val="21"/>
              </w:rPr>
              <w:tab/>
            </w:r>
            <w:r>
              <w:rPr>
                <w:rFonts w:hint="eastAsia" w:ascii="宋体" w:hAnsi="宋体" w:cs="宋体"/>
                <w:color w:val="auto"/>
                <w:szCs w:val="21"/>
              </w:rPr>
              <w:t>增值税纳税申报</w:t>
            </w:r>
          </w:p>
          <w:p w14:paraId="6841268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业务104</w:t>
            </w:r>
            <w:r>
              <w:rPr>
                <w:rFonts w:hint="eastAsia" w:ascii="宋体" w:hAnsi="宋体" w:cs="宋体"/>
                <w:color w:val="auto"/>
                <w:szCs w:val="21"/>
              </w:rPr>
              <w:tab/>
            </w:r>
            <w:r>
              <w:rPr>
                <w:rFonts w:hint="eastAsia" w:ascii="宋体" w:hAnsi="宋体" w:cs="宋体"/>
                <w:color w:val="auto"/>
                <w:szCs w:val="21"/>
              </w:rPr>
              <w:t>所得税纳税申报</w:t>
            </w:r>
          </w:p>
          <w:p w14:paraId="666461B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业务105</w:t>
            </w:r>
            <w:r>
              <w:rPr>
                <w:rFonts w:hint="eastAsia" w:ascii="宋体" w:hAnsi="宋体" w:cs="宋体"/>
                <w:color w:val="auto"/>
                <w:szCs w:val="21"/>
              </w:rPr>
              <w:tab/>
            </w:r>
            <w:r>
              <w:rPr>
                <w:rFonts w:hint="eastAsia" w:ascii="宋体" w:hAnsi="宋体" w:cs="宋体"/>
                <w:color w:val="auto"/>
                <w:szCs w:val="21"/>
              </w:rPr>
              <w:t>增值税纳税义务发生时间分析</w:t>
            </w:r>
          </w:p>
          <w:p w14:paraId="3F104FE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业务106</w:t>
            </w:r>
            <w:r>
              <w:rPr>
                <w:rFonts w:hint="eastAsia" w:ascii="宋体" w:hAnsi="宋体" w:cs="宋体"/>
                <w:color w:val="auto"/>
                <w:szCs w:val="21"/>
              </w:rPr>
              <w:tab/>
            </w:r>
            <w:r>
              <w:rPr>
                <w:rFonts w:hint="eastAsia" w:ascii="宋体" w:hAnsi="宋体" w:cs="宋体"/>
                <w:color w:val="auto"/>
                <w:szCs w:val="21"/>
              </w:rPr>
              <w:t>申报风险分析</w:t>
            </w:r>
          </w:p>
          <w:p w14:paraId="1356AE5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业务107</w:t>
            </w:r>
            <w:r>
              <w:rPr>
                <w:rFonts w:hint="eastAsia" w:ascii="宋体" w:hAnsi="宋体" w:cs="宋体"/>
                <w:color w:val="auto"/>
                <w:szCs w:val="21"/>
              </w:rPr>
              <w:tab/>
            </w:r>
            <w:r>
              <w:rPr>
                <w:rFonts w:hint="eastAsia" w:ascii="宋体" w:hAnsi="宋体" w:cs="宋体"/>
                <w:color w:val="auto"/>
                <w:szCs w:val="21"/>
              </w:rPr>
              <w:t>纳税筹划</w:t>
            </w:r>
          </w:p>
          <w:p w14:paraId="24E9AD3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任务001</w:t>
            </w:r>
            <w:r>
              <w:rPr>
                <w:rFonts w:hint="eastAsia" w:ascii="宋体" w:hAnsi="宋体" w:cs="宋体"/>
                <w:color w:val="auto"/>
                <w:szCs w:val="21"/>
              </w:rPr>
              <w:tab/>
            </w:r>
            <w:r>
              <w:rPr>
                <w:rFonts w:hint="eastAsia" w:ascii="宋体" w:hAnsi="宋体" w:cs="宋体"/>
                <w:color w:val="auto"/>
                <w:szCs w:val="21"/>
              </w:rPr>
              <w:t>成本结构分析</w:t>
            </w:r>
          </w:p>
          <w:p w14:paraId="2DD1BC8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任务002</w:t>
            </w:r>
            <w:r>
              <w:rPr>
                <w:rFonts w:hint="eastAsia" w:ascii="宋体" w:hAnsi="宋体" w:cs="宋体"/>
                <w:color w:val="auto"/>
                <w:szCs w:val="21"/>
              </w:rPr>
              <w:tab/>
            </w:r>
            <w:r>
              <w:rPr>
                <w:rFonts w:hint="eastAsia" w:ascii="宋体" w:hAnsi="宋体" w:cs="宋体"/>
                <w:color w:val="auto"/>
                <w:szCs w:val="21"/>
              </w:rPr>
              <w:t>销售收入产品维度设计</w:t>
            </w:r>
          </w:p>
          <w:p w14:paraId="4D80128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任务003</w:t>
            </w:r>
            <w:r>
              <w:rPr>
                <w:rFonts w:hint="eastAsia" w:ascii="宋体" w:hAnsi="宋体" w:cs="宋体"/>
                <w:color w:val="auto"/>
                <w:szCs w:val="21"/>
              </w:rPr>
              <w:tab/>
            </w:r>
            <w:r>
              <w:rPr>
                <w:rFonts w:hint="eastAsia" w:ascii="宋体" w:hAnsi="宋体" w:cs="宋体"/>
                <w:color w:val="auto"/>
                <w:szCs w:val="21"/>
              </w:rPr>
              <w:t>经营活动现金流入分析</w:t>
            </w:r>
          </w:p>
          <w:p w14:paraId="32FF719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任务004</w:t>
            </w:r>
            <w:r>
              <w:rPr>
                <w:rFonts w:hint="eastAsia" w:ascii="宋体" w:hAnsi="宋体" w:cs="宋体"/>
                <w:color w:val="auto"/>
                <w:szCs w:val="21"/>
              </w:rPr>
              <w:tab/>
            </w:r>
            <w:r>
              <w:rPr>
                <w:rFonts w:hint="eastAsia" w:ascii="宋体" w:hAnsi="宋体" w:cs="宋体"/>
                <w:color w:val="auto"/>
                <w:szCs w:val="21"/>
              </w:rPr>
              <w:t>经营活动现金流出分析</w:t>
            </w:r>
          </w:p>
          <w:p w14:paraId="36BF3A9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任务005</w:t>
            </w:r>
            <w:r>
              <w:rPr>
                <w:rFonts w:hint="eastAsia" w:ascii="宋体" w:hAnsi="宋体" w:cs="宋体"/>
                <w:color w:val="auto"/>
                <w:szCs w:val="21"/>
              </w:rPr>
              <w:tab/>
            </w:r>
            <w:r>
              <w:rPr>
                <w:rFonts w:hint="eastAsia" w:ascii="宋体" w:hAnsi="宋体" w:cs="宋体"/>
                <w:color w:val="auto"/>
                <w:szCs w:val="21"/>
              </w:rPr>
              <w:t>筹资活动现金流入分析</w:t>
            </w:r>
          </w:p>
          <w:p w14:paraId="0227A43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任务006</w:t>
            </w:r>
            <w:r>
              <w:rPr>
                <w:rFonts w:hint="eastAsia" w:ascii="宋体" w:hAnsi="宋体" w:cs="宋体"/>
                <w:color w:val="auto"/>
                <w:szCs w:val="21"/>
              </w:rPr>
              <w:tab/>
            </w:r>
            <w:r>
              <w:rPr>
                <w:rFonts w:hint="eastAsia" w:ascii="宋体" w:hAnsi="宋体" w:cs="宋体"/>
                <w:color w:val="auto"/>
                <w:szCs w:val="21"/>
              </w:rPr>
              <w:t>投资活动现金流量净额分析</w:t>
            </w:r>
          </w:p>
          <w:p w14:paraId="1EA15F5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任务007</w:t>
            </w:r>
            <w:r>
              <w:rPr>
                <w:rFonts w:hint="eastAsia" w:ascii="宋体" w:hAnsi="宋体" w:cs="宋体"/>
                <w:color w:val="auto"/>
                <w:szCs w:val="21"/>
              </w:rPr>
              <w:tab/>
            </w:r>
            <w:r>
              <w:rPr>
                <w:rFonts w:hint="eastAsia" w:ascii="宋体" w:hAnsi="宋体" w:cs="宋体"/>
                <w:color w:val="auto"/>
                <w:szCs w:val="21"/>
              </w:rPr>
              <w:t>业务数据表爬取</w:t>
            </w:r>
          </w:p>
          <w:p w14:paraId="3A93A3D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任务008</w:t>
            </w:r>
            <w:r>
              <w:rPr>
                <w:rFonts w:hint="eastAsia" w:ascii="宋体" w:hAnsi="宋体" w:cs="宋体"/>
                <w:color w:val="auto"/>
                <w:szCs w:val="21"/>
              </w:rPr>
              <w:tab/>
            </w:r>
            <w:r>
              <w:rPr>
                <w:rFonts w:hint="eastAsia" w:ascii="宋体" w:hAnsi="宋体" w:cs="宋体"/>
                <w:color w:val="auto"/>
                <w:szCs w:val="21"/>
              </w:rPr>
              <w:t>营运能力分析</w:t>
            </w:r>
          </w:p>
          <w:p w14:paraId="777B83A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任务009</w:t>
            </w:r>
            <w:r>
              <w:rPr>
                <w:rFonts w:hint="eastAsia" w:ascii="宋体" w:hAnsi="宋体" w:cs="宋体"/>
                <w:color w:val="auto"/>
                <w:szCs w:val="21"/>
              </w:rPr>
              <w:tab/>
            </w:r>
            <w:r>
              <w:rPr>
                <w:rFonts w:hint="eastAsia" w:ascii="宋体" w:hAnsi="宋体" w:cs="宋体"/>
                <w:color w:val="auto"/>
                <w:szCs w:val="21"/>
              </w:rPr>
              <w:t>数据爬取</w:t>
            </w:r>
          </w:p>
          <w:p w14:paraId="3AB473E2">
            <w:pPr>
              <w:tabs>
                <w:tab w:val="left" w:pos="1440"/>
              </w:tabs>
              <w:spacing w:line="360" w:lineRule="atLeast"/>
              <w:ind w:firstLine="422" w:firstLineChars="200"/>
              <w:jc w:val="left"/>
              <w:rPr>
                <w:rFonts w:ascii="宋体" w:hAnsi="宋体" w:cs="宋体"/>
                <w:b/>
                <w:bCs/>
                <w:color w:val="auto"/>
                <w:szCs w:val="21"/>
              </w:rPr>
            </w:pPr>
            <w:r>
              <w:rPr>
                <w:rFonts w:hint="eastAsia" w:ascii="宋体" w:hAnsi="宋体" w:cs="宋体"/>
                <w:b/>
                <w:bCs/>
                <w:color w:val="auto"/>
                <w:szCs w:val="21"/>
              </w:rPr>
              <w:t>阶段2：财务数字化阶段</w:t>
            </w:r>
          </w:p>
          <w:p w14:paraId="567427C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【公司名称】旅游行业</w:t>
            </w:r>
          </w:p>
          <w:p w14:paraId="4F3B73F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【案例类型】财务数字化企业案例</w:t>
            </w:r>
          </w:p>
          <w:p w14:paraId="2A443AA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【领域设置】投融资管理、预算管理、营运分析、绩效内控</w:t>
            </w:r>
          </w:p>
          <w:p w14:paraId="1399A75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【难易程度】低</w:t>
            </w:r>
          </w:p>
          <w:p w14:paraId="7183D0C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【案例概述】</w:t>
            </w:r>
          </w:p>
          <w:p w14:paraId="46D84E9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1.考试时间为 180 分钟，投融资管理岗100分，预算管理岗90分，营运分析岗110分，绩效内控岗100分，团队合计400分。</w:t>
            </w:r>
          </w:p>
          <w:p w14:paraId="5678CA1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2.本案例使用财务数字化训赛平台V2.0赛务模块及业务系统-分析云、python、数据中心、数据清洗、智多星RPA，完成财务数字化四个岗位的工作。</w:t>
            </w:r>
          </w:p>
          <w:p w14:paraId="79F05B4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3.本试题分为案例介绍、投融资管理、预算管理、营运分析、绩效内控五部分，请按照对应领域依次作答。</w:t>
            </w:r>
          </w:p>
          <w:p w14:paraId="1129EF1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【案例说明】</w:t>
            </w:r>
          </w:p>
          <w:p w14:paraId="70C65B8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投融资管理领域</w:t>
            </w:r>
          </w:p>
          <w:p w14:paraId="57D9117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考核点一：SWOT分析及判断</w:t>
            </w:r>
          </w:p>
          <w:p w14:paraId="344F4BD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考核点二：数据爬取分析</w:t>
            </w:r>
          </w:p>
          <w:p w14:paraId="5A46347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考核点三：数据清洗及分析</w:t>
            </w:r>
          </w:p>
          <w:p w14:paraId="6A65A76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考核点四：证券投资决策</w:t>
            </w:r>
          </w:p>
          <w:p w14:paraId="461D238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考核点五：长期投资决策</w:t>
            </w:r>
          </w:p>
          <w:p w14:paraId="6B20091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考核点六：投资项目销售预测</w:t>
            </w:r>
          </w:p>
          <w:p w14:paraId="015968C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考核点七：经营预测</w:t>
            </w:r>
          </w:p>
          <w:p w14:paraId="056F151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考核点八：现金流量预测</w:t>
            </w:r>
          </w:p>
          <w:p w14:paraId="55F5AB3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考核点九：短期筹资决策</w:t>
            </w:r>
          </w:p>
          <w:p w14:paraId="090C86F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考核点十：长期筹资决策</w:t>
            </w:r>
          </w:p>
          <w:p w14:paraId="06D8B76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考核点十一：我国文旅行业分析报告</w:t>
            </w:r>
          </w:p>
          <w:p w14:paraId="539D694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考核点十二：城市旅游货币资金结构分析</w:t>
            </w:r>
          </w:p>
          <w:p w14:paraId="7A359A8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考核点十三：投资活动现金流量分析</w:t>
            </w:r>
          </w:p>
          <w:p w14:paraId="4D1C4FD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考核点十四：筹资活动现金流量分析</w:t>
            </w:r>
          </w:p>
          <w:p w14:paraId="46A840D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考核点十五：投资收益分析</w:t>
            </w:r>
          </w:p>
          <w:p w14:paraId="599BB79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【案例说明】</w:t>
            </w:r>
          </w:p>
          <w:p w14:paraId="6765C60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预算管理领域</w:t>
            </w:r>
          </w:p>
          <w:p w14:paraId="7ADBC54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考核点一：代码填空</w:t>
            </w:r>
          </w:p>
          <w:p w14:paraId="2C9E3F0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考核点二：收入预测</w:t>
            </w:r>
          </w:p>
          <w:p w14:paraId="5EDF2DB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考核点三：人工成本预测</w:t>
            </w:r>
          </w:p>
          <w:p w14:paraId="33F83E8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考核点四：营业成本预测</w:t>
            </w:r>
          </w:p>
          <w:p w14:paraId="0EF5BD6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考核点五：销售费用预测</w:t>
            </w:r>
          </w:p>
          <w:p w14:paraId="65EB84C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考核点六：管理费用预测</w:t>
            </w:r>
          </w:p>
          <w:p w14:paraId="566ABC2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考核点七：现金预算</w:t>
            </w:r>
          </w:p>
          <w:p w14:paraId="72F3325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考核点八：预计利润表</w:t>
            </w:r>
          </w:p>
          <w:p w14:paraId="76BC7A8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考核点九：预计资产负债表</w:t>
            </w:r>
          </w:p>
          <w:p w14:paraId="22A7AC0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考核点十：桂林旅游营业收入分析</w:t>
            </w:r>
          </w:p>
          <w:p w14:paraId="53DE1E5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考核点十一：桂林旅游营业毛利分析</w:t>
            </w:r>
          </w:p>
          <w:p w14:paraId="182D3DC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考核点十二：桂林旅游成本预算执行分析</w:t>
            </w:r>
          </w:p>
          <w:p w14:paraId="5F9CBC6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考核点十三：费用预算执行分析报告</w:t>
            </w:r>
          </w:p>
          <w:p w14:paraId="1971D36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考核点十四：桂林旅游利润预算执行分析</w:t>
            </w:r>
          </w:p>
          <w:p w14:paraId="293246C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【案例说明】</w:t>
            </w:r>
          </w:p>
          <w:p w14:paraId="0EEA930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营运分析领域</w:t>
            </w:r>
          </w:p>
          <w:p w14:paraId="5271B00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考核点一：代码填空</w:t>
            </w:r>
          </w:p>
          <w:p w14:paraId="47F395A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考核点二：数据清洗及分析</w:t>
            </w:r>
          </w:p>
          <w:p w14:paraId="6B74F5B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考核点三：作业成本法</w:t>
            </w:r>
          </w:p>
          <w:p w14:paraId="24CB5BD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考核点四：成本计算</w:t>
            </w:r>
          </w:p>
          <w:p w14:paraId="34A7D7C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考核点五：成本差异分析</w:t>
            </w:r>
          </w:p>
          <w:p w14:paraId="048F7B1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考核点六：产品定价决策</w:t>
            </w:r>
          </w:p>
          <w:p w14:paraId="07B08D5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考核点七：盈亏平衡分析</w:t>
            </w:r>
          </w:p>
          <w:p w14:paraId="54F3084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考核点八：导游用工决策</w:t>
            </w:r>
          </w:p>
          <w:p w14:paraId="11D8DA8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考核点九：本量利分析</w:t>
            </w:r>
          </w:p>
          <w:p w14:paraId="0A4309A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考核点十：经济订货批量</w:t>
            </w:r>
          </w:p>
          <w:p w14:paraId="4DA934B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考核点十一：保险储备</w:t>
            </w:r>
          </w:p>
          <w:p w14:paraId="7EDA0D9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考核点十二：桂林旅游应收账款账龄分析</w:t>
            </w:r>
          </w:p>
          <w:p w14:paraId="6770F51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考核点十三：桂林旅游利润销售费用分析</w:t>
            </w:r>
          </w:p>
          <w:p w14:paraId="6110A71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考核点十四：桂林旅游员工结构分析</w:t>
            </w:r>
          </w:p>
          <w:p w14:paraId="073750C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考核点十五：桂林旅游非主营业务分析</w:t>
            </w:r>
          </w:p>
          <w:p w14:paraId="3F27051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考核点十六：桂林旅游资产结构分析</w:t>
            </w:r>
          </w:p>
          <w:p w14:paraId="0091791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【案例说明】</w:t>
            </w:r>
          </w:p>
          <w:p w14:paraId="5CBD4CF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绩效内控领域</w:t>
            </w:r>
          </w:p>
          <w:p w14:paraId="270B6A5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考核点一：数据爬取及分析</w:t>
            </w:r>
          </w:p>
          <w:p w14:paraId="3E25238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考核点二：平衡计分卡</w:t>
            </w:r>
          </w:p>
          <w:p w14:paraId="5B6836C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考核点三：总经理薪酬计算</w:t>
            </w:r>
          </w:p>
          <w:p w14:paraId="0B35386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考核点四：营销员奖金计算</w:t>
            </w:r>
          </w:p>
          <w:p w14:paraId="73A7FD2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考核点五：预算执行及分析</w:t>
            </w:r>
          </w:p>
          <w:p w14:paraId="7D2C4EE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考核点六：同行业指标对比分析</w:t>
            </w:r>
          </w:p>
          <w:p w14:paraId="33495A2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考核点七：管理用利润表</w:t>
            </w:r>
          </w:p>
          <w:p w14:paraId="2CB1005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考核点八：经济增加值</w:t>
            </w:r>
          </w:p>
          <w:p w14:paraId="01458F5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考核点九：桂林旅游债务风险分析</w:t>
            </w:r>
          </w:p>
          <w:p w14:paraId="5097590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考核点十：桂林旅游管理费用分析</w:t>
            </w:r>
          </w:p>
          <w:p w14:paraId="352BA14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考核点十一：桂林旅游员工劳效分析</w:t>
            </w:r>
          </w:p>
          <w:p w14:paraId="6BA47AE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考核点十二：桂林旅游盈利能力分析</w:t>
            </w:r>
          </w:p>
          <w:p w14:paraId="37E4086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考核点十三：桂林旅游发展能力分析</w:t>
            </w:r>
          </w:p>
          <w:p w14:paraId="606B430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考核点十四：企业内部控制流程设计</w:t>
            </w:r>
          </w:p>
          <w:p w14:paraId="0EA5F0D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考核点十五：私车公用分析</w:t>
            </w:r>
          </w:p>
          <w:p w14:paraId="03DC7EE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考核点十六：增值税申报机器人</w:t>
            </w:r>
          </w:p>
          <w:p w14:paraId="14AEE18C">
            <w:pPr>
              <w:tabs>
                <w:tab w:val="left" w:pos="1440"/>
              </w:tabs>
              <w:spacing w:line="360" w:lineRule="atLeast"/>
              <w:ind w:firstLine="422" w:firstLineChars="200"/>
              <w:jc w:val="left"/>
              <w:rPr>
                <w:rFonts w:ascii="宋体" w:hAnsi="宋体" w:cs="宋体"/>
                <w:b/>
                <w:bCs/>
                <w:color w:val="auto"/>
                <w:szCs w:val="21"/>
              </w:rPr>
            </w:pPr>
          </w:p>
          <w:p w14:paraId="262CE005">
            <w:pPr>
              <w:tabs>
                <w:tab w:val="left" w:pos="1440"/>
              </w:tabs>
              <w:spacing w:line="360" w:lineRule="atLeast"/>
              <w:ind w:firstLine="422" w:firstLineChars="200"/>
              <w:jc w:val="left"/>
              <w:rPr>
                <w:rFonts w:ascii="宋体" w:hAnsi="宋体" w:cs="宋体"/>
                <w:b/>
                <w:bCs/>
                <w:color w:val="auto"/>
                <w:szCs w:val="21"/>
              </w:rPr>
            </w:pPr>
            <w:r>
              <w:rPr>
                <w:rFonts w:hint="eastAsia" w:ascii="宋体" w:hAnsi="宋体" w:cs="宋体"/>
                <w:b/>
                <w:bCs/>
                <w:color w:val="auto"/>
                <w:szCs w:val="21"/>
              </w:rPr>
              <w:t>案例二</w:t>
            </w:r>
          </w:p>
          <w:p w14:paraId="12935112">
            <w:pPr>
              <w:tabs>
                <w:tab w:val="left" w:pos="1440"/>
              </w:tabs>
              <w:spacing w:line="360" w:lineRule="atLeast"/>
              <w:ind w:firstLine="422" w:firstLineChars="200"/>
              <w:jc w:val="left"/>
              <w:rPr>
                <w:rFonts w:ascii="宋体" w:hAnsi="宋体" w:cs="宋体"/>
                <w:b/>
                <w:bCs/>
                <w:color w:val="auto"/>
                <w:szCs w:val="21"/>
              </w:rPr>
            </w:pPr>
            <w:r>
              <w:rPr>
                <w:rFonts w:hint="eastAsia" w:ascii="宋体" w:hAnsi="宋体" w:cs="宋体"/>
                <w:b/>
                <w:bCs/>
                <w:color w:val="auto"/>
                <w:szCs w:val="21"/>
              </w:rPr>
              <w:t>阶段1：业财信息化阶段</w:t>
            </w:r>
          </w:p>
          <w:p w14:paraId="5F889A3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【公司名称】服装行业</w:t>
            </w:r>
          </w:p>
          <w:p w14:paraId="7F2CD6C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【案例类型】业财信息化企业案例</w:t>
            </w:r>
          </w:p>
          <w:p w14:paraId="0E5108D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【领域设置】基础档案维护、业财税资融合业务处理、财务报表编制、大数据业财分析四部分</w:t>
            </w:r>
          </w:p>
          <w:p w14:paraId="03BC2B1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【难易程度】高</w:t>
            </w:r>
          </w:p>
          <w:p w14:paraId="1A1FD65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【案例概述】</w:t>
            </w:r>
          </w:p>
          <w:p w14:paraId="4CA442E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1.考试时间为 180 分钟，业务会计岗90分，成本会计岗90分，共享会计岗110分，财务主管岗110分，团队合计400分。</w:t>
            </w:r>
          </w:p>
          <w:p w14:paraId="5DB54F0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2.本案例使用财务数字化训赛平台V2.0赛务模块、业务系统-NCC、分析云、python、数据中心-上证、数据清洗工具，完成业财信息化四个岗位的工作。</w:t>
            </w:r>
          </w:p>
          <w:p w14:paraId="3E44309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【案例说明】</w:t>
            </w:r>
          </w:p>
          <w:p w14:paraId="5747406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业务001</w:t>
            </w:r>
            <w:r>
              <w:rPr>
                <w:rFonts w:hint="eastAsia" w:ascii="宋体" w:hAnsi="宋体" w:cs="宋体"/>
                <w:color w:val="auto"/>
                <w:szCs w:val="21"/>
              </w:rPr>
              <w:tab/>
            </w:r>
            <w:r>
              <w:rPr>
                <w:rFonts w:hint="eastAsia" w:ascii="宋体" w:hAnsi="宋体" w:cs="宋体"/>
                <w:color w:val="auto"/>
                <w:szCs w:val="21"/>
              </w:rPr>
              <w:t>增加供应商档案</w:t>
            </w:r>
          </w:p>
          <w:p w14:paraId="0E27D94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业务002</w:t>
            </w:r>
            <w:r>
              <w:rPr>
                <w:rFonts w:hint="eastAsia" w:ascii="宋体" w:hAnsi="宋体" w:cs="宋体"/>
                <w:color w:val="auto"/>
                <w:szCs w:val="21"/>
              </w:rPr>
              <w:tab/>
            </w:r>
            <w:r>
              <w:rPr>
                <w:rFonts w:hint="eastAsia" w:ascii="宋体" w:hAnsi="宋体" w:cs="宋体"/>
                <w:color w:val="auto"/>
                <w:szCs w:val="21"/>
              </w:rPr>
              <w:t>增加会计科目</w:t>
            </w:r>
          </w:p>
          <w:p w14:paraId="4C29295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业务003</w:t>
            </w:r>
            <w:r>
              <w:rPr>
                <w:rFonts w:hint="eastAsia" w:ascii="宋体" w:hAnsi="宋体" w:cs="宋体"/>
                <w:color w:val="auto"/>
                <w:szCs w:val="21"/>
              </w:rPr>
              <w:tab/>
            </w:r>
            <w:r>
              <w:rPr>
                <w:rFonts w:hint="eastAsia" w:ascii="宋体" w:hAnsi="宋体" w:cs="宋体"/>
                <w:color w:val="auto"/>
                <w:szCs w:val="21"/>
              </w:rPr>
              <w:t>增加计量单位</w:t>
            </w:r>
          </w:p>
          <w:p w14:paraId="224A92D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业务004</w:t>
            </w:r>
            <w:r>
              <w:rPr>
                <w:rFonts w:hint="eastAsia" w:ascii="宋体" w:hAnsi="宋体" w:cs="宋体"/>
                <w:color w:val="auto"/>
                <w:szCs w:val="21"/>
              </w:rPr>
              <w:tab/>
            </w:r>
            <w:r>
              <w:rPr>
                <w:rFonts w:hint="eastAsia" w:ascii="宋体" w:hAnsi="宋体" w:cs="宋体"/>
                <w:color w:val="auto"/>
                <w:szCs w:val="21"/>
              </w:rPr>
              <w:t>增加客户端档案</w:t>
            </w:r>
          </w:p>
          <w:p w14:paraId="7CC2297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业务005</w:t>
            </w:r>
            <w:r>
              <w:rPr>
                <w:rFonts w:hint="eastAsia" w:ascii="宋体" w:hAnsi="宋体" w:cs="宋体"/>
                <w:color w:val="auto"/>
                <w:szCs w:val="21"/>
              </w:rPr>
              <w:tab/>
            </w:r>
            <w:r>
              <w:rPr>
                <w:rFonts w:hint="eastAsia" w:ascii="宋体" w:hAnsi="宋体" w:cs="宋体"/>
                <w:color w:val="auto"/>
                <w:szCs w:val="21"/>
              </w:rPr>
              <w:t>增加集团级物料</w:t>
            </w:r>
          </w:p>
          <w:p w14:paraId="3B3480D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业务006</w:t>
            </w:r>
            <w:r>
              <w:rPr>
                <w:rFonts w:hint="eastAsia" w:ascii="宋体" w:hAnsi="宋体" w:cs="宋体"/>
                <w:color w:val="auto"/>
                <w:szCs w:val="21"/>
              </w:rPr>
              <w:tab/>
            </w:r>
            <w:r>
              <w:rPr>
                <w:rFonts w:hint="eastAsia" w:ascii="宋体" w:hAnsi="宋体" w:cs="宋体"/>
                <w:color w:val="auto"/>
                <w:szCs w:val="21"/>
              </w:rPr>
              <w:t>维护库存期初结存</w:t>
            </w:r>
          </w:p>
          <w:p w14:paraId="6413317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业务007</w:t>
            </w:r>
            <w:r>
              <w:rPr>
                <w:rFonts w:hint="eastAsia" w:ascii="宋体" w:hAnsi="宋体" w:cs="宋体"/>
                <w:color w:val="auto"/>
                <w:szCs w:val="21"/>
              </w:rPr>
              <w:tab/>
            </w:r>
            <w:r>
              <w:rPr>
                <w:rFonts w:hint="eastAsia" w:ascii="宋体" w:hAnsi="宋体" w:cs="宋体"/>
                <w:color w:val="auto"/>
                <w:szCs w:val="21"/>
              </w:rPr>
              <w:t>维护存货期初余额</w:t>
            </w:r>
          </w:p>
          <w:p w14:paraId="723632F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业务008</w:t>
            </w:r>
            <w:r>
              <w:rPr>
                <w:rFonts w:hint="eastAsia" w:ascii="宋体" w:hAnsi="宋体" w:cs="宋体"/>
                <w:color w:val="auto"/>
                <w:szCs w:val="21"/>
              </w:rPr>
              <w:tab/>
            </w:r>
            <w:r>
              <w:rPr>
                <w:rFonts w:hint="eastAsia" w:ascii="宋体" w:hAnsi="宋体" w:cs="宋体"/>
                <w:color w:val="auto"/>
                <w:szCs w:val="21"/>
              </w:rPr>
              <w:t>维护应收期初余额</w:t>
            </w:r>
          </w:p>
          <w:p w14:paraId="2ACF303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业务009</w:t>
            </w:r>
            <w:r>
              <w:rPr>
                <w:rFonts w:hint="eastAsia" w:ascii="宋体" w:hAnsi="宋体" w:cs="宋体"/>
                <w:color w:val="auto"/>
                <w:szCs w:val="21"/>
              </w:rPr>
              <w:tab/>
            </w:r>
            <w:r>
              <w:rPr>
                <w:rFonts w:hint="eastAsia" w:ascii="宋体" w:hAnsi="宋体" w:cs="宋体"/>
                <w:color w:val="auto"/>
                <w:szCs w:val="21"/>
              </w:rPr>
              <w:t>维护应付期初余额</w:t>
            </w:r>
          </w:p>
          <w:p w14:paraId="0B4EBCC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业务010</w:t>
            </w:r>
            <w:r>
              <w:rPr>
                <w:rFonts w:hint="eastAsia" w:ascii="宋体" w:hAnsi="宋体" w:cs="宋体"/>
                <w:color w:val="auto"/>
                <w:szCs w:val="21"/>
              </w:rPr>
              <w:tab/>
            </w:r>
            <w:r>
              <w:rPr>
                <w:rFonts w:hint="eastAsia" w:ascii="宋体" w:hAnsi="宋体" w:cs="宋体"/>
                <w:color w:val="auto"/>
                <w:szCs w:val="21"/>
              </w:rPr>
              <w:t>维护总账期初余额</w:t>
            </w:r>
          </w:p>
          <w:p w14:paraId="11ACD1F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业务011</w:t>
            </w:r>
            <w:r>
              <w:rPr>
                <w:rFonts w:hint="eastAsia" w:ascii="宋体" w:hAnsi="宋体" w:cs="宋体"/>
                <w:color w:val="auto"/>
                <w:szCs w:val="21"/>
              </w:rPr>
              <w:tab/>
            </w:r>
            <w:r>
              <w:rPr>
                <w:rFonts w:hint="eastAsia" w:ascii="宋体" w:hAnsi="宋体" w:cs="宋体"/>
                <w:color w:val="auto"/>
                <w:szCs w:val="21"/>
              </w:rPr>
              <w:t>收到前欠货款</w:t>
            </w:r>
          </w:p>
          <w:p w14:paraId="1A6B163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业务012</w:t>
            </w:r>
            <w:r>
              <w:rPr>
                <w:rFonts w:hint="eastAsia" w:ascii="宋体" w:hAnsi="宋体" w:cs="宋体"/>
                <w:color w:val="auto"/>
                <w:szCs w:val="21"/>
              </w:rPr>
              <w:tab/>
            </w:r>
            <w:r>
              <w:rPr>
                <w:rFonts w:hint="eastAsia" w:ascii="宋体" w:hAnsi="宋体" w:cs="宋体"/>
                <w:color w:val="auto"/>
                <w:szCs w:val="21"/>
              </w:rPr>
              <w:t>支付部门预借备用金</w:t>
            </w:r>
          </w:p>
          <w:p w14:paraId="1CB4FF9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业务013</w:t>
            </w:r>
            <w:r>
              <w:rPr>
                <w:rFonts w:hint="eastAsia" w:ascii="宋体" w:hAnsi="宋体" w:cs="宋体"/>
                <w:color w:val="auto"/>
                <w:szCs w:val="21"/>
              </w:rPr>
              <w:tab/>
            </w:r>
            <w:r>
              <w:rPr>
                <w:rFonts w:hint="eastAsia" w:ascii="宋体" w:hAnsi="宋体" w:cs="宋体"/>
                <w:color w:val="auto"/>
                <w:szCs w:val="21"/>
              </w:rPr>
              <w:t>总经办报销差旅费</w:t>
            </w:r>
          </w:p>
          <w:p w14:paraId="62247AC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业务014</w:t>
            </w:r>
            <w:r>
              <w:rPr>
                <w:rFonts w:hint="eastAsia" w:ascii="宋体" w:hAnsi="宋体" w:cs="宋体"/>
                <w:color w:val="auto"/>
                <w:szCs w:val="21"/>
              </w:rPr>
              <w:tab/>
            </w:r>
            <w:r>
              <w:rPr>
                <w:rFonts w:hint="eastAsia" w:ascii="宋体" w:hAnsi="宋体" w:cs="宋体"/>
                <w:color w:val="auto"/>
                <w:szCs w:val="21"/>
              </w:rPr>
              <w:t>采购原材料</w:t>
            </w:r>
          </w:p>
          <w:p w14:paraId="107923C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业务015</w:t>
            </w:r>
            <w:r>
              <w:rPr>
                <w:rFonts w:hint="eastAsia" w:ascii="宋体" w:hAnsi="宋体" w:cs="宋体"/>
                <w:color w:val="auto"/>
                <w:szCs w:val="21"/>
              </w:rPr>
              <w:tab/>
            </w:r>
            <w:r>
              <w:rPr>
                <w:rFonts w:hint="eastAsia" w:ascii="宋体" w:hAnsi="宋体" w:cs="宋体"/>
                <w:color w:val="auto"/>
                <w:szCs w:val="21"/>
              </w:rPr>
              <w:t>支付销售部员工预借差旅费</w:t>
            </w:r>
          </w:p>
          <w:p w14:paraId="0274696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业务016</w:t>
            </w:r>
            <w:r>
              <w:rPr>
                <w:rFonts w:hint="eastAsia" w:ascii="宋体" w:hAnsi="宋体" w:cs="宋体"/>
                <w:color w:val="auto"/>
                <w:szCs w:val="21"/>
              </w:rPr>
              <w:tab/>
            </w:r>
            <w:r>
              <w:rPr>
                <w:rFonts w:hint="eastAsia" w:ascii="宋体" w:hAnsi="宋体" w:cs="宋体"/>
                <w:color w:val="auto"/>
                <w:szCs w:val="21"/>
              </w:rPr>
              <w:t>收到出租办公室租金</w:t>
            </w:r>
          </w:p>
          <w:p w14:paraId="4C148DF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业务017</w:t>
            </w:r>
            <w:r>
              <w:rPr>
                <w:rFonts w:hint="eastAsia" w:ascii="宋体" w:hAnsi="宋体" w:cs="宋体"/>
                <w:color w:val="auto"/>
                <w:szCs w:val="21"/>
              </w:rPr>
              <w:tab/>
            </w:r>
            <w:r>
              <w:rPr>
                <w:rFonts w:hint="eastAsia" w:ascii="宋体" w:hAnsi="宋体" w:cs="宋体"/>
                <w:color w:val="auto"/>
                <w:szCs w:val="21"/>
              </w:rPr>
              <w:t>销售商品</w:t>
            </w:r>
          </w:p>
          <w:p w14:paraId="619BC2A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业务018</w:t>
            </w:r>
            <w:r>
              <w:rPr>
                <w:rFonts w:hint="eastAsia" w:ascii="宋体" w:hAnsi="宋体" w:cs="宋体"/>
                <w:color w:val="auto"/>
                <w:szCs w:val="21"/>
              </w:rPr>
              <w:tab/>
            </w:r>
            <w:r>
              <w:rPr>
                <w:rFonts w:hint="eastAsia" w:ascii="宋体" w:hAnsi="宋体" w:cs="宋体"/>
                <w:color w:val="auto"/>
                <w:szCs w:val="21"/>
              </w:rPr>
              <w:t>购买电动叉车</w:t>
            </w:r>
          </w:p>
          <w:p w14:paraId="2BD3814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业务019</w:t>
            </w:r>
            <w:r>
              <w:rPr>
                <w:rFonts w:hint="eastAsia" w:ascii="宋体" w:hAnsi="宋体" w:cs="宋体"/>
                <w:color w:val="auto"/>
                <w:szCs w:val="21"/>
              </w:rPr>
              <w:tab/>
            </w:r>
            <w:r>
              <w:rPr>
                <w:rFonts w:hint="eastAsia" w:ascii="宋体" w:hAnsi="宋体" w:cs="宋体"/>
                <w:color w:val="auto"/>
                <w:szCs w:val="21"/>
              </w:rPr>
              <w:t>采购包装物</w:t>
            </w:r>
          </w:p>
          <w:p w14:paraId="3C8C2D4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业务020</w:t>
            </w:r>
            <w:r>
              <w:rPr>
                <w:rFonts w:hint="eastAsia" w:ascii="宋体" w:hAnsi="宋体" w:cs="宋体"/>
                <w:color w:val="auto"/>
                <w:szCs w:val="21"/>
              </w:rPr>
              <w:tab/>
            </w:r>
            <w:r>
              <w:rPr>
                <w:rFonts w:hint="eastAsia" w:ascii="宋体" w:hAnsi="宋体" w:cs="宋体"/>
                <w:color w:val="auto"/>
                <w:szCs w:val="21"/>
              </w:rPr>
              <w:t>取得借款</w:t>
            </w:r>
          </w:p>
          <w:p w14:paraId="70E0B6F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业务021</w:t>
            </w:r>
            <w:r>
              <w:rPr>
                <w:rFonts w:hint="eastAsia" w:ascii="宋体" w:hAnsi="宋体" w:cs="宋体"/>
                <w:color w:val="auto"/>
                <w:szCs w:val="21"/>
              </w:rPr>
              <w:tab/>
            </w:r>
            <w:r>
              <w:rPr>
                <w:rFonts w:hint="eastAsia" w:ascii="宋体" w:hAnsi="宋体" w:cs="宋体"/>
                <w:color w:val="auto"/>
                <w:szCs w:val="21"/>
              </w:rPr>
              <w:t>资金划拨</w:t>
            </w:r>
          </w:p>
          <w:p w14:paraId="18AE343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业务022</w:t>
            </w:r>
            <w:r>
              <w:rPr>
                <w:rFonts w:hint="eastAsia" w:ascii="宋体" w:hAnsi="宋体" w:cs="宋体"/>
                <w:color w:val="auto"/>
                <w:szCs w:val="21"/>
              </w:rPr>
              <w:tab/>
            </w:r>
            <w:r>
              <w:rPr>
                <w:rFonts w:hint="eastAsia" w:ascii="宋体" w:hAnsi="宋体" w:cs="宋体"/>
                <w:color w:val="auto"/>
                <w:szCs w:val="21"/>
              </w:rPr>
              <w:t>采购原材料</w:t>
            </w:r>
          </w:p>
          <w:p w14:paraId="5446D6C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业务023</w:t>
            </w:r>
            <w:r>
              <w:rPr>
                <w:rFonts w:hint="eastAsia" w:ascii="宋体" w:hAnsi="宋体" w:cs="宋体"/>
                <w:color w:val="auto"/>
                <w:szCs w:val="21"/>
              </w:rPr>
              <w:tab/>
            </w:r>
            <w:r>
              <w:rPr>
                <w:rFonts w:hint="eastAsia" w:ascii="宋体" w:hAnsi="宋体" w:cs="宋体"/>
                <w:color w:val="auto"/>
                <w:szCs w:val="21"/>
              </w:rPr>
              <w:t>产成品完工入库</w:t>
            </w:r>
          </w:p>
          <w:p w14:paraId="61CDC6F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业务024</w:t>
            </w:r>
            <w:r>
              <w:rPr>
                <w:rFonts w:hint="eastAsia" w:ascii="宋体" w:hAnsi="宋体" w:cs="宋体"/>
                <w:color w:val="auto"/>
                <w:szCs w:val="21"/>
              </w:rPr>
              <w:tab/>
            </w:r>
            <w:r>
              <w:rPr>
                <w:rFonts w:hint="eastAsia" w:ascii="宋体" w:hAnsi="宋体" w:cs="宋体"/>
                <w:color w:val="auto"/>
                <w:szCs w:val="21"/>
              </w:rPr>
              <w:t>销售部员工报销差旅费</w:t>
            </w:r>
          </w:p>
          <w:p w14:paraId="1519B7A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业务025</w:t>
            </w:r>
            <w:r>
              <w:rPr>
                <w:rFonts w:hint="eastAsia" w:ascii="宋体" w:hAnsi="宋体" w:cs="宋体"/>
                <w:color w:val="auto"/>
                <w:szCs w:val="21"/>
              </w:rPr>
              <w:tab/>
            </w:r>
            <w:r>
              <w:rPr>
                <w:rFonts w:hint="eastAsia" w:ascii="宋体" w:hAnsi="宋体" w:cs="宋体"/>
                <w:color w:val="auto"/>
                <w:szCs w:val="21"/>
              </w:rPr>
              <w:t>支付税控专用设备技术维护费</w:t>
            </w:r>
          </w:p>
          <w:p w14:paraId="7778848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业务026</w:t>
            </w:r>
            <w:r>
              <w:rPr>
                <w:rFonts w:hint="eastAsia" w:ascii="宋体" w:hAnsi="宋体" w:cs="宋体"/>
                <w:color w:val="auto"/>
                <w:szCs w:val="21"/>
              </w:rPr>
              <w:tab/>
            </w:r>
            <w:r>
              <w:rPr>
                <w:rFonts w:hint="eastAsia" w:ascii="宋体" w:hAnsi="宋体" w:cs="宋体"/>
                <w:color w:val="auto"/>
                <w:szCs w:val="21"/>
              </w:rPr>
              <w:t>采购原材料</w:t>
            </w:r>
          </w:p>
          <w:p w14:paraId="6462F11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业务027</w:t>
            </w:r>
            <w:r>
              <w:rPr>
                <w:rFonts w:hint="eastAsia" w:ascii="宋体" w:hAnsi="宋体" w:cs="宋体"/>
                <w:color w:val="auto"/>
                <w:szCs w:val="21"/>
              </w:rPr>
              <w:tab/>
            </w:r>
            <w:r>
              <w:rPr>
                <w:rFonts w:hint="eastAsia" w:ascii="宋体" w:hAnsi="宋体" w:cs="宋体"/>
                <w:color w:val="auto"/>
                <w:szCs w:val="21"/>
              </w:rPr>
              <w:t>支付广告费</w:t>
            </w:r>
          </w:p>
          <w:p w14:paraId="7A841B9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业务028</w:t>
            </w:r>
            <w:r>
              <w:rPr>
                <w:rFonts w:hint="eastAsia" w:ascii="宋体" w:hAnsi="宋体" w:cs="宋体"/>
                <w:color w:val="auto"/>
                <w:szCs w:val="21"/>
              </w:rPr>
              <w:tab/>
            </w:r>
            <w:r>
              <w:rPr>
                <w:rFonts w:hint="eastAsia" w:ascii="宋体" w:hAnsi="宋体" w:cs="宋体"/>
                <w:color w:val="auto"/>
                <w:szCs w:val="21"/>
              </w:rPr>
              <w:t>销售商品</w:t>
            </w:r>
          </w:p>
          <w:p w14:paraId="35EE38D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业务029</w:t>
            </w:r>
            <w:r>
              <w:rPr>
                <w:rFonts w:hint="eastAsia" w:ascii="宋体" w:hAnsi="宋体" w:cs="宋体"/>
                <w:color w:val="auto"/>
                <w:szCs w:val="21"/>
              </w:rPr>
              <w:tab/>
            </w:r>
            <w:r>
              <w:rPr>
                <w:rFonts w:hint="eastAsia" w:ascii="宋体" w:hAnsi="宋体" w:cs="宋体"/>
                <w:color w:val="auto"/>
                <w:szCs w:val="21"/>
              </w:rPr>
              <w:t>车间领用低值易耗品</w:t>
            </w:r>
          </w:p>
          <w:p w14:paraId="0F96E33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业务030</w:t>
            </w:r>
            <w:r>
              <w:rPr>
                <w:rFonts w:hint="eastAsia" w:ascii="宋体" w:hAnsi="宋体" w:cs="宋体"/>
                <w:color w:val="auto"/>
                <w:szCs w:val="21"/>
              </w:rPr>
              <w:tab/>
            </w:r>
            <w:r>
              <w:rPr>
                <w:rFonts w:hint="eastAsia" w:ascii="宋体" w:hAnsi="宋体" w:cs="宋体"/>
                <w:color w:val="auto"/>
                <w:szCs w:val="21"/>
              </w:rPr>
              <w:t>管理部门报销业务招待费</w:t>
            </w:r>
          </w:p>
          <w:p w14:paraId="66D663C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业务031</w:t>
            </w:r>
            <w:r>
              <w:rPr>
                <w:rFonts w:hint="eastAsia" w:ascii="宋体" w:hAnsi="宋体" w:cs="宋体"/>
                <w:color w:val="auto"/>
                <w:szCs w:val="21"/>
              </w:rPr>
              <w:tab/>
            </w:r>
            <w:r>
              <w:rPr>
                <w:rFonts w:hint="eastAsia" w:ascii="宋体" w:hAnsi="宋体" w:cs="宋体"/>
                <w:color w:val="auto"/>
                <w:szCs w:val="21"/>
              </w:rPr>
              <w:t>购入股票</w:t>
            </w:r>
          </w:p>
          <w:p w14:paraId="26CFE2B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业务032</w:t>
            </w:r>
            <w:r>
              <w:rPr>
                <w:rFonts w:hint="eastAsia" w:ascii="宋体" w:hAnsi="宋体" w:cs="宋体"/>
                <w:color w:val="auto"/>
                <w:szCs w:val="21"/>
              </w:rPr>
              <w:tab/>
            </w:r>
            <w:r>
              <w:rPr>
                <w:rFonts w:hint="eastAsia" w:ascii="宋体" w:hAnsi="宋体" w:cs="宋体"/>
                <w:color w:val="auto"/>
                <w:szCs w:val="21"/>
              </w:rPr>
              <w:t>退货期满未退货</w:t>
            </w:r>
          </w:p>
          <w:p w14:paraId="6E1D60A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业务033</w:t>
            </w:r>
            <w:r>
              <w:rPr>
                <w:rFonts w:hint="eastAsia" w:ascii="宋体" w:hAnsi="宋体" w:cs="宋体"/>
                <w:color w:val="auto"/>
                <w:szCs w:val="21"/>
              </w:rPr>
              <w:tab/>
            </w:r>
            <w:r>
              <w:rPr>
                <w:rFonts w:hint="eastAsia" w:ascii="宋体" w:hAnsi="宋体" w:cs="宋体"/>
                <w:color w:val="auto"/>
                <w:szCs w:val="21"/>
              </w:rPr>
              <w:t>结转未退货产品成本</w:t>
            </w:r>
          </w:p>
          <w:p w14:paraId="3DE4001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业务034</w:t>
            </w:r>
            <w:r>
              <w:rPr>
                <w:rFonts w:hint="eastAsia" w:ascii="宋体" w:hAnsi="宋体" w:cs="宋体"/>
                <w:color w:val="auto"/>
                <w:szCs w:val="21"/>
              </w:rPr>
              <w:tab/>
            </w:r>
            <w:r>
              <w:rPr>
                <w:rFonts w:hint="eastAsia" w:ascii="宋体" w:hAnsi="宋体" w:cs="宋体"/>
                <w:color w:val="auto"/>
                <w:szCs w:val="21"/>
              </w:rPr>
              <w:t>产成品完工入库</w:t>
            </w:r>
          </w:p>
          <w:p w14:paraId="553FF62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业务035</w:t>
            </w:r>
            <w:r>
              <w:rPr>
                <w:rFonts w:hint="eastAsia" w:ascii="宋体" w:hAnsi="宋体" w:cs="宋体"/>
                <w:color w:val="auto"/>
                <w:szCs w:val="21"/>
              </w:rPr>
              <w:tab/>
            </w:r>
            <w:r>
              <w:rPr>
                <w:rFonts w:hint="eastAsia" w:ascii="宋体" w:hAnsi="宋体" w:cs="宋体"/>
                <w:color w:val="auto"/>
                <w:szCs w:val="21"/>
              </w:rPr>
              <w:t>支付职工培训费</w:t>
            </w:r>
          </w:p>
          <w:p w14:paraId="1FCADC7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业务036</w:t>
            </w:r>
            <w:r>
              <w:rPr>
                <w:rFonts w:hint="eastAsia" w:ascii="宋体" w:hAnsi="宋体" w:cs="宋体"/>
                <w:color w:val="auto"/>
                <w:szCs w:val="21"/>
              </w:rPr>
              <w:tab/>
            </w:r>
            <w:r>
              <w:rPr>
                <w:rFonts w:hint="eastAsia" w:ascii="宋体" w:hAnsi="宋体" w:cs="宋体"/>
                <w:color w:val="auto"/>
                <w:szCs w:val="21"/>
              </w:rPr>
              <w:t>出售股票</w:t>
            </w:r>
          </w:p>
          <w:p w14:paraId="19A997E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业务037</w:t>
            </w:r>
            <w:r>
              <w:rPr>
                <w:rFonts w:hint="eastAsia" w:ascii="宋体" w:hAnsi="宋体" w:cs="宋体"/>
                <w:color w:val="auto"/>
                <w:szCs w:val="21"/>
              </w:rPr>
              <w:tab/>
            </w:r>
            <w:r>
              <w:rPr>
                <w:rFonts w:hint="eastAsia" w:ascii="宋体" w:hAnsi="宋体" w:cs="宋体"/>
                <w:color w:val="auto"/>
                <w:szCs w:val="21"/>
              </w:rPr>
              <w:t>支付管理部门电话费和网络费</w:t>
            </w:r>
          </w:p>
          <w:p w14:paraId="4C1A143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业务038</w:t>
            </w:r>
            <w:r>
              <w:rPr>
                <w:rFonts w:hint="eastAsia" w:ascii="宋体" w:hAnsi="宋体" w:cs="宋体"/>
                <w:color w:val="auto"/>
                <w:szCs w:val="21"/>
              </w:rPr>
              <w:tab/>
            </w:r>
            <w:r>
              <w:rPr>
                <w:rFonts w:hint="eastAsia" w:ascii="宋体" w:hAnsi="宋体" w:cs="宋体"/>
                <w:color w:val="auto"/>
                <w:szCs w:val="21"/>
              </w:rPr>
              <w:t>销售商品</w:t>
            </w:r>
          </w:p>
          <w:p w14:paraId="6965680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业务039</w:t>
            </w:r>
            <w:r>
              <w:rPr>
                <w:rFonts w:hint="eastAsia" w:ascii="宋体" w:hAnsi="宋体" w:cs="宋体"/>
                <w:color w:val="auto"/>
                <w:szCs w:val="21"/>
              </w:rPr>
              <w:tab/>
            </w:r>
            <w:r>
              <w:rPr>
                <w:rFonts w:hint="eastAsia" w:ascii="宋体" w:hAnsi="宋体" w:cs="宋体"/>
                <w:color w:val="auto"/>
                <w:szCs w:val="21"/>
              </w:rPr>
              <w:t>银行承兑汇票到期承兑</w:t>
            </w:r>
          </w:p>
          <w:p w14:paraId="2DE20AC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业务040</w:t>
            </w:r>
            <w:r>
              <w:rPr>
                <w:rFonts w:hint="eastAsia" w:ascii="宋体" w:hAnsi="宋体" w:cs="宋体"/>
                <w:color w:val="auto"/>
                <w:szCs w:val="21"/>
              </w:rPr>
              <w:tab/>
            </w:r>
            <w:r>
              <w:rPr>
                <w:rFonts w:hint="eastAsia" w:ascii="宋体" w:hAnsi="宋体" w:cs="宋体"/>
                <w:color w:val="auto"/>
                <w:szCs w:val="21"/>
              </w:rPr>
              <w:t>产成品完工入库</w:t>
            </w:r>
          </w:p>
          <w:p w14:paraId="21DDA17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业务041</w:t>
            </w:r>
            <w:r>
              <w:rPr>
                <w:rFonts w:hint="eastAsia" w:ascii="宋体" w:hAnsi="宋体" w:cs="宋体"/>
                <w:color w:val="auto"/>
                <w:szCs w:val="21"/>
              </w:rPr>
              <w:tab/>
            </w:r>
            <w:r>
              <w:rPr>
                <w:rFonts w:hint="eastAsia" w:ascii="宋体" w:hAnsi="宋体" w:cs="宋体"/>
                <w:color w:val="auto"/>
                <w:szCs w:val="21"/>
              </w:rPr>
              <w:t>缴纳各项税费</w:t>
            </w:r>
          </w:p>
          <w:p w14:paraId="79BED76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业务042</w:t>
            </w:r>
            <w:r>
              <w:rPr>
                <w:rFonts w:hint="eastAsia" w:ascii="宋体" w:hAnsi="宋体" w:cs="宋体"/>
                <w:color w:val="auto"/>
                <w:szCs w:val="21"/>
              </w:rPr>
              <w:tab/>
            </w:r>
            <w:r>
              <w:rPr>
                <w:rFonts w:hint="eastAsia" w:ascii="宋体" w:hAnsi="宋体" w:cs="宋体"/>
                <w:color w:val="auto"/>
                <w:szCs w:val="21"/>
              </w:rPr>
              <w:t>发放上月工资</w:t>
            </w:r>
          </w:p>
          <w:p w14:paraId="5E70B52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业务043</w:t>
            </w:r>
            <w:r>
              <w:rPr>
                <w:rFonts w:hint="eastAsia" w:ascii="宋体" w:hAnsi="宋体" w:cs="宋体"/>
                <w:color w:val="auto"/>
                <w:szCs w:val="21"/>
              </w:rPr>
              <w:tab/>
            </w:r>
            <w:r>
              <w:rPr>
                <w:rFonts w:hint="eastAsia" w:ascii="宋体" w:hAnsi="宋体" w:cs="宋体"/>
                <w:color w:val="auto"/>
                <w:szCs w:val="21"/>
              </w:rPr>
              <w:t>支付前欠货款</w:t>
            </w:r>
          </w:p>
          <w:p w14:paraId="60F0883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业务044</w:t>
            </w:r>
            <w:r>
              <w:rPr>
                <w:rFonts w:hint="eastAsia" w:ascii="宋体" w:hAnsi="宋体" w:cs="宋体"/>
                <w:color w:val="auto"/>
                <w:szCs w:val="21"/>
              </w:rPr>
              <w:tab/>
            </w:r>
            <w:r>
              <w:rPr>
                <w:rFonts w:hint="eastAsia" w:ascii="宋体" w:hAnsi="宋体" w:cs="宋体"/>
                <w:color w:val="auto"/>
                <w:szCs w:val="21"/>
              </w:rPr>
              <w:t>销售部报销办公用品费</w:t>
            </w:r>
          </w:p>
          <w:p w14:paraId="6E33ABB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业务045</w:t>
            </w:r>
            <w:r>
              <w:rPr>
                <w:rFonts w:hint="eastAsia" w:ascii="宋体" w:hAnsi="宋体" w:cs="宋体"/>
                <w:color w:val="auto"/>
                <w:szCs w:val="21"/>
              </w:rPr>
              <w:tab/>
            </w:r>
            <w:r>
              <w:rPr>
                <w:rFonts w:hint="eastAsia" w:ascii="宋体" w:hAnsi="宋体" w:cs="宋体"/>
                <w:color w:val="auto"/>
                <w:szCs w:val="21"/>
              </w:rPr>
              <w:t>缴纳本月住房公积金</w:t>
            </w:r>
          </w:p>
          <w:p w14:paraId="4764D8B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业务046</w:t>
            </w:r>
            <w:r>
              <w:rPr>
                <w:rFonts w:hint="eastAsia" w:ascii="宋体" w:hAnsi="宋体" w:cs="宋体"/>
                <w:color w:val="auto"/>
                <w:szCs w:val="21"/>
              </w:rPr>
              <w:tab/>
            </w:r>
            <w:r>
              <w:rPr>
                <w:rFonts w:hint="eastAsia" w:ascii="宋体" w:hAnsi="宋体" w:cs="宋体"/>
                <w:color w:val="auto"/>
                <w:szCs w:val="21"/>
              </w:rPr>
              <w:t>缴纳本月社会保险费</w:t>
            </w:r>
          </w:p>
          <w:p w14:paraId="5162ECD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业务047</w:t>
            </w:r>
            <w:r>
              <w:rPr>
                <w:rFonts w:hint="eastAsia" w:ascii="宋体" w:hAnsi="宋体" w:cs="宋体"/>
                <w:color w:val="auto"/>
                <w:szCs w:val="21"/>
              </w:rPr>
              <w:tab/>
            </w:r>
            <w:r>
              <w:rPr>
                <w:rFonts w:hint="eastAsia" w:ascii="宋体" w:hAnsi="宋体" w:cs="宋体"/>
                <w:color w:val="auto"/>
                <w:szCs w:val="21"/>
              </w:rPr>
              <w:t>拨交上月工会经费</w:t>
            </w:r>
          </w:p>
          <w:p w14:paraId="51CE77D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业务048</w:t>
            </w:r>
            <w:r>
              <w:rPr>
                <w:rFonts w:hint="eastAsia" w:ascii="宋体" w:hAnsi="宋体" w:cs="宋体"/>
                <w:color w:val="auto"/>
                <w:szCs w:val="21"/>
              </w:rPr>
              <w:tab/>
            </w:r>
            <w:r>
              <w:rPr>
                <w:rFonts w:hint="eastAsia" w:ascii="宋体" w:hAnsi="宋体" w:cs="宋体"/>
                <w:color w:val="auto"/>
                <w:szCs w:val="21"/>
              </w:rPr>
              <w:t>支付委托外部机构研发费</w:t>
            </w:r>
          </w:p>
          <w:p w14:paraId="25EBB52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业务049</w:t>
            </w:r>
            <w:r>
              <w:rPr>
                <w:rFonts w:hint="eastAsia" w:ascii="宋体" w:hAnsi="宋体" w:cs="宋体"/>
                <w:color w:val="auto"/>
                <w:szCs w:val="21"/>
              </w:rPr>
              <w:tab/>
            </w:r>
            <w:r>
              <w:rPr>
                <w:rFonts w:hint="eastAsia" w:ascii="宋体" w:hAnsi="宋体" w:cs="宋体"/>
                <w:color w:val="auto"/>
                <w:szCs w:val="21"/>
              </w:rPr>
              <w:t>产成品完工入库</w:t>
            </w:r>
          </w:p>
          <w:p w14:paraId="6D58FC8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业务050</w:t>
            </w:r>
            <w:r>
              <w:rPr>
                <w:rFonts w:hint="eastAsia" w:ascii="宋体" w:hAnsi="宋体" w:cs="宋体"/>
                <w:color w:val="auto"/>
                <w:szCs w:val="21"/>
              </w:rPr>
              <w:tab/>
            </w:r>
            <w:r>
              <w:rPr>
                <w:rFonts w:hint="eastAsia" w:ascii="宋体" w:hAnsi="宋体" w:cs="宋体"/>
                <w:color w:val="auto"/>
                <w:szCs w:val="21"/>
              </w:rPr>
              <w:t>银行存款利息收入</w:t>
            </w:r>
          </w:p>
          <w:p w14:paraId="1BDF29B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业务051</w:t>
            </w:r>
            <w:r>
              <w:rPr>
                <w:rFonts w:hint="eastAsia" w:ascii="宋体" w:hAnsi="宋体" w:cs="宋体"/>
                <w:color w:val="auto"/>
                <w:szCs w:val="21"/>
              </w:rPr>
              <w:tab/>
            </w:r>
            <w:r>
              <w:rPr>
                <w:rFonts w:hint="eastAsia" w:ascii="宋体" w:hAnsi="宋体" w:cs="宋体"/>
                <w:color w:val="auto"/>
                <w:szCs w:val="21"/>
              </w:rPr>
              <w:t>支付借款利息</w:t>
            </w:r>
          </w:p>
          <w:p w14:paraId="55D7661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业务052</w:t>
            </w:r>
            <w:r>
              <w:rPr>
                <w:rFonts w:hint="eastAsia" w:ascii="宋体" w:hAnsi="宋体" w:cs="宋体"/>
                <w:color w:val="auto"/>
                <w:szCs w:val="21"/>
              </w:rPr>
              <w:tab/>
            </w:r>
            <w:r>
              <w:rPr>
                <w:rFonts w:hint="eastAsia" w:ascii="宋体" w:hAnsi="宋体" w:cs="宋体"/>
                <w:color w:val="auto"/>
                <w:szCs w:val="21"/>
              </w:rPr>
              <w:t>预收货款</w:t>
            </w:r>
          </w:p>
          <w:p w14:paraId="68E687A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业务053</w:t>
            </w:r>
            <w:r>
              <w:rPr>
                <w:rFonts w:hint="eastAsia" w:ascii="宋体" w:hAnsi="宋体" w:cs="宋体"/>
                <w:color w:val="auto"/>
                <w:szCs w:val="21"/>
              </w:rPr>
              <w:tab/>
            </w:r>
            <w:r>
              <w:rPr>
                <w:rFonts w:hint="eastAsia" w:ascii="宋体" w:hAnsi="宋体" w:cs="宋体"/>
                <w:color w:val="auto"/>
                <w:szCs w:val="21"/>
              </w:rPr>
              <w:t>银行承兑汇票贴现</w:t>
            </w:r>
          </w:p>
          <w:p w14:paraId="051B696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业务054</w:t>
            </w:r>
            <w:r>
              <w:rPr>
                <w:rFonts w:hint="eastAsia" w:ascii="宋体" w:hAnsi="宋体" w:cs="宋体"/>
                <w:color w:val="auto"/>
                <w:szCs w:val="21"/>
              </w:rPr>
              <w:tab/>
            </w:r>
            <w:r>
              <w:rPr>
                <w:rFonts w:hint="eastAsia" w:ascii="宋体" w:hAnsi="宋体" w:cs="宋体"/>
                <w:color w:val="auto"/>
                <w:szCs w:val="21"/>
              </w:rPr>
              <w:t>支付职工聚餐费</w:t>
            </w:r>
          </w:p>
          <w:p w14:paraId="3B12F5C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业务055</w:t>
            </w:r>
            <w:r>
              <w:rPr>
                <w:rFonts w:hint="eastAsia" w:ascii="宋体" w:hAnsi="宋体" w:cs="宋体"/>
                <w:color w:val="auto"/>
                <w:szCs w:val="21"/>
              </w:rPr>
              <w:tab/>
            </w:r>
            <w:r>
              <w:rPr>
                <w:rFonts w:hint="eastAsia" w:ascii="宋体" w:hAnsi="宋体" w:cs="宋体"/>
                <w:color w:val="auto"/>
                <w:szCs w:val="21"/>
              </w:rPr>
              <w:t>销售商品并垫付运费</w:t>
            </w:r>
          </w:p>
          <w:p w14:paraId="1387590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业务056</w:t>
            </w:r>
            <w:r>
              <w:rPr>
                <w:rFonts w:hint="eastAsia" w:ascii="宋体" w:hAnsi="宋体" w:cs="宋体"/>
                <w:color w:val="auto"/>
                <w:szCs w:val="21"/>
              </w:rPr>
              <w:tab/>
            </w:r>
            <w:r>
              <w:rPr>
                <w:rFonts w:hint="eastAsia" w:ascii="宋体" w:hAnsi="宋体" w:cs="宋体"/>
                <w:color w:val="auto"/>
                <w:szCs w:val="21"/>
              </w:rPr>
              <w:t>产成品完工入库</w:t>
            </w:r>
          </w:p>
          <w:p w14:paraId="2BBE131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业务057</w:t>
            </w:r>
            <w:r>
              <w:rPr>
                <w:rFonts w:hint="eastAsia" w:ascii="宋体" w:hAnsi="宋体" w:cs="宋体"/>
                <w:color w:val="auto"/>
                <w:szCs w:val="21"/>
              </w:rPr>
              <w:tab/>
            </w:r>
            <w:r>
              <w:rPr>
                <w:rFonts w:hint="eastAsia" w:ascii="宋体" w:hAnsi="宋体" w:cs="宋体"/>
                <w:color w:val="auto"/>
                <w:szCs w:val="21"/>
              </w:rPr>
              <w:t>提备用金</w:t>
            </w:r>
          </w:p>
          <w:p w14:paraId="48B19F0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业务058</w:t>
            </w:r>
            <w:r>
              <w:rPr>
                <w:rFonts w:hint="eastAsia" w:ascii="宋体" w:hAnsi="宋体" w:cs="宋体"/>
                <w:color w:val="auto"/>
                <w:szCs w:val="21"/>
              </w:rPr>
              <w:tab/>
            </w:r>
            <w:r>
              <w:rPr>
                <w:rFonts w:hint="eastAsia" w:ascii="宋体" w:hAnsi="宋体" w:cs="宋体"/>
                <w:color w:val="auto"/>
                <w:szCs w:val="21"/>
              </w:rPr>
              <w:t>银行承兑汇票背书转让</w:t>
            </w:r>
          </w:p>
          <w:p w14:paraId="609D5C0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业务059</w:t>
            </w:r>
            <w:r>
              <w:rPr>
                <w:rFonts w:hint="eastAsia" w:ascii="宋体" w:hAnsi="宋体" w:cs="宋体"/>
                <w:color w:val="auto"/>
                <w:szCs w:val="21"/>
              </w:rPr>
              <w:tab/>
            </w:r>
            <w:r>
              <w:rPr>
                <w:rFonts w:hint="eastAsia" w:ascii="宋体" w:hAnsi="宋体" w:cs="宋体"/>
                <w:color w:val="auto"/>
                <w:szCs w:val="21"/>
              </w:rPr>
              <w:t>债务重组</w:t>
            </w:r>
          </w:p>
          <w:p w14:paraId="1C394DF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业务060</w:t>
            </w:r>
            <w:r>
              <w:rPr>
                <w:rFonts w:hint="eastAsia" w:ascii="宋体" w:hAnsi="宋体" w:cs="宋体"/>
                <w:color w:val="auto"/>
                <w:szCs w:val="21"/>
              </w:rPr>
              <w:tab/>
            </w:r>
            <w:r>
              <w:rPr>
                <w:rFonts w:hint="eastAsia" w:ascii="宋体" w:hAnsi="宋体" w:cs="宋体"/>
                <w:color w:val="auto"/>
                <w:szCs w:val="21"/>
              </w:rPr>
              <w:t>购入股票</w:t>
            </w:r>
          </w:p>
          <w:p w14:paraId="4A8A622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业务061</w:t>
            </w:r>
            <w:r>
              <w:rPr>
                <w:rFonts w:hint="eastAsia" w:ascii="宋体" w:hAnsi="宋体" w:cs="宋体"/>
                <w:color w:val="auto"/>
                <w:szCs w:val="21"/>
              </w:rPr>
              <w:tab/>
            </w:r>
            <w:r>
              <w:rPr>
                <w:rFonts w:hint="eastAsia" w:ascii="宋体" w:hAnsi="宋体" w:cs="宋体"/>
                <w:color w:val="auto"/>
                <w:szCs w:val="21"/>
              </w:rPr>
              <w:t>支付并分配水费</w:t>
            </w:r>
          </w:p>
          <w:p w14:paraId="2C294A7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业务062</w:t>
            </w:r>
            <w:r>
              <w:rPr>
                <w:rFonts w:hint="eastAsia" w:ascii="宋体" w:hAnsi="宋体" w:cs="宋体"/>
                <w:color w:val="auto"/>
                <w:szCs w:val="21"/>
              </w:rPr>
              <w:tab/>
            </w:r>
            <w:r>
              <w:rPr>
                <w:rFonts w:hint="eastAsia" w:ascii="宋体" w:hAnsi="宋体" w:cs="宋体"/>
                <w:color w:val="auto"/>
                <w:szCs w:val="21"/>
              </w:rPr>
              <w:t>支付并分配电费</w:t>
            </w:r>
          </w:p>
          <w:p w14:paraId="6C20ACB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业务063</w:t>
            </w:r>
            <w:r>
              <w:rPr>
                <w:rFonts w:hint="eastAsia" w:ascii="宋体" w:hAnsi="宋体" w:cs="宋体"/>
                <w:color w:val="auto"/>
                <w:szCs w:val="21"/>
              </w:rPr>
              <w:tab/>
            </w:r>
            <w:r>
              <w:rPr>
                <w:rFonts w:hint="eastAsia" w:ascii="宋体" w:hAnsi="宋体" w:cs="宋体"/>
                <w:color w:val="auto"/>
                <w:szCs w:val="21"/>
              </w:rPr>
              <w:t>产成品完工入库</w:t>
            </w:r>
          </w:p>
          <w:p w14:paraId="62EC75A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业务064</w:t>
            </w:r>
            <w:r>
              <w:rPr>
                <w:rFonts w:hint="eastAsia" w:ascii="宋体" w:hAnsi="宋体" w:cs="宋体"/>
                <w:color w:val="auto"/>
                <w:szCs w:val="21"/>
              </w:rPr>
              <w:tab/>
            </w:r>
            <w:r>
              <w:rPr>
                <w:rFonts w:hint="eastAsia" w:ascii="宋体" w:hAnsi="宋体" w:cs="宋体"/>
                <w:color w:val="auto"/>
                <w:szCs w:val="21"/>
              </w:rPr>
              <w:t>销售退回</w:t>
            </w:r>
          </w:p>
          <w:p w14:paraId="4B87690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业务065</w:t>
            </w:r>
            <w:r>
              <w:rPr>
                <w:rFonts w:hint="eastAsia" w:ascii="宋体" w:hAnsi="宋体" w:cs="宋体"/>
                <w:color w:val="auto"/>
                <w:szCs w:val="21"/>
              </w:rPr>
              <w:tab/>
            </w:r>
            <w:r>
              <w:rPr>
                <w:rFonts w:hint="eastAsia" w:ascii="宋体" w:hAnsi="宋体" w:cs="宋体"/>
                <w:color w:val="auto"/>
                <w:szCs w:val="21"/>
              </w:rPr>
              <w:t>计提借款利息</w:t>
            </w:r>
          </w:p>
          <w:p w14:paraId="03C5D2B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业务066</w:t>
            </w:r>
            <w:r>
              <w:rPr>
                <w:rFonts w:hint="eastAsia" w:ascii="宋体" w:hAnsi="宋体" w:cs="宋体"/>
                <w:color w:val="auto"/>
                <w:szCs w:val="21"/>
              </w:rPr>
              <w:tab/>
            </w:r>
            <w:r>
              <w:rPr>
                <w:rFonts w:hint="eastAsia" w:ascii="宋体" w:hAnsi="宋体" w:cs="宋体"/>
                <w:color w:val="auto"/>
                <w:szCs w:val="21"/>
              </w:rPr>
              <w:t>计提坏账准备</w:t>
            </w:r>
          </w:p>
          <w:p w14:paraId="7EFD47B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业务068</w:t>
            </w:r>
            <w:r>
              <w:rPr>
                <w:rFonts w:hint="eastAsia" w:ascii="宋体" w:hAnsi="宋体" w:cs="宋体"/>
                <w:color w:val="auto"/>
                <w:szCs w:val="21"/>
              </w:rPr>
              <w:tab/>
            </w:r>
            <w:r>
              <w:rPr>
                <w:rFonts w:hint="eastAsia" w:ascii="宋体" w:hAnsi="宋体" w:cs="宋体"/>
                <w:color w:val="auto"/>
                <w:szCs w:val="21"/>
              </w:rPr>
              <w:t>计提固定资产折旧</w:t>
            </w:r>
          </w:p>
          <w:p w14:paraId="1CCA3CA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业务067</w:t>
            </w:r>
            <w:r>
              <w:rPr>
                <w:rFonts w:hint="eastAsia" w:ascii="宋体" w:hAnsi="宋体" w:cs="宋体"/>
                <w:color w:val="auto"/>
                <w:szCs w:val="21"/>
              </w:rPr>
              <w:tab/>
            </w:r>
            <w:r>
              <w:rPr>
                <w:rFonts w:hint="eastAsia" w:ascii="宋体" w:hAnsi="宋体" w:cs="宋体"/>
                <w:color w:val="auto"/>
                <w:szCs w:val="21"/>
              </w:rPr>
              <w:t>计提投资性房地产折旧</w:t>
            </w:r>
          </w:p>
          <w:p w14:paraId="7C1DA8D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业务069</w:t>
            </w:r>
            <w:r>
              <w:rPr>
                <w:rFonts w:hint="eastAsia" w:ascii="宋体" w:hAnsi="宋体" w:cs="宋体"/>
                <w:color w:val="auto"/>
                <w:szCs w:val="21"/>
              </w:rPr>
              <w:tab/>
            </w:r>
            <w:r>
              <w:rPr>
                <w:rFonts w:hint="eastAsia" w:ascii="宋体" w:hAnsi="宋体" w:cs="宋体"/>
                <w:color w:val="auto"/>
                <w:szCs w:val="21"/>
              </w:rPr>
              <w:t>无形资产摊销</w:t>
            </w:r>
          </w:p>
          <w:p w14:paraId="3662EA5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业务070</w:t>
            </w:r>
            <w:r>
              <w:rPr>
                <w:rFonts w:hint="eastAsia" w:ascii="宋体" w:hAnsi="宋体" w:cs="宋体"/>
                <w:color w:val="auto"/>
                <w:szCs w:val="21"/>
              </w:rPr>
              <w:tab/>
            </w:r>
            <w:r>
              <w:rPr>
                <w:rFonts w:hint="eastAsia" w:ascii="宋体" w:hAnsi="宋体" w:cs="宋体"/>
                <w:color w:val="auto"/>
                <w:szCs w:val="21"/>
              </w:rPr>
              <w:t>计提应代扣个人所得税</w:t>
            </w:r>
          </w:p>
          <w:p w14:paraId="279AA7D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业务071</w:t>
            </w:r>
            <w:r>
              <w:rPr>
                <w:rFonts w:hint="eastAsia" w:ascii="宋体" w:hAnsi="宋体" w:cs="宋体"/>
                <w:color w:val="auto"/>
                <w:szCs w:val="21"/>
              </w:rPr>
              <w:tab/>
            </w:r>
            <w:r>
              <w:rPr>
                <w:rFonts w:hint="eastAsia" w:ascii="宋体" w:hAnsi="宋体" w:cs="宋体"/>
                <w:color w:val="auto"/>
                <w:szCs w:val="21"/>
              </w:rPr>
              <w:t>分配职工薪酬</w:t>
            </w:r>
          </w:p>
          <w:p w14:paraId="78725DD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业务072</w:t>
            </w:r>
            <w:r>
              <w:rPr>
                <w:rFonts w:hint="eastAsia" w:ascii="宋体" w:hAnsi="宋体" w:cs="宋体"/>
                <w:color w:val="auto"/>
                <w:szCs w:val="21"/>
              </w:rPr>
              <w:tab/>
            </w:r>
            <w:r>
              <w:rPr>
                <w:rFonts w:hint="eastAsia" w:ascii="宋体" w:hAnsi="宋体" w:cs="宋体"/>
                <w:color w:val="auto"/>
                <w:szCs w:val="21"/>
              </w:rPr>
              <w:t>分配职工福利费</w:t>
            </w:r>
          </w:p>
          <w:p w14:paraId="618A65B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业务073</w:t>
            </w:r>
            <w:r>
              <w:rPr>
                <w:rFonts w:hint="eastAsia" w:ascii="宋体" w:hAnsi="宋体" w:cs="宋体"/>
                <w:color w:val="auto"/>
                <w:szCs w:val="21"/>
              </w:rPr>
              <w:tab/>
            </w:r>
            <w:r>
              <w:rPr>
                <w:rFonts w:hint="eastAsia" w:ascii="宋体" w:hAnsi="宋体" w:cs="宋体"/>
                <w:color w:val="auto"/>
                <w:szCs w:val="21"/>
              </w:rPr>
              <w:t>分配职工教育经费</w:t>
            </w:r>
          </w:p>
          <w:p w14:paraId="5277AEA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业务074</w:t>
            </w:r>
            <w:r>
              <w:rPr>
                <w:rFonts w:hint="eastAsia" w:ascii="宋体" w:hAnsi="宋体" w:cs="宋体"/>
                <w:color w:val="auto"/>
                <w:szCs w:val="21"/>
              </w:rPr>
              <w:tab/>
            </w:r>
            <w:r>
              <w:rPr>
                <w:rFonts w:hint="eastAsia" w:ascii="宋体" w:hAnsi="宋体" w:cs="宋体"/>
                <w:color w:val="auto"/>
                <w:szCs w:val="21"/>
              </w:rPr>
              <w:t>分配并结转制造费用</w:t>
            </w:r>
          </w:p>
          <w:p w14:paraId="5A9C89B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业务075</w:t>
            </w:r>
            <w:r>
              <w:rPr>
                <w:rFonts w:hint="eastAsia" w:ascii="宋体" w:hAnsi="宋体" w:cs="宋体"/>
                <w:color w:val="auto"/>
                <w:szCs w:val="21"/>
              </w:rPr>
              <w:tab/>
            </w:r>
            <w:r>
              <w:rPr>
                <w:rFonts w:hint="eastAsia" w:ascii="宋体" w:hAnsi="宋体" w:cs="宋体"/>
                <w:color w:val="auto"/>
                <w:szCs w:val="21"/>
              </w:rPr>
              <w:t>结转研发支出费用</w:t>
            </w:r>
          </w:p>
          <w:p w14:paraId="7B2DA48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业务076</w:t>
            </w:r>
            <w:r>
              <w:rPr>
                <w:rFonts w:hint="eastAsia" w:ascii="宋体" w:hAnsi="宋体" w:cs="宋体"/>
                <w:color w:val="auto"/>
                <w:szCs w:val="21"/>
              </w:rPr>
              <w:tab/>
            </w:r>
            <w:r>
              <w:rPr>
                <w:rFonts w:hint="eastAsia" w:ascii="宋体" w:hAnsi="宋体" w:cs="宋体"/>
                <w:color w:val="auto"/>
                <w:szCs w:val="21"/>
              </w:rPr>
              <w:t>分配结转发出材料计划成本</w:t>
            </w:r>
          </w:p>
          <w:p w14:paraId="505BF70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业务077</w:t>
            </w:r>
            <w:r>
              <w:rPr>
                <w:rFonts w:hint="eastAsia" w:ascii="宋体" w:hAnsi="宋体" w:cs="宋体"/>
                <w:color w:val="auto"/>
                <w:szCs w:val="21"/>
              </w:rPr>
              <w:tab/>
            </w:r>
            <w:r>
              <w:rPr>
                <w:rFonts w:hint="eastAsia" w:ascii="宋体" w:hAnsi="宋体" w:cs="宋体"/>
                <w:color w:val="auto"/>
                <w:szCs w:val="21"/>
              </w:rPr>
              <w:t>结转发出材料成本差异</w:t>
            </w:r>
          </w:p>
          <w:p w14:paraId="0EE694A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业务078</w:t>
            </w:r>
            <w:r>
              <w:rPr>
                <w:rFonts w:hint="eastAsia" w:ascii="宋体" w:hAnsi="宋体" w:cs="宋体"/>
                <w:color w:val="auto"/>
                <w:szCs w:val="21"/>
              </w:rPr>
              <w:tab/>
            </w:r>
            <w:r>
              <w:rPr>
                <w:rFonts w:hint="eastAsia" w:ascii="宋体" w:hAnsi="宋体" w:cs="宋体"/>
                <w:color w:val="auto"/>
                <w:szCs w:val="21"/>
              </w:rPr>
              <w:t>结转发出包装物成本</w:t>
            </w:r>
          </w:p>
          <w:p w14:paraId="0B12D92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业务079</w:t>
            </w:r>
            <w:r>
              <w:rPr>
                <w:rFonts w:hint="eastAsia" w:ascii="宋体" w:hAnsi="宋体" w:cs="宋体"/>
                <w:color w:val="auto"/>
                <w:szCs w:val="21"/>
              </w:rPr>
              <w:tab/>
            </w:r>
            <w:r>
              <w:rPr>
                <w:rFonts w:hint="eastAsia" w:ascii="宋体" w:hAnsi="宋体" w:cs="宋体"/>
                <w:color w:val="auto"/>
                <w:szCs w:val="21"/>
              </w:rPr>
              <w:t>结转裁剪车间完工半成品成本</w:t>
            </w:r>
          </w:p>
          <w:p w14:paraId="70A3C73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业务080</w:t>
            </w:r>
            <w:r>
              <w:rPr>
                <w:rFonts w:hint="eastAsia" w:ascii="宋体" w:hAnsi="宋体" w:cs="宋体"/>
                <w:color w:val="auto"/>
                <w:szCs w:val="21"/>
              </w:rPr>
              <w:tab/>
            </w:r>
            <w:r>
              <w:rPr>
                <w:rFonts w:hint="eastAsia" w:ascii="宋体" w:hAnsi="宋体" w:cs="宋体"/>
                <w:color w:val="auto"/>
                <w:szCs w:val="21"/>
              </w:rPr>
              <w:t>缝制车间领用半成品</w:t>
            </w:r>
          </w:p>
          <w:p w14:paraId="3F5990C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业务081</w:t>
            </w:r>
            <w:r>
              <w:rPr>
                <w:rFonts w:hint="eastAsia" w:ascii="宋体" w:hAnsi="宋体" w:cs="宋体"/>
                <w:color w:val="auto"/>
                <w:szCs w:val="21"/>
              </w:rPr>
              <w:tab/>
            </w:r>
            <w:r>
              <w:rPr>
                <w:rFonts w:hint="eastAsia" w:ascii="宋体" w:hAnsi="宋体" w:cs="宋体"/>
                <w:color w:val="auto"/>
                <w:szCs w:val="21"/>
              </w:rPr>
              <w:t>结转缝制车间完工半成品成本</w:t>
            </w:r>
          </w:p>
          <w:p w14:paraId="5462232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业务082</w:t>
            </w:r>
            <w:r>
              <w:rPr>
                <w:rFonts w:hint="eastAsia" w:ascii="宋体" w:hAnsi="宋体" w:cs="宋体"/>
                <w:color w:val="auto"/>
                <w:szCs w:val="21"/>
              </w:rPr>
              <w:tab/>
            </w:r>
            <w:r>
              <w:rPr>
                <w:rFonts w:hint="eastAsia" w:ascii="宋体" w:hAnsi="宋体" w:cs="宋体"/>
                <w:color w:val="auto"/>
                <w:szCs w:val="21"/>
              </w:rPr>
              <w:t>整理车间领用半成品</w:t>
            </w:r>
          </w:p>
          <w:p w14:paraId="6AF79AB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业务083</w:t>
            </w:r>
            <w:r>
              <w:rPr>
                <w:rFonts w:hint="eastAsia" w:ascii="宋体" w:hAnsi="宋体" w:cs="宋体"/>
                <w:color w:val="auto"/>
                <w:szCs w:val="21"/>
              </w:rPr>
              <w:tab/>
            </w:r>
            <w:r>
              <w:rPr>
                <w:rFonts w:hint="eastAsia" w:ascii="宋体" w:hAnsi="宋体" w:cs="宋体"/>
                <w:color w:val="auto"/>
                <w:szCs w:val="21"/>
              </w:rPr>
              <w:t>结转整理车间完工产品成本</w:t>
            </w:r>
          </w:p>
          <w:p w14:paraId="5F5719F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业务084</w:t>
            </w:r>
            <w:r>
              <w:rPr>
                <w:rFonts w:hint="eastAsia" w:ascii="宋体" w:hAnsi="宋体" w:cs="宋体"/>
                <w:color w:val="auto"/>
                <w:szCs w:val="21"/>
              </w:rPr>
              <w:tab/>
            </w:r>
            <w:r>
              <w:rPr>
                <w:rFonts w:hint="eastAsia" w:ascii="宋体" w:hAnsi="宋体" w:cs="宋体"/>
                <w:color w:val="auto"/>
                <w:szCs w:val="21"/>
              </w:rPr>
              <w:t>结转销售产品成本</w:t>
            </w:r>
          </w:p>
          <w:p w14:paraId="35C3329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业务085</w:t>
            </w:r>
            <w:r>
              <w:rPr>
                <w:rFonts w:hint="eastAsia" w:ascii="宋体" w:hAnsi="宋体" w:cs="宋体"/>
                <w:color w:val="auto"/>
                <w:szCs w:val="21"/>
              </w:rPr>
              <w:tab/>
            </w:r>
            <w:r>
              <w:rPr>
                <w:rFonts w:hint="eastAsia" w:ascii="宋体" w:hAnsi="宋体" w:cs="宋体"/>
                <w:color w:val="auto"/>
                <w:szCs w:val="21"/>
              </w:rPr>
              <w:t>原材料盘亏</w:t>
            </w:r>
          </w:p>
          <w:p w14:paraId="4E4A254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业务086</w:t>
            </w:r>
            <w:r>
              <w:rPr>
                <w:rFonts w:hint="eastAsia" w:ascii="宋体" w:hAnsi="宋体" w:cs="宋体"/>
                <w:color w:val="auto"/>
                <w:szCs w:val="21"/>
              </w:rPr>
              <w:tab/>
            </w:r>
            <w:r>
              <w:rPr>
                <w:rFonts w:hint="eastAsia" w:ascii="宋体" w:hAnsi="宋体" w:cs="宋体"/>
                <w:color w:val="auto"/>
                <w:szCs w:val="21"/>
              </w:rPr>
              <w:t>原材料盘亏批准处理</w:t>
            </w:r>
          </w:p>
          <w:p w14:paraId="5C3B9B6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业务087</w:t>
            </w:r>
            <w:r>
              <w:rPr>
                <w:rFonts w:hint="eastAsia" w:ascii="宋体" w:hAnsi="宋体" w:cs="宋体"/>
                <w:color w:val="auto"/>
                <w:szCs w:val="21"/>
              </w:rPr>
              <w:tab/>
            </w:r>
            <w:r>
              <w:rPr>
                <w:rFonts w:hint="eastAsia" w:ascii="宋体" w:hAnsi="宋体" w:cs="宋体"/>
                <w:color w:val="auto"/>
                <w:szCs w:val="21"/>
              </w:rPr>
              <w:t>税控专用设备技术维护费减免</w:t>
            </w:r>
          </w:p>
          <w:p w14:paraId="0EC76BB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业务088</w:t>
            </w:r>
            <w:r>
              <w:rPr>
                <w:rFonts w:hint="eastAsia" w:ascii="宋体" w:hAnsi="宋体" w:cs="宋体"/>
                <w:color w:val="auto"/>
                <w:szCs w:val="21"/>
              </w:rPr>
              <w:tab/>
            </w:r>
            <w:r>
              <w:rPr>
                <w:rFonts w:hint="eastAsia" w:ascii="宋体" w:hAnsi="宋体" w:cs="宋体"/>
                <w:color w:val="auto"/>
                <w:szCs w:val="21"/>
              </w:rPr>
              <w:t>转出未交增值税</w:t>
            </w:r>
          </w:p>
          <w:p w14:paraId="0168F50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业务089</w:t>
            </w:r>
            <w:r>
              <w:rPr>
                <w:rFonts w:hint="eastAsia" w:ascii="宋体" w:hAnsi="宋体" w:cs="宋体"/>
                <w:color w:val="auto"/>
                <w:szCs w:val="21"/>
              </w:rPr>
              <w:tab/>
            </w:r>
            <w:r>
              <w:rPr>
                <w:rFonts w:hint="eastAsia" w:ascii="宋体" w:hAnsi="宋体" w:cs="宋体"/>
                <w:color w:val="auto"/>
                <w:szCs w:val="21"/>
              </w:rPr>
              <w:t>计提转让金融商品应交增值税</w:t>
            </w:r>
          </w:p>
          <w:p w14:paraId="4185853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业务090</w:t>
            </w:r>
            <w:r>
              <w:rPr>
                <w:rFonts w:hint="eastAsia" w:ascii="宋体" w:hAnsi="宋体" w:cs="宋体"/>
                <w:color w:val="auto"/>
                <w:szCs w:val="21"/>
              </w:rPr>
              <w:tab/>
            </w:r>
            <w:r>
              <w:rPr>
                <w:rFonts w:hint="eastAsia" w:ascii="宋体" w:hAnsi="宋体" w:cs="宋体"/>
                <w:color w:val="auto"/>
                <w:szCs w:val="21"/>
              </w:rPr>
              <w:t>计提城市维护建设税及教育费附加</w:t>
            </w:r>
          </w:p>
          <w:p w14:paraId="34C226C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业务091</w:t>
            </w:r>
            <w:r>
              <w:rPr>
                <w:rFonts w:hint="eastAsia" w:ascii="宋体" w:hAnsi="宋体" w:cs="宋体"/>
                <w:color w:val="auto"/>
                <w:szCs w:val="21"/>
              </w:rPr>
              <w:tab/>
            </w:r>
            <w:r>
              <w:rPr>
                <w:rFonts w:hint="eastAsia" w:ascii="宋体" w:hAnsi="宋体" w:cs="宋体"/>
                <w:color w:val="auto"/>
                <w:szCs w:val="21"/>
              </w:rPr>
              <w:t>计提第1季度应交房产税</w:t>
            </w:r>
          </w:p>
          <w:p w14:paraId="7003885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业务092</w:t>
            </w:r>
            <w:r>
              <w:rPr>
                <w:rFonts w:hint="eastAsia" w:ascii="宋体" w:hAnsi="宋体" w:cs="宋体"/>
                <w:color w:val="auto"/>
                <w:szCs w:val="21"/>
              </w:rPr>
              <w:tab/>
            </w:r>
            <w:r>
              <w:rPr>
                <w:rFonts w:hint="eastAsia" w:ascii="宋体" w:hAnsi="宋体" w:cs="宋体"/>
                <w:color w:val="auto"/>
                <w:szCs w:val="21"/>
              </w:rPr>
              <w:t>计提第1季度应交城镇土地使用税</w:t>
            </w:r>
          </w:p>
          <w:p w14:paraId="7B81CED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业务093</w:t>
            </w:r>
            <w:r>
              <w:rPr>
                <w:rFonts w:hint="eastAsia" w:ascii="宋体" w:hAnsi="宋体" w:cs="宋体"/>
                <w:color w:val="auto"/>
                <w:szCs w:val="21"/>
              </w:rPr>
              <w:tab/>
            </w:r>
            <w:r>
              <w:rPr>
                <w:rFonts w:hint="eastAsia" w:ascii="宋体" w:hAnsi="宋体" w:cs="宋体"/>
                <w:color w:val="auto"/>
                <w:szCs w:val="21"/>
              </w:rPr>
              <w:t>结转损益</w:t>
            </w:r>
          </w:p>
          <w:p w14:paraId="224897C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业务094</w:t>
            </w:r>
            <w:r>
              <w:rPr>
                <w:rFonts w:hint="eastAsia" w:ascii="宋体" w:hAnsi="宋体" w:cs="宋体"/>
                <w:color w:val="auto"/>
                <w:szCs w:val="21"/>
              </w:rPr>
              <w:tab/>
            </w:r>
            <w:r>
              <w:rPr>
                <w:rFonts w:hint="eastAsia" w:ascii="宋体" w:hAnsi="宋体" w:cs="宋体"/>
                <w:color w:val="auto"/>
                <w:szCs w:val="21"/>
              </w:rPr>
              <w:t>计提第1季度企业所得税</w:t>
            </w:r>
          </w:p>
          <w:p w14:paraId="122AA03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业务095</w:t>
            </w:r>
            <w:r>
              <w:rPr>
                <w:rFonts w:hint="eastAsia" w:ascii="宋体" w:hAnsi="宋体" w:cs="宋体"/>
                <w:color w:val="auto"/>
                <w:szCs w:val="21"/>
              </w:rPr>
              <w:tab/>
            </w:r>
            <w:r>
              <w:rPr>
                <w:rFonts w:hint="eastAsia" w:ascii="宋体" w:hAnsi="宋体" w:cs="宋体"/>
                <w:color w:val="auto"/>
                <w:szCs w:val="21"/>
              </w:rPr>
              <w:t>编制资产负债表</w:t>
            </w:r>
          </w:p>
          <w:p w14:paraId="2108CA7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业务096</w:t>
            </w:r>
            <w:r>
              <w:rPr>
                <w:rFonts w:hint="eastAsia" w:ascii="宋体" w:hAnsi="宋体" w:cs="宋体"/>
                <w:color w:val="auto"/>
                <w:szCs w:val="21"/>
              </w:rPr>
              <w:tab/>
            </w:r>
            <w:r>
              <w:rPr>
                <w:rFonts w:hint="eastAsia" w:ascii="宋体" w:hAnsi="宋体" w:cs="宋体"/>
                <w:color w:val="auto"/>
                <w:szCs w:val="21"/>
              </w:rPr>
              <w:t>编制利润表</w:t>
            </w:r>
          </w:p>
          <w:p w14:paraId="6EFC229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业务097</w:t>
            </w:r>
            <w:r>
              <w:rPr>
                <w:rFonts w:hint="eastAsia" w:ascii="宋体" w:hAnsi="宋体" w:cs="宋体"/>
                <w:color w:val="auto"/>
                <w:szCs w:val="21"/>
              </w:rPr>
              <w:tab/>
            </w:r>
            <w:r>
              <w:rPr>
                <w:rFonts w:hint="eastAsia" w:ascii="宋体" w:hAnsi="宋体" w:cs="宋体"/>
                <w:color w:val="auto"/>
                <w:szCs w:val="21"/>
              </w:rPr>
              <w:t>增值税及附加税纳税申报</w:t>
            </w:r>
          </w:p>
          <w:p w14:paraId="1FA030A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业务098</w:t>
            </w:r>
            <w:r>
              <w:rPr>
                <w:rFonts w:hint="eastAsia" w:ascii="宋体" w:hAnsi="宋体" w:cs="宋体"/>
                <w:color w:val="auto"/>
                <w:szCs w:val="21"/>
              </w:rPr>
              <w:tab/>
            </w:r>
            <w:r>
              <w:rPr>
                <w:rFonts w:hint="eastAsia" w:ascii="宋体" w:hAnsi="宋体" w:cs="宋体"/>
                <w:color w:val="auto"/>
                <w:szCs w:val="21"/>
              </w:rPr>
              <w:t>所得税纳税申报</w:t>
            </w:r>
          </w:p>
          <w:p w14:paraId="5E57E0B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业务099</w:t>
            </w:r>
            <w:r>
              <w:rPr>
                <w:rFonts w:hint="eastAsia" w:ascii="宋体" w:hAnsi="宋体" w:cs="宋体"/>
                <w:color w:val="auto"/>
                <w:szCs w:val="21"/>
              </w:rPr>
              <w:tab/>
            </w:r>
            <w:r>
              <w:rPr>
                <w:rFonts w:hint="eastAsia" w:ascii="宋体" w:hAnsi="宋体" w:cs="宋体"/>
                <w:color w:val="auto"/>
                <w:szCs w:val="21"/>
              </w:rPr>
              <w:t>税负率风险识别</w:t>
            </w:r>
          </w:p>
          <w:p w14:paraId="6371829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业务100</w:t>
            </w:r>
            <w:r>
              <w:rPr>
                <w:rFonts w:hint="eastAsia" w:ascii="宋体" w:hAnsi="宋体" w:cs="宋体"/>
                <w:color w:val="auto"/>
                <w:szCs w:val="21"/>
              </w:rPr>
              <w:tab/>
            </w:r>
            <w:r>
              <w:rPr>
                <w:rFonts w:hint="eastAsia" w:ascii="宋体" w:hAnsi="宋体" w:cs="宋体"/>
                <w:color w:val="auto"/>
                <w:szCs w:val="21"/>
              </w:rPr>
              <w:t>财务报表项目指标风险识别</w:t>
            </w:r>
          </w:p>
          <w:p w14:paraId="056F294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业务101</w:t>
            </w:r>
            <w:r>
              <w:rPr>
                <w:rFonts w:hint="eastAsia" w:ascii="宋体" w:hAnsi="宋体" w:cs="宋体"/>
                <w:color w:val="auto"/>
                <w:szCs w:val="21"/>
              </w:rPr>
              <w:tab/>
            </w:r>
            <w:r>
              <w:rPr>
                <w:rFonts w:hint="eastAsia" w:ascii="宋体" w:hAnsi="宋体" w:cs="宋体"/>
                <w:color w:val="auto"/>
                <w:szCs w:val="21"/>
              </w:rPr>
              <w:t>纳税筹划</w:t>
            </w:r>
          </w:p>
          <w:p w14:paraId="2170D4F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任务01</w:t>
            </w:r>
            <w:r>
              <w:rPr>
                <w:rFonts w:hint="eastAsia" w:ascii="宋体" w:hAnsi="宋体" w:cs="宋体"/>
                <w:color w:val="auto"/>
                <w:szCs w:val="21"/>
              </w:rPr>
              <w:tab/>
            </w:r>
            <w:r>
              <w:rPr>
                <w:rFonts w:hint="eastAsia" w:ascii="宋体" w:hAnsi="宋体" w:cs="宋体"/>
                <w:color w:val="auto"/>
                <w:szCs w:val="21"/>
              </w:rPr>
              <w:t>现金流量表爬取</w:t>
            </w:r>
          </w:p>
          <w:p w14:paraId="1D771F8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任务02</w:t>
            </w:r>
            <w:r>
              <w:rPr>
                <w:rFonts w:hint="eastAsia" w:ascii="宋体" w:hAnsi="宋体" w:cs="宋体"/>
                <w:color w:val="auto"/>
                <w:szCs w:val="21"/>
              </w:rPr>
              <w:tab/>
            </w:r>
            <w:r>
              <w:rPr>
                <w:rFonts w:hint="eastAsia" w:ascii="宋体" w:hAnsi="宋体" w:cs="宋体"/>
                <w:color w:val="auto"/>
                <w:szCs w:val="21"/>
              </w:rPr>
              <w:t>存货占流动资产比分析</w:t>
            </w:r>
          </w:p>
          <w:p w14:paraId="03C9BFD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任务03</w:t>
            </w:r>
            <w:r>
              <w:rPr>
                <w:rFonts w:hint="eastAsia" w:ascii="宋体" w:hAnsi="宋体" w:cs="宋体"/>
                <w:color w:val="auto"/>
                <w:szCs w:val="21"/>
              </w:rPr>
              <w:tab/>
            </w:r>
            <w:r>
              <w:rPr>
                <w:rFonts w:hint="eastAsia" w:ascii="宋体" w:hAnsi="宋体" w:cs="宋体"/>
                <w:color w:val="auto"/>
                <w:szCs w:val="21"/>
              </w:rPr>
              <w:t>可视化分析-盈利能力分析</w:t>
            </w:r>
          </w:p>
          <w:p w14:paraId="7F91DBC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任务04</w:t>
            </w:r>
            <w:r>
              <w:rPr>
                <w:rFonts w:hint="eastAsia" w:ascii="宋体" w:hAnsi="宋体" w:cs="宋体"/>
                <w:color w:val="auto"/>
                <w:szCs w:val="21"/>
              </w:rPr>
              <w:tab/>
            </w:r>
            <w:r>
              <w:rPr>
                <w:rFonts w:hint="eastAsia" w:ascii="宋体" w:hAnsi="宋体" w:cs="宋体"/>
                <w:color w:val="auto"/>
                <w:szCs w:val="21"/>
              </w:rPr>
              <w:t>人工效率分析</w:t>
            </w:r>
          </w:p>
          <w:p w14:paraId="3994468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任务05</w:t>
            </w:r>
            <w:r>
              <w:rPr>
                <w:rFonts w:hint="eastAsia" w:ascii="宋体" w:hAnsi="宋体" w:cs="宋体"/>
                <w:color w:val="auto"/>
                <w:szCs w:val="21"/>
              </w:rPr>
              <w:tab/>
            </w:r>
            <w:r>
              <w:rPr>
                <w:rFonts w:hint="eastAsia" w:ascii="宋体" w:hAnsi="宋体" w:cs="宋体"/>
                <w:color w:val="auto"/>
                <w:szCs w:val="21"/>
              </w:rPr>
              <w:t>财务指标数据清洗</w:t>
            </w:r>
          </w:p>
          <w:p w14:paraId="14C4C7C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任务06</w:t>
            </w:r>
            <w:r>
              <w:rPr>
                <w:rFonts w:hint="eastAsia" w:ascii="宋体" w:hAnsi="宋体" w:cs="宋体"/>
                <w:color w:val="auto"/>
                <w:szCs w:val="21"/>
              </w:rPr>
              <w:tab/>
            </w:r>
            <w:r>
              <w:rPr>
                <w:rFonts w:hint="eastAsia" w:ascii="宋体" w:hAnsi="宋体" w:cs="宋体"/>
                <w:color w:val="auto"/>
                <w:szCs w:val="21"/>
              </w:rPr>
              <w:t>固定资产收入率分析</w:t>
            </w:r>
          </w:p>
          <w:p w14:paraId="55165EE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任务07</w:t>
            </w:r>
            <w:r>
              <w:rPr>
                <w:rFonts w:hint="eastAsia" w:ascii="宋体" w:hAnsi="宋体" w:cs="宋体"/>
                <w:color w:val="auto"/>
                <w:szCs w:val="21"/>
              </w:rPr>
              <w:tab/>
            </w:r>
            <w:r>
              <w:rPr>
                <w:rFonts w:hint="eastAsia" w:ascii="宋体" w:hAnsi="宋体" w:cs="宋体"/>
                <w:color w:val="auto"/>
                <w:szCs w:val="21"/>
              </w:rPr>
              <w:t>利润表爬取</w:t>
            </w:r>
          </w:p>
          <w:p w14:paraId="54A7AC0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任务08</w:t>
            </w:r>
            <w:r>
              <w:rPr>
                <w:rFonts w:hint="eastAsia" w:ascii="宋体" w:hAnsi="宋体" w:cs="宋体"/>
                <w:color w:val="auto"/>
                <w:szCs w:val="21"/>
              </w:rPr>
              <w:tab/>
            </w:r>
            <w:r>
              <w:rPr>
                <w:rFonts w:hint="eastAsia" w:ascii="宋体" w:hAnsi="宋体" w:cs="宋体"/>
                <w:color w:val="auto"/>
                <w:szCs w:val="21"/>
              </w:rPr>
              <w:t>销售整体分析</w:t>
            </w:r>
          </w:p>
          <w:p w14:paraId="05320F3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任务09</w:t>
            </w:r>
            <w:r>
              <w:rPr>
                <w:rFonts w:hint="eastAsia" w:ascii="宋体" w:hAnsi="宋体" w:cs="宋体"/>
                <w:color w:val="auto"/>
                <w:szCs w:val="21"/>
              </w:rPr>
              <w:tab/>
            </w:r>
            <w:r>
              <w:rPr>
                <w:rFonts w:hint="eastAsia" w:ascii="宋体" w:hAnsi="宋体" w:cs="宋体"/>
                <w:color w:val="auto"/>
                <w:szCs w:val="21"/>
              </w:rPr>
              <w:t>客户分析</w:t>
            </w:r>
          </w:p>
          <w:p w14:paraId="56CBE11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任务10</w:t>
            </w:r>
            <w:r>
              <w:rPr>
                <w:rFonts w:hint="eastAsia" w:ascii="宋体" w:hAnsi="宋体" w:cs="宋体"/>
                <w:color w:val="auto"/>
                <w:szCs w:val="21"/>
              </w:rPr>
              <w:tab/>
            </w:r>
            <w:r>
              <w:rPr>
                <w:rFonts w:hint="eastAsia" w:ascii="宋体" w:hAnsi="宋体" w:cs="宋体"/>
                <w:color w:val="auto"/>
                <w:szCs w:val="21"/>
              </w:rPr>
              <w:t>盈利能力分析</w:t>
            </w:r>
          </w:p>
          <w:p w14:paraId="6E3CDC1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任务11</w:t>
            </w:r>
            <w:r>
              <w:rPr>
                <w:rFonts w:hint="eastAsia" w:ascii="宋体" w:hAnsi="宋体" w:cs="宋体"/>
                <w:color w:val="auto"/>
                <w:szCs w:val="21"/>
              </w:rPr>
              <w:tab/>
            </w:r>
            <w:r>
              <w:rPr>
                <w:rFonts w:hint="eastAsia" w:ascii="宋体" w:hAnsi="宋体" w:cs="宋体"/>
                <w:color w:val="auto"/>
                <w:szCs w:val="21"/>
              </w:rPr>
              <w:t>应收账款账龄分析</w:t>
            </w:r>
          </w:p>
          <w:p w14:paraId="0455DE2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任务12</w:t>
            </w:r>
            <w:r>
              <w:rPr>
                <w:rFonts w:hint="eastAsia" w:ascii="宋体" w:hAnsi="宋体" w:cs="宋体"/>
                <w:color w:val="auto"/>
                <w:szCs w:val="21"/>
              </w:rPr>
              <w:tab/>
            </w:r>
            <w:r>
              <w:rPr>
                <w:rFonts w:hint="eastAsia" w:ascii="宋体" w:hAnsi="宋体" w:cs="宋体"/>
                <w:color w:val="auto"/>
                <w:szCs w:val="21"/>
              </w:rPr>
              <w:t>应收账款占总资产比分析</w:t>
            </w:r>
          </w:p>
          <w:p w14:paraId="59DC4E2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任务13</w:t>
            </w:r>
            <w:r>
              <w:rPr>
                <w:rFonts w:hint="eastAsia" w:ascii="宋体" w:hAnsi="宋体" w:cs="宋体"/>
                <w:color w:val="auto"/>
                <w:szCs w:val="21"/>
              </w:rPr>
              <w:tab/>
            </w:r>
            <w:r>
              <w:rPr>
                <w:rFonts w:hint="eastAsia" w:ascii="宋体" w:hAnsi="宋体" w:cs="宋体"/>
                <w:color w:val="auto"/>
                <w:szCs w:val="21"/>
              </w:rPr>
              <w:t>利润表数据清洗及数据计算</w:t>
            </w:r>
          </w:p>
          <w:p w14:paraId="520AA55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任务14</w:t>
            </w:r>
            <w:r>
              <w:rPr>
                <w:rFonts w:hint="eastAsia" w:ascii="宋体" w:hAnsi="宋体" w:cs="宋体"/>
                <w:color w:val="auto"/>
                <w:szCs w:val="21"/>
              </w:rPr>
              <w:tab/>
            </w:r>
            <w:r>
              <w:rPr>
                <w:rFonts w:hint="eastAsia" w:ascii="宋体" w:hAnsi="宋体" w:cs="宋体"/>
                <w:color w:val="auto"/>
                <w:szCs w:val="21"/>
              </w:rPr>
              <w:t>应收账款周转率分析</w:t>
            </w:r>
          </w:p>
          <w:p w14:paraId="1CF00F2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任务15</w:t>
            </w:r>
            <w:r>
              <w:rPr>
                <w:rFonts w:hint="eastAsia" w:ascii="宋体" w:hAnsi="宋体" w:cs="宋体"/>
                <w:color w:val="auto"/>
                <w:szCs w:val="21"/>
              </w:rPr>
              <w:tab/>
            </w:r>
            <w:r>
              <w:rPr>
                <w:rFonts w:hint="eastAsia" w:ascii="宋体" w:hAnsi="宋体" w:cs="宋体"/>
                <w:color w:val="auto"/>
                <w:szCs w:val="21"/>
              </w:rPr>
              <w:t>库存商品趋势分析</w:t>
            </w:r>
          </w:p>
          <w:p w14:paraId="3DCA541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任务16</w:t>
            </w:r>
            <w:r>
              <w:rPr>
                <w:rFonts w:hint="eastAsia" w:ascii="宋体" w:hAnsi="宋体" w:cs="宋体"/>
                <w:color w:val="auto"/>
                <w:szCs w:val="21"/>
              </w:rPr>
              <w:tab/>
            </w:r>
            <w:r>
              <w:rPr>
                <w:rFonts w:hint="eastAsia" w:ascii="宋体" w:hAnsi="宋体" w:cs="宋体"/>
                <w:color w:val="auto"/>
                <w:szCs w:val="21"/>
              </w:rPr>
              <w:t>销售成本可视化分析报告</w:t>
            </w:r>
          </w:p>
          <w:p w14:paraId="600AA57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任务17</w:t>
            </w:r>
            <w:r>
              <w:rPr>
                <w:rFonts w:hint="eastAsia" w:ascii="宋体" w:hAnsi="宋体" w:cs="宋体"/>
                <w:color w:val="auto"/>
                <w:szCs w:val="21"/>
              </w:rPr>
              <w:tab/>
            </w:r>
            <w:r>
              <w:rPr>
                <w:rFonts w:hint="eastAsia" w:ascii="宋体" w:hAnsi="宋体" w:cs="宋体"/>
                <w:color w:val="auto"/>
                <w:szCs w:val="21"/>
              </w:rPr>
              <w:t>存货占总资产比分析</w:t>
            </w:r>
          </w:p>
          <w:p w14:paraId="6F729E5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任务18</w:t>
            </w:r>
            <w:r>
              <w:rPr>
                <w:rFonts w:hint="eastAsia" w:ascii="宋体" w:hAnsi="宋体" w:cs="宋体"/>
                <w:color w:val="auto"/>
                <w:szCs w:val="21"/>
              </w:rPr>
              <w:tab/>
            </w:r>
            <w:r>
              <w:rPr>
                <w:rFonts w:hint="eastAsia" w:ascii="宋体" w:hAnsi="宋体" w:cs="宋体"/>
                <w:color w:val="auto"/>
                <w:szCs w:val="21"/>
              </w:rPr>
              <w:t>存货占总资产比对比分析</w:t>
            </w:r>
          </w:p>
          <w:p w14:paraId="723B82F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任务19</w:t>
            </w:r>
            <w:r>
              <w:rPr>
                <w:rFonts w:hint="eastAsia" w:ascii="宋体" w:hAnsi="宋体" w:cs="宋体"/>
                <w:color w:val="auto"/>
                <w:szCs w:val="21"/>
              </w:rPr>
              <w:tab/>
            </w:r>
            <w:r>
              <w:rPr>
                <w:rFonts w:hint="eastAsia" w:ascii="宋体" w:hAnsi="宋体" w:cs="宋体"/>
                <w:color w:val="auto"/>
                <w:szCs w:val="21"/>
              </w:rPr>
              <w:t>销售收入产品维度分析--增加真分析云操作</w:t>
            </w:r>
          </w:p>
          <w:p w14:paraId="24CAC7F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任务20</w:t>
            </w:r>
            <w:r>
              <w:rPr>
                <w:rFonts w:hint="eastAsia" w:ascii="宋体" w:hAnsi="宋体" w:cs="宋体"/>
                <w:color w:val="auto"/>
                <w:szCs w:val="21"/>
              </w:rPr>
              <w:tab/>
            </w:r>
            <w:r>
              <w:rPr>
                <w:rFonts w:hint="eastAsia" w:ascii="宋体" w:hAnsi="宋体" w:cs="宋体"/>
                <w:color w:val="auto"/>
                <w:szCs w:val="21"/>
              </w:rPr>
              <w:t>销售费用分析</w:t>
            </w:r>
          </w:p>
          <w:p w14:paraId="58E220B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任务21</w:t>
            </w:r>
            <w:r>
              <w:rPr>
                <w:rFonts w:hint="eastAsia" w:ascii="宋体" w:hAnsi="宋体" w:cs="宋体"/>
                <w:color w:val="auto"/>
                <w:szCs w:val="21"/>
              </w:rPr>
              <w:tab/>
            </w:r>
            <w:r>
              <w:rPr>
                <w:rFonts w:hint="eastAsia" w:ascii="宋体" w:hAnsi="宋体" w:cs="宋体"/>
                <w:color w:val="auto"/>
                <w:szCs w:val="21"/>
              </w:rPr>
              <w:t>财务指标数据清洗</w:t>
            </w:r>
          </w:p>
          <w:p w14:paraId="7A00B63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任务22</w:t>
            </w:r>
            <w:r>
              <w:rPr>
                <w:rFonts w:hint="eastAsia" w:ascii="宋体" w:hAnsi="宋体" w:cs="宋体"/>
                <w:color w:val="auto"/>
                <w:szCs w:val="21"/>
              </w:rPr>
              <w:tab/>
            </w:r>
            <w:r>
              <w:rPr>
                <w:rFonts w:hint="eastAsia" w:ascii="宋体" w:hAnsi="宋体" w:cs="宋体"/>
                <w:color w:val="auto"/>
                <w:szCs w:val="21"/>
              </w:rPr>
              <w:t>利润表分析</w:t>
            </w:r>
          </w:p>
          <w:p w14:paraId="5865919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任务23</w:t>
            </w:r>
            <w:r>
              <w:rPr>
                <w:rFonts w:hint="eastAsia" w:ascii="宋体" w:hAnsi="宋体" w:cs="宋体"/>
                <w:color w:val="auto"/>
                <w:szCs w:val="21"/>
              </w:rPr>
              <w:tab/>
            </w:r>
            <w:r>
              <w:rPr>
                <w:rFonts w:hint="eastAsia" w:ascii="宋体" w:hAnsi="宋体" w:cs="宋体"/>
                <w:color w:val="auto"/>
                <w:szCs w:val="21"/>
              </w:rPr>
              <w:t>可视化分析-费用结构分析</w:t>
            </w:r>
          </w:p>
          <w:p w14:paraId="07D5FDEC">
            <w:pPr>
              <w:tabs>
                <w:tab w:val="left" w:pos="1440"/>
              </w:tabs>
              <w:spacing w:line="360" w:lineRule="atLeast"/>
              <w:ind w:firstLine="422" w:firstLineChars="200"/>
              <w:jc w:val="left"/>
              <w:rPr>
                <w:rFonts w:ascii="宋体" w:hAnsi="宋体" w:cs="宋体"/>
                <w:b/>
                <w:bCs/>
                <w:color w:val="auto"/>
                <w:szCs w:val="21"/>
              </w:rPr>
            </w:pPr>
            <w:r>
              <w:rPr>
                <w:rFonts w:hint="eastAsia" w:ascii="宋体" w:hAnsi="宋体" w:cs="宋体"/>
                <w:b/>
                <w:bCs/>
                <w:color w:val="auto"/>
                <w:szCs w:val="21"/>
              </w:rPr>
              <w:t>阶段2：财务数字化阶段</w:t>
            </w:r>
          </w:p>
          <w:p w14:paraId="6423452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【公司名称】药品行业</w:t>
            </w:r>
          </w:p>
          <w:p w14:paraId="332907A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【案例类型】财务数字化技能案例</w:t>
            </w:r>
          </w:p>
          <w:p w14:paraId="721E50F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【领域设置】投融资管理、预算管理、营运分析、绩效内控</w:t>
            </w:r>
          </w:p>
          <w:p w14:paraId="78D5D64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【难易程度】中</w:t>
            </w:r>
          </w:p>
          <w:p w14:paraId="5C40C74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【案例概述】</w:t>
            </w:r>
          </w:p>
          <w:p w14:paraId="323AFA4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1.考试时间为 180 分钟，投融资管理岗100分，预算管理岗90分，营运分析岗110分，绩效内控岗100分，团队合计400分。</w:t>
            </w:r>
          </w:p>
          <w:p w14:paraId="239211B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2.本案例使用财务数字化训赛平台V2.0赛务模块及业务系统-分析云、python、数据中心、数据清洗、智多星RPA，完成财务数字化四个岗位的工作。</w:t>
            </w:r>
          </w:p>
          <w:p w14:paraId="5423ABD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3.本试题分为案例介绍、投融资管理、预算管理、营运分析、绩效内控五部分，请按照对应领域依次作答。</w:t>
            </w:r>
          </w:p>
          <w:p w14:paraId="7472FD3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【案例说明】</w:t>
            </w:r>
          </w:p>
          <w:p w14:paraId="3628557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投融资管理领域</w:t>
            </w:r>
          </w:p>
          <w:p w14:paraId="2BCB3C9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考核点一：PEST分析</w:t>
            </w:r>
          </w:p>
          <w:p w14:paraId="0B51C23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考核点二：数据爬取分析</w:t>
            </w:r>
          </w:p>
          <w:p w14:paraId="22D18DC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考核点三：数据清洗及分析</w:t>
            </w:r>
          </w:p>
          <w:p w14:paraId="045F898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考核点四：投资项目输入、成本、利润预测</w:t>
            </w:r>
          </w:p>
          <w:p w14:paraId="642CAE6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考核点五：投资项目现金流量预测</w:t>
            </w:r>
          </w:p>
          <w:p w14:paraId="5BA56CF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考核点六：加权平均资本成本计算</w:t>
            </w:r>
          </w:p>
          <w:p w14:paraId="4D9AE9D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考核点七：投资决策</w:t>
            </w:r>
          </w:p>
          <w:p w14:paraId="58434E1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考核点八：利率计算</w:t>
            </w:r>
          </w:p>
          <w:p w14:paraId="1B36F95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考核点九：筹资方式决策</w:t>
            </w:r>
          </w:p>
          <w:p w14:paraId="10978F5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考核点十：医药行业市场分析</w:t>
            </w:r>
          </w:p>
          <w:p w14:paraId="649F6A2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考核点十一：终端市场药品销售分析</w:t>
            </w:r>
          </w:p>
          <w:p w14:paraId="384E94C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【案例说明】</w:t>
            </w:r>
          </w:p>
          <w:p w14:paraId="76A621A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预算管理领域</w:t>
            </w:r>
          </w:p>
          <w:p w14:paraId="0E34189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考核点一：代码填空</w:t>
            </w:r>
          </w:p>
          <w:p w14:paraId="52C749C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考核点二：零售及批发业务收入预测</w:t>
            </w:r>
          </w:p>
          <w:p w14:paraId="61B9F3A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考核点三：销售回款预测</w:t>
            </w:r>
          </w:p>
          <w:p w14:paraId="1F138FB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考核点四：批发业务进销存及销售成本预测</w:t>
            </w:r>
          </w:p>
          <w:p w14:paraId="71CD153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考核点五：人工成本预测</w:t>
            </w:r>
          </w:p>
          <w:p w14:paraId="47F0451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考核点六：销管费用预测</w:t>
            </w:r>
          </w:p>
          <w:p w14:paraId="7D40ECB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考核点七：资金需求预测</w:t>
            </w:r>
          </w:p>
          <w:p w14:paraId="4ED985D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考核点八：预计利润表</w:t>
            </w:r>
          </w:p>
          <w:p w14:paraId="515488A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考核点九：销售成本可视化分析</w:t>
            </w:r>
          </w:p>
          <w:p w14:paraId="6B2F267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考核点十：销管费用可视化分析</w:t>
            </w:r>
          </w:p>
          <w:p w14:paraId="6F4BDC7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【案例说明】</w:t>
            </w:r>
          </w:p>
          <w:p w14:paraId="6B3B337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营运分析领域</w:t>
            </w:r>
          </w:p>
          <w:p w14:paraId="7841D29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考核点一：代码填空</w:t>
            </w:r>
          </w:p>
          <w:p w14:paraId="4E14F1E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考核点二：数据清洗及分析</w:t>
            </w:r>
          </w:p>
          <w:p w14:paraId="034933A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考核点三：费用分配</w:t>
            </w:r>
          </w:p>
          <w:p w14:paraId="4D35014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考核点四：资源费用归集与分配</w:t>
            </w:r>
          </w:p>
          <w:p w14:paraId="2E0D0AB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考核点五：作业分配率计算及作业成本预算</w:t>
            </w:r>
          </w:p>
          <w:p w14:paraId="4B9FEA0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考核点六：标准及实际成本计算</w:t>
            </w:r>
          </w:p>
          <w:p w14:paraId="5077910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考核点七：变动成本差异</w:t>
            </w:r>
          </w:p>
          <w:p w14:paraId="24D6FF1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考核点八：本量利分析</w:t>
            </w:r>
          </w:p>
          <w:p w14:paraId="6C06E31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考核点九：方案决策</w:t>
            </w:r>
          </w:p>
          <w:p w14:paraId="49900E5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考核点十：人效指标可视化分析</w:t>
            </w:r>
          </w:p>
          <w:p w14:paraId="1FFA39A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考核点十一：全球药品销售额分析</w:t>
            </w:r>
          </w:p>
          <w:p w14:paraId="21ADA70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考核点十二：销售整体分析报告</w:t>
            </w:r>
          </w:p>
          <w:p w14:paraId="121E4DD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【案例说明】</w:t>
            </w:r>
          </w:p>
          <w:p w14:paraId="33C58D9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绩效内控领域</w:t>
            </w:r>
          </w:p>
          <w:p w14:paraId="2AAB3A1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考核点一：数据爬取及分析</w:t>
            </w:r>
          </w:p>
          <w:p w14:paraId="67F00E9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考核点二：满意度</w:t>
            </w:r>
          </w:p>
          <w:p w14:paraId="1B8D0BA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考核点三：药店业绩评价</w:t>
            </w:r>
          </w:p>
          <w:p w14:paraId="1AF9A0C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考核点四：奖金计算</w:t>
            </w:r>
          </w:p>
          <w:p w14:paraId="6110427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考核点五：销售结构分析</w:t>
            </w:r>
          </w:p>
          <w:p w14:paraId="6EFD1CD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考核点六：杠杆系数计算</w:t>
            </w:r>
          </w:p>
          <w:p w14:paraId="7B211B6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考核点七：考核指标计算</w:t>
            </w:r>
          </w:p>
          <w:p w14:paraId="0263B5B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考核点八：利润表分析</w:t>
            </w:r>
          </w:p>
          <w:p w14:paraId="2E343D2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考核点九：经济增加值</w:t>
            </w:r>
          </w:p>
          <w:p w14:paraId="71A6C23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考核点十：现金流量可视化分析</w:t>
            </w:r>
          </w:p>
          <w:p w14:paraId="3BD60FF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考核点十一：企业内控控制流程设计</w:t>
            </w:r>
          </w:p>
          <w:p w14:paraId="680F326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考核点十二：增值税申报机器人</w:t>
            </w:r>
          </w:p>
          <w:p w14:paraId="12702DBF">
            <w:pPr>
              <w:tabs>
                <w:tab w:val="left" w:pos="1440"/>
              </w:tabs>
              <w:spacing w:line="360" w:lineRule="atLeast"/>
              <w:ind w:firstLine="420" w:firstLineChars="200"/>
              <w:jc w:val="left"/>
              <w:rPr>
                <w:rFonts w:ascii="宋体" w:hAnsi="宋体" w:cs="宋体"/>
                <w:color w:val="auto"/>
                <w:szCs w:val="21"/>
              </w:rPr>
            </w:pPr>
          </w:p>
          <w:p w14:paraId="1B03DD9A">
            <w:pPr>
              <w:tabs>
                <w:tab w:val="left" w:pos="1440"/>
              </w:tabs>
              <w:spacing w:line="360" w:lineRule="atLeast"/>
              <w:ind w:firstLine="422" w:firstLineChars="200"/>
              <w:jc w:val="left"/>
              <w:rPr>
                <w:rFonts w:ascii="宋体" w:hAnsi="宋体" w:cs="宋体"/>
                <w:b/>
                <w:bCs/>
                <w:color w:val="auto"/>
                <w:szCs w:val="21"/>
              </w:rPr>
            </w:pPr>
            <w:r>
              <w:rPr>
                <w:rFonts w:hint="eastAsia" w:ascii="宋体" w:hAnsi="宋体" w:cs="宋体"/>
                <w:b/>
                <w:bCs/>
                <w:color w:val="auto"/>
                <w:szCs w:val="21"/>
              </w:rPr>
              <w:t>案例三</w:t>
            </w:r>
          </w:p>
          <w:p w14:paraId="54755126">
            <w:pPr>
              <w:tabs>
                <w:tab w:val="left" w:pos="1440"/>
              </w:tabs>
              <w:spacing w:line="360" w:lineRule="atLeast"/>
              <w:ind w:firstLine="422" w:firstLineChars="200"/>
              <w:jc w:val="left"/>
              <w:rPr>
                <w:rFonts w:ascii="宋体" w:hAnsi="宋体" w:cs="宋体"/>
                <w:b/>
                <w:bCs/>
                <w:color w:val="auto"/>
                <w:szCs w:val="21"/>
              </w:rPr>
            </w:pPr>
            <w:r>
              <w:rPr>
                <w:rFonts w:hint="eastAsia" w:ascii="宋体" w:hAnsi="宋体" w:cs="宋体"/>
                <w:b/>
                <w:bCs/>
                <w:color w:val="auto"/>
                <w:szCs w:val="21"/>
              </w:rPr>
              <w:t>阶段1：业财信息化阶段</w:t>
            </w:r>
          </w:p>
          <w:p w14:paraId="3ED564D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【公司名称】专用设备行业</w:t>
            </w:r>
          </w:p>
          <w:p w14:paraId="5D25E22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【案例类型】业财信息化企业案例</w:t>
            </w:r>
          </w:p>
          <w:p w14:paraId="3ADD072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【领域设置】基础档案维护、业财税资融合业务处理、财务报表编制、大数据业财分析四部分</w:t>
            </w:r>
          </w:p>
          <w:p w14:paraId="405799C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【难易程度】中</w:t>
            </w:r>
          </w:p>
          <w:p w14:paraId="5F42C82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【案例概述】</w:t>
            </w:r>
          </w:p>
          <w:p w14:paraId="6C30B6D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1.考试时间为 180 分钟，业务会计岗90分，成本会计岗90分，共享会计岗110分，财务主管岗110分，团队合计400分。</w:t>
            </w:r>
          </w:p>
          <w:p w14:paraId="0C66A9C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2.本案例使用财务数字化训赛平台V2.0赛务模块、业务系统-NCC、分析云、python、数据中心-上证、数据清洗工具，完成业财信息化四个岗位的工作。</w:t>
            </w:r>
          </w:p>
          <w:p w14:paraId="0E04C25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【案例说明】</w:t>
            </w:r>
          </w:p>
          <w:p w14:paraId="45B24E2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业务001</w:t>
            </w:r>
            <w:r>
              <w:rPr>
                <w:rFonts w:hint="eastAsia" w:ascii="宋体" w:hAnsi="宋体" w:cs="宋体"/>
                <w:color w:val="auto"/>
                <w:szCs w:val="21"/>
              </w:rPr>
              <w:tab/>
            </w:r>
            <w:r>
              <w:rPr>
                <w:rFonts w:hint="eastAsia" w:ascii="宋体" w:hAnsi="宋体" w:cs="宋体"/>
                <w:color w:val="auto"/>
                <w:szCs w:val="21"/>
              </w:rPr>
              <w:t>供应商档案.</w:t>
            </w:r>
          </w:p>
          <w:p w14:paraId="3BC3DFC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业务002</w:t>
            </w:r>
            <w:r>
              <w:rPr>
                <w:rFonts w:hint="eastAsia" w:ascii="宋体" w:hAnsi="宋体" w:cs="宋体"/>
                <w:color w:val="auto"/>
                <w:szCs w:val="21"/>
              </w:rPr>
              <w:tab/>
            </w:r>
            <w:r>
              <w:rPr>
                <w:rFonts w:hint="eastAsia" w:ascii="宋体" w:hAnsi="宋体" w:cs="宋体"/>
                <w:color w:val="auto"/>
                <w:szCs w:val="21"/>
              </w:rPr>
              <w:t>会计科目维护</w:t>
            </w:r>
          </w:p>
          <w:p w14:paraId="43F104F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业务003</w:t>
            </w:r>
            <w:r>
              <w:rPr>
                <w:rFonts w:hint="eastAsia" w:ascii="宋体" w:hAnsi="宋体" w:cs="宋体"/>
                <w:color w:val="auto"/>
                <w:szCs w:val="21"/>
              </w:rPr>
              <w:tab/>
            </w:r>
            <w:r>
              <w:rPr>
                <w:rFonts w:hint="eastAsia" w:ascii="宋体" w:hAnsi="宋体" w:cs="宋体"/>
                <w:color w:val="auto"/>
                <w:szCs w:val="21"/>
              </w:rPr>
              <w:t>物料档案维护</w:t>
            </w:r>
          </w:p>
          <w:p w14:paraId="7BDC79D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业务004</w:t>
            </w:r>
            <w:r>
              <w:rPr>
                <w:rFonts w:hint="eastAsia" w:ascii="宋体" w:hAnsi="宋体" w:cs="宋体"/>
                <w:color w:val="auto"/>
                <w:szCs w:val="21"/>
              </w:rPr>
              <w:tab/>
            </w:r>
            <w:r>
              <w:rPr>
                <w:rFonts w:hint="eastAsia" w:ascii="宋体" w:hAnsi="宋体" w:cs="宋体"/>
                <w:color w:val="auto"/>
                <w:szCs w:val="21"/>
              </w:rPr>
              <w:t>银行账户维护</w:t>
            </w:r>
          </w:p>
          <w:p w14:paraId="6B1B92F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业务005</w:t>
            </w:r>
            <w:r>
              <w:rPr>
                <w:rFonts w:hint="eastAsia" w:ascii="宋体" w:hAnsi="宋体" w:cs="宋体"/>
                <w:color w:val="auto"/>
                <w:szCs w:val="21"/>
              </w:rPr>
              <w:tab/>
            </w:r>
            <w:r>
              <w:rPr>
                <w:rFonts w:hint="eastAsia" w:ascii="宋体" w:hAnsi="宋体" w:cs="宋体"/>
                <w:color w:val="auto"/>
                <w:szCs w:val="21"/>
              </w:rPr>
              <w:t>常用摘要维护</w:t>
            </w:r>
          </w:p>
          <w:p w14:paraId="0D8F49A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业务006</w:t>
            </w:r>
            <w:r>
              <w:rPr>
                <w:rFonts w:hint="eastAsia" w:ascii="宋体" w:hAnsi="宋体" w:cs="宋体"/>
                <w:color w:val="auto"/>
                <w:szCs w:val="21"/>
              </w:rPr>
              <w:tab/>
            </w:r>
            <w:r>
              <w:rPr>
                <w:rFonts w:hint="eastAsia" w:ascii="宋体" w:hAnsi="宋体" w:cs="宋体"/>
                <w:color w:val="auto"/>
                <w:szCs w:val="21"/>
              </w:rPr>
              <w:t>库存期初</w:t>
            </w:r>
          </w:p>
          <w:p w14:paraId="393CBC5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业务007</w:t>
            </w:r>
            <w:r>
              <w:rPr>
                <w:rFonts w:hint="eastAsia" w:ascii="宋体" w:hAnsi="宋体" w:cs="宋体"/>
                <w:color w:val="auto"/>
                <w:szCs w:val="21"/>
              </w:rPr>
              <w:tab/>
            </w:r>
            <w:r>
              <w:rPr>
                <w:rFonts w:hint="eastAsia" w:ascii="宋体" w:hAnsi="宋体" w:cs="宋体"/>
                <w:color w:val="auto"/>
                <w:szCs w:val="21"/>
              </w:rPr>
              <w:t>存货期初</w:t>
            </w:r>
          </w:p>
          <w:p w14:paraId="2573DF6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业务008</w:t>
            </w:r>
            <w:r>
              <w:rPr>
                <w:rFonts w:hint="eastAsia" w:ascii="宋体" w:hAnsi="宋体" w:cs="宋体"/>
                <w:color w:val="auto"/>
                <w:szCs w:val="21"/>
              </w:rPr>
              <w:tab/>
            </w:r>
            <w:r>
              <w:rPr>
                <w:rFonts w:hint="eastAsia" w:ascii="宋体" w:hAnsi="宋体" w:cs="宋体"/>
                <w:color w:val="auto"/>
                <w:szCs w:val="21"/>
              </w:rPr>
              <w:t>现金账户期初</w:t>
            </w:r>
          </w:p>
          <w:p w14:paraId="57070E1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业务009</w:t>
            </w:r>
            <w:r>
              <w:rPr>
                <w:rFonts w:hint="eastAsia" w:ascii="宋体" w:hAnsi="宋体" w:cs="宋体"/>
                <w:color w:val="auto"/>
                <w:szCs w:val="21"/>
              </w:rPr>
              <w:tab/>
            </w:r>
            <w:r>
              <w:rPr>
                <w:rFonts w:hint="eastAsia" w:ascii="宋体" w:hAnsi="宋体" w:cs="宋体"/>
                <w:color w:val="auto"/>
                <w:szCs w:val="21"/>
              </w:rPr>
              <w:t>应收期初</w:t>
            </w:r>
          </w:p>
          <w:p w14:paraId="3504E41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业务010</w:t>
            </w:r>
            <w:r>
              <w:rPr>
                <w:rFonts w:hint="eastAsia" w:ascii="宋体" w:hAnsi="宋体" w:cs="宋体"/>
                <w:color w:val="auto"/>
                <w:szCs w:val="21"/>
              </w:rPr>
              <w:tab/>
            </w:r>
            <w:r>
              <w:rPr>
                <w:rFonts w:hint="eastAsia" w:ascii="宋体" w:hAnsi="宋体" w:cs="宋体"/>
                <w:color w:val="auto"/>
                <w:szCs w:val="21"/>
              </w:rPr>
              <w:t>总账期初</w:t>
            </w:r>
          </w:p>
          <w:p w14:paraId="3851EF4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业务011</w:t>
            </w:r>
            <w:r>
              <w:rPr>
                <w:rFonts w:hint="eastAsia" w:ascii="宋体" w:hAnsi="宋体" w:cs="宋体"/>
                <w:color w:val="auto"/>
                <w:szCs w:val="21"/>
              </w:rPr>
              <w:tab/>
            </w:r>
            <w:r>
              <w:rPr>
                <w:rFonts w:hint="eastAsia" w:ascii="宋体" w:hAnsi="宋体" w:cs="宋体"/>
                <w:color w:val="auto"/>
                <w:szCs w:val="21"/>
              </w:rPr>
              <w:t>支付展位费</w:t>
            </w:r>
          </w:p>
          <w:p w14:paraId="59A6B3D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业务012</w:t>
            </w:r>
            <w:r>
              <w:rPr>
                <w:rFonts w:hint="eastAsia" w:ascii="宋体" w:hAnsi="宋体" w:cs="宋体"/>
                <w:color w:val="auto"/>
                <w:szCs w:val="21"/>
              </w:rPr>
              <w:tab/>
            </w:r>
            <w:r>
              <w:rPr>
                <w:rFonts w:hint="eastAsia" w:ascii="宋体" w:hAnsi="宋体" w:cs="宋体"/>
                <w:color w:val="auto"/>
                <w:szCs w:val="21"/>
              </w:rPr>
              <w:t>采购部员工报销差旅费</w:t>
            </w:r>
          </w:p>
          <w:p w14:paraId="69A4F23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业务013</w:t>
            </w:r>
            <w:r>
              <w:rPr>
                <w:rFonts w:hint="eastAsia" w:ascii="宋体" w:hAnsi="宋体" w:cs="宋体"/>
                <w:color w:val="auto"/>
                <w:szCs w:val="21"/>
              </w:rPr>
              <w:tab/>
            </w:r>
            <w:r>
              <w:rPr>
                <w:rFonts w:hint="eastAsia" w:ascii="宋体" w:hAnsi="宋体" w:cs="宋体"/>
                <w:color w:val="auto"/>
                <w:szCs w:val="21"/>
              </w:rPr>
              <w:t>调减使用权资产和租赁负债</w:t>
            </w:r>
          </w:p>
          <w:p w14:paraId="72248B9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业务014</w:t>
            </w:r>
            <w:r>
              <w:rPr>
                <w:rFonts w:hint="eastAsia" w:ascii="宋体" w:hAnsi="宋体" w:cs="宋体"/>
                <w:color w:val="auto"/>
                <w:szCs w:val="21"/>
              </w:rPr>
              <w:tab/>
            </w:r>
            <w:r>
              <w:rPr>
                <w:rFonts w:hint="eastAsia" w:ascii="宋体" w:hAnsi="宋体" w:cs="宋体"/>
                <w:color w:val="auto"/>
                <w:szCs w:val="21"/>
              </w:rPr>
              <w:t>进行申请办理银行汇票</w:t>
            </w:r>
          </w:p>
          <w:p w14:paraId="66D5C9F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业务015</w:t>
            </w:r>
            <w:r>
              <w:rPr>
                <w:rFonts w:hint="eastAsia" w:ascii="宋体" w:hAnsi="宋体" w:cs="宋体"/>
                <w:color w:val="auto"/>
                <w:szCs w:val="21"/>
              </w:rPr>
              <w:tab/>
            </w:r>
            <w:r>
              <w:rPr>
                <w:rFonts w:hint="eastAsia" w:ascii="宋体" w:hAnsi="宋体" w:cs="宋体"/>
                <w:color w:val="auto"/>
                <w:szCs w:val="21"/>
              </w:rPr>
              <w:t>用银行汇票采购周转材料</w:t>
            </w:r>
          </w:p>
          <w:p w14:paraId="7A63248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业务016</w:t>
            </w:r>
            <w:r>
              <w:rPr>
                <w:rFonts w:hint="eastAsia" w:ascii="宋体" w:hAnsi="宋体" w:cs="宋体"/>
                <w:color w:val="auto"/>
                <w:szCs w:val="21"/>
              </w:rPr>
              <w:tab/>
            </w:r>
            <w:r>
              <w:rPr>
                <w:rFonts w:hint="eastAsia" w:ascii="宋体" w:hAnsi="宋体" w:cs="宋体"/>
                <w:color w:val="auto"/>
                <w:szCs w:val="21"/>
              </w:rPr>
              <w:t>收到前欠货款</w:t>
            </w:r>
          </w:p>
          <w:p w14:paraId="6E99DC4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业务017</w:t>
            </w:r>
            <w:r>
              <w:rPr>
                <w:rFonts w:hint="eastAsia" w:ascii="宋体" w:hAnsi="宋体" w:cs="宋体"/>
                <w:color w:val="auto"/>
                <w:szCs w:val="21"/>
              </w:rPr>
              <w:tab/>
            </w:r>
            <w:r>
              <w:rPr>
                <w:rFonts w:hint="eastAsia" w:ascii="宋体" w:hAnsi="宋体" w:cs="宋体"/>
                <w:color w:val="auto"/>
                <w:szCs w:val="21"/>
              </w:rPr>
              <w:t>收到当月仓库租金</w:t>
            </w:r>
          </w:p>
          <w:p w14:paraId="20601CF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业务018</w:t>
            </w:r>
            <w:r>
              <w:rPr>
                <w:rFonts w:hint="eastAsia" w:ascii="宋体" w:hAnsi="宋体" w:cs="宋体"/>
                <w:color w:val="auto"/>
                <w:szCs w:val="21"/>
              </w:rPr>
              <w:tab/>
            </w:r>
            <w:r>
              <w:rPr>
                <w:rFonts w:hint="eastAsia" w:ascii="宋体" w:hAnsi="宋体" w:cs="宋体"/>
                <w:color w:val="auto"/>
                <w:szCs w:val="21"/>
              </w:rPr>
              <w:t>销售商品</w:t>
            </w:r>
          </w:p>
          <w:p w14:paraId="2EFC94F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业务019</w:t>
            </w:r>
            <w:r>
              <w:rPr>
                <w:rFonts w:hint="eastAsia" w:ascii="宋体" w:hAnsi="宋体" w:cs="宋体"/>
                <w:color w:val="auto"/>
                <w:szCs w:val="21"/>
              </w:rPr>
              <w:tab/>
            </w:r>
            <w:r>
              <w:rPr>
                <w:rFonts w:hint="eastAsia" w:ascii="宋体" w:hAnsi="宋体" w:cs="宋体"/>
                <w:color w:val="auto"/>
                <w:szCs w:val="21"/>
              </w:rPr>
              <w:t>支付职工聚餐费用</w:t>
            </w:r>
          </w:p>
          <w:p w14:paraId="23188B1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业务020</w:t>
            </w:r>
            <w:r>
              <w:rPr>
                <w:rFonts w:hint="eastAsia" w:ascii="宋体" w:hAnsi="宋体" w:cs="宋体"/>
                <w:color w:val="auto"/>
                <w:szCs w:val="21"/>
              </w:rPr>
              <w:tab/>
            </w:r>
            <w:r>
              <w:rPr>
                <w:rFonts w:hint="eastAsia" w:ascii="宋体" w:hAnsi="宋体" w:cs="宋体"/>
                <w:color w:val="auto"/>
                <w:szCs w:val="21"/>
              </w:rPr>
              <w:t>收到客户预付货款</w:t>
            </w:r>
          </w:p>
          <w:p w14:paraId="476BE8C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业务021</w:t>
            </w:r>
            <w:r>
              <w:rPr>
                <w:rFonts w:hint="eastAsia" w:ascii="宋体" w:hAnsi="宋体" w:cs="宋体"/>
                <w:color w:val="auto"/>
                <w:szCs w:val="21"/>
              </w:rPr>
              <w:tab/>
            </w:r>
            <w:r>
              <w:rPr>
                <w:rFonts w:hint="eastAsia" w:ascii="宋体" w:hAnsi="宋体" w:cs="宋体"/>
                <w:color w:val="auto"/>
                <w:szCs w:val="21"/>
              </w:rPr>
              <w:t>采购原材料</w:t>
            </w:r>
          </w:p>
          <w:p w14:paraId="016DAB4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业务022</w:t>
            </w:r>
            <w:r>
              <w:rPr>
                <w:rFonts w:hint="eastAsia" w:ascii="宋体" w:hAnsi="宋体" w:cs="宋体"/>
                <w:color w:val="auto"/>
                <w:szCs w:val="21"/>
              </w:rPr>
              <w:tab/>
            </w:r>
            <w:r>
              <w:rPr>
                <w:rFonts w:hint="eastAsia" w:ascii="宋体" w:hAnsi="宋体" w:cs="宋体"/>
                <w:color w:val="auto"/>
                <w:szCs w:val="21"/>
              </w:rPr>
              <w:t>从二级市场购入股票</w:t>
            </w:r>
          </w:p>
          <w:p w14:paraId="6CCFA26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业务023</w:t>
            </w:r>
            <w:r>
              <w:rPr>
                <w:rFonts w:hint="eastAsia" w:ascii="宋体" w:hAnsi="宋体" w:cs="宋体"/>
                <w:color w:val="auto"/>
                <w:szCs w:val="21"/>
              </w:rPr>
              <w:tab/>
            </w:r>
            <w:r>
              <w:rPr>
                <w:rFonts w:hint="eastAsia" w:ascii="宋体" w:hAnsi="宋体" w:cs="宋体"/>
                <w:color w:val="auto"/>
                <w:szCs w:val="21"/>
              </w:rPr>
              <w:t>支付职工培训费</w:t>
            </w:r>
          </w:p>
          <w:p w14:paraId="213AB7D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业务024</w:t>
            </w:r>
            <w:r>
              <w:rPr>
                <w:rFonts w:hint="eastAsia" w:ascii="宋体" w:hAnsi="宋体" w:cs="宋体"/>
                <w:color w:val="auto"/>
                <w:szCs w:val="21"/>
              </w:rPr>
              <w:tab/>
            </w:r>
            <w:r>
              <w:rPr>
                <w:rFonts w:hint="eastAsia" w:ascii="宋体" w:hAnsi="宋体" w:cs="宋体"/>
                <w:color w:val="auto"/>
                <w:szCs w:val="21"/>
              </w:rPr>
              <w:t>提取备用金</w:t>
            </w:r>
          </w:p>
          <w:p w14:paraId="31B7992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业务025</w:t>
            </w:r>
            <w:r>
              <w:rPr>
                <w:rFonts w:hint="eastAsia" w:ascii="宋体" w:hAnsi="宋体" w:cs="宋体"/>
                <w:color w:val="auto"/>
                <w:szCs w:val="21"/>
              </w:rPr>
              <w:tab/>
            </w:r>
            <w:r>
              <w:rPr>
                <w:rFonts w:hint="eastAsia" w:ascii="宋体" w:hAnsi="宋体" w:cs="宋体"/>
                <w:color w:val="auto"/>
                <w:szCs w:val="21"/>
              </w:rPr>
              <w:t>采购周转材料一批</w:t>
            </w:r>
          </w:p>
          <w:p w14:paraId="4F03A7F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业务026</w:t>
            </w:r>
            <w:r>
              <w:rPr>
                <w:rFonts w:hint="eastAsia" w:ascii="宋体" w:hAnsi="宋体" w:cs="宋体"/>
                <w:color w:val="auto"/>
                <w:szCs w:val="21"/>
              </w:rPr>
              <w:tab/>
            </w:r>
            <w:r>
              <w:rPr>
                <w:rFonts w:hint="eastAsia" w:ascii="宋体" w:hAnsi="宋体" w:cs="宋体"/>
                <w:color w:val="auto"/>
                <w:szCs w:val="21"/>
              </w:rPr>
              <w:t>销售商品并代垫运费</w:t>
            </w:r>
          </w:p>
          <w:p w14:paraId="64A0311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业务027</w:t>
            </w:r>
            <w:r>
              <w:rPr>
                <w:rFonts w:hint="eastAsia" w:ascii="宋体" w:hAnsi="宋体" w:cs="宋体"/>
                <w:color w:val="auto"/>
                <w:szCs w:val="21"/>
              </w:rPr>
              <w:tab/>
            </w:r>
            <w:r>
              <w:rPr>
                <w:rFonts w:hint="eastAsia" w:ascii="宋体" w:hAnsi="宋体" w:cs="宋体"/>
                <w:color w:val="auto"/>
                <w:szCs w:val="21"/>
              </w:rPr>
              <w:t>收到政府补助资金</w:t>
            </w:r>
          </w:p>
          <w:p w14:paraId="31F6C01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业务028</w:t>
            </w:r>
            <w:r>
              <w:rPr>
                <w:rFonts w:hint="eastAsia" w:ascii="宋体" w:hAnsi="宋体" w:cs="宋体"/>
                <w:color w:val="auto"/>
                <w:szCs w:val="21"/>
              </w:rPr>
              <w:tab/>
            </w:r>
            <w:r>
              <w:rPr>
                <w:rFonts w:hint="eastAsia" w:ascii="宋体" w:hAnsi="宋体" w:cs="宋体"/>
                <w:color w:val="auto"/>
                <w:szCs w:val="21"/>
              </w:rPr>
              <w:t>缴纳各项税费</w:t>
            </w:r>
          </w:p>
          <w:p w14:paraId="7C10674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业务029</w:t>
            </w:r>
            <w:r>
              <w:rPr>
                <w:rFonts w:hint="eastAsia" w:ascii="宋体" w:hAnsi="宋体" w:cs="宋体"/>
                <w:color w:val="auto"/>
                <w:szCs w:val="21"/>
              </w:rPr>
              <w:tab/>
            </w:r>
            <w:r>
              <w:rPr>
                <w:rFonts w:hint="eastAsia" w:ascii="宋体" w:hAnsi="宋体" w:cs="宋体"/>
                <w:color w:val="auto"/>
                <w:szCs w:val="21"/>
              </w:rPr>
              <w:t>发放上月工资</w:t>
            </w:r>
          </w:p>
          <w:p w14:paraId="250AA83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业务030</w:t>
            </w:r>
            <w:r>
              <w:rPr>
                <w:rFonts w:hint="eastAsia" w:ascii="宋体" w:hAnsi="宋体" w:cs="宋体"/>
                <w:color w:val="auto"/>
                <w:szCs w:val="21"/>
              </w:rPr>
              <w:tab/>
            </w:r>
            <w:r>
              <w:rPr>
                <w:rFonts w:hint="eastAsia" w:ascii="宋体" w:hAnsi="宋体" w:cs="宋体"/>
                <w:color w:val="auto"/>
                <w:szCs w:val="21"/>
              </w:rPr>
              <w:t>缴纳上月住房公积金</w:t>
            </w:r>
          </w:p>
          <w:p w14:paraId="3770285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业务031</w:t>
            </w:r>
            <w:r>
              <w:rPr>
                <w:rFonts w:hint="eastAsia" w:ascii="宋体" w:hAnsi="宋体" w:cs="宋体"/>
                <w:color w:val="auto"/>
                <w:szCs w:val="21"/>
              </w:rPr>
              <w:tab/>
            </w:r>
            <w:r>
              <w:rPr>
                <w:rFonts w:hint="eastAsia" w:ascii="宋体" w:hAnsi="宋体" w:cs="宋体"/>
                <w:color w:val="auto"/>
                <w:szCs w:val="21"/>
              </w:rPr>
              <w:t>缴纳上月社会保险费</w:t>
            </w:r>
          </w:p>
          <w:p w14:paraId="154F0F1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业务032</w:t>
            </w:r>
            <w:r>
              <w:rPr>
                <w:rFonts w:hint="eastAsia" w:ascii="宋体" w:hAnsi="宋体" w:cs="宋体"/>
                <w:color w:val="auto"/>
                <w:szCs w:val="21"/>
              </w:rPr>
              <w:tab/>
            </w:r>
            <w:r>
              <w:rPr>
                <w:rFonts w:hint="eastAsia" w:ascii="宋体" w:hAnsi="宋体" w:cs="宋体"/>
                <w:color w:val="auto"/>
                <w:szCs w:val="21"/>
              </w:rPr>
              <w:t>拨交上月工会经费</w:t>
            </w:r>
          </w:p>
          <w:p w14:paraId="35286AE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业务033</w:t>
            </w:r>
            <w:r>
              <w:rPr>
                <w:rFonts w:hint="eastAsia" w:ascii="宋体" w:hAnsi="宋体" w:cs="宋体"/>
                <w:color w:val="auto"/>
                <w:szCs w:val="21"/>
              </w:rPr>
              <w:tab/>
            </w:r>
            <w:r>
              <w:rPr>
                <w:rFonts w:hint="eastAsia" w:ascii="宋体" w:hAnsi="宋体" w:cs="宋体"/>
                <w:color w:val="auto"/>
                <w:szCs w:val="21"/>
              </w:rPr>
              <w:t>行政部报销招待费</w:t>
            </w:r>
          </w:p>
          <w:p w14:paraId="03B3C3E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业务034</w:t>
            </w:r>
            <w:r>
              <w:rPr>
                <w:rFonts w:hint="eastAsia" w:ascii="宋体" w:hAnsi="宋体" w:cs="宋体"/>
                <w:color w:val="auto"/>
                <w:szCs w:val="21"/>
              </w:rPr>
              <w:tab/>
            </w:r>
            <w:r>
              <w:rPr>
                <w:rFonts w:hint="eastAsia" w:ascii="宋体" w:hAnsi="宋体" w:cs="宋体"/>
                <w:color w:val="auto"/>
                <w:szCs w:val="21"/>
              </w:rPr>
              <w:t>采购原材料</w:t>
            </w:r>
          </w:p>
          <w:p w14:paraId="24EAB31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业务035</w:t>
            </w:r>
            <w:r>
              <w:rPr>
                <w:rFonts w:hint="eastAsia" w:ascii="宋体" w:hAnsi="宋体" w:cs="宋体"/>
                <w:color w:val="auto"/>
                <w:szCs w:val="21"/>
              </w:rPr>
              <w:tab/>
            </w:r>
            <w:r>
              <w:rPr>
                <w:rFonts w:hint="eastAsia" w:ascii="宋体" w:hAnsi="宋体" w:cs="宋体"/>
                <w:color w:val="auto"/>
                <w:szCs w:val="21"/>
              </w:rPr>
              <w:t>购入办公用品并领用</w:t>
            </w:r>
          </w:p>
          <w:p w14:paraId="6D863EA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业务036</w:t>
            </w:r>
            <w:r>
              <w:rPr>
                <w:rFonts w:hint="eastAsia" w:ascii="宋体" w:hAnsi="宋体" w:cs="宋体"/>
                <w:color w:val="auto"/>
                <w:szCs w:val="21"/>
              </w:rPr>
              <w:tab/>
            </w:r>
            <w:r>
              <w:rPr>
                <w:rFonts w:hint="eastAsia" w:ascii="宋体" w:hAnsi="宋体" w:cs="宋体"/>
                <w:color w:val="auto"/>
                <w:szCs w:val="21"/>
              </w:rPr>
              <w:t>增持资金矿业股权</w:t>
            </w:r>
          </w:p>
          <w:p w14:paraId="5DB62B6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业务037</w:t>
            </w:r>
            <w:r>
              <w:rPr>
                <w:rFonts w:hint="eastAsia" w:ascii="宋体" w:hAnsi="宋体" w:cs="宋体"/>
                <w:color w:val="auto"/>
                <w:szCs w:val="21"/>
              </w:rPr>
              <w:tab/>
            </w:r>
            <w:r>
              <w:rPr>
                <w:rFonts w:hint="eastAsia" w:ascii="宋体" w:hAnsi="宋体" w:cs="宋体"/>
                <w:color w:val="auto"/>
                <w:szCs w:val="21"/>
              </w:rPr>
              <w:t>结转公允价值变动</w:t>
            </w:r>
          </w:p>
          <w:p w14:paraId="4665A13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业务038</w:t>
            </w:r>
            <w:r>
              <w:rPr>
                <w:rFonts w:hint="eastAsia" w:ascii="宋体" w:hAnsi="宋体" w:cs="宋体"/>
                <w:color w:val="auto"/>
                <w:szCs w:val="21"/>
              </w:rPr>
              <w:tab/>
            </w:r>
            <w:r>
              <w:rPr>
                <w:rFonts w:hint="eastAsia" w:ascii="宋体" w:hAnsi="宋体" w:cs="宋体"/>
                <w:color w:val="auto"/>
                <w:szCs w:val="21"/>
              </w:rPr>
              <w:t>支付员工借款</w:t>
            </w:r>
          </w:p>
          <w:p w14:paraId="3F062A5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业务039</w:t>
            </w:r>
            <w:r>
              <w:rPr>
                <w:rFonts w:hint="eastAsia" w:ascii="宋体" w:hAnsi="宋体" w:cs="宋体"/>
                <w:color w:val="auto"/>
                <w:szCs w:val="21"/>
              </w:rPr>
              <w:tab/>
            </w:r>
            <w:r>
              <w:rPr>
                <w:rFonts w:hint="eastAsia" w:ascii="宋体" w:hAnsi="宋体" w:cs="宋体"/>
                <w:color w:val="auto"/>
                <w:szCs w:val="21"/>
              </w:rPr>
              <w:t>收到存款利息</w:t>
            </w:r>
          </w:p>
          <w:p w14:paraId="3C7217A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业务040</w:t>
            </w:r>
            <w:r>
              <w:rPr>
                <w:rFonts w:hint="eastAsia" w:ascii="宋体" w:hAnsi="宋体" w:cs="宋体"/>
                <w:color w:val="auto"/>
                <w:szCs w:val="21"/>
              </w:rPr>
              <w:tab/>
            </w:r>
            <w:r>
              <w:rPr>
                <w:rFonts w:hint="eastAsia" w:ascii="宋体" w:hAnsi="宋体" w:cs="宋体"/>
                <w:color w:val="auto"/>
                <w:szCs w:val="21"/>
              </w:rPr>
              <w:t>报销公司汽车维修费</w:t>
            </w:r>
          </w:p>
          <w:p w14:paraId="0A36E69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业务041</w:t>
            </w:r>
            <w:r>
              <w:rPr>
                <w:rFonts w:hint="eastAsia" w:ascii="宋体" w:hAnsi="宋体" w:cs="宋体"/>
                <w:color w:val="auto"/>
                <w:szCs w:val="21"/>
              </w:rPr>
              <w:tab/>
            </w:r>
            <w:r>
              <w:rPr>
                <w:rFonts w:hint="eastAsia" w:ascii="宋体" w:hAnsi="宋体" w:cs="宋体"/>
                <w:color w:val="auto"/>
                <w:szCs w:val="21"/>
              </w:rPr>
              <w:t>采购原材料</w:t>
            </w:r>
          </w:p>
          <w:p w14:paraId="60D369B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业务042</w:t>
            </w:r>
            <w:r>
              <w:rPr>
                <w:rFonts w:hint="eastAsia" w:ascii="宋体" w:hAnsi="宋体" w:cs="宋体"/>
                <w:color w:val="auto"/>
                <w:szCs w:val="21"/>
              </w:rPr>
              <w:tab/>
            </w:r>
            <w:r>
              <w:rPr>
                <w:rFonts w:hint="eastAsia" w:ascii="宋体" w:hAnsi="宋体" w:cs="宋体"/>
                <w:color w:val="auto"/>
                <w:szCs w:val="21"/>
              </w:rPr>
              <w:t>采购原材料</w:t>
            </w:r>
          </w:p>
          <w:p w14:paraId="237BC4C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业务043</w:t>
            </w:r>
            <w:r>
              <w:rPr>
                <w:rFonts w:hint="eastAsia" w:ascii="宋体" w:hAnsi="宋体" w:cs="宋体"/>
                <w:color w:val="auto"/>
                <w:szCs w:val="21"/>
              </w:rPr>
              <w:tab/>
            </w:r>
            <w:r>
              <w:rPr>
                <w:rFonts w:hint="eastAsia" w:ascii="宋体" w:hAnsi="宋体" w:cs="宋体"/>
                <w:color w:val="auto"/>
                <w:szCs w:val="21"/>
              </w:rPr>
              <w:t>向中国红十字会北京分会捐赠</w:t>
            </w:r>
          </w:p>
          <w:p w14:paraId="2C1CE13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业务044</w:t>
            </w:r>
            <w:r>
              <w:rPr>
                <w:rFonts w:hint="eastAsia" w:ascii="宋体" w:hAnsi="宋体" w:cs="宋体"/>
                <w:color w:val="auto"/>
                <w:szCs w:val="21"/>
              </w:rPr>
              <w:tab/>
            </w:r>
            <w:r>
              <w:rPr>
                <w:rFonts w:hint="eastAsia" w:ascii="宋体" w:hAnsi="宋体" w:cs="宋体"/>
                <w:color w:val="auto"/>
                <w:szCs w:val="21"/>
              </w:rPr>
              <w:t>支付财产保险费</w:t>
            </w:r>
          </w:p>
          <w:p w14:paraId="533D61C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业务045</w:t>
            </w:r>
            <w:r>
              <w:rPr>
                <w:rFonts w:hint="eastAsia" w:ascii="宋体" w:hAnsi="宋体" w:cs="宋体"/>
                <w:color w:val="auto"/>
                <w:szCs w:val="21"/>
              </w:rPr>
              <w:tab/>
            </w:r>
            <w:r>
              <w:rPr>
                <w:rFonts w:hint="eastAsia" w:ascii="宋体" w:hAnsi="宋体" w:cs="宋体"/>
                <w:color w:val="auto"/>
                <w:szCs w:val="21"/>
              </w:rPr>
              <w:t>完工商品入库</w:t>
            </w:r>
          </w:p>
          <w:p w14:paraId="6044F9D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业务046</w:t>
            </w:r>
            <w:r>
              <w:rPr>
                <w:rFonts w:hint="eastAsia" w:ascii="宋体" w:hAnsi="宋体" w:cs="宋体"/>
                <w:color w:val="auto"/>
                <w:szCs w:val="21"/>
              </w:rPr>
              <w:tab/>
            </w:r>
            <w:r>
              <w:rPr>
                <w:rFonts w:hint="eastAsia" w:ascii="宋体" w:hAnsi="宋体" w:cs="宋体"/>
                <w:color w:val="auto"/>
                <w:szCs w:val="21"/>
              </w:rPr>
              <w:t>采购原材料</w:t>
            </w:r>
          </w:p>
          <w:p w14:paraId="1792BCA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业务047</w:t>
            </w:r>
            <w:r>
              <w:rPr>
                <w:rFonts w:hint="eastAsia" w:ascii="宋体" w:hAnsi="宋体" w:cs="宋体"/>
                <w:color w:val="auto"/>
                <w:szCs w:val="21"/>
              </w:rPr>
              <w:tab/>
            </w:r>
            <w:r>
              <w:rPr>
                <w:rFonts w:hint="eastAsia" w:ascii="宋体" w:hAnsi="宋体" w:cs="宋体"/>
                <w:color w:val="auto"/>
                <w:szCs w:val="21"/>
              </w:rPr>
              <w:t>销售商品</w:t>
            </w:r>
          </w:p>
          <w:p w14:paraId="3FCBAB0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业务048</w:t>
            </w:r>
            <w:r>
              <w:rPr>
                <w:rFonts w:hint="eastAsia" w:ascii="宋体" w:hAnsi="宋体" w:cs="宋体"/>
                <w:color w:val="auto"/>
                <w:szCs w:val="21"/>
              </w:rPr>
              <w:tab/>
            </w:r>
            <w:r>
              <w:rPr>
                <w:rFonts w:hint="eastAsia" w:ascii="宋体" w:hAnsi="宋体" w:cs="宋体"/>
                <w:color w:val="auto"/>
                <w:szCs w:val="21"/>
              </w:rPr>
              <w:t>财务部员工报销市内交通费</w:t>
            </w:r>
          </w:p>
          <w:p w14:paraId="4971509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业务049</w:t>
            </w:r>
            <w:r>
              <w:rPr>
                <w:rFonts w:hint="eastAsia" w:ascii="宋体" w:hAnsi="宋体" w:cs="宋体"/>
                <w:color w:val="auto"/>
                <w:szCs w:val="21"/>
              </w:rPr>
              <w:tab/>
            </w:r>
            <w:r>
              <w:rPr>
                <w:rFonts w:hint="eastAsia" w:ascii="宋体" w:hAnsi="宋体" w:cs="宋体"/>
                <w:color w:val="auto"/>
                <w:szCs w:val="21"/>
              </w:rPr>
              <w:t>出售股票</w:t>
            </w:r>
          </w:p>
          <w:p w14:paraId="2A3CDF0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业务050</w:t>
            </w:r>
            <w:r>
              <w:rPr>
                <w:rFonts w:hint="eastAsia" w:ascii="宋体" w:hAnsi="宋体" w:cs="宋体"/>
                <w:color w:val="auto"/>
                <w:szCs w:val="21"/>
              </w:rPr>
              <w:tab/>
            </w:r>
            <w:r>
              <w:rPr>
                <w:rFonts w:hint="eastAsia" w:ascii="宋体" w:hAnsi="宋体" w:cs="宋体"/>
                <w:color w:val="auto"/>
                <w:szCs w:val="21"/>
              </w:rPr>
              <w:t>支付供应商材料款</w:t>
            </w:r>
          </w:p>
          <w:p w14:paraId="08C7E85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业务051</w:t>
            </w:r>
            <w:r>
              <w:rPr>
                <w:rFonts w:hint="eastAsia" w:ascii="宋体" w:hAnsi="宋体" w:cs="宋体"/>
                <w:color w:val="auto"/>
                <w:szCs w:val="21"/>
              </w:rPr>
              <w:tab/>
            </w:r>
            <w:r>
              <w:rPr>
                <w:rFonts w:hint="eastAsia" w:ascii="宋体" w:hAnsi="宋体" w:cs="宋体"/>
                <w:color w:val="auto"/>
                <w:szCs w:val="21"/>
              </w:rPr>
              <w:t>担保事项处理</w:t>
            </w:r>
          </w:p>
          <w:p w14:paraId="147EDAD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业务052</w:t>
            </w:r>
            <w:r>
              <w:rPr>
                <w:rFonts w:hint="eastAsia" w:ascii="宋体" w:hAnsi="宋体" w:cs="宋体"/>
                <w:color w:val="auto"/>
                <w:szCs w:val="21"/>
              </w:rPr>
              <w:tab/>
            </w:r>
            <w:r>
              <w:rPr>
                <w:rFonts w:hint="eastAsia" w:ascii="宋体" w:hAnsi="宋体" w:cs="宋体"/>
                <w:color w:val="auto"/>
                <w:szCs w:val="21"/>
              </w:rPr>
              <w:t>计提本月短期借款利息</w:t>
            </w:r>
          </w:p>
          <w:p w14:paraId="551A0F3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业务053</w:t>
            </w:r>
            <w:r>
              <w:rPr>
                <w:rFonts w:hint="eastAsia" w:ascii="宋体" w:hAnsi="宋体" w:cs="宋体"/>
                <w:color w:val="auto"/>
                <w:szCs w:val="21"/>
              </w:rPr>
              <w:tab/>
            </w:r>
            <w:r>
              <w:rPr>
                <w:rFonts w:hint="eastAsia" w:ascii="宋体" w:hAnsi="宋体" w:cs="宋体"/>
                <w:color w:val="auto"/>
                <w:szCs w:val="21"/>
              </w:rPr>
              <w:t>偿还短期借款本息</w:t>
            </w:r>
          </w:p>
          <w:p w14:paraId="2A8DFA6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业务054</w:t>
            </w:r>
            <w:r>
              <w:rPr>
                <w:rFonts w:hint="eastAsia" w:ascii="宋体" w:hAnsi="宋体" w:cs="宋体"/>
                <w:color w:val="auto"/>
                <w:szCs w:val="21"/>
              </w:rPr>
              <w:tab/>
            </w:r>
            <w:r>
              <w:rPr>
                <w:rFonts w:hint="eastAsia" w:ascii="宋体" w:hAnsi="宋体" w:cs="宋体"/>
                <w:color w:val="auto"/>
                <w:szCs w:val="21"/>
              </w:rPr>
              <w:t>收到货款</w:t>
            </w:r>
          </w:p>
          <w:p w14:paraId="3E90665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业务055</w:t>
            </w:r>
            <w:r>
              <w:rPr>
                <w:rFonts w:hint="eastAsia" w:ascii="宋体" w:hAnsi="宋体" w:cs="宋体"/>
                <w:color w:val="auto"/>
                <w:szCs w:val="21"/>
              </w:rPr>
              <w:tab/>
            </w:r>
            <w:r>
              <w:rPr>
                <w:rFonts w:hint="eastAsia" w:ascii="宋体" w:hAnsi="宋体" w:cs="宋体"/>
                <w:color w:val="auto"/>
                <w:szCs w:val="21"/>
              </w:rPr>
              <w:t>摊销本月租赁负债</w:t>
            </w:r>
          </w:p>
          <w:p w14:paraId="5913990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业务056</w:t>
            </w:r>
            <w:r>
              <w:rPr>
                <w:rFonts w:hint="eastAsia" w:ascii="宋体" w:hAnsi="宋体" w:cs="宋体"/>
                <w:color w:val="auto"/>
                <w:szCs w:val="21"/>
              </w:rPr>
              <w:tab/>
            </w:r>
            <w:r>
              <w:rPr>
                <w:rFonts w:hint="eastAsia" w:ascii="宋体" w:hAnsi="宋体" w:cs="宋体"/>
                <w:color w:val="auto"/>
                <w:szCs w:val="21"/>
              </w:rPr>
              <w:t>计提使用权资产折旧</w:t>
            </w:r>
          </w:p>
          <w:p w14:paraId="266853F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业务057</w:t>
            </w:r>
            <w:r>
              <w:rPr>
                <w:rFonts w:hint="eastAsia" w:ascii="宋体" w:hAnsi="宋体" w:cs="宋体"/>
                <w:color w:val="auto"/>
                <w:szCs w:val="21"/>
              </w:rPr>
              <w:tab/>
            </w:r>
            <w:r>
              <w:rPr>
                <w:rFonts w:hint="eastAsia" w:ascii="宋体" w:hAnsi="宋体" w:cs="宋体"/>
                <w:color w:val="auto"/>
                <w:szCs w:val="21"/>
              </w:rPr>
              <w:t>计提本月固定资产折旧</w:t>
            </w:r>
          </w:p>
          <w:p w14:paraId="0F126B3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业务058</w:t>
            </w:r>
            <w:r>
              <w:rPr>
                <w:rFonts w:hint="eastAsia" w:ascii="宋体" w:hAnsi="宋体" w:cs="宋体"/>
                <w:color w:val="auto"/>
                <w:szCs w:val="21"/>
              </w:rPr>
              <w:tab/>
            </w:r>
            <w:r>
              <w:rPr>
                <w:rFonts w:hint="eastAsia" w:ascii="宋体" w:hAnsi="宋体" w:cs="宋体"/>
                <w:color w:val="auto"/>
                <w:szCs w:val="21"/>
              </w:rPr>
              <w:t>无形资产摊销</w:t>
            </w:r>
          </w:p>
          <w:p w14:paraId="2D6DC9B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业务059</w:t>
            </w:r>
            <w:r>
              <w:rPr>
                <w:rFonts w:hint="eastAsia" w:ascii="宋体" w:hAnsi="宋体" w:cs="宋体"/>
                <w:color w:val="auto"/>
                <w:szCs w:val="21"/>
              </w:rPr>
              <w:tab/>
            </w:r>
            <w:r>
              <w:rPr>
                <w:rFonts w:hint="eastAsia" w:ascii="宋体" w:hAnsi="宋体" w:cs="宋体"/>
                <w:color w:val="auto"/>
                <w:szCs w:val="21"/>
              </w:rPr>
              <w:t>计提本月应代扣个人所得税</w:t>
            </w:r>
          </w:p>
          <w:p w14:paraId="59082FA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业务060</w:t>
            </w:r>
            <w:r>
              <w:rPr>
                <w:rFonts w:hint="eastAsia" w:ascii="宋体" w:hAnsi="宋体" w:cs="宋体"/>
                <w:color w:val="auto"/>
                <w:szCs w:val="21"/>
              </w:rPr>
              <w:tab/>
            </w:r>
            <w:r>
              <w:rPr>
                <w:rFonts w:hint="eastAsia" w:ascii="宋体" w:hAnsi="宋体" w:cs="宋体"/>
                <w:color w:val="auto"/>
                <w:szCs w:val="21"/>
              </w:rPr>
              <w:t>分配本月职工薪酬</w:t>
            </w:r>
          </w:p>
          <w:p w14:paraId="2680A86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业务061</w:t>
            </w:r>
            <w:r>
              <w:rPr>
                <w:rFonts w:hint="eastAsia" w:ascii="宋体" w:hAnsi="宋体" w:cs="宋体"/>
                <w:color w:val="auto"/>
                <w:szCs w:val="21"/>
              </w:rPr>
              <w:tab/>
            </w:r>
            <w:r>
              <w:rPr>
                <w:rFonts w:hint="eastAsia" w:ascii="宋体" w:hAnsi="宋体" w:cs="宋体"/>
                <w:color w:val="auto"/>
                <w:szCs w:val="21"/>
              </w:rPr>
              <w:t>分配本月职工福利费</w:t>
            </w:r>
          </w:p>
          <w:p w14:paraId="33CCFD2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业务062</w:t>
            </w:r>
            <w:r>
              <w:rPr>
                <w:rFonts w:hint="eastAsia" w:ascii="宋体" w:hAnsi="宋体" w:cs="宋体"/>
                <w:color w:val="auto"/>
                <w:szCs w:val="21"/>
              </w:rPr>
              <w:tab/>
            </w:r>
            <w:r>
              <w:rPr>
                <w:rFonts w:hint="eastAsia" w:ascii="宋体" w:hAnsi="宋体" w:cs="宋体"/>
                <w:color w:val="auto"/>
                <w:szCs w:val="21"/>
              </w:rPr>
              <w:t>分配本月职工教育经费</w:t>
            </w:r>
          </w:p>
          <w:p w14:paraId="340B185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业务063</w:t>
            </w:r>
            <w:r>
              <w:rPr>
                <w:rFonts w:hint="eastAsia" w:ascii="宋体" w:hAnsi="宋体" w:cs="宋体"/>
                <w:color w:val="auto"/>
                <w:szCs w:val="21"/>
              </w:rPr>
              <w:tab/>
            </w:r>
            <w:r>
              <w:rPr>
                <w:rFonts w:hint="eastAsia" w:ascii="宋体" w:hAnsi="宋体" w:cs="宋体"/>
                <w:color w:val="auto"/>
                <w:szCs w:val="21"/>
              </w:rPr>
              <w:t>支付并分配本月水费</w:t>
            </w:r>
          </w:p>
          <w:p w14:paraId="79C6638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业务064</w:t>
            </w:r>
            <w:r>
              <w:rPr>
                <w:rFonts w:hint="eastAsia" w:ascii="宋体" w:hAnsi="宋体" w:cs="宋体"/>
                <w:color w:val="auto"/>
                <w:szCs w:val="21"/>
              </w:rPr>
              <w:tab/>
            </w:r>
            <w:r>
              <w:rPr>
                <w:rFonts w:hint="eastAsia" w:ascii="宋体" w:hAnsi="宋体" w:cs="宋体"/>
                <w:color w:val="auto"/>
                <w:szCs w:val="21"/>
              </w:rPr>
              <w:t>支付并分配本月电费</w:t>
            </w:r>
          </w:p>
          <w:p w14:paraId="648FD5D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业务065</w:t>
            </w:r>
            <w:r>
              <w:rPr>
                <w:rFonts w:hint="eastAsia" w:ascii="宋体" w:hAnsi="宋体" w:cs="宋体"/>
                <w:color w:val="auto"/>
                <w:szCs w:val="21"/>
              </w:rPr>
              <w:tab/>
            </w:r>
            <w:r>
              <w:rPr>
                <w:rFonts w:hint="eastAsia" w:ascii="宋体" w:hAnsi="宋体" w:cs="宋体"/>
                <w:color w:val="auto"/>
                <w:szCs w:val="21"/>
              </w:rPr>
              <w:t>支付并分配本月天然气费用</w:t>
            </w:r>
          </w:p>
          <w:p w14:paraId="52F45D2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业务066</w:t>
            </w:r>
            <w:r>
              <w:rPr>
                <w:rFonts w:hint="eastAsia" w:ascii="宋体" w:hAnsi="宋体" w:cs="宋体"/>
                <w:color w:val="auto"/>
                <w:szCs w:val="21"/>
              </w:rPr>
              <w:tab/>
            </w:r>
            <w:r>
              <w:rPr>
                <w:rFonts w:hint="eastAsia" w:ascii="宋体" w:hAnsi="宋体" w:cs="宋体"/>
                <w:color w:val="auto"/>
                <w:szCs w:val="21"/>
              </w:rPr>
              <w:t>结转本月发出周转材料成本</w:t>
            </w:r>
          </w:p>
          <w:p w14:paraId="5BE3D85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业务067</w:t>
            </w:r>
            <w:r>
              <w:rPr>
                <w:rFonts w:hint="eastAsia" w:ascii="宋体" w:hAnsi="宋体" w:cs="宋体"/>
                <w:color w:val="auto"/>
                <w:szCs w:val="21"/>
              </w:rPr>
              <w:tab/>
            </w:r>
            <w:r>
              <w:rPr>
                <w:rFonts w:hint="eastAsia" w:ascii="宋体" w:hAnsi="宋体" w:cs="宋体"/>
                <w:color w:val="auto"/>
                <w:szCs w:val="21"/>
              </w:rPr>
              <w:t>分配并结转本月发出材料计划成本</w:t>
            </w:r>
          </w:p>
          <w:p w14:paraId="009FC15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业务068</w:t>
            </w:r>
            <w:r>
              <w:rPr>
                <w:rFonts w:hint="eastAsia" w:ascii="宋体" w:hAnsi="宋体" w:cs="宋体"/>
                <w:color w:val="auto"/>
                <w:szCs w:val="21"/>
              </w:rPr>
              <w:tab/>
            </w:r>
            <w:r>
              <w:rPr>
                <w:rFonts w:hint="eastAsia" w:ascii="宋体" w:hAnsi="宋体" w:cs="宋体"/>
                <w:color w:val="auto"/>
                <w:szCs w:val="21"/>
              </w:rPr>
              <w:t>结转本月发出材料应负担的成本差异</w:t>
            </w:r>
          </w:p>
          <w:p w14:paraId="0055C83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业务069</w:t>
            </w:r>
            <w:r>
              <w:rPr>
                <w:rFonts w:hint="eastAsia" w:ascii="宋体" w:hAnsi="宋体" w:cs="宋体"/>
                <w:color w:val="auto"/>
                <w:szCs w:val="21"/>
              </w:rPr>
              <w:tab/>
            </w:r>
            <w:r>
              <w:rPr>
                <w:rFonts w:hint="eastAsia" w:ascii="宋体" w:hAnsi="宋体" w:cs="宋体"/>
                <w:color w:val="auto"/>
                <w:szCs w:val="21"/>
              </w:rPr>
              <w:t>分配并结转本月车间制造费用</w:t>
            </w:r>
          </w:p>
          <w:p w14:paraId="4F3710D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业务070</w:t>
            </w:r>
            <w:r>
              <w:rPr>
                <w:rFonts w:hint="eastAsia" w:ascii="宋体" w:hAnsi="宋体" w:cs="宋体"/>
                <w:color w:val="auto"/>
                <w:szCs w:val="21"/>
              </w:rPr>
              <w:tab/>
            </w:r>
            <w:r>
              <w:rPr>
                <w:rFonts w:hint="eastAsia" w:ascii="宋体" w:hAnsi="宋体" w:cs="宋体"/>
                <w:color w:val="auto"/>
                <w:szCs w:val="21"/>
              </w:rPr>
              <w:t>结转本月车间完工成品成本</w:t>
            </w:r>
          </w:p>
          <w:p w14:paraId="636F7FA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业务071</w:t>
            </w:r>
            <w:r>
              <w:rPr>
                <w:rFonts w:hint="eastAsia" w:ascii="宋体" w:hAnsi="宋体" w:cs="宋体"/>
                <w:color w:val="auto"/>
                <w:szCs w:val="21"/>
              </w:rPr>
              <w:tab/>
            </w:r>
            <w:r>
              <w:rPr>
                <w:rFonts w:hint="eastAsia" w:ascii="宋体" w:hAnsi="宋体" w:cs="宋体"/>
                <w:color w:val="auto"/>
                <w:szCs w:val="21"/>
              </w:rPr>
              <w:t>结转本月销售商品成本</w:t>
            </w:r>
          </w:p>
          <w:p w14:paraId="1020FBB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业务072</w:t>
            </w:r>
            <w:r>
              <w:rPr>
                <w:rFonts w:hint="eastAsia" w:ascii="宋体" w:hAnsi="宋体" w:cs="宋体"/>
                <w:color w:val="auto"/>
                <w:szCs w:val="21"/>
              </w:rPr>
              <w:tab/>
            </w:r>
            <w:r>
              <w:rPr>
                <w:rFonts w:hint="eastAsia" w:ascii="宋体" w:hAnsi="宋体" w:cs="宋体"/>
                <w:color w:val="auto"/>
                <w:szCs w:val="21"/>
              </w:rPr>
              <w:t>计提坏账准备</w:t>
            </w:r>
          </w:p>
          <w:p w14:paraId="25E6EE8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业务073</w:t>
            </w:r>
            <w:r>
              <w:rPr>
                <w:rFonts w:hint="eastAsia" w:ascii="宋体" w:hAnsi="宋体" w:cs="宋体"/>
                <w:color w:val="auto"/>
                <w:szCs w:val="21"/>
              </w:rPr>
              <w:tab/>
            </w:r>
            <w:r>
              <w:rPr>
                <w:rFonts w:hint="eastAsia" w:ascii="宋体" w:hAnsi="宋体" w:cs="宋体"/>
                <w:color w:val="auto"/>
                <w:szCs w:val="21"/>
              </w:rPr>
              <w:t>支付上月顾问费</w:t>
            </w:r>
          </w:p>
          <w:p w14:paraId="56B3FBB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业务074</w:t>
            </w:r>
            <w:r>
              <w:rPr>
                <w:rFonts w:hint="eastAsia" w:ascii="宋体" w:hAnsi="宋体" w:cs="宋体"/>
                <w:color w:val="auto"/>
                <w:szCs w:val="21"/>
              </w:rPr>
              <w:tab/>
            </w:r>
            <w:r>
              <w:rPr>
                <w:rFonts w:hint="eastAsia" w:ascii="宋体" w:hAnsi="宋体" w:cs="宋体"/>
                <w:color w:val="auto"/>
                <w:szCs w:val="21"/>
              </w:rPr>
              <w:t>确认交易性金融资产公允价值变动</w:t>
            </w:r>
          </w:p>
          <w:p w14:paraId="61CD504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业务075</w:t>
            </w:r>
            <w:r>
              <w:rPr>
                <w:rFonts w:hint="eastAsia" w:ascii="宋体" w:hAnsi="宋体" w:cs="宋体"/>
                <w:color w:val="auto"/>
                <w:szCs w:val="21"/>
              </w:rPr>
              <w:tab/>
            </w:r>
            <w:r>
              <w:rPr>
                <w:rFonts w:hint="eastAsia" w:ascii="宋体" w:hAnsi="宋体" w:cs="宋体"/>
                <w:color w:val="auto"/>
                <w:szCs w:val="21"/>
              </w:rPr>
              <w:t>计算并结转本月未交增值稅</w:t>
            </w:r>
          </w:p>
          <w:p w14:paraId="4E11808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业务076</w:t>
            </w:r>
            <w:r>
              <w:rPr>
                <w:rFonts w:hint="eastAsia" w:ascii="宋体" w:hAnsi="宋体" w:cs="宋体"/>
                <w:color w:val="auto"/>
                <w:szCs w:val="21"/>
              </w:rPr>
              <w:tab/>
            </w:r>
            <w:r>
              <w:rPr>
                <w:rFonts w:hint="eastAsia" w:ascii="宋体" w:hAnsi="宋体" w:cs="宋体"/>
                <w:color w:val="auto"/>
                <w:szCs w:val="21"/>
              </w:rPr>
              <w:t>计提城市维护建设税、教育费附加及地方教育附加</w:t>
            </w:r>
          </w:p>
          <w:p w14:paraId="0EB07A9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业务077</w:t>
            </w:r>
            <w:r>
              <w:rPr>
                <w:rFonts w:hint="eastAsia" w:ascii="宋体" w:hAnsi="宋体" w:cs="宋体"/>
                <w:color w:val="auto"/>
                <w:szCs w:val="21"/>
              </w:rPr>
              <w:tab/>
            </w:r>
            <w:r>
              <w:rPr>
                <w:rFonts w:hint="eastAsia" w:ascii="宋体" w:hAnsi="宋体" w:cs="宋体"/>
                <w:color w:val="auto"/>
                <w:szCs w:val="21"/>
              </w:rPr>
              <w:t>计提转让金融商品应交增值税</w:t>
            </w:r>
          </w:p>
          <w:p w14:paraId="7FFEB02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业务078</w:t>
            </w:r>
            <w:r>
              <w:rPr>
                <w:rFonts w:hint="eastAsia" w:ascii="宋体" w:hAnsi="宋体" w:cs="宋体"/>
                <w:color w:val="auto"/>
                <w:szCs w:val="21"/>
              </w:rPr>
              <w:tab/>
            </w:r>
            <w:r>
              <w:rPr>
                <w:rFonts w:hint="eastAsia" w:ascii="宋体" w:hAnsi="宋体" w:cs="宋体"/>
                <w:color w:val="auto"/>
                <w:szCs w:val="21"/>
              </w:rPr>
              <w:t>结转损益</w:t>
            </w:r>
          </w:p>
          <w:p w14:paraId="2C41AD9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业务079</w:t>
            </w:r>
            <w:r>
              <w:rPr>
                <w:rFonts w:hint="eastAsia" w:ascii="宋体" w:hAnsi="宋体" w:cs="宋体"/>
                <w:color w:val="auto"/>
                <w:szCs w:val="21"/>
              </w:rPr>
              <w:tab/>
            </w:r>
            <w:r>
              <w:rPr>
                <w:rFonts w:hint="eastAsia" w:ascii="宋体" w:hAnsi="宋体" w:cs="宋体"/>
                <w:color w:val="auto"/>
                <w:szCs w:val="21"/>
              </w:rPr>
              <w:t>计提第1季度所得税</w:t>
            </w:r>
          </w:p>
          <w:p w14:paraId="20233DA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业务080</w:t>
            </w:r>
            <w:r>
              <w:rPr>
                <w:rFonts w:hint="eastAsia" w:ascii="宋体" w:hAnsi="宋体" w:cs="宋体"/>
                <w:color w:val="auto"/>
                <w:szCs w:val="21"/>
              </w:rPr>
              <w:tab/>
            </w:r>
            <w:r>
              <w:rPr>
                <w:rFonts w:hint="eastAsia" w:ascii="宋体" w:hAnsi="宋体" w:cs="宋体"/>
                <w:color w:val="auto"/>
                <w:szCs w:val="21"/>
              </w:rPr>
              <w:t>增值税申报</w:t>
            </w:r>
          </w:p>
          <w:p w14:paraId="0D26722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业务081</w:t>
            </w:r>
            <w:r>
              <w:rPr>
                <w:rFonts w:hint="eastAsia" w:ascii="宋体" w:hAnsi="宋体" w:cs="宋体"/>
                <w:color w:val="auto"/>
                <w:szCs w:val="21"/>
              </w:rPr>
              <w:tab/>
            </w:r>
            <w:r>
              <w:rPr>
                <w:rFonts w:hint="eastAsia" w:ascii="宋体" w:hAnsi="宋体" w:cs="宋体"/>
                <w:color w:val="auto"/>
                <w:szCs w:val="21"/>
              </w:rPr>
              <w:t>资产负债表</w:t>
            </w:r>
          </w:p>
          <w:p w14:paraId="769DF53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业务082</w:t>
            </w:r>
            <w:r>
              <w:rPr>
                <w:rFonts w:hint="eastAsia" w:ascii="宋体" w:hAnsi="宋体" w:cs="宋体"/>
                <w:color w:val="auto"/>
                <w:szCs w:val="21"/>
              </w:rPr>
              <w:tab/>
            </w:r>
            <w:r>
              <w:rPr>
                <w:rFonts w:hint="eastAsia" w:ascii="宋体" w:hAnsi="宋体" w:cs="宋体"/>
                <w:color w:val="auto"/>
                <w:szCs w:val="21"/>
              </w:rPr>
              <w:t>利润表</w:t>
            </w:r>
          </w:p>
          <w:p w14:paraId="0D2243A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业务083</w:t>
            </w:r>
            <w:r>
              <w:rPr>
                <w:rFonts w:hint="eastAsia" w:ascii="宋体" w:hAnsi="宋体" w:cs="宋体"/>
                <w:color w:val="auto"/>
                <w:szCs w:val="21"/>
              </w:rPr>
              <w:tab/>
            </w:r>
            <w:r>
              <w:rPr>
                <w:rFonts w:hint="eastAsia" w:ascii="宋体" w:hAnsi="宋体" w:cs="宋体"/>
                <w:color w:val="auto"/>
                <w:szCs w:val="21"/>
              </w:rPr>
              <w:t>资产负债表结构分析</w:t>
            </w:r>
          </w:p>
          <w:p w14:paraId="1AFDDD8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业务084</w:t>
            </w:r>
            <w:r>
              <w:rPr>
                <w:rFonts w:hint="eastAsia" w:ascii="宋体" w:hAnsi="宋体" w:cs="宋体"/>
                <w:color w:val="auto"/>
                <w:szCs w:val="21"/>
              </w:rPr>
              <w:tab/>
            </w:r>
            <w:r>
              <w:rPr>
                <w:rFonts w:hint="eastAsia" w:ascii="宋体" w:hAnsi="宋体" w:cs="宋体"/>
                <w:color w:val="auto"/>
                <w:szCs w:val="21"/>
              </w:rPr>
              <w:t>盈利能力及费用结构分析</w:t>
            </w:r>
          </w:p>
          <w:p w14:paraId="1366D01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任务001</w:t>
            </w:r>
            <w:r>
              <w:rPr>
                <w:rFonts w:hint="eastAsia" w:ascii="宋体" w:hAnsi="宋体" w:cs="宋体"/>
                <w:color w:val="auto"/>
                <w:szCs w:val="21"/>
              </w:rPr>
              <w:tab/>
            </w:r>
            <w:r>
              <w:rPr>
                <w:rFonts w:hint="eastAsia" w:ascii="宋体" w:hAnsi="宋体" w:cs="宋体"/>
                <w:color w:val="auto"/>
                <w:szCs w:val="21"/>
              </w:rPr>
              <w:t>借款分析</w:t>
            </w:r>
          </w:p>
          <w:p w14:paraId="2AD19CD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任务002</w:t>
            </w:r>
            <w:r>
              <w:rPr>
                <w:rFonts w:hint="eastAsia" w:ascii="宋体" w:hAnsi="宋体" w:cs="宋体"/>
                <w:color w:val="auto"/>
                <w:szCs w:val="21"/>
              </w:rPr>
              <w:tab/>
            </w:r>
            <w:r>
              <w:rPr>
                <w:rFonts w:hint="eastAsia" w:ascii="宋体" w:hAnsi="宋体" w:cs="宋体"/>
                <w:color w:val="auto"/>
                <w:szCs w:val="21"/>
              </w:rPr>
              <w:t>偿债能力分析</w:t>
            </w:r>
          </w:p>
          <w:p w14:paraId="02DD8CD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任务003</w:t>
            </w:r>
            <w:r>
              <w:rPr>
                <w:rFonts w:hint="eastAsia" w:ascii="宋体" w:hAnsi="宋体" w:cs="宋体"/>
                <w:color w:val="auto"/>
                <w:szCs w:val="21"/>
              </w:rPr>
              <w:tab/>
            </w:r>
            <w:r>
              <w:rPr>
                <w:rFonts w:hint="eastAsia" w:ascii="宋体" w:hAnsi="宋体" w:cs="宋体"/>
                <w:color w:val="auto"/>
                <w:szCs w:val="21"/>
              </w:rPr>
              <w:t>资金使用效</w:t>
            </w:r>
          </w:p>
          <w:p w14:paraId="69D2866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任务004</w:t>
            </w:r>
            <w:r>
              <w:rPr>
                <w:rFonts w:hint="eastAsia" w:ascii="宋体" w:hAnsi="宋体" w:cs="宋体"/>
                <w:color w:val="auto"/>
                <w:szCs w:val="21"/>
              </w:rPr>
              <w:tab/>
            </w:r>
            <w:r>
              <w:rPr>
                <w:rFonts w:hint="eastAsia" w:ascii="宋体" w:hAnsi="宋体" w:cs="宋体"/>
                <w:color w:val="auto"/>
                <w:szCs w:val="21"/>
              </w:rPr>
              <w:t>人工效率分析</w:t>
            </w:r>
          </w:p>
          <w:p w14:paraId="1181415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任务005</w:t>
            </w:r>
            <w:r>
              <w:rPr>
                <w:rFonts w:hint="eastAsia" w:ascii="宋体" w:hAnsi="宋体" w:cs="宋体"/>
                <w:color w:val="auto"/>
                <w:szCs w:val="21"/>
              </w:rPr>
              <w:tab/>
            </w:r>
            <w:r>
              <w:rPr>
                <w:rFonts w:hint="eastAsia" w:ascii="宋体" w:hAnsi="宋体" w:cs="宋体"/>
                <w:color w:val="auto"/>
                <w:szCs w:val="21"/>
              </w:rPr>
              <w:t>销售费用分析</w:t>
            </w:r>
          </w:p>
          <w:p w14:paraId="1706E11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任务006</w:t>
            </w:r>
            <w:r>
              <w:rPr>
                <w:rFonts w:hint="eastAsia" w:ascii="宋体" w:hAnsi="宋体" w:cs="宋体"/>
                <w:color w:val="auto"/>
                <w:szCs w:val="21"/>
              </w:rPr>
              <w:tab/>
            </w:r>
            <w:r>
              <w:rPr>
                <w:rFonts w:hint="eastAsia" w:ascii="宋体" w:hAnsi="宋体" w:cs="宋体"/>
                <w:color w:val="auto"/>
                <w:szCs w:val="21"/>
              </w:rPr>
              <w:t>研发费用分析</w:t>
            </w:r>
          </w:p>
          <w:p w14:paraId="4C39635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任务007</w:t>
            </w:r>
            <w:r>
              <w:rPr>
                <w:rFonts w:hint="eastAsia" w:ascii="宋体" w:hAnsi="宋体" w:cs="宋体"/>
                <w:color w:val="auto"/>
                <w:szCs w:val="21"/>
              </w:rPr>
              <w:tab/>
            </w:r>
            <w:r>
              <w:rPr>
                <w:rFonts w:hint="eastAsia" w:ascii="宋体" w:hAnsi="宋体" w:cs="宋体"/>
                <w:color w:val="auto"/>
                <w:szCs w:val="21"/>
              </w:rPr>
              <w:t>资产负债表</w:t>
            </w:r>
          </w:p>
          <w:p w14:paraId="29155EE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任务008</w:t>
            </w:r>
            <w:r>
              <w:rPr>
                <w:rFonts w:hint="eastAsia" w:ascii="宋体" w:hAnsi="宋体" w:cs="宋体"/>
                <w:color w:val="auto"/>
                <w:szCs w:val="21"/>
              </w:rPr>
              <w:tab/>
            </w:r>
            <w:r>
              <w:rPr>
                <w:rFonts w:hint="eastAsia" w:ascii="宋体" w:hAnsi="宋体" w:cs="宋体"/>
                <w:color w:val="auto"/>
                <w:szCs w:val="21"/>
              </w:rPr>
              <w:t>利润表分析</w:t>
            </w:r>
          </w:p>
          <w:p w14:paraId="640C691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任务009</w:t>
            </w:r>
            <w:r>
              <w:rPr>
                <w:rFonts w:hint="eastAsia" w:ascii="宋体" w:hAnsi="宋体" w:cs="宋体"/>
                <w:color w:val="auto"/>
                <w:szCs w:val="21"/>
              </w:rPr>
              <w:tab/>
            </w:r>
            <w:r>
              <w:rPr>
                <w:rFonts w:hint="eastAsia" w:ascii="宋体" w:hAnsi="宋体" w:cs="宋体"/>
                <w:color w:val="auto"/>
                <w:szCs w:val="21"/>
              </w:rPr>
              <w:t>盈利能力分析</w:t>
            </w:r>
          </w:p>
          <w:p w14:paraId="3FF2346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任务010</w:t>
            </w:r>
            <w:r>
              <w:rPr>
                <w:rFonts w:hint="eastAsia" w:ascii="宋体" w:hAnsi="宋体" w:cs="宋体"/>
                <w:color w:val="auto"/>
                <w:szCs w:val="21"/>
              </w:rPr>
              <w:tab/>
            </w:r>
            <w:r>
              <w:rPr>
                <w:rFonts w:hint="eastAsia" w:ascii="宋体" w:hAnsi="宋体" w:cs="宋体"/>
                <w:color w:val="auto"/>
                <w:szCs w:val="21"/>
              </w:rPr>
              <w:t>营运能力指</w:t>
            </w:r>
          </w:p>
          <w:p w14:paraId="145113B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任务011</w:t>
            </w:r>
            <w:r>
              <w:rPr>
                <w:rFonts w:hint="eastAsia" w:ascii="宋体" w:hAnsi="宋体" w:cs="宋体"/>
                <w:color w:val="auto"/>
                <w:szCs w:val="21"/>
              </w:rPr>
              <w:tab/>
            </w:r>
            <w:r>
              <w:rPr>
                <w:rFonts w:hint="eastAsia" w:ascii="宋体" w:hAnsi="宋体" w:cs="宋体"/>
                <w:color w:val="auto"/>
                <w:szCs w:val="21"/>
              </w:rPr>
              <w:t>宏观数据分析</w:t>
            </w:r>
          </w:p>
          <w:p w14:paraId="3484884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任务012</w:t>
            </w:r>
            <w:r>
              <w:rPr>
                <w:rFonts w:hint="eastAsia" w:ascii="宋体" w:hAnsi="宋体" w:cs="宋体"/>
                <w:color w:val="auto"/>
                <w:szCs w:val="21"/>
              </w:rPr>
              <w:tab/>
            </w:r>
            <w:r>
              <w:rPr>
                <w:rFonts w:hint="eastAsia" w:ascii="宋体" w:hAnsi="宋体" w:cs="宋体"/>
                <w:color w:val="auto"/>
                <w:szCs w:val="21"/>
              </w:rPr>
              <w:t>财务指标与同行业对比计算</w:t>
            </w:r>
          </w:p>
          <w:p w14:paraId="5ADD29E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任务013</w:t>
            </w:r>
            <w:r>
              <w:rPr>
                <w:rFonts w:hint="eastAsia" w:ascii="宋体" w:hAnsi="宋体" w:cs="宋体"/>
                <w:color w:val="auto"/>
                <w:szCs w:val="21"/>
              </w:rPr>
              <w:tab/>
            </w:r>
            <w:r>
              <w:rPr>
                <w:rFonts w:hint="eastAsia" w:ascii="宋体" w:hAnsi="宋体" w:cs="宋体"/>
                <w:color w:val="auto"/>
                <w:szCs w:val="21"/>
              </w:rPr>
              <w:t>客户分析</w:t>
            </w:r>
          </w:p>
          <w:p w14:paraId="5F70996C">
            <w:pPr>
              <w:tabs>
                <w:tab w:val="left" w:pos="1440"/>
              </w:tabs>
              <w:spacing w:line="360" w:lineRule="atLeast"/>
              <w:ind w:firstLine="422" w:firstLineChars="200"/>
              <w:jc w:val="left"/>
              <w:rPr>
                <w:rFonts w:ascii="宋体" w:hAnsi="宋体" w:cs="宋体"/>
                <w:b/>
                <w:bCs/>
                <w:color w:val="auto"/>
                <w:szCs w:val="21"/>
              </w:rPr>
            </w:pPr>
            <w:r>
              <w:rPr>
                <w:rFonts w:hint="eastAsia" w:ascii="宋体" w:hAnsi="宋体" w:cs="宋体"/>
                <w:b/>
                <w:bCs/>
                <w:color w:val="auto"/>
                <w:szCs w:val="21"/>
              </w:rPr>
              <w:t>阶段2：财务数字化阶段</w:t>
            </w:r>
          </w:p>
          <w:p w14:paraId="68E7106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【公司名称】建工行业</w:t>
            </w:r>
          </w:p>
          <w:p w14:paraId="2A52106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【案例类型】财务数字化技能案例</w:t>
            </w:r>
          </w:p>
          <w:p w14:paraId="0FF2B60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【领域设置】投融资管理、预算管理、营运分析、绩效内控</w:t>
            </w:r>
          </w:p>
          <w:p w14:paraId="1DE618A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【难易程度】中</w:t>
            </w:r>
          </w:p>
          <w:p w14:paraId="1EED5AE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【案例概述】</w:t>
            </w:r>
          </w:p>
          <w:p w14:paraId="497D1DD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1.考试时间为 180 分钟，投融资管理岗100分，预算管理岗90分，营运分析岗110分，绩效内控岗100分，团队合计400分。</w:t>
            </w:r>
          </w:p>
          <w:p w14:paraId="3781BB8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2.本案例使用财务数字化训赛平台V2.0赛务模块及业务系统-分析云、python、数据中心、数据清洗、智多星RPA，完成财务数字化四个岗位的工作。</w:t>
            </w:r>
          </w:p>
          <w:p w14:paraId="631D8B8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3.本试题分为案例介绍、投融资管理、预算管理、营运分析、绩效内控五部分，请按照对应领域依次作答。</w:t>
            </w:r>
          </w:p>
          <w:p w14:paraId="7C4AC69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【案例说明】</w:t>
            </w:r>
          </w:p>
          <w:p w14:paraId="0ECE4DC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投融资管理领域</w:t>
            </w:r>
          </w:p>
          <w:p w14:paraId="59FB02A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考核点一：PEST分析</w:t>
            </w:r>
          </w:p>
          <w:p w14:paraId="0300627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考核点二：投资决策</w:t>
            </w:r>
          </w:p>
          <w:p w14:paraId="4A56404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考核点三：借款方式决策</w:t>
            </w:r>
          </w:p>
          <w:p w14:paraId="42F6DCC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考核点四：设备取得方式决策</w:t>
            </w:r>
          </w:p>
          <w:p w14:paraId="1882AB4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考核点五：债券投资</w:t>
            </w:r>
          </w:p>
          <w:p w14:paraId="101298D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考核点六：中国建筑业总产值分析</w:t>
            </w:r>
          </w:p>
          <w:p w14:paraId="3AE1B58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考核点七：中国光伏建筑一体化市场分析</w:t>
            </w:r>
          </w:p>
          <w:p w14:paraId="3B9CC1D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考核点八：建筑行业签订合同金额分析</w:t>
            </w:r>
          </w:p>
          <w:p w14:paraId="6EDD3AC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考核点九：房屋施工面积与竣工面积分析报告</w:t>
            </w:r>
          </w:p>
          <w:p w14:paraId="69ADA0C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考核点十：建筑行业指标分析报告</w:t>
            </w:r>
          </w:p>
          <w:p w14:paraId="01A1ACE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【案例说明】</w:t>
            </w:r>
          </w:p>
          <w:p w14:paraId="53A0388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预算管理领域</w:t>
            </w:r>
          </w:p>
          <w:p w14:paraId="539A699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考核点一：数据爬取及分析</w:t>
            </w:r>
          </w:p>
          <w:p w14:paraId="41FE179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考核点二：销售预算</w:t>
            </w:r>
          </w:p>
          <w:p w14:paraId="177311F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考核点三：建筑材料库存预算</w:t>
            </w:r>
          </w:p>
          <w:p w14:paraId="15B3681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考核点四：建筑材料采购预算</w:t>
            </w:r>
          </w:p>
          <w:p w14:paraId="1F16253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考核点五：销售费用预算</w:t>
            </w:r>
          </w:p>
          <w:p w14:paraId="00E25D7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考核点六：管理费用预算</w:t>
            </w:r>
          </w:p>
          <w:p w14:paraId="20026C4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考核点七：财务费用预算</w:t>
            </w:r>
          </w:p>
          <w:p w14:paraId="761F5DD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考核点八：分包成本预算</w:t>
            </w:r>
          </w:p>
          <w:p w14:paraId="2EEC226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考核点九：税费预算</w:t>
            </w:r>
          </w:p>
          <w:p w14:paraId="5250D1D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考核点十：现金预算</w:t>
            </w:r>
          </w:p>
          <w:p w14:paraId="05910A0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考核点十一：预计利润表</w:t>
            </w:r>
          </w:p>
          <w:p w14:paraId="51DC7C3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考核点十二：预计资产负债表</w:t>
            </w:r>
          </w:p>
          <w:p w14:paraId="18DF4AC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考核点十三：中国建筑收入分析报告</w:t>
            </w:r>
          </w:p>
          <w:p w14:paraId="6EDCAC3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考核点十四：中国建筑成本分析报告</w:t>
            </w:r>
          </w:p>
          <w:p w14:paraId="503CAE4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【案例说明】</w:t>
            </w:r>
          </w:p>
          <w:p w14:paraId="03A98AA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营运分析领域</w:t>
            </w:r>
          </w:p>
          <w:p w14:paraId="086B626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考核点一：数据清洗及分析</w:t>
            </w:r>
          </w:p>
          <w:p w14:paraId="5834DAB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考核点二：上市公司发展能力分析</w:t>
            </w:r>
          </w:p>
          <w:p w14:paraId="749F157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考核点三：施工成本费用预算与实际计算分析</w:t>
            </w:r>
          </w:p>
          <w:p w14:paraId="28F8145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考核点四：建筑材料费用成本降低分析</w:t>
            </w:r>
          </w:p>
          <w:p w14:paraId="36FA06B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考核点五：经济批量计算</w:t>
            </w:r>
          </w:p>
          <w:p w14:paraId="2CBDA6C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考核点六：敏感系数分析</w:t>
            </w:r>
          </w:p>
          <w:p w14:paraId="0E5D013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考核点七：工程建设行业上市公司对比分析</w:t>
            </w:r>
          </w:p>
          <w:p w14:paraId="17C6D6E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考核点八：建筑工程行业均值分析报告</w:t>
            </w:r>
          </w:p>
          <w:p w14:paraId="114C942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考核点九：建筑工厂行业效能分析报告</w:t>
            </w:r>
          </w:p>
          <w:p w14:paraId="1BFEDC0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考核点十：建筑工程行业人员结构分析报告</w:t>
            </w:r>
          </w:p>
          <w:p w14:paraId="50DA09B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【案例说明】</w:t>
            </w:r>
          </w:p>
          <w:p w14:paraId="38254E6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绩效内控领域</w:t>
            </w:r>
          </w:p>
          <w:p w14:paraId="521C665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考核点一：数据爬取及分析</w:t>
            </w:r>
          </w:p>
          <w:p w14:paraId="3F9B962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考核点二：平衡计分卡</w:t>
            </w:r>
          </w:p>
          <w:p w14:paraId="6373476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考核点三：奖金计算</w:t>
            </w:r>
          </w:p>
          <w:p w14:paraId="1C1E7B6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考核点四：年终奖计算</w:t>
            </w:r>
          </w:p>
          <w:p w14:paraId="1023B89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考核点五：资产负债表结构分析</w:t>
            </w:r>
          </w:p>
          <w:p w14:paraId="5844938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考核点六：风险分析</w:t>
            </w:r>
          </w:p>
          <w:p w14:paraId="5B75050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考核点七：宏观环境分析报告算</w:t>
            </w:r>
          </w:p>
          <w:p w14:paraId="0C67DF9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考核点八：股份公司盈利分析报告</w:t>
            </w:r>
          </w:p>
          <w:p w14:paraId="101EDB7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考核点九：建工公司盈利分析报告</w:t>
            </w:r>
          </w:p>
          <w:p w14:paraId="77E5477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考核点十：建工公司业务模式分析报告</w:t>
            </w:r>
          </w:p>
          <w:p w14:paraId="212371E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考核点十一：企业内控控制流程设计</w:t>
            </w:r>
          </w:p>
          <w:p w14:paraId="46AF470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考核点十二：网银付款机器人</w:t>
            </w:r>
          </w:p>
          <w:p w14:paraId="62715DDE">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▲其他要求：系统与广西职业院校技能大赛会计实务内容匹配，满足教学实训、竞赛备赛要求，同时须满足会计实务国赛的要求并提供承诺文件。</w:t>
            </w:r>
          </w:p>
        </w:tc>
        <w:tc>
          <w:tcPr>
            <w:tcW w:w="1355" w:type="dxa"/>
            <w:tcBorders>
              <w:top w:val="single" w:color="auto" w:sz="4" w:space="0"/>
              <w:left w:val="single" w:color="auto" w:sz="4" w:space="0"/>
              <w:bottom w:val="single" w:color="auto" w:sz="4" w:space="0"/>
              <w:right w:val="single" w:color="auto" w:sz="4" w:space="0"/>
            </w:tcBorders>
            <w:vAlign w:val="center"/>
          </w:tcPr>
          <w:p w14:paraId="4EC95C06">
            <w:pPr>
              <w:tabs>
                <w:tab w:val="left" w:pos="1440"/>
              </w:tabs>
              <w:spacing w:line="360" w:lineRule="atLeast"/>
              <w:jc w:val="center"/>
              <w:rPr>
                <w:rFonts w:ascii="宋体" w:hAnsi="宋体"/>
                <w:color w:val="auto"/>
                <w:szCs w:val="21"/>
              </w:rPr>
            </w:pPr>
            <w:r>
              <w:rPr>
                <w:rFonts w:ascii="宋体" w:hAnsi="宋体" w:cs="宋体"/>
                <w:bCs/>
                <w:color w:val="auto"/>
                <w:szCs w:val="21"/>
              </w:rPr>
              <w:t>150</w:t>
            </w:r>
            <w:r>
              <w:rPr>
                <w:rFonts w:hint="eastAsia" w:ascii="宋体" w:hAnsi="宋体" w:cs="宋体"/>
                <w:bCs/>
                <w:color w:val="auto"/>
                <w:szCs w:val="21"/>
              </w:rPr>
              <w:t>,</w:t>
            </w:r>
            <w:r>
              <w:rPr>
                <w:rFonts w:ascii="宋体" w:hAnsi="宋体" w:cs="宋体"/>
                <w:bCs/>
                <w:color w:val="auto"/>
                <w:szCs w:val="21"/>
              </w:rPr>
              <w:t>000</w:t>
            </w:r>
            <w:r>
              <w:rPr>
                <w:rFonts w:hint="eastAsia" w:ascii="宋体" w:hAnsi="宋体" w:cs="宋体"/>
                <w:bCs/>
                <w:color w:val="auto"/>
                <w:szCs w:val="21"/>
              </w:rPr>
              <w:t>.00</w:t>
            </w:r>
          </w:p>
        </w:tc>
      </w:tr>
      <w:tr w14:paraId="12707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14:paraId="6EE59529">
            <w:pPr>
              <w:spacing w:line="360" w:lineRule="atLeast"/>
              <w:jc w:val="center"/>
              <w:rPr>
                <w:rFonts w:ascii="宋体" w:hAnsi="宋体"/>
                <w:color w:val="auto"/>
              </w:rPr>
            </w:pPr>
            <w:r>
              <w:rPr>
                <w:rFonts w:hint="eastAsia" w:ascii="宋体" w:hAnsi="宋体" w:cs="Arial"/>
                <w:bCs/>
                <w:color w:val="auto"/>
                <w:kern w:val="0"/>
                <w:szCs w:val="21"/>
              </w:rPr>
              <w:t>▲</w:t>
            </w:r>
            <w:r>
              <w:rPr>
                <w:rFonts w:hint="eastAsia" w:ascii="宋体" w:hAnsi="宋体"/>
                <w:color w:val="auto"/>
              </w:rPr>
              <w:t>商务条款</w:t>
            </w:r>
          </w:p>
        </w:tc>
        <w:tc>
          <w:tcPr>
            <w:tcW w:w="9605" w:type="dxa"/>
            <w:gridSpan w:val="5"/>
            <w:tcBorders>
              <w:top w:val="single" w:color="auto" w:sz="4" w:space="0"/>
              <w:left w:val="single" w:color="auto" w:sz="4" w:space="0"/>
              <w:bottom w:val="single" w:color="auto" w:sz="4" w:space="0"/>
              <w:right w:val="single" w:color="auto" w:sz="4" w:space="0"/>
            </w:tcBorders>
          </w:tcPr>
          <w:p w14:paraId="2EA2BDA7">
            <w:pPr>
              <w:adjustRightInd w:val="0"/>
              <w:snapToGrid w:val="0"/>
              <w:spacing w:line="360" w:lineRule="atLeast"/>
              <w:ind w:firstLine="422" w:firstLineChars="200"/>
              <w:rPr>
                <w:rFonts w:hint="eastAsia" w:ascii="宋体" w:hAnsi="宋体" w:cs="宋体"/>
                <w:b/>
                <w:color w:val="auto"/>
                <w:szCs w:val="21"/>
              </w:rPr>
            </w:pPr>
            <w:r>
              <w:rPr>
                <w:rFonts w:hint="eastAsia" w:ascii="宋体" w:hAnsi="宋体" w:cs="宋体"/>
                <w:b/>
                <w:color w:val="auto"/>
                <w:szCs w:val="21"/>
              </w:rPr>
              <w:t>一、“货物需求一览表”表中的核心产品为序号第</w:t>
            </w:r>
            <w:r>
              <w:rPr>
                <w:rFonts w:hint="eastAsia" w:ascii="宋体" w:hAnsi="宋体" w:cs="宋体"/>
                <w:b/>
                <w:color w:val="auto"/>
                <w:szCs w:val="21"/>
                <w:lang w:val="en-US" w:eastAsia="zh-CN"/>
              </w:rPr>
              <w:t>1</w:t>
            </w:r>
            <w:r>
              <w:rPr>
                <w:rFonts w:hint="eastAsia" w:ascii="宋体" w:hAnsi="宋体" w:cs="宋体"/>
                <w:b/>
                <w:color w:val="auto"/>
                <w:szCs w:val="21"/>
              </w:rPr>
              <w:t>项产品。</w:t>
            </w:r>
          </w:p>
          <w:p w14:paraId="01718F2D">
            <w:pPr>
              <w:adjustRightInd w:val="0"/>
              <w:snapToGrid w:val="0"/>
              <w:spacing w:line="360" w:lineRule="atLeast"/>
              <w:ind w:firstLine="422" w:firstLineChars="200"/>
              <w:rPr>
                <w:rFonts w:ascii="宋体" w:hAnsi="宋体" w:cs="宋体"/>
                <w:color w:val="auto"/>
                <w:szCs w:val="21"/>
              </w:rPr>
            </w:pPr>
            <w:r>
              <w:rPr>
                <w:rFonts w:hint="eastAsia" w:ascii="宋体" w:hAnsi="宋体" w:cs="宋体"/>
                <w:b/>
                <w:color w:val="auto"/>
                <w:szCs w:val="21"/>
                <w:lang w:val="en-US" w:eastAsia="zh-CN"/>
              </w:rPr>
              <w:t>二</w:t>
            </w:r>
            <w:r>
              <w:rPr>
                <w:rFonts w:hint="eastAsia" w:ascii="宋体" w:hAnsi="宋体" w:cs="宋体"/>
                <w:b/>
                <w:color w:val="auto"/>
                <w:szCs w:val="21"/>
              </w:rPr>
              <w:t>、</w:t>
            </w:r>
            <w:r>
              <w:rPr>
                <w:rFonts w:hint="eastAsia" w:ascii="宋体" w:hAnsi="宋体" w:cs="宋体"/>
                <w:color w:val="auto"/>
                <w:szCs w:val="21"/>
              </w:rPr>
              <w:t>合同签订期：自中标通知书发出之日起10日内。</w:t>
            </w:r>
          </w:p>
          <w:p w14:paraId="524218EC">
            <w:pPr>
              <w:adjustRightInd w:val="0"/>
              <w:snapToGrid w:val="0"/>
              <w:spacing w:line="360" w:lineRule="atLeast"/>
              <w:ind w:firstLine="422" w:firstLineChars="200"/>
              <w:rPr>
                <w:rFonts w:ascii="宋体" w:hAnsi="宋体" w:cs="宋体"/>
                <w:color w:val="auto"/>
                <w:szCs w:val="21"/>
              </w:rPr>
            </w:pPr>
            <w:r>
              <w:rPr>
                <w:rFonts w:hint="eastAsia" w:ascii="宋体" w:hAnsi="宋体" w:cs="宋体"/>
                <w:b/>
                <w:color w:val="auto"/>
                <w:szCs w:val="21"/>
                <w:lang w:val="en-US" w:eastAsia="zh-CN"/>
              </w:rPr>
              <w:t>三</w:t>
            </w:r>
            <w:r>
              <w:rPr>
                <w:rFonts w:hint="eastAsia" w:ascii="宋体" w:hAnsi="宋体" w:cs="宋体"/>
                <w:b/>
                <w:color w:val="auto"/>
                <w:szCs w:val="21"/>
              </w:rPr>
              <w:t>、</w:t>
            </w:r>
            <w:r>
              <w:rPr>
                <w:rFonts w:hint="eastAsia" w:ascii="宋体" w:hAnsi="宋体" w:cs="宋体"/>
                <w:color w:val="auto"/>
                <w:szCs w:val="21"/>
              </w:rPr>
              <w:t>交货时间及地点：</w:t>
            </w:r>
            <w:r>
              <w:rPr>
                <w:rFonts w:hint="eastAsia" w:ascii="宋体" w:hAnsi="宋体"/>
                <w:bCs/>
                <w:color w:val="auto"/>
                <w:szCs w:val="21"/>
                <w:lang w:eastAsia="zh-CN"/>
              </w:rPr>
              <w:t>自合同签订之日起10个日历日内完成安装调整并交采购人验收合格</w:t>
            </w:r>
            <w:r>
              <w:rPr>
                <w:rFonts w:hint="eastAsia" w:ascii="宋体" w:hAnsi="宋体" w:cs="宋体"/>
                <w:color w:val="auto"/>
                <w:szCs w:val="21"/>
              </w:rPr>
              <w:t>；地点：</w:t>
            </w:r>
            <w:r>
              <w:rPr>
                <w:rFonts w:hint="eastAsia" w:ascii="宋体" w:hAnsi="宋体"/>
                <w:color w:val="auto"/>
                <w:szCs w:val="21"/>
              </w:rPr>
              <w:t>南宁职业技术大学</w:t>
            </w:r>
            <w:r>
              <w:rPr>
                <w:rFonts w:hint="eastAsia" w:ascii="宋体" w:hAnsi="宋体" w:cs="宋体"/>
                <w:color w:val="auto"/>
                <w:szCs w:val="21"/>
              </w:rPr>
              <w:t>采购人指定地点。</w:t>
            </w:r>
          </w:p>
          <w:p w14:paraId="72D64E2A">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lang w:val="en-US" w:eastAsia="zh-CN"/>
              </w:rPr>
              <w:t>四</w:t>
            </w:r>
            <w:r>
              <w:rPr>
                <w:rFonts w:hint="eastAsia" w:ascii="宋体" w:hAnsi="宋体" w:cs="宋体"/>
                <w:bCs/>
                <w:color w:val="auto"/>
                <w:szCs w:val="21"/>
              </w:rPr>
              <w:t>、验收标准、规范：中标人完成全部产品安装后7个工作日内采购人组织验收，采购人根据招标文件要求、投标文件承诺以及合同条款进行验收，中标人须在验收时进行演示，经采购人对演示情况进行审查后，确认符合采购需求，予以验收通过。如演示采购需求不一致，采购人出具书面异议给中标人，中标人应当自收到书面异议后10个工作日内进行整改，整改后仍不通过的，验收不合格，由此造成的一切不利后果及经济损失由中标人自行承担。验收通过后方可完成交付。</w:t>
            </w:r>
          </w:p>
          <w:p w14:paraId="671CAF27">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lang w:val="en-US" w:eastAsia="zh-CN"/>
              </w:rPr>
              <w:t>五</w:t>
            </w:r>
            <w:r>
              <w:rPr>
                <w:rFonts w:hint="eastAsia" w:ascii="宋体" w:hAnsi="宋体" w:cs="宋体"/>
                <w:bCs/>
                <w:color w:val="auto"/>
                <w:szCs w:val="21"/>
              </w:rPr>
              <w:t>、售后服务要求：</w:t>
            </w:r>
          </w:p>
          <w:p w14:paraId="4A355156">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1.质量保证期一年（自提交成果并验收合格之日起计）；</w:t>
            </w:r>
          </w:p>
          <w:p w14:paraId="1F4F010E">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2.响应时间：接到采购人处理问题通知后8小时内到达采购人指定现场；</w:t>
            </w:r>
          </w:p>
          <w:p w14:paraId="47269778">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3.售后服务技术人员要求：专职；</w:t>
            </w:r>
          </w:p>
          <w:p w14:paraId="753BBFFA">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4.备品备件要求：无。</w:t>
            </w:r>
          </w:p>
          <w:p w14:paraId="0F7D0051">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lang w:val="en-US" w:eastAsia="zh-CN"/>
              </w:rPr>
              <w:t>六</w:t>
            </w:r>
            <w:r>
              <w:rPr>
                <w:rFonts w:hint="eastAsia" w:ascii="宋体" w:hAnsi="宋体" w:cs="宋体"/>
                <w:bCs/>
                <w:color w:val="auto"/>
                <w:szCs w:val="21"/>
              </w:rPr>
              <w:t>、其他要求：</w:t>
            </w:r>
          </w:p>
          <w:p w14:paraId="3A184ECD">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1.报价必须含以下部分，包括：</w:t>
            </w:r>
          </w:p>
          <w:p w14:paraId="7B7AEADF">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（1）货物的价格；</w:t>
            </w:r>
          </w:p>
          <w:p w14:paraId="51939E8F">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（2）货物的标准附件、专用工具的价格；</w:t>
            </w:r>
          </w:p>
          <w:p w14:paraId="6D9B4253">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（3）运输、装卸、调试、培训、技术支持、售后服务等费用；</w:t>
            </w:r>
          </w:p>
          <w:p w14:paraId="2171B8B9">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（4）必要的保险费用和各项税金；</w:t>
            </w:r>
          </w:p>
          <w:p w14:paraId="32C84AD8">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2.付款方式：选择以下第（2）种方式</w:t>
            </w:r>
          </w:p>
          <w:p w14:paraId="45A19E32">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（1）本项目无预付款，供应商所提交的货物经采购人书面验收合格后，一次性（或按项目进度分次付款，项目进度内容及每次付款比例要写明）支付合同款。</w:t>
            </w:r>
          </w:p>
          <w:p w14:paraId="27B8E9F2">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（2）本项目采取预付款形式，预付形式为：</w:t>
            </w:r>
          </w:p>
          <w:p w14:paraId="7B3D8544">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第一期付款：合同签订后，在担保措施生效及具备实施条件后10个工作日内支付甲方向乙方支付合同总价30%预付款，支付前由乙方按规定向甲方开具正式发票；</w:t>
            </w:r>
          </w:p>
          <w:p w14:paraId="57C16C49">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第二期付款:乙方交货完毕并验收合格后，甲方向乙方支付合同总价的70%，支付前由乙方按规定向甲方开具正式发票。</w:t>
            </w:r>
          </w:p>
          <w:p w14:paraId="164954C1">
            <w:pPr>
              <w:ind w:firstLine="420" w:firstLineChars="200"/>
              <w:rPr>
                <w:rFonts w:ascii="宋体" w:hAnsi="宋体" w:cs="宋体"/>
                <w:color w:val="auto"/>
                <w:szCs w:val="21"/>
              </w:rPr>
            </w:pPr>
            <w:r>
              <w:rPr>
                <w:rFonts w:hint="eastAsia" w:ascii="宋体" w:hAnsi="宋体" w:cs="宋体"/>
                <w:color w:val="auto"/>
                <w:szCs w:val="21"/>
              </w:rPr>
              <w:t>3.本项目不接受进口产品参与投标。</w:t>
            </w:r>
          </w:p>
          <w:p w14:paraId="5CBB8F0F">
            <w:pPr>
              <w:ind w:firstLine="420" w:firstLineChars="200"/>
              <w:rPr>
                <w:rFonts w:ascii="宋体" w:hAnsi="宋体" w:cs="宋体"/>
                <w:color w:val="auto"/>
                <w:szCs w:val="21"/>
              </w:rPr>
            </w:pPr>
            <w:r>
              <w:rPr>
                <w:rFonts w:hint="eastAsia" w:ascii="宋体" w:hAnsi="宋体" w:cs="宋体"/>
                <w:color w:val="auto"/>
                <w:szCs w:val="21"/>
              </w:rPr>
              <w:t>4.演示说明：</w:t>
            </w:r>
          </w:p>
          <w:p w14:paraId="52B4D7AA">
            <w:pPr>
              <w:ind w:firstLine="420" w:firstLineChars="200"/>
              <w:rPr>
                <w:rFonts w:ascii="宋体" w:hAnsi="宋体" w:cs="宋体"/>
                <w:color w:val="auto"/>
                <w:szCs w:val="21"/>
              </w:rPr>
            </w:pPr>
            <w:r>
              <w:rPr>
                <w:rFonts w:hint="eastAsia" w:ascii="宋体" w:hAnsi="宋体" w:cs="宋体"/>
                <w:color w:val="auto"/>
                <w:szCs w:val="21"/>
              </w:rPr>
              <w:t>①投标人可根据自身情况决定是否进行演示，不参与演示不会造成投标无效。演示须为实时动态系统进行演示，不得使用PPT或截图等方式进行演示，否则视为演示无效。投标人在进行演示时，应先简述系统所含全部功能，并在演示过程中直接指出需要对应参数每一项演示内容。</w:t>
            </w:r>
          </w:p>
          <w:p w14:paraId="0A0EF1C1">
            <w:pPr>
              <w:ind w:firstLine="420" w:firstLineChars="200"/>
              <w:rPr>
                <w:color w:val="auto"/>
              </w:rPr>
            </w:pPr>
            <w:r>
              <w:rPr>
                <w:rFonts w:hint="eastAsia" w:ascii="宋体" w:hAnsi="宋体" w:cs="宋体"/>
                <w:color w:val="auto"/>
                <w:szCs w:val="21"/>
              </w:rPr>
              <w:t>②评标委员会通过</w:t>
            </w:r>
            <w:r>
              <w:rPr>
                <w:rFonts w:hint="eastAsia" w:ascii="宋体" w:hAnsi="宋体" w:cs="宋体"/>
                <w:color w:val="auto"/>
                <w:szCs w:val="21"/>
                <w:lang w:eastAsia="zh-CN"/>
              </w:rPr>
              <w:t>广西政府采购云平台</w:t>
            </w:r>
            <w:r>
              <w:rPr>
                <w:rFonts w:hint="eastAsia" w:ascii="宋体" w:hAnsi="宋体" w:cs="宋体"/>
                <w:color w:val="auto"/>
                <w:szCs w:val="21"/>
              </w:rPr>
              <w:t>邀请投标人发起“视频会议”，演示可以采用远程在线演示或在线远程播放录制的演示真实系统操作（不接受PPT、截图等非真实软件系统操作演示）。演示时间不超过10分钟。本项目不允许投标人到开评标现场进行演示，评标委员会根据投标人远程在线演示系统的情况判断投标人响应招标文件的得分情况。</w:t>
            </w:r>
          </w:p>
        </w:tc>
      </w:tr>
    </w:tbl>
    <w:p w14:paraId="2641EC82">
      <w:pPr>
        <w:spacing w:line="320" w:lineRule="exact"/>
        <w:rPr>
          <w:rFonts w:ascii="宋体" w:hAnsi="宋体"/>
          <w:color w:val="auto"/>
        </w:rPr>
      </w:pPr>
    </w:p>
    <w:p w14:paraId="17477A28">
      <w:pPr>
        <w:spacing w:line="360" w:lineRule="auto"/>
        <w:jc w:val="left"/>
        <w:rPr>
          <w:rFonts w:ascii="宋体" w:hAnsi="宋体" w:cs="宋体"/>
          <w:color w:val="auto"/>
          <w:sz w:val="24"/>
          <w:szCs w:val="32"/>
        </w:rPr>
      </w:pPr>
      <w:r>
        <w:rPr>
          <w:rFonts w:hAnsi="宋体"/>
          <w:color w:val="auto"/>
        </w:rPr>
        <w:br w:type="page"/>
      </w:r>
      <w:r>
        <w:rPr>
          <w:rFonts w:hint="eastAsia" w:ascii="宋体" w:hAnsi="宋体" w:cs="宋体"/>
          <w:color w:val="auto"/>
          <w:sz w:val="24"/>
          <w:szCs w:val="32"/>
        </w:rPr>
        <w:t>2分标：</w:t>
      </w:r>
    </w:p>
    <w:p w14:paraId="28EBB33E">
      <w:pPr>
        <w:spacing w:line="360" w:lineRule="auto"/>
        <w:jc w:val="left"/>
        <w:rPr>
          <w:rFonts w:ascii="宋体" w:hAnsi="宋体" w:cs="宋体"/>
          <w:color w:val="auto"/>
          <w:sz w:val="24"/>
          <w:szCs w:val="32"/>
        </w:rPr>
      </w:pPr>
      <w:r>
        <w:rPr>
          <w:rFonts w:hint="eastAsia" w:ascii="宋体" w:hAnsi="宋体" w:cs="宋体"/>
          <w:color w:val="auto"/>
          <w:sz w:val="24"/>
          <w:szCs w:val="32"/>
        </w:rPr>
        <w:t>采购预算：200,000.00元</w:t>
      </w:r>
    </w:p>
    <w:p w14:paraId="5BA2DB31">
      <w:pPr>
        <w:spacing w:line="360" w:lineRule="auto"/>
        <w:jc w:val="left"/>
        <w:rPr>
          <w:rFonts w:ascii="宋体" w:hAnsi="宋体" w:cs="宋体"/>
          <w:color w:val="auto"/>
          <w:sz w:val="24"/>
          <w:szCs w:val="32"/>
        </w:rPr>
      </w:pPr>
      <w:r>
        <w:rPr>
          <w:rFonts w:hint="eastAsia" w:ascii="宋体" w:hAnsi="宋体" w:cs="宋体"/>
          <w:color w:val="auto"/>
          <w:sz w:val="24"/>
          <w:szCs w:val="32"/>
        </w:rPr>
        <w:t>中小企业划分标准所属行业名称：软件和信息技术服务业</w:t>
      </w:r>
    </w:p>
    <w:tbl>
      <w:tblPr>
        <w:tblStyle w:val="34"/>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6"/>
        <w:gridCol w:w="1194"/>
        <w:gridCol w:w="423"/>
        <w:gridCol w:w="395"/>
        <w:gridCol w:w="6238"/>
        <w:gridCol w:w="1355"/>
      </w:tblGrid>
      <w:tr w14:paraId="706709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6"/>
            <w:tcBorders>
              <w:top w:val="single" w:color="auto" w:sz="4" w:space="0"/>
              <w:left w:val="single" w:color="auto" w:sz="4" w:space="0"/>
              <w:right w:val="single" w:color="auto" w:sz="4" w:space="0"/>
            </w:tcBorders>
            <w:vAlign w:val="center"/>
          </w:tcPr>
          <w:p w14:paraId="69E39B72">
            <w:pPr>
              <w:spacing w:line="320" w:lineRule="exact"/>
              <w:jc w:val="center"/>
              <w:rPr>
                <w:rFonts w:ascii="宋体" w:hAnsi="宋体" w:cs="宋体"/>
                <w:b/>
                <w:color w:val="auto"/>
                <w:sz w:val="24"/>
              </w:rPr>
            </w:pPr>
            <w:r>
              <w:rPr>
                <w:rFonts w:hint="eastAsia" w:ascii="仿宋_GB2312" w:hAnsi="宋体" w:eastAsia="仿宋_GB2312" w:cs="Arial"/>
                <w:b/>
                <w:color w:val="auto"/>
                <w:sz w:val="32"/>
                <w:szCs w:val="32"/>
              </w:rPr>
              <w:t>货物需求一览表</w:t>
            </w:r>
          </w:p>
        </w:tc>
      </w:tr>
      <w:tr w14:paraId="391EE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14:paraId="2A5C7C92">
            <w:pPr>
              <w:jc w:val="center"/>
              <w:rPr>
                <w:rFonts w:ascii="宋体" w:hAnsi="宋体" w:cs="宋体"/>
                <w:b/>
                <w:color w:val="auto"/>
                <w:sz w:val="24"/>
              </w:rPr>
            </w:pPr>
            <w:r>
              <w:rPr>
                <w:rFonts w:hint="eastAsia" w:ascii="宋体" w:hAnsi="宋体" w:cs="宋体"/>
                <w:b/>
                <w:color w:val="auto"/>
                <w:sz w:val="24"/>
              </w:rPr>
              <w:t>序号</w:t>
            </w:r>
          </w:p>
        </w:tc>
        <w:tc>
          <w:tcPr>
            <w:tcW w:w="1194" w:type="dxa"/>
            <w:tcBorders>
              <w:top w:val="single" w:color="auto" w:sz="4" w:space="0"/>
              <w:left w:val="single" w:color="auto" w:sz="4" w:space="0"/>
              <w:bottom w:val="single" w:color="auto" w:sz="4" w:space="0"/>
              <w:right w:val="single" w:color="auto" w:sz="4" w:space="0"/>
            </w:tcBorders>
            <w:vAlign w:val="center"/>
          </w:tcPr>
          <w:p w14:paraId="3B73B80E">
            <w:pPr>
              <w:jc w:val="center"/>
              <w:rPr>
                <w:rFonts w:ascii="宋体" w:hAnsi="宋体" w:cs="宋体"/>
                <w:b/>
                <w:color w:val="auto"/>
                <w:sz w:val="24"/>
              </w:rPr>
            </w:pPr>
            <w:r>
              <w:rPr>
                <w:rFonts w:hint="eastAsia" w:ascii="宋体" w:hAnsi="宋体" w:cs="宋体"/>
                <w:b/>
                <w:color w:val="auto"/>
                <w:sz w:val="24"/>
              </w:rPr>
              <w:t>采购货物名称</w:t>
            </w:r>
          </w:p>
        </w:tc>
        <w:tc>
          <w:tcPr>
            <w:tcW w:w="423" w:type="dxa"/>
            <w:tcBorders>
              <w:top w:val="single" w:color="auto" w:sz="4" w:space="0"/>
              <w:left w:val="single" w:color="auto" w:sz="4" w:space="0"/>
              <w:bottom w:val="single" w:color="auto" w:sz="4" w:space="0"/>
              <w:right w:val="single" w:color="auto" w:sz="4" w:space="0"/>
            </w:tcBorders>
            <w:vAlign w:val="center"/>
          </w:tcPr>
          <w:p w14:paraId="6A4FD8B3">
            <w:pPr>
              <w:jc w:val="center"/>
              <w:rPr>
                <w:rFonts w:ascii="宋体" w:hAnsi="宋体" w:cs="宋体"/>
                <w:b/>
                <w:color w:val="auto"/>
                <w:sz w:val="24"/>
              </w:rPr>
            </w:pPr>
            <w:r>
              <w:rPr>
                <w:rFonts w:hint="eastAsia" w:ascii="宋体" w:hAnsi="宋体" w:cs="宋体"/>
                <w:b/>
                <w:color w:val="auto"/>
                <w:sz w:val="24"/>
              </w:rPr>
              <w:t>单位</w:t>
            </w:r>
          </w:p>
        </w:tc>
        <w:tc>
          <w:tcPr>
            <w:tcW w:w="395" w:type="dxa"/>
            <w:tcBorders>
              <w:top w:val="single" w:color="auto" w:sz="4" w:space="0"/>
              <w:left w:val="single" w:color="auto" w:sz="4" w:space="0"/>
              <w:bottom w:val="single" w:color="auto" w:sz="4" w:space="0"/>
              <w:right w:val="single" w:color="auto" w:sz="4" w:space="0"/>
            </w:tcBorders>
            <w:vAlign w:val="center"/>
          </w:tcPr>
          <w:p w14:paraId="79660AB5">
            <w:pPr>
              <w:jc w:val="center"/>
              <w:rPr>
                <w:rFonts w:ascii="宋体" w:hAnsi="宋体" w:cs="宋体"/>
                <w:b/>
                <w:color w:val="auto"/>
                <w:sz w:val="24"/>
              </w:rPr>
            </w:pPr>
            <w:r>
              <w:rPr>
                <w:rFonts w:hint="eastAsia" w:ascii="宋体" w:hAnsi="宋体" w:cs="宋体"/>
                <w:b/>
                <w:color w:val="auto"/>
                <w:sz w:val="24"/>
              </w:rPr>
              <w:t>数量</w:t>
            </w:r>
          </w:p>
        </w:tc>
        <w:tc>
          <w:tcPr>
            <w:tcW w:w="6238" w:type="dxa"/>
            <w:tcBorders>
              <w:top w:val="single" w:color="auto" w:sz="4" w:space="0"/>
              <w:left w:val="single" w:color="auto" w:sz="4" w:space="0"/>
              <w:bottom w:val="single" w:color="auto" w:sz="4" w:space="0"/>
              <w:right w:val="single" w:color="auto" w:sz="4" w:space="0"/>
            </w:tcBorders>
            <w:vAlign w:val="center"/>
          </w:tcPr>
          <w:p w14:paraId="07E35759">
            <w:pPr>
              <w:jc w:val="center"/>
              <w:rPr>
                <w:rFonts w:ascii="宋体" w:hAnsi="宋体" w:cs="宋体"/>
                <w:b/>
                <w:color w:val="auto"/>
                <w:sz w:val="24"/>
              </w:rPr>
            </w:pPr>
            <w:r>
              <w:rPr>
                <w:rFonts w:hint="eastAsia" w:ascii="宋体" w:hAnsi="宋体" w:cs="宋体"/>
                <w:b/>
                <w:color w:val="auto"/>
                <w:sz w:val="24"/>
              </w:rPr>
              <w:t>货物参数</w:t>
            </w:r>
          </w:p>
        </w:tc>
        <w:tc>
          <w:tcPr>
            <w:tcW w:w="1355" w:type="dxa"/>
            <w:tcBorders>
              <w:top w:val="single" w:color="auto" w:sz="4" w:space="0"/>
              <w:left w:val="single" w:color="auto" w:sz="4" w:space="0"/>
              <w:bottom w:val="single" w:color="auto" w:sz="4" w:space="0"/>
              <w:right w:val="single" w:color="auto" w:sz="4" w:space="0"/>
            </w:tcBorders>
            <w:vAlign w:val="center"/>
          </w:tcPr>
          <w:p w14:paraId="1D2F1035">
            <w:pPr>
              <w:jc w:val="center"/>
              <w:rPr>
                <w:rFonts w:ascii="宋体" w:hAnsi="宋体" w:cs="宋体"/>
                <w:b/>
                <w:color w:val="auto"/>
                <w:sz w:val="24"/>
              </w:rPr>
            </w:pPr>
            <w:r>
              <w:rPr>
                <w:rFonts w:hint="eastAsia" w:ascii="宋体" w:hAnsi="宋体" w:cs="宋体"/>
                <w:b/>
                <w:color w:val="auto"/>
                <w:sz w:val="24"/>
              </w:rPr>
              <w:t>分项预算合计（元）</w:t>
            </w:r>
          </w:p>
        </w:tc>
      </w:tr>
      <w:tr w14:paraId="6E279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20" w:hRule="atLeast"/>
          <w:jc w:val="center"/>
        </w:trPr>
        <w:tc>
          <w:tcPr>
            <w:tcW w:w="516" w:type="dxa"/>
            <w:tcBorders>
              <w:top w:val="single" w:color="auto" w:sz="4" w:space="0"/>
              <w:left w:val="single" w:color="auto" w:sz="4" w:space="0"/>
              <w:right w:val="single" w:color="auto" w:sz="4" w:space="0"/>
            </w:tcBorders>
            <w:vAlign w:val="center"/>
          </w:tcPr>
          <w:p w14:paraId="5ABFB2B6">
            <w:pPr>
              <w:tabs>
                <w:tab w:val="left" w:pos="1440"/>
              </w:tabs>
              <w:adjustRightInd w:val="0"/>
              <w:snapToGrid w:val="0"/>
              <w:spacing w:line="360" w:lineRule="atLeast"/>
              <w:jc w:val="center"/>
              <w:rPr>
                <w:rFonts w:ascii="宋体" w:hAnsi="宋体" w:cs="宋体"/>
                <w:color w:val="auto"/>
                <w:szCs w:val="21"/>
              </w:rPr>
            </w:pPr>
            <w:r>
              <w:rPr>
                <w:rFonts w:hint="eastAsia" w:ascii="宋体" w:hAnsi="宋体" w:cs="宋体"/>
                <w:bCs/>
                <w:color w:val="auto"/>
                <w:kern w:val="0"/>
                <w:szCs w:val="21"/>
              </w:rPr>
              <w:t>1</w:t>
            </w:r>
          </w:p>
        </w:tc>
        <w:tc>
          <w:tcPr>
            <w:tcW w:w="1194" w:type="dxa"/>
            <w:tcBorders>
              <w:top w:val="single" w:color="auto" w:sz="4" w:space="0"/>
              <w:left w:val="single" w:color="auto" w:sz="4" w:space="0"/>
              <w:right w:val="single" w:color="auto" w:sz="4" w:space="0"/>
            </w:tcBorders>
            <w:vAlign w:val="center"/>
          </w:tcPr>
          <w:p w14:paraId="7F9F037F">
            <w:pPr>
              <w:tabs>
                <w:tab w:val="left" w:pos="1440"/>
              </w:tabs>
              <w:adjustRightInd w:val="0"/>
              <w:snapToGrid w:val="0"/>
              <w:spacing w:line="360" w:lineRule="atLeast"/>
              <w:jc w:val="center"/>
              <w:rPr>
                <w:rFonts w:ascii="宋体" w:hAnsi="宋体" w:cs="宋体"/>
                <w:color w:val="auto"/>
                <w:szCs w:val="21"/>
              </w:rPr>
            </w:pPr>
            <w:r>
              <w:rPr>
                <w:rFonts w:hint="eastAsia" w:ascii="宋体" w:hAnsi="宋体" w:cs="宋体"/>
                <w:color w:val="auto"/>
                <w:szCs w:val="21"/>
              </w:rPr>
              <w:t>业财税融合云上实训平台</w:t>
            </w:r>
          </w:p>
        </w:tc>
        <w:tc>
          <w:tcPr>
            <w:tcW w:w="423" w:type="dxa"/>
            <w:tcBorders>
              <w:top w:val="single" w:color="auto" w:sz="4" w:space="0"/>
              <w:left w:val="single" w:color="auto" w:sz="4" w:space="0"/>
              <w:right w:val="single" w:color="auto" w:sz="4" w:space="0"/>
            </w:tcBorders>
            <w:vAlign w:val="center"/>
          </w:tcPr>
          <w:p w14:paraId="707EB507">
            <w:pPr>
              <w:tabs>
                <w:tab w:val="left" w:pos="1440"/>
              </w:tabs>
              <w:adjustRightInd w:val="0"/>
              <w:snapToGrid w:val="0"/>
              <w:spacing w:line="360" w:lineRule="atLeast"/>
              <w:jc w:val="center"/>
              <w:rPr>
                <w:rFonts w:ascii="宋体" w:hAnsi="宋体" w:cs="宋体"/>
                <w:color w:val="auto"/>
                <w:szCs w:val="21"/>
              </w:rPr>
            </w:pPr>
            <w:r>
              <w:rPr>
                <w:rFonts w:hint="eastAsia" w:ascii="宋体" w:hAnsi="宋体" w:cs="宋体"/>
                <w:color w:val="auto"/>
                <w:szCs w:val="21"/>
              </w:rPr>
              <w:t>套</w:t>
            </w:r>
          </w:p>
        </w:tc>
        <w:tc>
          <w:tcPr>
            <w:tcW w:w="395" w:type="dxa"/>
            <w:tcBorders>
              <w:top w:val="single" w:color="auto" w:sz="4" w:space="0"/>
              <w:left w:val="single" w:color="auto" w:sz="4" w:space="0"/>
              <w:right w:val="single" w:color="auto" w:sz="4" w:space="0"/>
            </w:tcBorders>
            <w:vAlign w:val="center"/>
          </w:tcPr>
          <w:p w14:paraId="7755B346">
            <w:pPr>
              <w:tabs>
                <w:tab w:val="left" w:pos="1440"/>
              </w:tabs>
              <w:adjustRightInd w:val="0"/>
              <w:snapToGrid w:val="0"/>
              <w:spacing w:line="360" w:lineRule="atLeast"/>
              <w:jc w:val="center"/>
              <w:rPr>
                <w:rFonts w:ascii="宋体" w:hAnsi="宋体" w:cs="宋体"/>
                <w:color w:val="auto"/>
                <w:szCs w:val="21"/>
              </w:rPr>
            </w:pPr>
            <w:r>
              <w:rPr>
                <w:rFonts w:hint="eastAsia" w:ascii="宋体" w:hAnsi="宋体" w:cs="宋体"/>
                <w:color w:val="auto"/>
                <w:szCs w:val="21"/>
              </w:rPr>
              <w:t>1</w:t>
            </w:r>
          </w:p>
        </w:tc>
        <w:tc>
          <w:tcPr>
            <w:tcW w:w="6238" w:type="dxa"/>
            <w:tcBorders>
              <w:top w:val="single" w:color="auto" w:sz="4" w:space="0"/>
              <w:left w:val="single" w:color="auto" w:sz="4" w:space="0"/>
              <w:bottom w:val="single" w:color="auto" w:sz="4" w:space="0"/>
              <w:right w:val="single" w:color="auto" w:sz="4" w:space="0"/>
            </w:tcBorders>
            <w:vAlign w:val="center"/>
          </w:tcPr>
          <w:p w14:paraId="6AD3E39D">
            <w:pPr>
              <w:tabs>
                <w:tab w:val="left" w:pos="1440"/>
              </w:tabs>
              <w:spacing w:line="360" w:lineRule="atLeast"/>
              <w:ind w:firstLine="422" w:firstLineChars="200"/>
              <w:jc w:val="left"/>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第一部分：</w:t>
            </w:r>
          </w:p>
          <w:p w14:paraId="51F94069">
            <w:pPr>
              <w:tabs>
                <w:tab w:val="left" w:pos="1440"/>
              </w:tabs>
              <w:spacing w:line="360" w:lineRule="atLeast"/>
              <w:ind w:firstLine="422" w:firstLineChars="200"/>
              <w:jc w:val="left"/>
              <w:rPr>
                <w:rFonts w:ascii="宋体" w:hAnsi="宋体" w:cs="宋体"/>
                <w:b/>
                <w:bCs/>
                <w:color w:val="auto"/>
                <w:szCs w:val="21"/>
              </w:rPr>
            </w:pPr>
            <w:r>
              <w:rPr>
                <w:rFonts w:hint="eastAsia" w:ascii="宋体" w:hAnsi="宋体" w:cs="宋体"/>
                <w:b/>
                <w:bCs/>
                <w:color w:val="auto"/>
                <w:szCs w:val="21"/>
              </w:rPr>
              <w:t>一、业财税融合课证融通课程模块简概</w:t>
            </w:r>
          </w:p>
          <w:p w14:paraId="52336B4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1.提供单个、多个或整个专业课程服务。</w:t>
            </w:r>
          </w:p>
          <w:p w14:paraId="1A4DD3F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2.课程按照最新的会计转型方向进行设计。</w:t>
            </w:r>
          </w:p>
          <w:p w14:paraId="333D26E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3.每门课程都有完整的教案、课件、视频、习题和实训案例。</w:t>
            </w:r>
          </w:p>
          <w:p w14:paraId="356F5AF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4.课程章、节、知识与岗位工作领域、工作任务、技能点对应，具备“所学即所用，所用即所学”理实一体的效果。</w:t>
            </w:r>
          </w:p>
          <w:p w14:paraId="4FFC4C3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5.课程包括PC Web，不受时空限制，完全满足在线开放教学需求。</w:t>
            </w:r>
          </w:p>
          <w:p w14:paraId="0CEE81F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6.含教学管理系统</w:t>
            </w:r>
          </w:p>
          <w:p w14:paraId="7413D19C">
            <w:pPr>
              <w:tabs>
                <w:tab w:val="left" w:pos="1440"/>
              </w:tabs>
              <w:spacing w:line="360" w:lineRule="atLeast"/>
              <w:ind w:firstLine="422" w:firstLineChars="200"/>
              <w:jc w:val="left"/>
              <w:rPr>
                <w:rFonts w:ascii="宋体" w:hAnsi="宋体" w:cs="宋体"/>
                <w:b/>
                <w:bCs/>
                <w:color w:val="auto"/>
                <w:szCs w:val="21"/>
              </w:rPr>
            </w:pPr>
            <w:r>
              <w:rPr>
                <w:rFonts w:hint="eastAsia" w:ascii="宋体" w:hAnsi="宋体" w:cs="宋体"/>
                <w:b/>
                <w:bCs/>
                <w:color w:val="auto"/>
                <w:szCs w:val="21"/>
              </w:rPr>
              <w:t>二、资源明细：</w:t>
            </w:r>
          </w:p>
          <w:p w14:paraId="0ECCBDFF">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w:t>
            </w:r>
            <w:r>
              <w:rPr>
                <w:rFonts w:ascii="宋体" w:hAnsi="宋体" w:cs="宋体"/>
                <w:color w:val="auto"/>
                <w:szCs w:val="21"/>
              </w:rPr>
              <w:t>2.1</w:t>
            </w:r>
            <w:r>
              <w:rPr>
                <w:rFonts w:hint="eastAsia" w:ascii="宋体" w:hAnsi="宋体" w:cs="宋体"/>
                <w:color w:val="auto"/>
                <w:szCs w:val="21"/>
              </w:rPr>
              <w:t>《基础会计》电子教材8章，含课件37个、教案36个，视频45个、实训862个配套习题。</w:t>
            </w:r>
          </w:p>
          <w:p w14:paraId="2BABE495">
            <w:pPr>
              <w:tabs>
                <w:tab w:val="left" w:pos="1440"/>
              </w:tabs>
              <w:spacing w:line="360" w:lineRule="atLeast"/>
              <w:ind w:firstLine="422" w:firstLineChars="200"/>
              <w:jc w:val="left"/>
              <w:rPr>
                <w:rFonts w:ascii="宋体" w:hAnsi="宋体" w:cs="宋体"/>
                <w:b/>
                <w:bCs/>
                <w:color w:val="auto"/>
                <w:szCs w:val="21"/>
              </w:rPr>
            </w:pPr>
            <w:r>
              <w:rPr>
                <w:rFonts w:hint="eastAsia" w:ascii="宋体" w:hAnsi="宋体" w:cs="宋体"/>
                <w:b/>
                <w:bCs/>
                <w:color w:val="auto"/>
                <w:szCs w:val="21"/>
              </w:rPr>
              <w:t>▲</w:t>
            </w:r>
            <w:r>
              <w:rPr>
                <w:rFonts w:hint="eastAsia" w:ascii="宋体" w:hAnsi="宋体" w:cs="宋体"/>
                <w:color w:val="auto"/>
                <w:szCs w:val="21"/>
              </w:rPr>
              <w:t>2.2《企业财务会计》电子教材12章，含课件48个、教案48个，视频88个、实训707个配套习题。</w:t>
            </w:r>
            <w:r>
              <w:rPr>
                <w:rFonts w:hint="eastAsia" w:ascii="宋体" w:hAnsi="宋体" w:cs="宋体"/>
                <w:b/>
                <w:bCs/>
                <w:color w:val="auto"/>
                <w:szCs w:val="21"/>
              </w:rPr>
              <w:t>（投标提供上述功能截图）</w:t>
            </w:r>
          </w:p>
          <w:p w14:paraId="2DD92F68">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w:t>
            </w:r>
            <w:r>
              <w:rPr>
                <w:rFonts w:ascii="宋体" w:hAnsi="宋体" w:cs="宋体"/>
                <w:color w:val="auto"/>
                <w:szCs w:val="21"/>
              </w:rPr>
              <w:t>2.</w:t>
            </w:r>
            <w:r>
              <w:rPr>
                <w:rFonts w:hint="eastAsia" w:ascii="宋体" w:hAnsi="宋体" w:cs="宋体"/>
                <w:color w:val="auto"/>
                <w:szCs w:val="21"/>
              </w:rPr>
              <w:t>3《成本会计》电子教材10章，含课件52个、教案524个，实训598个配套习题。</w:t>
            </w:r>
            <w:r>
              <w:rPr>
                <w:rFonts w:hint="eastAsia" w:ascii="宋体" w:hAnsi="宋体" w:cs="宋体"/>
                <w:b/>
                <w:bCs/>
                <w:color w:val="auto"/>
                <w:szCs w:val="21"/>
              </w:rPr>
              <w:t>（投标提供上述功能截图）</w:t>
            </w:r>
          </w:p>
          <w:p w14:paraId="79435184">
            <w:pPr>
              <w:tabs>
                <w:tab w:val="left" w:pos="1440"/>
              </w:tabs>
              <w:spacing w:line="360" w:lineRule="atLeast"/>
              <w:ind w:firstLine="422" w:firstLineChars="200"/>
              <w:jc w:val="left"/>
              <w:rPr>
                <w:rFonts w:ascii="宋体" w:hAnsi="宋体" w:cs="宋体"/>
                <w:b/>
                <w:bCs/>
                <w:color w:val="auto"/>
                <w:szCs w:val="21"/>
              </w:rPr>
            </w:pPr>
            <w:r>
              <w:rPr>
                <w:rFonts w:hint="eastAsia" w:ascii="宋体" w:hAnsi="宋体" w:cs="宋体"/>
                <w:b/>
                <w:bCs/>
                <w:color w:val="auto"/>
                <w:szCs w:val="21"/>
              </w:rPr>
              <w:t>三、技术指标：</w:t>
            </w:r>
          </w:p>
          <w:p w14:paraId="3FCFF5D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1.系统架构基于微服务框架进行架构，支持快速水平扩展，支持高并发，高可用的业务需求。实现系统模块灵活配置，数据动静分离；windows,linux,Mac,树莓派等主流操作系统；</w:t>
            </w:r>
          </w:p>
          <w:p w14:paraId="1CB784A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2.系统使用mysql开源数据库，可任意切换到目前主流的数据库上面Access、SqlServer、Oracle、SQLite、PostgreSQL、DaMeng、DB2、TDengine，可通过水平扩展来达到高可用性和高性能；</w:t>
            </w:r>
          </w:p>
          <w:p w14:paraId="3AE3585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4.系统采用当前流行的.Net 6、ASP.NET Core Web、XCode技术框架，展现层需要通过vue+ elementUI全家桶实现，实现前后端分离；模型层通过API接口及实现类来实现，通过网关统一入口访问各个微服务；与数据库的接口采用轻量级封装XCode提供的接口；</w:t>
            </w:r>
          </w:p>
          <w:p w14:paraId="27E54CF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5.系统集成Serilog日志系统，记录系统日志，快速定位排查线上问题</w:t>
            </w:r>
          </w:p>
          <w:p w14:paraId="101E6BE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6.系统可以抵御常用攻击手段，如SQL注入，CSRF，XSS等；</w:t>
            </w:r>
          </w:p>
          <w:p w14:paraId="30CC2BE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7.系统使用redis缓存数据库来进行用户数据的缓存，增加系统响应速度并优化用户的体验；</w:t>
            </w:r>
          </w:p>
          <w:p w14:paraId="4997D61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8.统一的配置中心consul，配置即时生效，可以支持快速根据业务需求调整参数；</w:t>
            </w:r>
          </w:p>
          <w:p w14:paraId="1D5F1D1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9.系统实现单点登录，提供用户的统一登录入口，系统管理员、教务管理员、教师、学生统一登陆入口，只需输入各自的用户名及密码即可登录，且最少支持2000人同时登录,系统支持快速扩容；</w:t>
            </w:r>
          </w:p>
          <w:p w14:paraId="37F3BD0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10.所有服务均采用Linux服务器部署，快速快捷容。</w:t>
            </w:r>
          </w:p>
          <w:p w14:paraId="7517B6A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11.消息机制采用WebSocet技术，后端采用NewLife.Core服务器，实现数据实时同步；</w:t>
            </w:r>
          </w:p>
          <w:p w14:paraId="472A32E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12.并发保障采用KAFKA MQ日志消息队列，保障学生的作答练习、任务不卡顿，提交的数据不丢失。</w:t>
            </w:r>
          </w:p>
          <w:p w14:paraId="42A24D5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13.采用的HAproxy+Nginx负载均衡，提高并发量。</w:t>
            </w:r>
          </w:p>
          <w:p w14:paraId="3924AAE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14.myql-proxy代理，提高数据库访问量。</w:t>
            </w:r>
          </w:p>
          <w:p w14:paraId="605061E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15.系统提供Elasticsearch：分布式多用户能力的全文搜索引擎，支持对所有课程资源文件全文检索。</w:t>
            </w:r>
          </w:p>
          <w:p w14:paraId="5383632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16.Jenkins+gitlab+Publish Over SSH+shell+python实现自动部署。</w:t>
            </w:r>
          </w:p>
          <w:p w14:paraId="052911B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17.web访火墙，提升防功击性。</w:t>
            </w:r>
          </w:p>
          <w:p w14:paraId="260EEED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18.系统支持Windows系统部署，采用B/S架构设计的Sass云平台，使用.Net开发技术，无需安装特定软件，应用可以跨操作系统部署。</w:t>
            </w:r>
          </w:p>
          <w:p w14:paraId="4D63CBB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19.系统在互联网下运行，只需要通过浏览器访问给定网址即可，通过账号和密码登录使用服务，无需加密狗等。</w:t>
            </w:r>
          </w:p>
          <w:p w14:paraId="7DEBE1F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20.平台服务托管在云端，无需学校提供额外的硬件支持。</w:t>
            </w:r>
          </w:p>
          <w:p w14:paraId="3855CC0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21.系统支持团队练习与实训教学,可单独使用，也可结合应用。</w:t>
            </w:r>
          </w:p>
          <w:p w14:paraId="339F84A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22.最小网络带宽：1000 Mbps（含）以上。</w:t>
            </w:r>
          </w:p>
          <w:p w14:paraId="41B563E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23.浏览器：推荐使用BLINK内核的浏览器，如360浏览器或谷歌chrome浏览器。</w:t>
            </w:r>
          </w:p>
          <w:p w14:paraId="6430082B">
            <w:pPr>
              <w:tabs>
                <w:tab w:val="left" w:pos="1440"/>
              </w:tabs>
              <w:spacing w:line="360" w:lineRule="atLeast"/>
              <w:ind w:firstLine="422" w:firstLineChars="200"/>
              <w:jc w:val="left"/>
              <w:rPr>
                <w:rFonts w:ascii="宋体" w:hAnsi="宋体" w:cs="宋体"/>
                <w:b/>
                <w:bCs/>
                <w:color w:val="auto"/>
                <w:szCs w:val="21"/>
              </w:rPr>
            </w:pPr>
            <w:r>
              <w:rPr>
                <w:rFonts w:hint="eastAsia" w:ascii="宋体" w:hAnsi="宋体" w:cs="宋体"/>
                <w:b/>
                <w:bCs/>
                <w:color w:val="auto"/>
                <w:szCs w:val="21"/>
              </w:rPr>
              <w:t>四、功能参数：</w:t>
            </w:r>
          </w:p>
          <w:p w14:paraId="1C7608F3">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w:t>
            </w:r>
            <w:r>
              <w:rPr>
                <w:rFonts w:hint="eastAsia" w:ascii="宋体" w:hAnsi="宋体" w:cs="宋体"/>
                <w:color w:val="auto"/>
                <w:szCs w:val="21"/>
              </w:rPr>
              <w:t>1.课程专业知识与1+X技能点融合，实现了一课双考、一课双分、一课双评、一课双证，解决理论教学和1+X证书培训两张皮，课程专业知识与业财税融合成本管控职业技能等级标准融合，实现理论课程与1+X证书培训统一融合。</w:t>
            </w:r>
          </w:p>
          <w:p w14:paraId="614C0E0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▲2.平台的优势在于充分利用PC端、移动端，实现职业技能训练无处不在、资源无处不有。有效地把课上的教学时间腾出来，将课前课后充分利用起来，增加了教学信息量，丰富了课程环节。</w:t>
            </w:r>
          </w:p>
          <w:p w14:paraId="615CA8B9">
            <w:pPr>
              <w:tabs>
                <w:tab w:val="left" w:pos="1440"/>
              </w:tabs>
              <w:spacing w:line="360" w:lineRule="atLeast"/>
              <w:ind w:firstLine="420" w:firstLineChars="200"/>
              <w:jc w:val="left"/>
              <w:rPr>
                <w:rFonts w:ascii="宋体" w:hAnsi="宋体" w:cs="宋体"/>
                <w:b/>
                <w:bCs/>
                <w:color w:val="auto"/>
                <w:szCs w:val="21"/>
              </w:rPr>
            </w:pPr>
            <w:r>
              <w:rPr>
                <w:rFonts w:hint="eastAsia" w:ascii="宋体" w:hAnsi="宋体" w:cs="宋体"/>
                <w:color w:val="auto"/>
                <w:szCs w:val="21"/>
              </w:rPr>
              <w:t>课前：教师发布预习任务，学生完成，并根据自身学习水平进行自主练习。学生提出的问题。找出共性问题，对授课班级进行学情分析。（包括学生自主预习，含课程内容、试题、在线实验）达到充分、实时预习的效果。</w:t>
            </w:r>
            <w:r>
              <w:rPr>
                <w:rFonts w:hint="eastAsia" w:ascii="宋体" w:hAnsi="宋体" w:cs="宋体"/>
                <w:b/>
                <w:bCs/>
                <w:color w:val="auto"/>
                <w:szCs w:val="21"/>
              </w:rPr>
              <w:t>（投标提供上述功能截图）</w:t>
            </w:r>
          </w:p>
          <w:p w14:paraId="23C6830B">
            <w:pPr>
              <w:tabs>
                <w:tab w:val="left" w:pos="1440"/>
              </w:tabs>
              <w:spacing w:line="360" w:lineRule="atLeast"/>
              <w:ind w:firstLine="420" w:firstLineChars="200"/>
              <w:jc w:val="left"/>
              <w:rPr>
                <w:rFonts w:ascii="宋体" w:hAnsi="宋体" w:cs="宋体"/>
                <w:b/>
                <w:bCs/>
                <w:color w:val="auto"/>
                <w:szCs w:val="21"/>
              </w:rPr>
            </w:pPr>
            <w:r>
              <w:rPr>
                <w:rFonts w:hint="eastAsia" w:ascii="宋体" w:hAnsi="宋体" w:cs="宋体"/>
                <w:color w:val="auto"/>
                <w:szCs w:val="21"/>
              </w:rPr>
              <w:t>▲3.课中：知识点理论学习可以采用讲解和提问，同时发布知识点节点测验。把握学习进程。通过反复练、训，达到专业理论学习与职业技能学习相统一，实现知识内化和技能习得，包括新增授课、授课投屏、发布课堂测验、课堂测验统计）学生与老师通过在线交互，完成对课程知识的学习和理解。</w:t>
            </w:r>
            <w:r>
              <w:rPr>
                <w:rFonts w:hint="eastAsia" w:ascii="宋体" w:hAnsi="宋体" w:cs="宋体"/>
                <w:b/>
                <w:bCs/>
                <w:color w:val="auto"/>
                <w:szCs w:val="21"/>
              </w:rPr>
              <w:t>（投标提供上述功能截图）</w:t>
            </w:r>
          </w:p>
          <w:p w14:paraId="33BCF2C7">
            <w:pPr>
              <w:tabs>
                <w:tab w:val="left" w:pos="1440"/>
              </w:tabs>
              <w:spacing w:line="360" w:lineRule="atLeast"/>
              <w:ind w:firstLine="420" w:firstLineChars="200"/>
              <w:jc w:val="left"/>
              <w:rPr>
                <w:rFonts w:hint="eastAsia" w:ascii="宋体" w:hAnsi="宋体" w:cs="宋体"/>
                <w:color w:val="auto"/>
                <w:szCs w:val="21"/>
              </w:rPr>
            </w:pPr>
            <w:r>
              <w:rPr>
                <w:rFonts w:hint="eastAsia" w:ascii="宋体" w:hAnsi="宋体" w:cs="宋体"/>
                <w:color w:val="auto"/>
                <w:szCs w:val="21"/>
              </w:rPr>
              <w:t>▲4.课后：利用课后时间，教师布置作业学生完成作业查漏补缺，进行自主练习，通过该环节巩固课堂知识，进一步节约了课上授课时间。（包括发布课程任务、发布整套实训案例任务、发布部分实训案例任务、任务信息修改、查看任务详情、任务成绩统计、任务错误人数统计、任务批阅），学习课程资源章节内容后。</w:t>
            </w:r>
            <w:r>
              <w:rPr>
                <w:rFonts w:hint="eastAsia" w:ascii="宋体" w:hAnsi="宋体" w:cs="宋体"/>
                <w:b/>
                <w:bCs/>
                <w:color w:val="auto"/>
                <w:szCs w:val="21"/>
              </w:rPr>
              <w:t>（投标提供上述功能截图）</w:t>
            </w:r>
          </w:p>
          <w:p w14:paraId="590CF143">
            <w:pPr>
              <w:tabs>
                <w:tab w:val="left" w:pos="1440"/>
              </w:tabs>
              <w:spacing w:line="360" w:lineRule="atLeast"/>
              <w:ind w:firstLine="422" w:firstLineChars="200"/>
              <w:jc w:val="left"/>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第二部分：</w:t>
            </w:r>
          </w:p>
          <w:p w14:paraId="6C750A55">
            <w:pPr>
              <w:tabs>
                <w:tab w:val="left" w:pos="1440"/>
              </w:tabs>
              <w:spacing w:line="360" w:lineRule="atLeast"/>
              <w:ind w:firstLine="422" w:firstLineChars="200"/>
              <w:jc w:val="left"/>
              <w:rPr>
                <w:rFonts w:ascii="宋体" w:hAnsi="宋体" w:cs="宋体"/>
                <w:b/>
                <w:bCs/>
                <w:color w:val="auto"/>
                <w:szCs w:val="21"/>
              </w:rPr>
            </w:pPr>
            <w:r>
              <w:rPr>
                <w:rFonts w:hint="eastAsia" w:ascii="宋体" w:hAnsi="宋体" w:cs="宋体"/>
                <w:b/>
                <w:bCs/>
                <w:color w:val="auto"/>
                <w:szCs w:val="21"/>
              </w:rPr>
              <w:t>一、业财税融合云上实训模块模块</w:t>
            </w:r>
          </w:p>
          <w:p w14:paraId="3820FCD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以制造企业为背景，采用仿真原始凭证形式，根据企业一个月发生的主要经济业务资料，辅助业务并进行原始凭证的填制与审核、记账凭证的编制与审核、成本计算与分析、账簿的设置与登记、会计报表的编制、纳税申报、财务指标分析、税费计算与申报等。</w:t>
            </w:r>
          </w:p>
          <w:p w14:paraId="544203E0">
            <w:pPr>
              <w:tabs>
                <w:tab w:val="left" w:pos="1440"/>
              </w:tabs>
              <w:spacing w:line="360" w:lineRule="atLeast"/>
              <w:ind w:firstLine="422" w:firstLineChars="200"/>
              <w:jc w:val="left"/>
              <w:rPr>
                <w:rFonts w:ascii="宋体" w:hAnsi="宋体" w:cs="宋体"/>
                <w:b/>
                <w:bCs/>
                <w:color w:val="auto"/>
                <w:szCs w:val="21"/>
              </w:rPr>
            </w:pPr>
            <w:r>
              <w:rPr>
                <w:rFonts w:hint="eastAsia" w:ascii="宋体" w:hAnsi="宋体" w:cs="宋体"/>
                <w:b/>
                <w:bCs/>
                <w:color w:val="auto"/>
                <w:szCs w:val="21"/>
              </w:rPr>
              <w:t>二、内容明细：</w:t>
            </w:r>
          </w:p>
          <w:p w14:paraId="2A5F631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(1)货币资金。库存现金核算及清查；银行存款核算与对账；其他货币资金的核算等。</w:t>
            </w:r>
          </w:p>
          <w:p w14:paraId="75C9772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(2)应收及预付款项。应收票据、应收账款、预付账款和其他应收款、应收股利、应收利息、长期应收款的核算、应收款项的减值等。</w:t>
            </w:r>
          </w:p>
          <w:p w14:paraId="512D0BB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(3)金融资产。以公允价值计量且其变动计入当期损益的金融资产；以摊余成本计量的金融资产；以公允价值计量且其变动计入其他综合收益的金融资产等。</w:t>
            </w:r>
          </w:p>
          <w:p w14:paraId="61B8E2F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(4)存货。存货(原材料、库存商品、委托加工物资、周转材料)收入、发出的核算；存货清查；存货减值等。</w:t>
            </w:r>
          </w:p>
          <w:p w14:paraId="4168D55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(5)长期股权投资。长期股权投资成本法的核算；长期股权投资权益法的核算；长期股权投资减值等。</w:t>
            </w:r>
          </w:p>
          <w:p w14:paraId="7669D97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(6)固定资产和投资性房地产。固定资产增加、减少、折旧的核算；固定资产后续支出的核算；固定资产清查；固定资产减值；投资性房地产的取得、后续计量及处置的核算等。</w:t>
            </w:r>
          </w:p>
          <w:p w14:paraId="719EE48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(7)无形资产及其他资产。无形资产的取得、摊销及处置的核算；无形资产减值；其他资产的核算等。</w:t>
            </w:r>
          </w:p>
          <w:p w14:paraId="2434C33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(8)流动负债。短期借款的核算；应付及预收款项的核算；应付职工薪酬的核算；应交税费的核算；应付股利、应付利息及其他应付款的核算等。</w:t>
            </w:r>
          </w:p>
          <w:p w14:paraId="7654A13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(9)长期负债。长期借款的核算；应付债券的核算；长期应付款的核算等。</w:t>
            </w:r>
          </w:p>
          <w:p w14:paraId="157EAAC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(10)债务重组的核算等。</w:t>
            </w:r>
          </w:p>
          <w:p w14:paraId="08CB45D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(11)非货币性资产交换的核算等。</w:t>
            </w:r>
          </w:p>
          <w:p w14:paraId="1E915AA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(12)所有者权益的核算。投入资本的核算；直接计入所有者权益利得与损失的核算；其他综合收益的核算；留存收益的核算等。</w:t>
            </w:r>
          </w:p>
          <w:p w14:paraId="72AE63F0">
            <w:pPr>
              <w:tabs>
                <w:tab w:val="left" w:pos="1440"/>
              </w:tabs>
              <w:spacing w:line="360" w:lineRule="atLeast"/>
              <w:ind w:firstLine="420" w:firstLineChars="200"/>
              <w:jc w:val="left"/>
              <w:rPr>
                <w:rFonts w:ascii="宋体" w:hAnsi="宋体" w:cs="宋体"/>
                <w:b/>
                <w:bCs/>
                <w:color w:val="auto"/>
                <w:szCs w:val="21"/>
              </w:rPr>
            </w:pPr>
            <w:r>
              <w:rPr>
                <w:rFonts w:hint="eastAsia" w:ascii="宋体" w:hAnsi="宋体" w:cs="宋体"/>
                <w:color w:val="auto"/>
                <w:szCs w:val="21"/>
              </w:rPr>
              <w:t>▲(13)收入。收入的确认与计量；在某一时段内履行的履约义务收入的确认与核算；在某一时点内履行的履约义务收入的确认与核算等。</w:t>
            </w:r>
            <w:r>
              <w:rPr>
                <w:rFonts w:hint="eastAsia" w:ascii="宋体" w:hAnsi="宋体" w:cs="宋体"/>
                <w:b/>
                <w:bCs/>
                <w:color w:val="auto"/>
                <w:szCs w:val="21"/>
              </w:rPr>
              <w:t>（投标提供上述功能截图）</w:t>
            </w:r>
          </w:p>
          <w:p w14:paraId="285CB5C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(14)费用。营业成本的核算；税金及附加的核算；期间费用的核算等。</w:t>
            </w:r>
          </w:p>
          <w:p w14:paraId="6DAD945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(15)产品成本核算。要素费用的归集和分配；生产费用在完工产品和在产品之间的归集和分配；产品生产成本的计算，包括品种法、分批法、分步法等方法等。</w:t>
            </w:r>
          </w:p>
          <w:p w14:paraId="771CD93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(16)利润。营业外收入、营业外支出的核算；所得税费用的核算；损益的结转、本年利润的结转和利润分配的核算等。</w:t>
            </w:r>
          </w:p>
          <w:p w14:paraId="0ACE304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(17)财务会计报告。资产负债表、利润表等。</w:t>
            </w:r>
          </w:p>
          <w:p w14:paraId="2CB1CAB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(18)财务分析。偿债能力指标分析、营运能力指标分析等</w:t>
            </w:r>
          </w:p>
          <w:p w14:paraId="23296FA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(19)税费计算与申报。增值税、消费税、企业所得税、个人所得税、城市维护建设税与教育费附加、房产税、车船税、城镇土地使用税、印花税的计算；增值税的纳税申报、个人所得税的纳税申报等。</w:t>
            </w:r>
          </w:p>
          <w:p w14:paraId="71D3A5CE">
            <w:pPr>
              <w:tabs>
                <w:tab w:val="left" w:pos="1440"/>
              </w:tabs>
              <w:spacing w:line="360" w:lineRule="atLeast"/>
              <w:ind w:firstLine="422" w:firstLineChars="200"/>
              <w:jc w:val="left"/>
              <w:rPr>
                <w:rFonts w:ascii="宋体" w:hAnsi="宋体" w:cs="宋体"/>
                <w:b/>
                <w:bCs/>
                <w:color w:val="auto"/>
                <w:szCs w:val="21"/>
              </w:rPr>
            </w:pPr>
            <w:r>
              <w:rPr>
                <w:rFonts w:hint="eastAsia" w:ascii="宋体" w:hAnsi="宋体" w:cs="宋体"/>
                <w:b/>
                <w:bCs/>
                <w:color w:val="auto"/>
                <w:szCs w:val="21"/>
              </w:rPr>
              <w:t>三、技术指标</w:t>
            </w:r>
          </w:p>
          <w:p w14:paraId="4E1D781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1.系统架构基于微服务框架进行架构，支持快速水平扩展，支持高并发，高可用的业务需求。实现系统模块灵活配置，数据动静分离；windows,linux,Mac,树莓派等主流操作系统；</w:t>
            </w:r>
          </w:p>
          <w:p w14:paraId="304DB92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2.系统使用mysql开源数据库，可任意切换到目前主流的数据库上面Access、SqlServer、Oracle、SQLite、PostgreSQL、DaMeng、DB2、TDengine，可通过水平扩展来达到高可用性和高性能；</w:t>
            </w:r>
          </w:p>
          <w:p w14:paraId="2C82D73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3.系统采用当前流行的.Net 6、ASP.NET Core Web、XCode技术框架，展现层需要通过vue+ elementUI全家桶实现，实现前后端分离；模型层通过API接口及实现类来实现，通过网关统一入口访问各个微服务；与数据库的接口采用轻量级封装XCode提供的接口；</w:t>
            </w:r>
          </w:p>
          <w:p w14:paraId="731E20B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4.系统集成Serilog日志系统，记录系统日志，快速定位排查线上问题；</w:t>
            </w:r>
          </w:p>
          <w:p w14:paraId="583C2C8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5.系统可以抵御常用攻击手段，如SQL注入，CSRF，XSS等;</w:t>
            </w:r>
          </w:p>
          <w:p w14:paraId="73DAD03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6.系统使用redis缓存数据库来进行用户数据的缓存，增加系统响应速度并优化用户的体验;</w:t>
            </w:r>
          </w:p>
          <w:p w14:paraId="7FD3235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7.统一的配置中心consul，配置即时生效，可以支持快速根据业务需求调整参数；</w:t>
            </w:r>
          </w:p>
          <w:p w14:paraId="019FA3B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8.系统实现单点登录，提供用户的统一登录入口，系统管理员、教务管理员、教师、学生统一登陆入口，只需输入各自的用户名及密码即可登录，且最少支持2000人同时登录,系统支持快速扩容；</w:t>
            </w:r>
          </w:p>
          <w:p w14:paraId="616742E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9.所有服务均采用Linux服务器部署，快速快捷容。</w:t>
            </w:r>
          </w:p>
          <w:p w14:paraId="5546DBF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10.消息机制采用WebSocet技术，后端采用NewLife.Core服务器，实现数据实时同步；</w:t>
            </w:r>
          </w:p>
          <w:p w14:paraId="0D37DE4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11.并发保采用KAFKA MQ日消息队列，保学生的作答练习、任务不卡，提交的数据不丢失。</w:t>
            </w:r>
          </w:p>
          <w:p w14:paraId="45C3F04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12.采用的HAproxy+Nginx负载均衡，提高并发量。</w:t>
            </w:r>
          </w:p>
          <w:p w14:paraId="2562060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13.myql-proxy代理，提高数据库访问量。</w:t>
            </w:r>
          </w:p>
          <w:p w14:paraId="2FC9E75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14.系统提供Elasticsearch：分布式多用户能力的全文搜索引擎，支持对所有课程资源文件全文检索。</w:t>
            </w:r>
          </w:p>
          <w:p w14:paraId="649CC1F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15.Jenkins+gitlab+Publish Over SSH+shell+python实现自动部署。</w:t>
            </w:r>
          </w:p>
          <w:p w14:paraId="00265E5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16.web访火墙，提升防功击性。</w:t>
            </w:r>
          </w:p>
          <w:p w14:paraId="112DAE2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17.系统支持Windows系统部署，采用B/S架构设计的Sass云平台，使用.Net开发技术，无需安装特定软件，应用可以跨操作系统部署。</w:t>
            </w:r>
          </w:p>
          <w:p w14:paraId="43DB715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18.系统在互联网下运行，只需要通过浏览器访问给定网址即可，通过账号和密码登录使用服务，无需加密狗等。</w:t>
            </w:r>
          </w:p>
          <w:p w14:paraId="1D354F3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19.平台服务托管在云端，无需学校提供额外的硬件支持。</w:t>
            </w:r>
          </w:p>
          <w:p w14:paraId="528FA0E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20.系统支持团队练习与实训教学,可单独使用，也可结合应用。</w:t>
            </w:r>
          </w:p>
          <w:p w14:paraId="667659C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21.最小网络带宽：1000 Mbps（含）以上。</w:t>
            </w:r>
          </w:p>
          <w:p w14:paraId="554C5A3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22.浏览器：推荐使用BLINK内核的浏览器，如360浏览器或谷歌chrome浏览器。</w:t>
            </w:r>
          </w:p>
          <w:p w14:paraId="6D79D61C">
            <w:pPr>
              <w:tabs>
                <w:tab w:val="left" w:pos="1440"/>
              </w:tabs>
              <w:spacing w:line="360" w:lineRule="atLeast"/>
              <w:ind w:firstLine="422" w:firstLineChars="200"/>
              <w:jc w:val="left"/>
              <w:rPr>
                <w:rFonts w:ascii="宋体" w:hAnsi="宋体" w:cs="宋体"/>
                <w:b/>
                <w:bCs/>
                <w:color w:val="auto"/>
                <w:szCs w:val="21"/>
              </w:rPr>
            </w:pPr>
            <w:r>
              <w:rPr>
                <w:rFonts w:hint="eastAsia" w:ascii="宋体" w:hAnsi="宋体" w:cs="宋体"/>
                <w:b/>
                <w:bCs/>
                <w:color w:val="auto"/>
                <w:szCs w:val="21"/>
              </w:rPr>
              <w:t>四、功能参数：</w:t>
            </w:r>
          </w:p>
          <w:p w14:paraId="628B3C2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1.自主训练</w:t>
            </w:r>
          </w:p>
          <w:p w14:paraId="4A35186C">
            <w:pPr>
              <w:tabs>
                <w:tab w:val="left" w:pos="1440"/>
              </w:tabs>
              <w:spacing w:line="360" w:lineRule="atLeast"/>
              <w:ind w:firstLine="420" w:firstLineChars="200"/>
              <w:jc w:val="left"/>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（个人自主模式训练） 1）支持题目展示、自动读取数据订单，当前用户做题数据进度展示，一键训练。支持已交卷历史记录作答详情查询及任务作答记录查看；2）支持对历史记录下成绩排名。支持任务答题时间统计、允许自主岗位角色切换并选择，题总数统计，支持任务题目分岗位展示；3）支持多题型、支持综合、多选、单选、图表、分录、表格等题型答题；4）支持EXCEL数据一键粘贴数据；5）支持自主模式下答题自动判断对错；6）支持错误处高亮标记，支持对当前提交题目分值计算；7）支持已答、未答、答错、答对题目标识；8）支持题目特殊标记。支持单题目答案与解析查看、清空当前题目答案；9）支持核算会计账簿查询、支持方法会计，系统自带计算器工具，支持交卷，并统计任务分值</w:t>
            </w:r>
            <w:r>
              <w:rPr>
                <w:rFonts w:hint="eastAsia" w:ascii="宋体" w:hAnsi="宋体" w:cs="宋体"/>
                <w:b/>
                <w:bCs/>
                <w:color w:val="auto"/>
                <w:szCs w:val="21"/>
              </w:rPr>
              <w:t>（投标提供上述功能截图）</w:t>
            </w:r>
          </w:p>
          <w:p w14:paraId="294A79F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2.▲模拟训练</w:t>
            </w:r>
          </w:p>
          <w:p w14:paraId="1350B96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（模拟真实考场环境测验）支持任务展示、自动读取数据订单，当前用户做题数据进度展示，一键模拟训练。支持已交卷历史记录作答详情查询及任务作答记录查看，支持对历史记录下成绩排名。</w:t>
            </w:r>
          </w:p>
          <w:p w14:paraId="2D4A05A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根据要求时间支持任务倒计时测验、个人训练支持多岗位切换答题、题总数统计，支持任务题目分岗位展示，支持多题型、支持综合、多选、单选、图表、分录、表格等题型答题。支持EXCEL数据一键粘贴数据，支持模拟模式下答题自动判断对错，支持对当前提交题目分值统计计算，交卷后展示错误处及得分详情，支持已答、未答、题目标识、支持题目特殊标记。支持单题目答案与解析查看、清空当前题目答案，支持核算会计账簿查询、支持方法会计，系统自带计算器工具，支持交卷，并统计任务分值。</w:t>
            </w:r>
          </w:p>
          <w:p w14:paraId="0E65F87F">
            <w:pPr>
              <w:tabs>
                <w:tab w:val="left" w:pos="1440"/>
              </w:tabs>
              <w:spacing w:line="360" w:lineRule="atLeast"/>
              <w:ind w:firstLine="420" w:firstLineChars="200"/>
              <w:jc w:val="left"/>
              <w:rPr>
                <w:rFonts w:ascii="宋体" w:hAnsi="宋体" w:cs="宋体"/>
                <w:b/>
                <w:bCs/>
                <w:color w:val="auto"/>
                <w:szCs w:val="21"/>
              </w:rPr>
            </w:pPr>
            <w:r>
              <w:rPr>
                <w:rFonts w:hint="eastAsia" w:ascii="宋体" w:hAnsi="宋体" w:cs="宋体"/>
                <w:color w:val="auto"/>
                <w:szCs w:val="21"/>
              </w:rPr>
              <w:t>▲3.校内考核：1）支持校内考核任务查看、支持密码验证参与校考核、支持进行校内考核卷面答题；2）支持个人自主训练模块错题分析、支持单个题目错误率统计，支持个人练习分析，支持统计历史记录中个人最高分、平均分计算；3）支持个人历史记录中交卷的记录及各自得分、排名统计；4）支持手机号换绑操作、支持通过手机号找回密码、支持手机短信快捷登录账号；5）支持任务展示、自动读取数据订单；6）支持对任务开放权限管控，支持浏览任务详情，支持创建校考核任务，支持个人考核、团队考核任务创建；7）支持自主设置考试时长、支持对答案和解析权限控制、支持团队考核多个团队共同参与；8）支持学生参考加密解密处理。支持任务列表管理，支持发布当前任务；9）支持任务查询详情、删除或编辑当前任务，任务进行中；10）支持对学生端答题情况实时监控（考生答题分值及作答数）及当前任务成绩统计统计与分析 任务结束后；11）支持统计成绩查询并统计，支持删除已结束任务。支持手机号换绑操作、支持通过手机号找回密码。</w:t>
            </w:r>
            <w:r>
              <w:rPr>
                <w:rFonts w:hint="eastAsia" w:ascii="宋体" w:hAnsi="宋体" w:cs="宋体"/>
                <w:b/>
                <w:bCs/>
                <w:color w:val="auto"/>
                <w:szCs w:val="21"/>
              </w:rPr>
              <w:t>（投标提供上述功能截图）</w:t>
            </w:r>
          </w:p>
          <w:p w14:paraId="55F5281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▲4、其他要求：系统满足2023-2024年广西职业院校技能大赛业财税融合应用（学生赛）赛项要求，并提供承诺文件。</w:t>
            </w:r>
          </w:p>
        </w:tc>
        <w:tc>
          <w:tcPr>
            <w:tcW w:w="1355" w:type="dxa"/>
            <w:tcBorders>
              <w:top w:val="single" w:color="auto" w:sz="4" w:space="0"/>
              <w:left w:val="single" w:color="auto" w:sz="4" w:space="0"/>
              <w:right w:val="single" w:color="auto" w:sz="4" w:space="0"/>
            </w:tcBorders>
            <w:vAlign w:val="center"/>
          </w:tcPr>
          <w:p w14:paraId="150745F8">
            <w:pPr>
              <w:tabs>
                <w:tab w:val="left" w:pos="1440"/>
              </w:tabs>
              <w:adjustRightInd w:val="0"/>
              <w:snapToGrid w:val="0"/>
              <w:spacing w:line="360" w:lineRule="atLeast"/>
              <w:jc w:val="center"/>
              <w:rPr>
                <w:rFonts w:ascii="宋体" w:hAnsi="宋体" w:cs="宋体"/>
                <w:color w:val="auto"/>
                <w:szCs w:val="21"/>
              </w:rPr>
            </w:pPr>
            <w:r>
              <w:rPr>
                <w:rFonts w:hint="eastAsia" w:ascii="宋体" w:hAnsi="宋体" w:cs="宋体"/>
                <w:color w:val="auto"/>
                <w:szCs w:val="21"/>
              </w:rPr>
              <w:t>200,000.00</w:t>
            </w:r>
          </w:p>
        </w:tc>
      </w:tr>
      <w:tr w14:paraId="6A49F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14:paraId="70D3845D">
            <w:pPr>
              <w:adjustRightInd w:val="0"/>
              <w:snapToGrid w:val="0"/>
              <w:spacing w:line="360" w:lineRule="atLeast"/>
              <w:jc w:val="center"/>
              <w:rPr>
                <w:rFonts w:ascii="宋体" w:hAnsi="宋体" w:cs="宋体"/>
                <w:color w:val="auto"/>
              </w:rPr>
            </w:pPr>
            <w:r>
              <w:rPr>
                <w:rFonts w:hint="eastAsia" w:ascii="宋体" w:hAnsi="宋体" w:cs="宋体"/>
                <w:color w:val="auto"/>
              </w:rPr>
              <w:t>商务条款</w:t>
            </w:r>
          </w:p>
        </w:tc>
        <w:tc>
          <w:tcPr>
            <w:tcW w:w="9605" w:type="dxa"/>
            <w:gridSpan w:val="5"/>
            <w:tcBorders>
              <w:top w:val="single" w:color="auto" w:sz="4" w:space="0"/>
              <w:left w:val="single" w:color="auto" w:sz="4" w:space="0"/>
              <w:bottom w:val="single" w:color="auto" w:sz="4" w:space="0"/>
              <w:right w:val="single" w:color="auto" w:sz="4" w:space="0"/>
            </w:tcBorders>
          </w:tcPr>
          <w:p w14:paraId="19814FD6">
            <w:pPr>
              <w:adjustRightInd w:val="0"/>
              <w:snapToGrid w:val="0"/>
              <w:spacing w:line="360" w:lineRule="atLeast"/>
              <w:ind w:firstLine="422" w:firstLineChars="200"/>
              <w:rPr>
                <w:rFonts w:ascii="宋体" w:hAnsi="宋体" w:cs="宋体"/>
                <w:b/>
                <w:color w:val="auto"/>
                <w:szCs w:val="21"/>
              </w:rPr>
            </w:pPr>
            <w:r>
              <w:rPr>
                <w:rFonts w:hint="eastAsia" w:ascii="宋体" w:hAnsi="宋体" w:cs="宋体"/>
                <w:b/>
                <w:color w:val="auto"/>
                <w:szCs w:val="21"/>
              </w:rPr>
              <w:t>一、“货物需求一览表”表中的核心产品为序号第1项产品。</w:t>
            </w:r>
          </w:p>
          <w:p w14:paraId="1AC70A4E">
            <w:pPr>
              <w:adjustRightInd w:val="0"/>
              <w:snapToGrid w:val="0"/>
              <w:spacing w:line="360" w:lineRule="atLeast"/>
              <w:ind w:firstLine="420" w:firstLineChars="200"/>
              <w:rPr>
                <w:rFonts w:ascii="宋体" w:hAnsi="宋体" w:cs="宋体"/>
                <w:color w:val="auto"/>
                <w:szCs w:val="21"/>
              </w:rPr>
            </w:pPr>
            <w:r>
              <w:rPr>
                <w:rFonts w:hint="eastAsia" w:ascii="宋体" w:hAnsi="宋体" w:cs="宋体"/>
                <w:color w:val="auto"/>
              </w:rPr>
              <w:t>▲</w:t>
            </w:r>
            <w:r>
              <w:rPr>
                <w:rFonts w:hint="eastAsia" w:ascii="宋体" w:hAnsi="宋体" w:cs="宋体"/>
                <w:b/>
                <w:color w:val="auto"/>
                <w:szCs w:val="21"/>
              </w:rPr>
              <w:t>二、</w:t>
            </w:r>
            <w:r>
              <w:rPr>
                <w:rFonts w:hint="eastAsia" w:ascii="宋体" w:hAnsi="宋体" w:cs="宋体"/>
                <w:color w:val="auto"/>
                <w:szCs w:val="21"/>
              </w:rPr>
              <w:t>合同签订期：自中标通知书发出之日起10日内。</w:t>
            </w:r>
          </w:p>
          <w:p w14:paraId="300021D4">
            <w:pPr>
              <w:adjustRightInd w:val="0"/>
              <w:snapToGrid w:val="0"/>
              <w:spacing w:line="360" w:lineRule="atLeast"/>
              <w:ind w:firstLine="422" w:firstLineChars="200"/>
              <w:rPr>
                <w:rFonts w:ascii="宋体" w:hAnsi="宋体" w:cs="宋体"/>
                <w:color w:val="auto"/>
                <w:szCs w:val="21"/>
              </w:rPr>
            </w:pPr>
            <w:r>
              <w:rPr>
                <w:rFonts w:hint="eastAsia" w:ascii="宋体" w:hAnsi="宋体" w:cs="宋体"/>
                <w:b/>
                <w:color w:val="auto"/>
                <w:szCs w:val="21"/>
              </w:rPr>
              <w:t>三、</w:t>
            </w:r>
            <w:r>
              <w:rPr>
                <w:rFonts w:hint="eastAsia" w:ascii="宋体" w:hAnsi="宋体" w:cs="宋体"/>
                <w:color w:val="auto"/>
                <w:szCs w:val="21"/>
              </w:rPr>
              <w:t>交货时间及地点：</w:t>
            </w:r>
            <w:r>
              <w:rPr>
                <w:rFonts w:hint="eastAsia" w:ascii="宋体" w:hAnsi="宋体"/>
                <w:bCs/>
                <w:color w:val="auto"/>
                <w:szCs w:val="21"/>
                <w:lang w:eastAsia="zh-CN"/>
              </w:rPr>
              <w:t>自合同签订之日起10个日历日内完成安装调整并交采购人验收合格</w:t>
            </w:r>
            <w:r>
              <w:rPr>
                <w:rFonts w:hint="eastAsia" w:ascii="宋体" w:hAnsi="宋体" w:cs="宋体"/>
                <w:color w:val="auto"/>
                <w:szCs w:val="21"/>
              </w:rPr>
              <w:t>；地点：</w:t>
            </w:r>
            <w:r>
              <w:rPr>
                <w:rFonts w:hint="eastAsia" w:ascii="宋体" w:hAnsi="宋体"/>
                <w:color w:val="auto"/>
                <w:szCs w:val="21"/>
              </w:rPr>
              <w:t>南宁职业技术大学</w:t>
            </w:r>
            <w:r>
              <w:rPr>
                <w:rFonts w:hint="eastAsia" w:ascii="宋体" w:hAnsi="宋体" w:cs="宋体"/>
                <w:color w:val="auto"/>
                <w:szCs w:val="21"/>
              </w:rPr>
              <w:t>采购人指定地点。</w:t>
            </w:r>
          </w:p>
          <w:p w14:paraId="4BD20383">
            <w:pPr>
              <w:spacing w:line="360" w:lineRule="exact"/>
              <w:ind w:firstLine="420" w:firstLineChars="200"/>
              <w:rPr>
                <w:rFonts w:ascii="宋体" w:hAnsi="宋体" w:cs="宋体"/>
                <w:bCs/>
                <w:color w:val="auto"/>
                <w:szCs w:val="21"/>
              </w:rPr>
            </w:pPr>
            <w:r>
              <w:rPr>
                <w:rFonts w:hint="eastAsia" w:ascii="宋体" w:hAnsi="宋体" w:cs="宋体"/>
                <w:bCs/>
                <w:color w:val="auto"/>
                <w:szCs w:val="21"/>
              </w:rPr>
              <w:t>四、验收标准、规范：中标人完成全部产品安装后7个工作日内采购人组织验收，采购人根据招标文件要求、投标文件承诺以及合同条款进行验收，中标人须在验收时进行演示，经采购人对演示情况进行审查后，确认符合采购需求，予以验收通过。如演示采购需求不一致，采购人出具书面异议给中标人，中标人应当自收到书面异议后10个工作日内进行整改，整改后仍不通过的，验收不合格，由此造成的一切不利后果及经济损失由中标人自行承担。验收通过后方可完成交付。</w:t>
            </w:r>
          </w:p>
          <w:p w14:paraId="6D39E46C">
            <w:pPr>
              <w:adjustRightInd w:val="0"/>
              <w:snapToGrid w:val="0"/>
              <w:spacing w:line="360" w:lineRule="atLeast"/>
              <w:ind w:firstLine="420" w:firstLineChars="200"/>
              <w:rPr>
                <w:rFonts w:ascii="宋体" w:hAnsi="宋体" w:cs="宋体"/>
                <w:bCs/>
                <w:color w:val="auto"/>
                <w:szCs w:val="21"/>
              </w:rPr>
            </w:pPr>
            <w:r>
              <w:rPr>
                <w:rFonts w:hint="eastAsia" w:ascii="宋体" w:hAnsi="宋体" w:cs="宋体"/>
                <w:color w:val="auto"/>
              </w:rPr>
              <w:t>▲</w:t>
            </w:r>
            <w:r>
              <w:rPr>
                <w:rFonts w:hint="eastAsia" w:ascii="宋体" w:hAnsi="宋体" w:cs="宋体"/>
                <w:bCs/>
                <w:color w:val="auto"/>
                <w:szCs w:val="21"/>
              </w:rPr>
              <w:t>五、售后服务要求：</w:t>
            </w:r>
          </w:p>
          <w:p w14:paraId="22CE0C0C">
            <w:pPr>
              <w:spacing w:line="360" w:lineRule="exact"/>
              <w:ind w:firstLine="420" w:firstLineChars="200"/>
              <w:rPr>
                <w:rFonts w:ascii="宋体" w:hAnsi="宋体" w:cs="宋体"/>
                <w:color w:val="auto"/>
                <w:szCs w:val="21"/>
              </w:rPr>
            </w:pPr>
            <w:r>
              <w:rPr>
                <w:rFonts w:hint="eastAsia" w:ascii="宋体" w:hAnsi="宋体" w:cs="宋体"/>
                <w:bCs/>
                <w:color w:val="auto"/>
                <w:szCs w:val="21"/>
              </w:rPr>
              <w:t>1.</w:t>
            </w:r>
            <w:r>
              <w:rPr>
                <w:rFonts w:hint="eastAsia" w:ascii="宋体" w:hAnsi="宋体" w:cs="宋体"/>
                <w:color w:val="auto"/>
                <w:szCs w:val="21"/>
              </w:rPr>
              <w:t>按国家“三包”政策或厂家承诺提供售后服务，</w:t>
            </w:r>
            <w:r>
              <w:rPr>
                <w:rFonts w:hint="eastAsia" w:ascii="宋体" w:hAnsi="宋体" w:cs="宋体"/>
                <w:bCs/>
                <w:color w:val="auto"/>
                <w:szCs w:val="21"/>
              </w:rPr>
              <w:t>质量保证期一年（自提交成果并验收合格之日起计）；</w:t>
            </w:r>
            <w:r>
              <w:rPr>
                <w:rFonts w:hint="eastAsia" w:ascii="宋体" w:hAnsi="宋体" w:cs="宋体"/>
                <w:color w:val="auto"/>
                <w:szCs w:val="21"/>
              </w:rPr>
              <w:t>服务内容包括以下内容：</w:t>
            </w:r>
          </w:p>
          <w:p w14:paraId="3563792D">
            <w:pPr>
              <w:spacing w:line="360" w:lineRule="exact"/>
              <w:ind w:firstLine="420" w:firstLineChars="200"/>
              <w:rPr>
                <w:rFonts w:ascii="宋体" w:hAnsi="宋体" w:cs="宋体"/>
                <w:color w:val="auto"/>
                <w:szCs w:val="21"/>
              </w:rPr>
            </w:pPr>
            <w:r>
              <w:rPr>
                <w:rFonts w:hint="eastAsia" w:ascii="宋体" w:hAnsi="宋体" w:cs="宋体"/>
                <w:color w:val="auto"/>
                <w:szCs w:val="21"/>
              </w:rPr>
              <w:t>（1）咨询：系统服务期内，向采购人提供各种与产品相关的免费技术咨询服务（包括热线服务），包括热线电话，电子邮件（7×24），传真等方式。</w:t>
            </w:r>
          </w:p>
          <w:p w14:paraId="0691FE72">
            <w:pPr>
              <w:spacing w:line="360" w:lineRule="exact"/>
              <w:ind w:firstLine="420" w:firstLineChars="200"/>
              <w:rPr>
                <w:rFonts w:ascii="宋体" w:hAnsi="宋体" w:cs="宋体"/>
                <w:color w:val="auto"/>
                <w:szCs w:val="21"/>
              </w:rPr>
            </w:pPr>
            <w:r>
              <w:rPr>
                <w:rFonts w:hint="eastAsia" w:ascii="宋体" w:hAnsi="宋体" w:cs="宋体"/>
                <w:color w:val="auto"/>
                <w:szCs w:val="21"/>
              </w:rPr>
              <w:t>（2）软件升级：在服务期内，免费提供版本升级、产品换代更新。服务期满后，提供对相关软件升级提醒服务，协助制订升级计划，提供关于新版本改进性能的培训，远程或现场指导软件升级。</w:t>
            </w:r>
          </w:p>
          <w:p w14:paraId="615F090D">
            <w:pPr>
              <w:spacing w:line="360" w:lineRule="exact"/>
              <w:ind w:firstLine="420" w:firstLineChars="200"/>
              <w:rPr>
                <w:rFonts w:ascii="宋体" w:hAnsi="宋体" w:cs="宋体"/>
                <w:color w:val="auto"/>
                <w:szCs w:val="21"/>
              </w:rPr>
            </w:pPr>
            <w:r>
              <w:rPr>
                <w:rFonts w:hint="eastAsia" w:ascii="宋体" w:hAnsi="宋体" w:cs="宋体"/>
                <w:color w:val="auto"/>
                <w:szCs w:val="21"/>
              </w:rPr>
              <w:t>（3）远程支持——采用电话指导或远程登录、电子邮件等方式提供技术支持。</w:t>
            </w:r>
          </w:p>
          <w:p w14:paraId="05A14DFD">
            <w:pPr>
              <w:spacing w:line="360" w:lineRule="exact"/>
              <w:ind w:firstLine="420" w:firstLineChars="200"/>
              <w:rPr>
                <w:rFonts w:ascii="宋体" w:hAnsi="宋体" w:cs="宋体"/>
                <w:color w:val="auto"/>
                <w:szCs w:val="21"/>
              </w:rPr>
            </w:pPr>
            <w:r>
              <w:rPr>
                <w:rFonts w:hint="eastAsia" w:ascii="宋体" w:hAnsi="宋体" w:cs="宋体"/>
                <w:color w:val="auto"/>
                <w:szCs w:val="21"/>
              </w:rPr>
              <w:t>（4）现场技术服务——当远程支持无法解决用户问题时，指派技术人员提供现场技术服务。</w:t>
            </w:r>
          </w:p>
          <w:p w14:paraId="1FCBB12B">
            <w:pPr>
              <w:adjustRightInd w:val="0"/>
              <w:snapToGrid w:val="0"/>
              <w:spacing w:line="360" w:lineRule="atLeast"/>
              <w:ind w:firstLine="420" w:firstLineChars="200"/>
              <w:rPr>
                <w:rFonts w:ascii="宋体" w:hAnsi="宋体" w:cs="宋体"/>
                <w:color w:val="auto"/>
                <w:szCs w:val="21"/>
              </w:rPr>
            </w:pPr>
            <w:r>
              <w:rPr>
                <w:rFonts w:hint="eastAsia" w:ascii="宋体" w:hAnsi="宋体" w:cs="宋体"/>
                <w:color w:val="auto"/>
                <w:szCs w:val="21"/>
              </w:rPr>
              <w:t>（5）故障响应时间：成交供应商收到采购人的故障维修通知2小时内到达现场进行维修维护，4小时内排除故障，特殊故障第一时间以书面形式通知采购人并制定维修方案及确定故障排除的时间。</w:t>
            </w:r>
          </w:p>
          <w:p w14:paraId="5B439CD7">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2.售后服务技术人员要求：专职；</w:t>
            </w:r>
          </w:p>
          <w:p w14:paraId="576A268B">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六、其他要求：</w:t>
            </w:r>
          </w:p>
          <w:p w14:paraId="1E4A69FB">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1.报价必须含以下部分，包括：</w:t>
            </w:r>
          </w:p>
          <w:p w14:paraId="22937AA6">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（1）货物的价格；</w:t>
            </w:r>
          </w:p>
          <w:p w14:paraId="6965FC6E">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（2）货物的标准附件、专用工具的价格；</w:t>
            </w:r>
          </w:p>
          <w:p w14:paraId="5A1F9C28">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（3）运输、装卸、调试、培训、技术支持、售后服务等费用；</w:t>
            </w:r>
          </w:p>
          <w:p w14:paraId="7D9AF0A3">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（4）必要的保险费用和各项税金；</w:t>
            </w:r>
          </w:p>
          <w:p w14:paraId="6842CC7A">
            <w:pPr>
              <w:adjustRightInd w:val="0"/>
              <w:snapToGrid w:val="0"/>
              <w:spacing w:line="360" w:lineRule="atLeast"/>
              <w:ind w:firstLine="420" w:firstLineChars="200"/>
              <w:rPr>
                <w:rFonts w:ascii="宋体" w:hAnsi="宋体" w:cs="宋体"/>
                <w:bCs/>
                <w:color w:val="auto"/>
                <w:szCs w:val="21"/>
              </w:rPr>
            </w:pPr>
            <w:r>
              <w:rPr>
                <w:rFonts w:hint="eastAsia" w:ascii="宋体" w:hAnsi="宋体" w:cs="宋体"/>
                <w:color w:val="auto"/>
              </w:rPr>
              <w:t>▲</w:t>
            </w:r>
            <w:r>
              <w:rPr>
                <w:rFonts w:hint="eastAsia" w:ascii="宋体" w:hAnsi="宋体" w:cs="宋体"/>
                <w:bCs/>
                <w:color w:val="auto"/>
                <w:szCs w:val="21"/>
              </w:rPr>
              <w:t>2.付款方式：选择以下第（2）种方式</w:t>
            </w:r>
          </w:p>
          <w:p w14:paraId="7BF31728">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（1）本项目无预付款，供应商所提交的货物经采购人书面验收合格后，一次性（或按项目进度分次付款，项目进度内容及每次付款比例要写明）支付合同款。</w:t>
            </w:r>
          </w:p>
          <w:p w14:paraId="5716DA69">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（2）本项目采取预付款形式，预付形式为：</w:t>
            </w:r>
          </w:p>
          <w:p w14:paraId="7A017EAF">
            <w:pPr>
              <w:adjustRightInd w:val="0"/>
              <w:snapToGrid w:val="0"/>
              <w:spacing w:line="360" w:lineRule="atLeast"/>
              <w:ind w:firstLine="420" w:firstLineChars="200"/>
              <w:rPr>
                <w:rFonts w:ascii="宋体" w:hAnsi="宋体" w:cs="宋体"/>
                <w:color w:val="auto"/>
                <w:szCs w:val="21"/>
              </w:rPr>
            </w:pPr>
            <w:r>
              <w:rPr>
                <w:rFonts w:hint="eastAsia" w:ascii="宋体" w:hAnsi="宋体" w:cs="宋体"/>
                <w:bCs/>
                <w:color w:val="auto"/>
                <w:szCs w:val="21"/>
              </w:rPr>
              <w:t>第一期付款：合同签订后，在担保措施生效及具备实施条件后10个工作日内支付甲方向乙方支付合同总价30%预付款，支</w:t>
            </w:r>
            <w:r>
              <w:rPr>
                <w:rFonts w:hint="eastAsia" w:ascii="宋体" w:hAnsi="宋体" w:cs="宋体"/>
                <w:color w:val="auto"/>
                <w:szCs w:val="21"/>
              </w:rPr>
              <w:t>付前由乙方按规定向甲方开具正式发票；</w:t>
            </w:r>
          </w:p>
          <w:p w14:paraId="22AD24C4">
            <w:pPr>
              <w:adjustRightInd w:val="0"/>
              <w:snapToGrid w:val="0"/>
              <w:spacing w:line="360" w:lineRule="atLeast"/>
              <w:ind w:firstLine="420" w:firstLineChars="200"/>
              <w:rPr>
                <w:rFonts w:ascii="宋体" w:hAnsi="宋体" w:cs="宋体"/>
                <w:color w:val="auto"/>
                <w:szCs w:val="21"/>
              </w:rPr>
            </w:pPr>
            <w:r>
              <w:rPr>
                <w:rFonts w:hint="eastAsia" w:ascii="宋体" w:hAnsi="宋体" w:cs="宋体"/>
                <w:color w:val="auto"/>
                <w:szCs w:val="21"/>
              </w:rPr>
              <w:t>第二期付款:乙方交货完毕并验收合格后，甲方向乙方支付合同总价的70%，支付前由乙方按规定向甲方开具正式发票。</w:t>
            </w:r>
          </w:p>
          <w:p w14:paraId="64400D09">
            <w:pPr>
              <w:adjustRightInd w:val="0"/>
              <w:snapToGrid w:val="0"/>
              <w:spacing w:line="360" w:lineRule="atLeast"/>
              <w:ind w:firstLine="420" w:firstLineChars="200"/>
              <w:rPr>
                <w:color w:val="auto"/>
              </w:rPr>
            </w:pPr>
            <w:r>
              <w:rPr>
                <w:rFonts w:hint="eastAsia" w:ascii="宋体" w:hAnsi="宋体" w:cs="宋体"/>
                <w:color w:val="auto"/>
                <w:szCs w:val="21"/>
              </w:rPr>
              <w:t>3.本项目不接受进口产品参与投标。</w:t>
            </w:r>
          </w:p>
        </w:tc>
      </w:tr>
    </w:tbl>
    <w:p w14:paraId="4D4FECCF">
      <w:pPr>
        <w:spacing w:line="320" w:lineRule="exact"/>
        <w:rPr>
          <w:rFonts w:ascii="宋体" w:hAnsi="宋体"/>
          <w:color w:val="auto"/>
        </w:rPr>
      </w:pPr>
    </w:p>
    <w:p w14:paraId="58C75EC8">
      <w:pPr>
        <w:rPr>
          <w:rFonts w:ascii="宋体" w:hAnsi="宋体" w:cs="宋体"/>
          <w:color w:val="auto"/>
          <w:sz w:val="24"/>
          <w:szCs w:val="32"/>
        </w:rPr>
      </w:pPr>
      <w:r>
        <w:rPr>
          <w:rFonts w:hint="eastAsia" w:ascii="宋体" w:hAnsi="宋体" w:cs="宋体"/>
          <w:color w:val="auto"/>
          <w:sz w:val="24"/>
          <w:szCs w:val="32"/>
        </w:rPr>
        <w:br w:type="page"/>
      </w:r>
    </w:p>
    <w:p w14:paraId="4850B2AA">
      <w:pPr>
        <w:spacing w:line="360" w:lineRule="auto"/>
        <w:jc w:val="left"/>
        <w:rPr>
          <w:rFonts w:ascii="宋体" w:hAnsi="宋体" w:cs="宋体"/>
          <w:color w:val="auto"/>
          <w:sz w:val="24"/>
          <w:szCs w:val="32"/>
        </w:rPr>
      </w:pPr>
      <w:r>
        <w:rPr>
          <w:rFonts w:hint="eastAsia" w:ascii="宋体" w:hAnsi="宋体" w:cs="宋体"/>
          <w:color w:val="auto"/>
          <w:sz w:val="24"/>
          <w:szCs w:val="32"/>
        </w:rPr>
        <w:t>3分标：</w:t>
      </w:r>
    </w:p>
    <w:p w14:paraId="6898FF99">
      <w:pPr>
        <w:spacing w:line="360" w:lineRule="auto"/>
        <w:jc w:val="left"/>
        <w:rPr>
          <w:rFonts w:ascii="宋体" w:hAnsi="宋体" w:cs="宋体"/>
          <w:color w:val="auto"/>
          <w:sz w:val="24"/>
          <w:szCs w:val="32"/>
        </w:rPr>
      </w:pPr>
      <w:r>
        <w:rPr>
          <w:rFonts w:hint="eastAsia" w:ascii="宋体" w:hAnsi="宋体" w:cs="宋体"/>
          <w:color w:val="auto"/>
          <w:sz w:val="24"/>
          <w:szCs w:val="32"/>
        </w:rPr>
        <w:t>采购预算：200,000.00元</w:t>
      </w:r>
    </w:p>
    <w:p w14:paraId="3DCDCD54">
      <w:pPr>
        <w:spacing w:line="360" w:lineRule="auto"/>
        <w:jc w:val="left"/>
        <w:rPr>
          <w:rFonts w:ascii="宋体" w:hAnsi="宋体" w:cs="宋体"/>
          <w:color w:val="auto"/>
          <w:sz w:val="24"/>
          <w:szCs w:val="32"/>
        </w:rPr>
      </w:pPr>
      <w:r>
        <w:rPr>
          <w:rFonts w:hint="eastAsia" w:ascii="宋体" w:hAnsi="宋体" w:cs="宋体"/>
          <w:color w:val="auto"/>
          <w:sz w:val="24"/>
          <w:szCs w:val="32"/>
        </w:rPr>
        <w:t>中小企业划分标准所属行业名称：软件和信息技术服务业</w:t>
      </w:r>
    </w:p>
    <w:tbl>
      <w:tblPr>
        <w:tblStyle w:val="34"/>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6"/>
        <w:gridCol w:w="1222"/>
        <w:gridCol w:w="422"/>
        <w:gridCol w:w="437"/>
        <w:gridCol w:w="6169"/>
        <w:gridCol w:w="1355"/>
      </w:tblGrid>
      <w:tr w14:paraId="150FB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6"/>
            <w:tcBorders>
              <w:top w:val="single" w:color="auto" w:sz="4" w:space="0"/>
              <w:left w:val="single" w:color="auto" w:sz="4" w:space="0"/>
              <w:right w:val="single" w:color="auto" w:sz="4" w:space="0"/>
            </w:tcBorders>
            <w:vAlign w:val="center"/>
          </w:tcPr>
          <w:p w14:paraId="11E02E01">
            <w:pPr>
              <w:spacing w:line="320" w:lineRule="exact"/>
              <w:jc w:val="center"/>
              <w:rPr>
                <w:rFonts w:ascii="宋体" w:hAnsi="宋体" w:cs="宋体"/>
                <w:b/>
                <w:color w:val="auto"/>
                <w:sz w:val="24"/>
              </w:rPr>
            </w:pPr>
            <w:r>
              <w:rPr>
                <w:rFonts w:hint="eastAsia" w:ascii="仿宋_GB2312" w:hAnsi="宋体" w:eastAsia="仿宋_GB2312" w:cs="Arial"/>
                <w:b/>
                <w:color w:val="auto"/>
                <w:sz w:val="32"/>
                <w:szCs w:val="32"/>
              </w:rPr>
              <w:t>货物需求一览表</w:t>
            </w:r>
          </w:p>
        </w:tc>
      </w:tr>
      <w:tr w14:paraId="5D2D25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14:paraId="79B857F2">
            <w:pPr>
              <w:jc w:val="center"/>
              <w:rPr>
                <w:rFonts w:ascii="宋体" w:hAnsi="宋体" w:cs="宋体"/>
                <w:b/>
                <w:color w:val="auto"/>
                <w:sz w:val="24"/>
              </w:rPr>
            </w:pPr>
            <w:r>
              <w:rPr>
                <w:rFonts w:hint="eastAsia" w:ascii="宋体" w:hAnsi="宋体" w:cs="宋体"/>
                <w:b/>
                <w:color w:val="auto"/>
                <w:sz w:val="24"/>
              </w:rPr>
              <w:t>序号</w:t>
            </w:r>
          </w:p>
        </w:tc>
        <w:tc>
          <w:tcPr>
            <w:tcW w:w="1222" w:type="dxa"/>
            <w:tcBorders>
              <w:top w:val="single" w:color="auto" w:sz="4" w:space="0"/>
              <w:left w:val="single" w:color="auto" w:sz="4" w:space="0"/>
              <w:bottom w:val="single" w:color="auto" w:sz="4" w:space="0"/>
              <w:right w:val="single" w:color="auto" w:sz="4" w:space="0"/>
            </w:tcBorders>
            <w:vAlign w:val="center"/>
          </w:tcPr>
          <w:p w14:paraId="372D599F">
            <w:pPr>
              <w:jc w:val="center"/>
              <w:rPr>
                <w:rFonts w:ascii="宋体" w:hAnsi="宋体" w:cs="宋体"/>
                <w:b/>
                <w:color w:val="auto"/>
                <w:sz w:val="24"/>
              </w:rPr>
            </w:pPr>
            <w:r>
              <w:rPr>
                <w:rFonts w:hint="eastAsia" w:ascii="宋体" w:hAnsi="宋体" w:cs="宋体"/>
                <w:b/>
                <w:color w:val="auto"/>
                <w:sz w:val="24"/>
              </w:rPr>
              <w:t>采购货物名称</w:t>
            </w:r>
          </w:p>
        </w:tc>
        <w:tc>
          <w:tcPr>
            <w:tcW w:w="422" w:type="dxa"/>
            <w:tcBorders>
              <w:top w:val="single" w:color="auto" w:sz="4" w:space="0"/>
              <w:left w:val="single" w:color="auto" w:sz="4" w:space="0"/>
              <w:bottom w:val="single" w:color="auto" w:sz="4" w:space="0"/>
              <w:right w:val="single" w:color="auto" w:sz="4" w:space="0"/>
            </w:tcBorders>
            <w:vAlign w:val="center"/>
          </w:tcPr>
          <w:p w14:paraId="15161364">
            <w:pPr>
              <w:jc w:val="center"/>
              <w:rPr>
                <w:rFonts w:ascii="宋体" w:hAnsi="宋体" w:cs="宋体"/>
                <w:b/>
                <w:color w:val="auto"/>
                <w:sz w:val="24"/>
              </w:rPr>
            </w:pPr>
            <w:r>
              <w:rPr>
                <w:rFonts w:hint="eastAsia" w:ascii="宋体" w:hAnsi="宋体" w:cs="宋体"/>
                <w:b/>
                <w:color w:val="auto"/>
                <w:sz w:val="24"/>
              </w:rPr>
              <w:t>单位</w:t>
            </w:r>
          </w:p>
        </w:tc>
        <w:tc>
          <w:tcPr>
            <w:tcW w:w="437" w:type="dxa"/>
            <w:tcBorders>
              <w:top w:val="single" w:color="auto" w:sz="4" w:space="0"/>
              <w:left w:val="single" w:color="auto" w:sz="4" w:space="0"/>
              <w:bottom w:val="single" w:color="auto" w:sz="4" w:space="0"/>
              <w:right w:val="single" w:color="auto" w:sz="4" w:space="0"/>
            </w:tcBorders>
            <w:vAlign w:val="center"/>
          </w:tcPr>
          <w:p w14:paraId="49548EF5">
            <w:pPr>
              <w:jc w:val="center"/>
              <w:rPr>
                <w:rFonts w:ascii="宋体" w:hAnsi="宋体" w:cs="宋体"/>
                <w:b/>
                <w:color w:val="auto"/>
                <w:sz w:val="24"/>
              </w:rPr>
            </w:pPr>
            <w:r>
              <w:rPr>
                <w:rFonts w:hint="eastAsia" w:ascii="宋体" w:hAnsi="宋体" w:cs="宋体"/>
                <w:b/>
                <w:color w:val="auto"/>
                <w:sz w:val="24"/>
              </w:rPr>
              <w:t>数量</w:t>
            </w:r>
          </w:p>
        </w:tc>
        <w:tc>
          <w:tcPr>
            <w:tcW w:w="6169" w:type="dxa"/>
            <w:tcBorders>
              <w:top w:val="single" w:color="auto" w:sz="4" w:space="0"/>
              <w:left w:val="single" w:color="auto" w:sz="4" w:space="0"/>
              <w:bottom w:val="single" w:color="auto" w:sz="4" w:space="0"/>
              <w:right w:val="single" w:color="auto" w:sz="4" w:space="0"/>
            </w:tcBorders>
            <w:vAlign w:val="center"/>
          </w:tcPr>
          <w:p w14:paraId="0DC69526">
            <w:pPr>
              <w:jc w:val="center"/>
              <w:rPr>
                <w:rFonts w:ascii="宋体" w:hAnsi="宋体" w:cs="宋体"/>
                <w:b/>
                <w:color w:val="auto"/>
                <w:sz w:val="24"/>
              </w:rPr>
            </w:pPr>
            <w:r>
              <w:rPr>
                <w:rFonts w:hint="eastAsia" w:ascii="宋体" w:hAnsi="宋体" w:cs="宋体"/>
                <w:b/>
                <w:color w:val="auto"/>
                <w:sz w:val="24"/>
              </w:rPr>
              <w:t>货物参数</w:t>
            </w:r>
          </w:p>
        </w:tc>
        <w:tc>
          <w:tcPr>
            <w:tcW w:w="1355" w:type="dxa"/>
            <w:tcBorders>
              <w:top w:val="single" w:color="auto" w:sz="4" w:space="0"/>
              <w:left w:val="single" w:color="auto" w:sz="4" w:space="0"/>
              <w:bottom w:val="single" w:color="auto" w:sz="4" w:space="0"/>
              <w:right w:val="single" w:color="auto" w:sz="4" w:space="0"/>
            </w:tcBorders>
            <w:vAlign w:val="center"/>
          </w:tcPr>
          <w:p w14:paraId="7A0FDF50">
            <w:pPr>
              <w:jc w:val="center"/>
              <w:rPr>
                <w:rFonts w:ascii="宋体" w:hAnsi="宋体" w:cs="宋体"/>
                <w:b/>
                <w:color w:val="auto"/>
                <w:sz w:val="24"/>
              </w:rPr>
            </w:pPr>
            <w:r>
              <w:rPr>
                <w:rFonts w:hint="eastAsia" w:ascii="宋体" w:hAnsi="宋体" w:cs="宋体"/>
                <w:b/>
                <w:color w:val="auto"/>
                <w:sz w:val="24"/>
              </w:rPr>
              <w:t>分项预算合计（元）</w:t>
            </w:r>
          </w:p>
        </w:tc>
      </w:tr>
      <w:tr w14:paraId="52ABB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14:paraId="7DF26212">
            <w:pPr>
              <w:tabs>
                <w:tab w:val="left" w:pos="1440"/>
              </w:tabs>
              <w:adjustRightInd w:val="0"/>
              <w:snapToGrid w:val="0"/>
              <w:spacing w:line="360" w:lineRule="atLeast"/>
              <w:jc w:val="center"/>
              <w:rPr>
                <w:rFonts w:ascii="宋体" w:hAnsi="宋体" w:cs="宋体"/>
                <w:color w:val="auto"/>
                <w:szCs w:val="21"/>
              </w:rPr>
            </w:pPr>
            <w:r>
              <w:rPr>
                <w:rFonts w:hint="eastAsia" w:ascii="宋体" w:hAnsi="宋体" w:cs="宋体"/>
                <w:bCs/>
                <w:color w:val="auto"/>
                <w:kern w:val="0"/>
                <w:szCs w:val="21"/>
              </w:rPr>
              <w:t>1</w:t>
            </w:r>
          </w:p>
        </w:tc>
        <w:tc>
          <w:tcPr>
            <w:tcW w:w="1222" w:type="dxa"/>
            <w:tcBorders>
              <w:top w:val="single" w:color="auto" w:sz="4" w:space="0"/>
              <w:left w:val="single" w:color="auto" w:sz="4" w:space="0"/>
              <w:bottom w:val="single" w:color="auto" w:sz="4" w:space="0"/>
              <w:right w:val="single" w:color="auto" w:sz="4" w:space="0"/>
            </w:tcBorders>
            <w:vAlign w:val="center"/>
          </w:tcPr>
          <w:p w14:paraId="4A8965A2">
            <w:pPr>
              <w:tabs>
                <w:tab w:val="left" w:pos="1440"/>
              </w:tabs>
              <w:adjustRightInd w:val="0"/>
              <w:snapToGrid w:val="0"/>
              <w:spacing w:line="360" w:lineRule="atLeast"/>
              <w:jc w:val="center"/>
              <w:rPr>
                <w:rFonts w:ascii="宋体" w:hAnsi="宋体" w:cs="宋体"/>
                <w:color w:val="auto"/>
                <w:szCs w:val="21"/>
              </w:rPr>
            </w:pPr>
            <w:r>
              <w:rPr>
                <w:rFonts w:hint="eastAsia" w:ascii="宋体" w:hAnsi="宋体" w:cs="宋体"/>
                <w:color w:val="auto"/>
                <w:szCs w:val="21"/>
              </w:rPr>
              <w:t>跨境电子商务运营基础课赛融通教学系统</w:t>
            </w:r>
          </w:p>
        </w:tc>
        <w:tc>
          <w:tcPr>
            <w:tcW w:w="422" w:type="dxa"/>
            <w:tcBorders>
              <w:top w:val="single" w:color="auto" w:sz="4" w:space="0"/>
              <w:left w:val="single" w:color="auto" w:sz="4" w:space="0"/>
              <w:bottom w:val="single" w:color="auto" w:sz="4" w:space="0"/>
              <w:right w:val="single" w:color="auto" w:sz="4" w:space="0"/>
            </w:tcBorders>
            <w:vAlign w:val="center"/>
          </w:tcPr>
          <w:p w14:paraId="70CF5F38">
            <w:pPr>
              <w:tabs>
                <w:tab w:val="left" w:pos="1440"/>
              </w:tabs>
              <w:adjustRightInd w:val="0"/>
              <w:snapToGrid w:val="0"/>
              <w:spacing w:line="360" w:lineRule="atLeast"/>
              <w:jc w:val="center"/>
              <w:rPr>
                <w:rFonts w:ascii="宋体" w:hAnsi="宋体" w:cs="宋体"/>
                <w:color w:val="auto"/>
                <w:szCs w:val="21"/>
              </w:rPr>
            </w:pPr>
            <w:r>
              <w:rPr>
                <w:rFonts w:hint="eastAsia" w:ascii="宋体" w:hAnsi="宋体" w:cs="宋体"/>
                <w:color w:val="auto"/>
                <w:szCs w:val="21"/>
              </w:rPr>
              <w:t>套</w:t>
            </w:r>
          </w:p>
        </w:tc>
        <w:tc>
          <w:tcPr>
            <w:tcW w:w="437" w:type="dxa"/>
            <w:tcBorders>
              <w:top w:val="single" w:color="auto" w:sz="4" w:space="0"/>
              <w:left w:val="single" w:color="auto" w:sz="4" w:space="0"/>
              <w:bottom w:val="single" w:color="auto" w:sz="4" w:space="0"/>
              <w:right w:val="single" w:color="auto" w:sz="4" w:space="0"/>
            </w:tcBorders>
            <w:vAlign w:val="center"/>
          </w:tcPr>
          <w:p w14:paraId="1BCDDB27">
            <w:pPr>
              <w:tabs>
                <w:tab w:val="left" w:pos="1440"/>
              </w:tabs>
              <w:adjustRightInd w:val="0"/>
              <w:snapToGrid w:val="0"/>
              <w:spacing w:line="360" w:lineRule="atLeast"/>
              <w:jc w:val="center"/>
              <w:rPr>
                <w:rFonts w:ascii="宋体" w:hAnsi="宋体" w:cs="宋体"/>
                <w:color w:val="auto"/>
                <w:szCs w:val="21"/>
              </w:rPr>
            </w:pPr>
            <w:r>
              <w:rPr>
                <w:rFonts w:hint="eastAsia" w:ascii="宋体" w:hAnsi="宋体" w:cs="宋体"/>
                <w:color w:val="auto"/>
                <w:szCs w:val="21"/>
              </w:rPr>
              <w:t>1</w:t>
            </w:r>
          </w:p>
        </w:tc>
        <w:tc>
          <w:tcPr>
            <w:tcW w:w="6169" w:type="dxa"/>
            <w:tcBorders>
              <w:top w:val="single" w:color="auto" w:sz="4" w:space="0"/>
              <w:left w:val="single" w:color="auto" w:sz="4" w:space="0"/>
              <w:bottom w:val="single" w:color="auto" w:sz="4" w:space="0"/>
              <w:right w:val="single" w:color="auto" w:sz="4" w:space="0"/>
            </w:tcBorders>
            <w:vAlign w:val="center"/>
          </w:tcPr>
          <w:p w14:paraId="79084EC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系统以主流跨境电子商务平台为蓝本，具备仿真平台实训和教师在线教学双重功能。仿真模拟速卖通卖家中心主要功能，采用典型任务驱动的方式，创设任务场景、明确任务目标、提供任务资料、创建智能任务评分体系。学生通过实训系统可以掌握跨境店铺开设、跨境店铺装修、商品管理、营销推广、订单管理、客户服务、店铺数据分等跨境平台运营的全流程，提高学生跨境电商基础运营能力。</w:t>
            </w:r>
          </w:p>
          <w:p w14:paraId="731C9AF5">
            <w:pPr>
              <w:tabs>
                <w:tab w:val="left" w:pos="1440"/>
              </w:tabs>
              <w:spacing w:line="360" w:lineRule="atLeast"/>
              <w:ind w:firstLine="422" w:firstLineChars="200"/>
              <w:jc w:val="left"/>
              <w:rPr>
                <w:rFonts w:ascii="宋体" w:hAnsi="宋体" w:cs="宋体"/>
                <w:b/>
                <w:bCs/>
                <w:color w:val="auto"/>
                <w:szCs w:val="21"/>
              </w:rPr>
            </w:pPr>
            <w:r>
              <w:rPr>
                <w:rFonts w:hint="eastAsia" w:ascii="宋体" w:hAnsi="宋体" w:cs="宋体"/>
                <w:b/>
                <w:bCs/>
                <w:color w:val="auto"/>
                <w:szCs w:val="21"/>
              </w:rPr>
              <w:t>一、技术要求</w:t>
            </w:r>
          </w:p>
          <w:p w14:paraId="36113ED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1.系统采用JAVA语言开发、B/S架构，支持最新的HTML5标准，兼容火狐、谷歌等主流浏览器。</w:t>
            </w:r>
          </w:p>
          <w:p w14:paraId="330FBFE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 xml:space="preserve">2.系统前端采用流行的Html5框架BootStrap，实现跨浏览器和跨屏的兼容支持、响应式布局，实现B/S平台多终端适应。 </w:t>
            </w:r>
          </w:p>
          <w:p w14:paraId="0A2A6F6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3.系统支持主流数据库，如：MYSQL。数据库使用索引，保证数据库数据的唯一性，提高数据的搜索及检索速度，提高系统的性能。</w:t>
            </w:r>
          </w:p>
          <w:p w14:paraId="0B0047C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▲4.系统采用三层安全处理机制，java的安全沙箱机制，防止恶意代码去干涉善意的代码，防止xss攻击和SQL注入，账号密码进行加密处理，敏感数据比如身份证，手机号等进行加密处理。</w:t>
            </w:r>
          </w:p>
          <w:p w14:paraId="0A6284B6">
            <w:pPr>
              <w:tabs>
                <w:tab w:val="left" w:pos="1440"/>
              </w:tabs>
              <w:spacing w:line="360" w:lineRule="atLeast"/>
              <w:ind w:firstLine="422" w:firstLineChars="200"/>
              <w:jc w:val="left"/>
              <w:rPr>
                <w:rFonts w:ascii="宋体" w:hAnsi="宋体" w:cs="宋体"/>
                <w:b/>
                <w:bCs/>
                <w:color w:val="auto"/>
                <w:szCs w:val="21"/>
              </w:rPr>
            </w:pPr>
            <w:r>
              <w:rPr>
                <w:rFonts w:hint="eastAsia" w:ascii="宋体" w:hAnsi="宋体" w:cs="宋体"/>
                <w:b/>
                <w:bCs/>
                <w:color w:val="auto"/>
                <w:szCs w:val="21"/>
              </w:rPr>
              <w:t>二、功能要求</w:t>
            </w:r>
          </w:p>
          <w:p w14:paraId="0C34F35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（一）基本功能要求</w:t>
            </w:r>
          </w:p>
          <w:p w14:paraId="7916AC5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支持完整的教学过程管理功能，包括班级管理、学生管理、任务管理、学情分析、技能评价、技能考核等；支持以班级为单位不同实训类目自由切换，每个实训任务可以反复训练；支持实训任务自由组合，形成考核试卷；除网店装修部分采用主观判分以外，其余所有任务能基于一定的任务背景和操作流程下，针对填写的内容进行智能化客观判断，完成后即可查阅得分详情（分值、得分项、填写内容）。</w:t>
            </w:r>
          </w:p>
          <w:p w14:paraId="0EF2AFE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（二）教师端功能要求</w:t>
            </w:r>
          </w:p>
          <w:p w14:paraId="5493113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班级管理：教师可根据教学需要创建多个实训班级和考核班级。实训班级主要用于模拟操作，班级里的学生自己可以反复操作实训任务并可以查看得分详情；考核班级主要用于实训测评，该班级里的学生不可重置任务且无法查看得分，只能一次性完成所有任务的提交。</w:t>
            </w:r>
          </w:p>
          <w:p w14:paraId="4B92FF6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2.学生管理：可以单个添加学生账号、批量生成或批量导入学生账号、初始化数据和密码、导出班级学生实训及考核成绩明细（包括主观成绩、客观成绩、总成绩）。</w:t>
            </w:r>
          </w:p>
          <w:p w14:paraId="7CC1A79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▲3.任务管理：任务可以按照班级进行自由分配和取消分配，只有分配后的任务面向学生开放，未分配的任务学生无法查看。</w:t>
            </w:r>
          </w:p>
          <w:p w14:paraId="0DE8A5F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4.初始化数据：可以针对不同班级不同学生的实训数据，选择1个或多个任务进行单个或批量初始化。</w:t>
            </w:r>
          </w:p>
          <w:p w14:paraId="6AB7429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 xml:space="preserve">▲5.任务评价：系统提供主观和客观两种评价方式。主观评价针对网店装修部分，提供评分标准，可以定位到网店装修对应页面，参考评分标准进行评分，根据主观任务权重，以加权后成绩显示在导出的成绩表中；客观评价可以查看不同班级学生客观任务加权后的总成绩，并可以查看每个任务的具体得分明细。 </w:t>
            </w:r>
          </w:p>
          <w:p w14:paraId="52C1E63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6.任务时间设置：对于考核班级可以设置考核时间，并能进行延时设置。</w:t>
            </w:r>
          </w:p>
          <w:p w14:paraId="3BF0EBC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7.学情分析：具备任务和成绩两个维度的分析功能。任务分析可以查看班级每个任务应完成人数、已完成人数、完成度等数据；成绩分析以可视化图表的形式，从主观成绩、客观成绩、总成绩3个维度查看学生成绩分布图，并以列表的形式展示班级学生成绩排名和主、客观得分情况。</w:t>
            </w:r>
          </w:p>
          <w:p w14:paraId="4A2204F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（三）学生端功能要求</w:t>
            </w:r>
          </w:p>
          <w:p w14:paraId="7B19FD2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 xml:space="preserve">1.任务进度：学生端页面可以根据任务进度情况，显示未开始、进行中、已完成等真实任务状态。 </w:t>
            </w:r>
          </w:p>
          <w:p w14:paraId="65944B4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2.任务页面仿真速卖通跨境电商平台卖家中心真实操作界面。在任务实施页面，可以查看任务目标、任务背景、任务要求，下载完成任务所需的资源包。按照任务要求，通过页面操作功能完成相关实训任务。</w:t>
            </w:r>
          </w:p>
          <w:p w14:paraId="7E72874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3.实训班级的学生完成任务提交后，可以查看除装修之外的所有任务的得分明细（总得分、得分项、填写内容、系统比对结果），学生可以自己初始化任务数据，反复进行训练。考核班级的学生完成任务提交后，不显示任务成绩且不允许再进行任务操作。</w:t>
            </w:r>
          </w:p>
          <w:p w14:paraId="693B7E6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 xml:space="preserve">▲4.系统内置不少于1000条客户数据，提供客户画像分析工具，能根据筛选条件，直观呈现客户分析结果。 </w:t>
            </w:r>
          </w:p>
          <w:p w14:paraId="6A82070F">
            <w:pPr>
              <w:tabs>
                <w:tab w:val="left" w:pos="1440"/>
              </w:tabs>
              <w:spacing w:line="360" w:lineRule="atLeast"/>
              <w:ind w:firstLine="422" w:firstLineChars="200"/>
              <w:jc w:val="left"/>
              <w:rPr>
                <w:rFonts w:ascii="宋体" w:hAnsi="宋体" w:cs="宋体"/>
                <w:b/>
                <w:bCs/>
                <w:color w:val="auto"/>
                <w:szCs w:val="21"/>
              </w:rPr>
            </w:pPr>
            <w:r>
              <w:rPr>
                <w:rFonts w:hint="eastAsia" w:ascii="宋体" w:hAnsi="宋体" w:cs="宋体"/>
                <w:b/>
                <w:bCs/>
                <w:color w:val="auto"/>
                <w:szCs w:val="21"/>
              </w:rPr>
              <w:t>三、内容要求</w:t>
            </w:r>
          </w:p>
          <w:p w14:paraId="69CF7F3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整个实训任务模拟速卖通卖家中心商品管理、交易沟通、店铺管理、营销推广、账号注册及认证、生意参谋等6大模块主要功能，能够完成从账号注册到正常运营的完整业务流程。系统至少内置2套不同类目的实训任务（其中至少有1套为服装类目）。每套实训任务至少涵盖账号注册及认证、店铺装修、商品管理、营销推广、客户服务5个模块，单套任务数量不少于40个，总任务数量不少于90个。实训任务包括理论测评、信息匹配、场景互动、业务操作等类型。</w:t>
            </w:r>
          </w:p>
          <w:p w14:paraId="5F0B088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▲2.每套实训任务的业务背景选取学生较为熟悉且平台热销的服装、家居等类</w:t>
            </w:r>
          </w:p>
          <w:p w14:paraId="738C2B2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 xml:space="preserve">目。每个实训任务都给定相关案例背景资料，包括任务目标、任务背景、任务要求及所需资源包。 </w:t>
            </w:r>
          </w:p>
          <w:p w14:paraId="666AC01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3.店铺装修环节，每套实训任务系统提供商品类目中至少4款商品的详细产品参数、不少于100张商品图片的资源包，为整个店铺提供装修素材。</w:t>
            </w:r>
          </w:p>
          <w:p w14:paraId="77A5F82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 xml:space="preserve">4.首页设计包含移动端和PC端店招和banner设计；商品详情页设计与制作涉及图片设计、整体规划与布局等内容；为配合店铺营销主题，系统需提供自定义页设计与制作实训任务。 </w:t>
            </w:r>
          </w:p>
          <w:p w14:paraId="3F6B8B5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5.系统模拟跨境电商客户沟通的真实场景，提供售前商品与物流咨询、售后商品及物流问题处理、售前商品推荐、售前订单催付以及售后评价处理等高频沟通场景下，买卖双方交流的过程，训练学习者识别买家问题，处理买家问题的能力。每个场景每次买家数量不少于5个，问题数量不少于10个，并且支持买家问题的动态变化。</w:t>
            </w:r>
          </w:p>
          <w:p w14:paraId="4B9A607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6.系统内置开店考试模块，此模块内置理论题库，题型包括单选题、多选题、判断题，每次提交任务后，再重新开始，系统从题库随机分配差异化的考试内容。</w:t>
            </w:r>
          </w:p>
          <w:p w14:paraId="3CEA847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7.标题优化任务，提供详细的商品资料，按照标题优化的原则制定智能化评分标准，满足不同的优化方向，支持多个正确答案。</w:t>
            </w:r>
          </w:p>
          <w:p w14:paraId="37ED6C4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▲8.运费模板设置任务，创设具体的任务场景，提供多种物流运输方案，完成最优运输方案的设置，并能根据设置的结果给出智能化客观评价。</w:t>
            </w:r>
          </w:p>
          <w:p w14:paraId="346DEB2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9.网店会话设置任务，包括网店快捷回复短语设置和网店自动回复设置两个任务类型，系统内置话术库，提供会话设置背景资料；自动回复设置，提供关键词、自动回复文本设置，并能够准确判断关键词及对应的匹配话术。</w:t>
            </w:r>
          </w:p>
          <w:p w14:paraId="798724A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10.店铺营销活动包括满立减、优惠券、搭配、折扣等常见的店铺活动设置，还包括平台大促和频道活动。</w:t>
            </w:r>
          </w:p>
          <w:p w14:paraId="003AE45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▲其他要求：系统与广西职业院校技能大赛跨境电子商务竞赛内容匹配，满足教学实训、竞赛备赛要求，同时须满足跨境电子商务国赛的要求并提供承诺文件。</w:t>
            </w:r>
          </w:p>
        </w:tc>
        <w:tc>
          <w:tcPr>
            <w:tcW w:w="1355" w:type="dxa"/>
            <w:tcBorders>
              <w:top w:val="single" w:color="auto" w:sz="4" w:space="0"/>
              <w:left w:val="single" w:color="auto" w:sz="4" w:space="0"/>
              <w:bottom w:val="single" w:color="auto" w:sz="4" w:space="0"/>
              <w:right w:val="single" w:color="auto" w:sz="4" w:space="0"/>
            </w:tcBorders>
            <w:vAlign w:val="center"/>
          </w:tcPr>
          <w:p w14:paraId="5650E04B">
            <w:pPr>
              <w:tabs>
                <w:tab w:val="left" w:pos="1440"/>
              </w:tabs>
              <w:adjustRightInd w:val="0"/>
              <w:snapToGrid w:val="0"/>
              <w:spacing w:line="360" w:lineRule="atLeast"/>
              <w:jc w:val="center"/>
              <w:rPr>
                <w:rFonts w:ascii="宋体" w:hAnsi="宋体" w:cs="宋体"/>
                <w:color w:val="auto"/>
                <w:szCs w:val="21"/>
              </w:rPr>
            </w:pPr>
            <w:r>
              <w:rPr>
                <w:rFonts w:hint="eastAsia" w:ascii="宋体" w:hAnsi="宋体" w:cs="宋体"/>
                <w:color w:val="auto"/>
                <w:szCs w:val="21"/>
              </w:rPr>
              <w:t>200,000.00</w:t>
            </w:r>
          </w:p>
        </w:tc>
      </w:tr>
      <w:tr w14:paraId="27E77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14:paraId="2136A549">
            <w:pPr>
              <w:adjustRightInd w:val="0"/>
              <w:snapToGrid w:val="0"/>
              <w:spacing w:line="360" w:lineRule="atLeast"/>
              <w:jc w:val="center"/>
              <w:rPr>
                <w:rFonts w:ascii="宋体" w:hAnsi="宋体" w:cs="宋体"/>
                <w:color w:val="auto"/>
              </w:rPr>
            </w:pPr>
            <w:r>
              <w:rPr>
                <w:rFonts w:hint="eastAsia" w:ascii="宋体" w:hAnsi="宋体" w:cs="宋体"/>
                <w:color w:val="auto"/>
              </w:rPr>
              <w:t>商务条款</w:t>
            </w:r>
          </w:p>
        </w:tc>
        <w:tc>
          <w:tcPr>
            <w:tcW w:w="9605" w:type="dxa"/>
            <w:gridSpan w:val="5"/>
            <w:tcBorders>
              <w:top w:val="single" w:color="auto" w:sz="4" w:space="0"/>
              <w:left w:val="single" w:color="auto" w:sz="4" w:space="0"/>
              <w:bottom w:val="single" w:color="auto" w:sz="4" w:space="0"/>
              <w:right w:val="single" w:color="auto" w:sz="4" w:space="0"/>
            </w:tcBorders>
          </w:tcPr>
          <w:p w14:paraId="3C4AB300">
            <w:pPr>
              <w:adjustRightInd w:val="0"/>
              <w:snapToGrid w:val="0"/>
              <w:spacing w:line="360" w:lineRule="atLeast"/>
              <w:ind w:firstLine="422" w:firstLineChars="200"/>
              <w:rPr>
                <w:rFonts w:ascii="宋体" w:hAnsi="宋体" w:cs="宋体"/>
                <w:b/>
                <w:color w:val="auto"/>
                <w:szCs w:val="21"/>
              </w:rPr>
            </w:pPr>
            <w:r>
              <w:rPr>
                <w:rFonts w:hint="eastAsia" w:ascii="宋体" w:hAnsi="宋体" w:cs="宋体"/>
                <w:b/>
                <w:color w:val="auto"/>
                <w:szCs w:val="21"/>
              </w:rPr>
              <w:t>一、“货物需求一览表”表中的核心产品为序号第1项产品。</w:t>
            </w:r>
          </w:p>
          <w:p w14:paraId="0CE09C50">
            <w:pPr>
              <w:adjustRightInd w:val="0"/>
              <w:snapToGrid w:val="0"/>
              <w:spacing w:line="360" w:lineRule="atLeast"/>
              <w:ind w:firstLine="422" w:firstLineChars="200"/>
              <w:rPr>
                <w:rFonts w:ascii="宋体" w:hAnsi="宋体" w:cs="宋体"/>
                <w:color w:val="auto"/>
                <w:szCs w:val="21"/>
              </w:rPr>
            </w:pPr>
            <w:r>
              <w:rPr>
                <w:rFonts w:hint="eastAsia" w:ascii="宋体" w:hAnsi="宋体" w:cs="宋体"/>
                <w:b/>
                <w:color w:val="auto"/>
                <w:szCs w:val="21"/>
              </w:rPr>
              <w:t>▲二、</w:t>
            </w:r>
            <w:r>
              <w:rPr>
                <w:rFonts w:hint="eastAsia" w:ascii="宋体" w:hAnsi="宋体" w:cs="宋体"/>
                <w:color w:val="auto"/>
                <w:szCs w:val="21"/>
              </w:rPr>
              <w:t>合同签订期：自中标通知书发出之日起</w:t>
            </w:r>
            <w:r>
              <w:rPr>
                <w:rFonts w:hint="eastAsia" w:ascii="宋体" w:hAnsi="宋体" w:cs="宋体"/>
                <w:color w:val="auto"/>
                <w:szCs w:val="21"/>
                <w:lang w:val="en-US" w:eastAsia="zh-CN"/>
              </w:rPr>
              <w:t>10</w:t>
            </w:r>
            <w:r>
              <w:rPr>
                <w:rFonts w:hint="eastAsia" w:ascii="宋体" w:hAnsi="宋体" w:cs="宋体"/>
                <w:color w:val="auto"/>
                <w:szCs w:val="21"/>
              </w:rPr>
              <w:t>日内</w:t>
            </w:r>
          </w:p>
          <w:p w14:paraId="1FD96D53">
            <w:pPr>
              <w:adjustRightInd w:val="0"/>
              <w:snapToGrid w:val="0"/>
              <w:spacing w:line="360" w:lineRule="atLeast"/>
              <w:ind w:firstLine="422" w:firstLineChars="200"/>
              <w:rPr>
                <w:rFonts w:ascii="宋体" w:hAnsi="宋体" w:cs="宋体"/>
                <w:color w:val="auto"/>
                <w:szCs w:val="21"/>
              </w:rPr>
            </w:pPr>
            <w:r>
              <w:rPr>
                <w:rFonts w:hint="eastAsia" w:ascii="宋体" w:hAnsi="宋体" w:cs="宋体"/>
                <w:b/>
                <w:color w:val="auto"/>
                <w:szCs w:val="21"/>
              </w:rPr>
              <w:t>▲三、</w:t>
            </w:r>
            <w:r>
              <w:rPr>
                <w:rFonts w:hint="eastAsia" w:ascii="宋体" w:hAnsi="宋体" w:cs="宋体"/>
                <w:color w:val="auto"/>
                <w:szCs w:val="21"/>
              </w:rPr>
              <w:t>交货时间及地点：</w:t>
            </w:r>
            <w:r>
              <w:rPr>
                <w:rFonts w:hint="eastAsia" w:ascii="宋体" w:hAnsi="宋体"/>
                <w:bCs/>
                <w:color w:val="auto"/>
                <w:szCs w:val="21"/>
              </w:rPr>
              <w:t>自合同签订之日起</w:t>
            </w:r>
            <w:r>
              <w:rPr>
                <w:rFonts w:hint="eastAsia" w:ascii="宋体" w:hAnsi="宋体"/>
                <w:bCs/>
                <w:color w:val="auto"/>
                <w:szCs w:val="21"/>
                <w:lang w:val="en-US" w:eastAsia="zh-CN"/>
              </w:rPr>
              <w:t>15</w:t>
            </w:r>
            <w:r>
              <w:rPr>
                <w:rFonts w:hint="eastAsia" w:ascii="宋体" w:hAnsi="宋体"/>
                <w:bCs/>
                <w:color w:val="auto"/>
                <w:szCs w:val="21"/>
              </w:rPr>
              <w:t>个日历日内</w:t>
            </w:r>
            <w:r>
              <w:rPr>
                <w:rFonts w:hint="eastAsia" w:ascii="宋体" w:hAnsi="宋体"/>
                <w:bCs/>
                <w:color w:val="auto"/>
                <w:szCs w:val="21"/>
                <w:lang w:eastAsia="zh-CN"/>
              </w:rPr>
              <w:t>完成安装调整并交采购人验收合格</w:t>
            </w:r>
            <w:r>
              <w:rPr>
                <w:rFonts w:hint="eastAsia" w:ascii="宋体" w:hAnsi="宋体" w:cs="宋体"/>
                <w:color w:val="auto"/>
                <w:szCs w:val="21"/>
              </w:rPr>
              <w:t>；地点：采购人指定地点</w:t>
            </w:r>
          </w:p>
          <w:p w14:paraId="145542B0">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四、验收标准、规范：中标人完成全部产品安装后7个工作日内采购人组织验收，采购人根据招标文件要求、投标文件承诺以及合同条款进行验收，中标人须在验收时进行演示，经采购人对演示情况进行审查后，确认符合采购需求，予以验收通过。如演示采购需求不一致，采购人出具书面异议给中标人，中标人应当自收到书面异议后10个工作日内进行整改，整改后仍不通过的，验收不合格，由此造成的一切不利后果及经济损失由中标人自行承担。验收通过后方可完成交付。</w:t>
            </w:r>
          </w:p>
          <w:p w14:paraId="69DD02B7">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▲五、售后服务要求：</w:t>
            </w:r>
          </w:p>
          <w:p w14:paraId="6025E1BC">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1.质量保证期一年（自提交成果并验收合格之日起计）；</w:t>
            </w:r>
          </w:p>
          <w:p w14:paraId="1D51F769">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2.响应时间：接到采购人处理问题通知后8小时内到达采购人指定现场；</w:t>
            </w:r>
          </w:p>
          <w:p w14:paraId="49926EC8">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3.售后服务技术人员要求：专职；</w:t>
            </w:r>
          </w:p>
          <w:p w14:paraId="4CA04A4E">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4.备品备件要求：无。</w:t>
            </w:r>
          </w:p>
          <w:p w14:paraId="563F518C">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六、其他要求：</w:t>
            </w:r>
          </w:p>
          <w:p w14:paraId="2EBD254F">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1.报价必须含以下部分，包括：</w:t>
            </w:r>
          </w:p>
          <w:p w14:paraId="146035B6">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（1）货物的价格；</w:t>
            </w:r>
          </w:p>
          <w:p w14:paraId="58C66833">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（2）货物的标准附件、专用工具的价格；</w:t>
            </w:r>
          </w:p>
          <w:p w14:paraId="72B542EE">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（3）运输、装卸、调试、培训、技术支持、售后服务等费用；</w:t>
            </w:r>
          </w:p>
          <w:p w14:paraId="7480BBD3">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（4）必要的保险费用和各项税金；</w:t>
            </w:r>
          </w:p>
          <w:p w14:paraId="3184E7EE">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▲2.付款方式：选择以下第（2）种方式</w:t>
            </w:r>
          </w:p>
          <w:p w14:paraId="0C251055">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（1）本项目无预付款，供应商所提交的货物经采购人书面验收合格后，一次性（或按项目进度分次付款，项目进度内容及每次付款比例要写明）支付合同款。</w:t>
            </w:r>
          </w:p>
          <w:p w14:paraId="3ED0499A">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（2）本项目采取预付款形式，预付形式为：</w:t>
            </w:r>
          </w:p>
          <w:p w14:paraId="44755537">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第一期付款：合同签订后，在担保措施生效及具备实施条件后10个工作日内支付甲方向乙方支付合同总价30%预付款，支付前由乙方按规定向甲方开具正式发票；</w:t>
            </w:r>
          </w:p>
          <w:p w14:paraId="2597A08F">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第二期付款:乙方交货完毕并验收合格后，甲方向乙方支付合同总价的70%，支付前由乙方按规定向甲方开具正式发票。</w:t>
            </w:r>
          </w:p>
          <w:p w14:paraId="7343CED5">
            <w:pPr>
              <w:adjustRightInd w:val="0"/>
              <w:snapToGrid w:val="0"/>
              <w:spacing w:line="360" w:lineRule="atLeast"/>
              <w:ind w:firstLine="420" w:firstLineChars="200"/>
              <w:rPr>
                <w:color w:val="auto"/>
              </w:rPr>
            </w:pPr>
            <w:r>
              <w:rPr>
                <w:rFonts w:hint="eastAsia" w:ascii="宋体" w:hAnsi="宋体" w:cs="宋体"/>
                <w:color w:val="auto"/>
                <w:szCs w:val="21"/>
              </w:rPr>
              <w:t>3.本项目不接受进口产品参与投标。</w:t>
            </w:r>
          </w:p>
        </w:tc>
      </w:tr>
    </w:tbl>
    <w:p w14:paraId="3F9946F9">
      <w:pPr>
        <w:spacing w:line="320" w:lineRule="exact"/>
        <w:rPr>
          <w:rFonts w:ascii="宋体" w:hAnsi="宋体"/>
          <w:color w:val="auto"/>
        </w:rPr>
      </w:pPr>
    </w:p>
    <w:p w14:paraId="5DB2AB71">
      <w:pPr>
        <w:spacing w:line="428" w:lineRule="exact"/>
        <w:rPr>
          <w:rFonts w:ascii="Arial Unicode MS" w:hAnsi="Arial Unicode MS" w:eastAsia="Arial Unicode MS" w:cs="Arial Unicode MS"/>
          <w:color w:val="auto"/>
          <w:sz w:val="32"/>
          <w:szCs w:val="32"/>
        </w:rPr>
      </w:pPr>
      <w:r>
        <w:rPr>
          <w:rFonts w:hAnsi="宋体"/>
          <w:color w:val="auto"/>
        </w:rPr>
        <w:br w:type="page"/>
      </w:r>
      <w:r>
        <w:rPr>
          <w:rFonts w:hAnsi="宋体"/>
          <w:color w:val="auto"/>
        </w:rPr>
        <w:t xml:space="preserve"> </w:t>
      </w:r>
      <w:r>
        <w:rPr>
          <w:rFonts w:hint="eastAsia" w:ascii="Arial Unicode MS" w:hAnsi="Arial Unicode MS" w:eastAsia="Arial Unicode MS" w:cs="Arial Unicode MS"/>
          <w:color w:val="auto"/>
          <w:sz w:val="32"/>
          <w:szCs w:val="32"/>
        </w:rPr>
        <w:t>附件1：</w:t>
      </w:r>
    </w:p>
    <w:p w14:paraId="68841A88">
      <w:pPr>
        <w:spacing w:before="7"/>
        <w:rPr>
          <w:rFonts w:ascii="Arial Unicode MS" w:hAnsi="Arial Unicode MS" w:eastAsia="Arial Unicode MS" w:cs="Arial Unicode MS"/>
          <w:color w:val="auto"/>
          <w:sz w:val="17"/>
          <w:szCs w:val="17"/>
        </w:rPr>
      </w:pPr>
    </w:p>
    <w:p w14:paraId="08F4E874">
      <w:pPr>
        <w:spacing w:line="528" w:lineRule="exact"/>
        <w:jc w:val="center"/>
        <w:rPr>
          <w:rFonts w:ascii="Arial Unicode MS" w:hAnsi="Arial Unicode MS" w:eastAsia="Arial Unicode MS" w:cs="Arial Unicode MS"/>
          <w:color w:val="auto"/>
          <w:sz w:val="40"/>
          <w:szCs w:val="40"/>
        </w:rPr>
      </w:pPr>
      <w:r>
        <w:rPr>
          <w:rFonts w:hint="eastAsia" w:ascii="Arial Unicode MS" w:hAnsi="Arial Unicode MS" w:eastAsia="Arial Unicode MS" w:cs="Arial Unicode MS"/>
          <w:color w:val="auto"/>
          <w:sz w:val="40"/>
          <w:szCs w:val="40"/>
        </w:rPr>
        <w:t>节能产品政府采购品目清单</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365"/>
        <w:gridCol w:w="1980"/>
        <w:gridCol w:w="1932"/>
        <w:gridCol w:w="3896"/>
      </w:tblGrid>
      <w:tr w14:paraId="5C51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shd w:val="clear" w:color="auto" w:fill="auto"/>
            <w:vAlign w:val="center"/>
          </w:tcPr>
          <w:p w14:paraId="18B8BD4D">
            <w:pPr>
              <w:pStyle w:val="76"/>
              <w:ind w:left="59" w:right="60"/>
              <w:jc w:val="center"/>
              <w:rPr>
                <w:color w:val="auto"/>
              </w:rPr>
            </w:pPr>
            <w:r>
              <w:rPr>
                <w:rFonts w:hint="eastAsia" w:ascii="宋体" w:hAnsi="宋体" w:cs="宋体"/>
                <w:b/>
                <w:bCs/>
                <w:color w:val="auto"/>
                <w:w w:val="99"/>
              </w:rPr>
              <w:t>品目序号</w:t>
            </w:r>
          </w:p>
        </w:tc>
        <w:tc>
          <w:tcPr>
            <w:tcW w:w="5277" w:type="dxa"/>
            <w:gridSpan w:val="3"/>
            <w:shd w:val="clear" w:color="auto" w:fill="auto"/>
            <w:vAlign w:val="center"/>
          </w:tcPr>
          <w:p w14:paraId="4828452E">
            <w:pPr>
              <w:pStyle w:val="76"/>
              <w:jc w:val="center"/>
              <w:rPr>
                <w:color w:val="auto"/>
              </w:rPr>
            </w:pPr>
            <w:r>
              <w:rPr>
                <w:rFonts w:hint="eastAsia" w:ascii="宋体" w:hAnsi="宋体" w:cs="宋体"/>
                <w:b/>
                <w:bCs/>
                <w:color w:val="auto"/>
                <w:w w:val="99"/>
              </w:rPr>
              <w:t>名称</w:t>
            </w:r>
          </w:p>
        </w:tc>
        <w:tc>
          <w:tcPr>
            <w:tcW w:w="3896" w:type="dxa"/>
            <w:shd w:val="clear" w:color="auto" w:fill="auto"/>
            <w:vAlign w:val="center"/>
          </w:tcPr>
          <w:p w14:paraId="36685327">
            <w:pPr>
              <w:pStyle w:val="76"/>
              <w:jc w:val="center"/>
              <w:rPr>
                <w:color w:val="auto"/>
              </w:rPr>
            </w:pPr>
            <w:r>
              <w:rPr>
                <w:rFonts w:hint="eastAsia" w:ascii="宋体" w:hAnsi="宋体" w:cs="宋体"/>
                <w:b/>
                <w:bCs/>
                <w:color w:val="auto"/>
                <w:w w:val="99"/>
              </w:rPr>
              <w:t>依据的标准</w:t>
            </w:r>
          </w:p>
        </w:tc>
      </w:tr>
      <w:tr w14:paraId="0FB0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restart"/>
            <w:shd w:val="clear" w:color="auto" w:fill="auto"/>
            <w:vAlign w:val="center"/>
          </w:tcPr>
          <w:p w14:paraId="10BB3201">
            <w:pPr>
              <w:pStyle w:val="76"/>
              <w:ind w:right="1"/>
              <w:jc w:val="center"/>
              <w:rPr>
                <w:color w:val="auto"/>
              </w:rPr>
            </w:pPr>
            <w:r>
              <w:rPr>
                <w:rFonts w:hint="eastAsia" w:ascii="宋体"/>
                <w:color w:val="auto"/>
                <w:w w:val="99"/>
                <w:sz w:val="20"/>
              </w:rPr>
              <w:t>1</w:t>
            </w:r>
          </w:p>
        </w:tc>
        <w:tc>
          <w:tcPr>
            <w:tcW w:w="1365" w:type="dxa"/>
            <w:vMerge w:val="restart"/>
            <w:shd w:val="clear" w:color="auto" w:fill="auto"/>
            <w:vAlign w:val="center"/>
          </w:tcPr>
          <w:p w14:paraId="652162F3">
            <w:pPr>
              <w:pStyle w:val="76"/>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1计算机设备</w:t>
            </w:r>
          </w:p>
        </w:tc>
        <w:tc>
          <w:tcPr>
            <w:tcW w:w="1980" w:type="dxa"/>
            <w:shd w:val="clear" w:color="auto" w:fill="auto"/>
            <w:vAlign w:val="center"/>
          </w:tcPr>
          <w:p w14:paraId="106F9D6E">
            <w:pPr>
              <w:pStyle w:val="76"/>
              <w:ind w:left="7" w:right="5"/>
              <w:jc w:val="both"/>
              <w:rPr>
                <w:color w:val="auto"/>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10</w:t>
            </w:r>
            <w:r>
              <w:rPr>
                <w:rFonts w:hint="eastAsia" w:ascii="宋体" w:hAnsi="宋体" w:cs="宋体"/>
                <w:color w:val="auto"/>
                <w:spacing w:val="1"/>
                <w:w w:val="99"/>
                <w:sz w:val="20"/>
                <w:szCs w:val="20"/>
              </w:rPr>
              <w:t>1</w:t>
            </w:r>
            <w:r>
              <w:rPr>
                <w:rFonts w:hint="eastAsia" w:ascii="宋体" w:hAnsi="宋体" w:cs="宋体"/>
                <w:color w:val="auto"/>
                <w:w w:val="99"/>
                <w:sz w:val="20"/>
                <w:szCs w:val="20"/>
              </w:rPr>
              <w:t>04台式计算机</w:t>
            </w:r>
          </w:p>
        </w:tc>
        <w:tc>
          <w:tcPr>
            <w:tcW w:w="1932" w:type="dxa"/>
            <w:shd w:val="clear" w:color="auto" w:fill="auto"/>
            <w:vAlign w:val="center"/>
          </w:tcPr>
          <w:p w14:paraId="1D96E9CD">
            <w:pPr>
              <w:rPr>
                <w:color w:val="auto"/>
              </w:rPr>
            </w:pPr>
          </w:p>
        </w:tc>
        <w:tc>
          <w:tcPr>
            <w:tcW w:w="3896" w:type="dxa"/>
            <w:shd w:val="clear" w:color="auto" w:fill="auto"/>
            <w:vAlign w:val="center"/>
          </w:tcPr>
          <w:p w14:paraId="62B68229">
            <w:pPr>
              <w:pStyle w:val="76"/>
              <w:ind w:left="7" w:right="4"/>
              <w:jc w:val="both"/>
              <w:rPr>
                <w:color w:val="auto"/>
                <w:lang w:eastAsia="zh-CN"/>
              </w:rPr>
            </w:pPr>
            <w:r>
              <w:rPr>
                <w:rFonts w:hint="eastAsia" w:ascii="宋体" w:hAnsi="宋体" w:cs="宋体"/>
                <w:color w:val="auto"/>
                <w:spacing w:val="12"/>
                <w:w w:val="99"/>
                <w:sz w:val="20"/>
                <w:szCs w:val="20"/>
                <w:lang w:eastAsia="zh-CN"/>
              </w:rPr>
              <w:t>《微型计算机能效限定</w:t>
            </w:r>
            <w:r>
              <w:rPr>
                <w:rFonts w:hint="eastAsia" w:ascii="宋体" w:hAnsi="宋体" w:cs="宋体"/>
                <w:color w:val="auto"/>
                <w:spacing w:val="9"/>
                <w:w w:val="99"/>
                <w:sz w:val="20"/>
                <w:szCs w:val="20"/>
                <w:lang w:eastAsia="zh-CN"/>
              </w:rPr>
              <w:t>值</w:t>
            </w:r>
            <w:r>
              <w:rPr>
                <w:rFonts w:hint="eastAsia" w:ascii="宋体" w:hAnsi="宋体" w:cs="宋体"/>
                <w:color w:val="auto"/>
                <w:spacing w:val="12"/>
                <w:w w:val="99"/>
                <w:sz w:val="20"/>
                <w:szCs w:val="20"/>
                <w:lang w:eastAsia="zh-CN"/>
              </w:rPr>
              <w:t>及能</w:t>
            </w:r>
            <w:r>
              <w:rPr>
                <w:rFonts w:hint="eastAsia" w:ascii="宋体" w:hAnsi="宋体" w:cs="宋体"/>
                <w:color w:val="auto"/>
                <w:w w:val="99"/>
                <w:sz w:val="20"/>
                <w:szCs w:val="20"/>
                <w:lang w:eastAsia="zh-CN"/>
              </w:rPr>
              <w:t>效等级》（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28380</w:t>
            </w:r>
            <w:r>
              <w:rPr>
                <w:rFonts w:hint="eastAsia" w:ascii="宋体" w:hAnsi="宋体" w:cs="宋体"/>
                <w:color w:val="auto"/>
                <w:w w:val="99"/>
                <w:sz w:val="20"/>
                <w:szCs w:val="20"/>
                <w:lang w:eastAsia="zh-CN"/>
              </w:rPr>
              <w:t>）</w:t>
            </w:r>
          </w:p>
        </w:tc>
      </w:tr>
      <w:tr w14:paraId="19CD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39405DC8">
            <w:pPr>
              <w:widowControl/>
              <w:jc w:val="center"/>
              <w:rPr>
                <w:color w:val="auto"/>
              </w:rPr>
            </w:pPr>
          </w:p>
        </w:tc>
        <w:tc>
          <w:tcPr>
            <w:tcW w:w="1365" w:type="dxa"/>
            <w:vMerge w:val="continue"/>
            <w:shd w:val="clear" w:color="auto" w:fill="auto"/>
            <w:vAlign w:val="center"/>
          </w:tcPr>
          <w:p w14:paraId="2A618314">
            <w:pPr>
              <w:widowControl/>
              <w:rPr>
                <w:color w:val="auto"/>
              </w:rPr>
            </w:pPr>
          </w:p>
        </w:tc>
        <w:tc>
          <w:tcPr>
            <w:tcW w:w="1980" w:type="dxa"/>
            <w:shd w:val="clear" w:color="auto" w:fill="auto"/>
            <w:vAlign w:val="center"/>
          </w:tcPr>
          <w:p w14:paraId="638676CC">
            <w:pPr>
              <w:pStyle w:val="76"/>
              <w:ind w:left="7" w:right="5"/>
              <w:jc w:val="both"/>
              <w:rPr>
                <w:color w:val="auto"/>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10</w:t>
            </w:r>
            <w:r>
              <w:rPr>
                <w:rFonts w:hint="eastAsia" w:ascii="宋体" w:hAnsi="宋体" w:cs="宋体"/>
                <w:color w:val="auto"/>
                <w:spacing w:val="1"/>
                <w:w w:val="99"/>
                <w:sz w:val="20"/>
                <w:szCs w:val="20"/>
              </w:rPr>
              <w:t>1</w:t>
            </w:r>
            <w:r>
              <w:rPr>
                <w:rFonts w:hint="eastAsia" w:ascii="宋体" w:hAnsi="宋体" w:cs="宋体"/>
                <w:color w:val="auto"/>
                <w:w w:val="99"/>
                <w:sz w:val="20"/>
                <w:szCs w:val="20"/>
              </w:rPr>
              <w:t>05便携式计算机</w:t>
            </w:r>
          </w:p>
        </w:tc>
        <w:tc>
          <w:tcPr>
            <w:tcW w:w="1932" w:type="dxa"/>
            <w:shd w:val="clear" w:color="auto" w:fill="auto"/>
            <w:vAlign w:val="center"/>
          </w:tcPr>
          <w:p w14:paraId="22B48216">
            <w:pPr>
              <w:rPr>
                <w:color w:val="auto"/>
              </w:rPr>
            </w:pPr>
          </w:p>
        </w:tc>
        <w:tc>
          <w:tcPr>
            <w:tcW w:w="3896" w:type="dxa"/>
            <w:shd w:val="clear" w:color="auto" w:fill="auto"/>
            <w:vAlign w:val="center"/>
          </w:tcPr>
          <w:p w14:paraId="1D1FE8BD">
            <w:pPr>
              <w:pStyle w:val="76"/>
              <w:ind w:left="7" w:right="4"/>
              <w:jc w:val="both"/>
              <w:rPr>
                <w:color w:val="auto"/>
                <w:lang w:eastAsia="zh-CN"/>
              </w:rPr>
            </w:pPr>
            <w:r>
              <w:rPr>
                <w:rFonts w:hint="eastAsia" w:ascii="宋体" w:hAnsi="宋体" w:cs="宋体"/>
                <w:color w:val="auto"/>
                <w:spacing w:val="12"/>
                <w:w w:val="99"/>
                <w:sz w:val="20"/>
                <w:szCs w:val="20"/>
                <w:lang w:eastAsia="zh-CN"/>
              </w:rPr>
              <w:t>《微型计算机能效限定</w:t>
            </w:r>
            <w:r>
              <w:rPr>
                <w:rFonts w:hint="eastAsia" w:ascii="宋体" w:hAnsi="宋体" w:cs="宋体"/>
                <w:color w:val="auto"/>
                <w:spacing w:val="9"/>
                <w:w w:val="99"/>
                <w:sz w:val="20"/>
                <w:szCs w:val="20"/>
                <w:lang w:eastAsia="zh-CN"/>
              </w:rPr>
              <w:t>值</w:t>
            </w:r>
            <w:r>
              <w:rPr>
                <w:rFonts w:hint="eastAsia" w:ascii="宋体" w:hAnsi="宋体" w:cs="宋体"/>
                <w:color w:val="auto"/>
                <w:spacing w:val="12"/>
                <w:w w:val="99"/>
                <w:sz w:val="20"/>
                <w:szCs w:val="20"/>
                <w:lang w:eastAsia="zh-CN"/>
              </w:rPr>
              <w:t>及能</w:t>
            </w:r>
            <w:r>
              <w:rPr>
                <w:rFonts w:hint="eastAsia" w:ascii="宋体" w:hAnsi="宋体" w:cs="宋体"/>
                <w:color w:val="auto"/>
                <w:w w:val="99"/>
                <w:sz w:val="20"/>
                <w:szCs w:val="20"/>
                <w:lang w:eastAsia="zh-CN"/>
              </w:rPr>
              <w:t>效等级》（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28380</w:t>
            </w:r>
            <w:r>
              <w:rPr>
                <w:rFonts w:hint="eastAsia" w:ascii="宋体" w:hAnsi="宋体" w:cs="宋体"/>
                <w:color w:val="auto"/>
                <w:w w:val="99"/>
                <w:sz w:val="20"/>
                <w:szCs w:val="20"/>
                <w:lang w:eastAsia="zh-CN"/>
              </w:rPr>
              <w:t>）</w:t>
            </w:r>
          </w:p>
        </w:tc>
      </w:tr>
      <w:tr w14:paraId="309B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2E64D02A">
            <w:pPr>
              <w:widowControl/>
              <w:jc w:val="center"/>
              <w:rPr>
                <w:color w:val="auto"/>
              </w:rPr>
            </w:pPr>
          </w:p>
        </w:tc>
        <w:tc>
          <w:tcPr>
            <w:tcW w:w="1365" w:type="dxa"/>
            <w:vMerge w:val="continue"/>
            <w:shd w:val="clear" w:color="auto" w:fill="auto"/>
            <w:vAlign w:val="center"/>
          </w:tcPr>
          <w:p w14:paraId="6F42E07E">
            <w:pPr>
              <w:widowControl/>
              <w:rPr>
                <w:color w:val="auto"/>
              </w:rPr>
            </w:pPr>
          </w:p>
        </w:tc>
        <w:tc>
          <w:tcPr>
            <w:tcW w:w="1980" w:type="dxa"/>
            <w:shd w:val="clear" w:color="auto" w:fill="auto"/>
            <w:vAlign w:val="center"/>
          </w:tcPr>
          <w:p w14:paraId="2623A028">
            <w:pPr>
              <w:pStyle w:val="76"/>
              <w:ind w:left="7" w:right="5"/>
              <w:jc w:val="both"/>
              <w:rPr>
                <w:color w:val="auto"/>
                <w:lang w:eastAsia="zh-CN"/>
              </w:rPr>
            </w:pP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A020</w:t>
            </w:r>
            <w:r>
              <w:rPr>
                <w:rFonts w:hint="eastAsia" w:ascii="宋体" w:hAnsi="宋体" w:cs="宋体"/>
                <w:color w:val="auto"/>
                <w:w w:val="99"/>
                <w:sz w:val="20"/>
                <w:szCs w:val="20"/>
                <w:lang w:eastAsia="zh-CN"/>
              </w:rPr>
              <w:t>10</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07平板式微型计</w:t>
            </w:r>
            <w:r>
              <w:rPr>
                <w:rFonts w:hint="eastAsia" w:ascii="宋体" w:hAnsi="宋体" w:cs="宋体"/>
                <w:color w:val="auto"/>
                <w:spacing w:val="2"/>
                <w:w w:val="99"/>
                <w:sz w:val="20"/>
                <w:szCs w:val="20"/>
                <w:lang w:eastAsia="zh-CN"/>
              </w:rPr>
              <w:t>算</w:t>
            </w:r>
            <w:r>
              <w:rPr>
                <w:rFonts w:hint="eastAsia" w:ascii="宋体" w:hAnsi="宋体" w:cs="宋体"/>
                <w:color w:val="auto"/>
                <w:w w:val="99"/>
                <w:sz w:val="20"/>
                <w:szCs w:val="20"/>
                <w:lang w:eastAsia="zh-CN"/>
              </w:rPr>
              <w:t>机</w:t>
            </w:r>
          </w:p>
        </w:tc>
        <w:tc>
          <w:tcPr>
            <w:tcW w:w="1932" w:type="dxa"/>
            <w:shd w:val="clear" w:color="auto" w:fill="auto"/>
            <w:vAlign w:val="center"/>
          </w:tcPr>
          <w:p w14:paraId="07106469">
            <w:pPr>
              <w:rPr>
                <w:color w:val="auto"/>
              </w:rPr>
            </w:pPr>
          </w:p>
        </w:tc>
        <w:tc>
          <w:tcPr>
            <w:tcW w:w="3896" w:type="dxa"/>
            <w:shd w:val="clear" w:color="auto" w:fill="auto"/>
            <w:vAlign w:val="center"/>
          </w:tcPr>
          <w:p w14:paraId="6498D9FF">
            <w:pPr>
              <w:pStyle w:val="76"/>
              <w:ind w:left="7" w:right="4"/>
              <w:jc w:val="both"/>
              <w:rPr>
                <w:color w:val="auto"/>
                <w:lang w:eastAsia="zh-CN"/>
              </w:rPr>
            </w:pPr>
            <w:r>
              <w:rPr>
                <w:rFonts w:hint="eastAsia" w:ascii="宋体" w:hAnsi="宋体" w:cs="宋体"/>
                <w:color w:val="auto"/>
                <w:spacing w:val="12"/>
                <w:w w:val="99"/>
                <w:sz w:val="20"/>
                <w:szCs w:val="20"/>
                <w:lang w:eastAsia="zh-CN"/>
              </w:rPr>
              <w:t>《微型计算机能效限定</w:t>
            </w:r>
            <w:r>
              <w:rPr>
                <w:rFonts w:hint="eastAsia" w:ascii="宋体" w:hAnsi="宋体" w:cs="宋体"/>
                <w:color w:val="auto"/>
                <w:spacing w:val="9"/>
                <w:w w:val="99"/>
                <w:sz w:val="20"/>
                <w:szCs w:val="20"/>
                <w:lang w:eastAsia="zh-CN"/>
              </w:rPr>
              <w:t>值</w:t>
            </w:r>
            <w:r>
              <w:rPr>
                <w:rFonts w:hint="eastAsia" w:ascii="宋体" w:hAnsi="宋体" w:cs="宋体"/>
                <w:color w:val="auto"/>
                <w:spacing w:val="12"/>
                <w:w w:val="99"/>
                <w:sz w:val="20"/>
                <w:szCs w:val="20"/>
                <w:lang w:eastAsia="zh-CN"/>
              </w:rPr>
              <w:t>及能</w:t>
            </w:r>
            <w:r>
              <w:rPr>
                <w:rFonts w:hint="eastAsia" w:ascii="宋体" w:hAnsi="宋体" w:cs="宋体"/>
                <w:color w:val="auto"/>
                <w:w w:val="99"/>
                <w:sz w:val="20"/>
                <w:szCs w:val="20"/>
                <w:lang w:eastAsia="zh-CN"/>
              </w:rPr>
              <w:t>效等级》（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28380</w:t>
            </w:r>
            <w:r>
              <w:rPr>
                <w:rFonts w:hint="eastAsia" w:ascii="宋体" w:hAnsi="宋体" w:cs="宋体"/>
                <w:color w:val="auto"/>
                <w:w w:val="99"/>
                <w:sz w:val="20"/>
                <w:szCs w:val="20"/>
                <w:lang w:eastAsia="zh-CN"/>
              </w:rPr>
              <w:t>）</w:t>
            </w:r>
          </w:p>
        </w:tc>
      </w:tr>
      <w:tr w14:paraId="2D86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restart"/>
            <w:shd w:val="clear" w:color="auto" w:fill="auto"/>
            <w:vAlign w:val="center"/>
          </w:tcPr>
          <w:p w14:paraId="29F64638">
            <w:pPr>
              <w:pStyle w:val="76"/>
              <w:ind w:right="1"/>
              <w:jc w:val="center"/>
              <w:rPr>
                <w:color w:val="auto"/>
              </w:rPr>
            </w:pPr>
            <w:r>
              <w:rPr>
                <w:rFonts w:hint="eastAsia" w:ascii="宋体"/>
                <w:color w:val="auto"/>
                <w:w w:val="99"/>
                <w:sz w:val="20"/>
              </w:rPr>
              <w:t>2</w:t>
            </w:r>
          </w:p>
        </w:tc>
        <w:tc>
          <w:tcPr>
            <w:tcW w:w="1365" w:type="dxa"/>
            <w:vMerge w:val="restart"/>
            <w:shd w:val="clear" w:color="auto" w:fill="auto"/>
            <w:vAlign w:val="center"/>
          </w:tcPr>
          <w:p w14:paraId="195C6403">
            <w:pPr>
              <w:pStyle w:val="76"/>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6输入输出设备</w:t>
            </w:r>
          </w:p>
        </w:tc>
        <w:tc>
          <w:tcPr>
            <w:tcW w:w="1980" w:type="dxa"/>
            <w:vMerge w:val="restart"/>
            <w:shd w:val="clear" w:color="auto" w:fill="auto"/>
            <w:vAlign w:val="center"/>
          </w:tcPr>
          <w:p w14:paraId="68AC79AE">
            <w:pPr>
              <w:pStyle w:val="76"/>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601打印设备</w:t>
            </w:r>
          </w:p>
        </w:tc>
        <w:tc>
          <w:tcPr>
            <w:tcW w:w="1932" w:type="dxa"/>
            <w:shd w:val="clear" w:color="auto" w:fill="auto"/>
            <w:vAlign w:val="center"/>
          </w:tcPr>
          <w:p w14:paraId="0784F7CA">
            <w:pPr>
              <w:pStyle w:val="76"/>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w:t>
            </w:r>
            <w:r>
              <w:rPr>
                <w:rFonts w:hint="eastAsia" w:ascii="宋体" w:hAnsi="宋体" w:cs="宋体"/>
                <w:color w:val="auto"/>
                <w:spacing w:val="1"/>
                <w:w w:val="99"/>
                <w:sz w:val="20"/>
                <w:szCs w:val="20"/>
              </w:rPr>
              <w:t>10</w:t>
            </w:r>
            <w:r>
              <w:rPr>
                <w:rFonts w:hint="eastAsia" w:ascii="宋体" w:hAnsi="宋体" w:cs="宋体"/>
                <w:color w:val="auto"/>
                <w:w w:val="99"/>
                <w:sz w:val="20"/>
                <w:szCs w:val="20"/>
              </w:rPr>
              <w:t>1喷墨打印机</w:t>
            </w:r>
          </w:p>
        </w:tc>
        <w:tc>
          <w:tcPr>
            <w:tcW w:w="3896" w:type="dxa"/>
            <w:shd w:val="clear" w:color="auto" w:fill="auto"/>
            <w:vAlign w:val="center"/>
          </w:tcPr>
          <w:p w14:paraId="01AFAC7E">
            <w:pPr>
              <w:pStyle w:val="76"/>
              <w:ind w:left="7" w:right="7"/>
              <w:jc w:val="both"/>
              <w:rPr>
                <w:color w:val="auto"/>
                <w:lang w:eastAsia="zh-CN"/>
              </w:rPr>
            </w:pPr>
            <w:r>
              <w:rPr>
                <w:rFonts w:hint="eastAsia" w:ascii="宋体" w:hAnsi="宋体" w:cs="宋体"/>
                <w:color w:val="auto"/>
                <w:w w:val="99"/>
                <w:sz w:val="20"/>
                <w:szCs w:val="20"/>
                <w:lang w:eastAsia="zh-CN"/>
              </w:rPr>
              <w:t>《复印</w:t>
            </w:r>
            <w:r>
              <w:rPr>
                <w:rFonts w:hint="eastAsia" w:ascii="宋体" w:hAnsi="宋体" w:cs="宋体"/>
                <w:color w:val="auto"/>
                <w:spacing w:val="2"/>
                <w:w w:val="99"/>
                <w:sz w:val="20"/>
                <w:szCs w:val="20"/>
                <w:lang w:eastAsia="zh-CN"/>
              </w:rPr>
              <w:t>机</w:t>
            </w:r>
            <w:r>
              <w:rPr>
                <w:rFonts w:hint="eastAsia" w:ascii="宋体" w:hAnsi="宋体" w:cs="宋体"/>
                <w:color w:val="auto"/>
                <w:spacing w:val="-58"/>
                <w:w w:val="99"/>
                <w:sz w:val="20"/>
                <w:szCs w:val="20"/>
                <w:lang w:eastAsia="zh-CN"/>
              </w:rPr>
              <w:t>、</w:t>
            </w:r>
            <w:r>
              <w:rPr>
                <w:rFonts w:hint="eastAsia" w:ascii="宋体" w:hAnsi="宋体" w:cs="宋体"/>
                <w:color w:val="auto"/>
                <w:spacing w:val="2"/>
                <w:w w:val="99"/>
                <w:sz w:val="20"/>
                <w:szCs w:val="20"/>
                <w:lang w:eastAsia="zh-CN"/>
              </w:rPr>
              <w:t>打</w:t>
            </w:r>
            <w:r>
              <w:rPr>
                <w:rFonts w:hint="eastAsia" w:ascii="宋体" w:hAnsi="宋体" w:cs="宋体"/>
                <w:color w:val="auto"/>
                <w:w w:val="99"/>
                <w:sz w:val="20"/>
                <w:szCs w:val="20"/>
                <w:lang w:eastAsia="zh-CN"/>
              </w:rPr>
              <w:t>印机</w:t>
            </w:r>
            <w:r>
              <w:rPr>
                <w:rFonts w:hint="eastAsia" w:ascii="宋体" w:hAnsi="宋体" w:cs="宋体"/>
                <w:color w:val="auto"/>
                <w:spacing w:val="2"/>
                <w:w w:val="99"/>
                <w:sz w:val="20"/>
                <w:szCs w:val="20"/>
                <w:lang w:eastAsia="zh-CN"/>
              </w:rPr>
              <w:t>和</w:t>
            </w:r>
            <w:r>
              <w:rPr>
                <w:rFonts w:hint="eastAsia" w:ascii="宋体" w:hAnsi="宋体" w:cs="宋体"/>
                <w:color w:val="auto"/>
                <w:w w:val="99"/>
                <w:sz w:val="20"/>
                <w:szCs w:val="20"/>
                <w:lang w:eastAsia="zh-CN"/>
              </w:rPr>
              <w:t>传真</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tc>
      </w:tr>
      <w:tr w14:paraId="74C6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009E61E8">
            <w:pPr>
              <w:widowControl/>
              <w:jc w:val="center"/>
              <w:rPr>
                <w:color w:val="auto"/>
              </w:rPr>
            </w:pPr>
          </w:p>
        </w:tc>
        <w:tc>
          <w:tcPr>
            <w:tcW w:w="1365" w:type="dxa"/>
            <w:vMerge w:val="continue"/>
            <w:shd w:val="clear" w:color="auto" w:fill="auto"/>
            <w:vAlign w:val="center"/>
          </w:tcPr>
          <w:p w14:paraId="552E411A">
            <w:pPr>
              <w:widowControl/>
              <w:rPr>
                <w:color w:val="auto"/>
              </w:rPr>
            </w:pPr>
          </w:p>
        </w:tc>
        <w:tc>
          <w:tcPr>
            <w:tcW w:w="1980" w:type="dxa"/>
            <w:vMerge w:val="continue"/>
            <w:shd w:val="clear" w:color="auto" w:fill="auto"/>
            <w:vAlign w:val="center"/>
          </w:tcPr>
          <w:p w14:paraId="21784EEB">
            <w:pPr>
              <w:widowControl/>
              <w:rPr>
                <w:color w:val="auto"/>
              </w:rPr>
            </w:pPr>
          </w:p>
        </w:tc>
        <w:tc>
          <w:tcPr>
            <w:tcW w:w="1932" w:type="dxa"/>
            <w:shd w:val="clear" w:color="auto" w:fill="auto"/>
            <w:vAlign w:val="center"/>
          </w:tcPr>
          <w:p w14:paraId="346CB874">
            <w:pPr>
              <w:pStyle w:val="76"/>
              <w:ind w:left="7"/>
              <w:jc w:val="both"/>
              <w:rPr>
                <w:color w:val="auto"/>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w:t>
            </w:r>
            <w:r>
              <w:rPr>
                <w:rFonts w:hint="eastAsia" w:ascii="宋体" w:hAnsi="宋体" w:cs="宋体"/>
                <w:color w:val="auto"/>
                <w:spacing w:val="1"/>
                <w:w w:val="99"/>
                <w:sz w:val="20"/>
                <w:szCs w:val="20"/>
              </w:rPr>
              <w:t>1</w:t>
            </w:r>
            <w:r>
              <w:rPr>
                <w:rFonts w:hint="eastAsia" w:ascii="宋体" w:hAnsi="宋体" w:cs="宋体"/>
                <w:color w:val="auto"/>
                <w:w w:val="99"/>
                <w:sz w:val="20"/>
                <w:szCs w:val="20"/>
              </w:rPr>
              <w:t>02激光打印机</w:t>
            </w:r>
          </w:p>
        </w:tc>
        <w:tc>
          <w:tcPr>
            <w:tcW w:w="3896" w:type="dxa"/>
            <w:shd w:val="clear" w:color="auto" w:fill="auto"/>
            <w:vAlign w:val="center"/>
          </w:tcPr>
          <w:p w14:paraId="340A71DB">
            <w:pPr>
              <w:pStyle w:val="76"/>
              <w:ind w:left="7" w:right="7"/>
              <w:jc w:val="both"/>
              <w:rPr>
                <w:color w:val="auto"/>
                <w:lang w:eastAsia="zh-CN"/>
              </w:rPr>
            </w:pPr>
            <w:r>
              <w:rPr>
                <w:rFonts w:hint="eastAsia" w:ascii="宋体" w:hAnsi="宋体" w:cs="宋体"/>
                <w:color w:val="auto"/>
                <w:w w:val="99"/>
                <w:sz w:val="20"/>
                <w:szCs w:val="20"/>
                <w:lang w:eastAsia="zh-CN"/>
              </w:rPr>
              <w:t>《复印</w:t>
            </w:r>
            <w:r>
              <w:rPr>
                <w:rFonts w:hint="eastAsia" w:ascii="宋体" w:hAnsi="宋体" w:cs="宋体"/>
                <w:color w:val="auto"/>
                <w:spacing w:val="2"/>
                <w:w w:val="99"/>
                <w:sz w:val="20"/>
                <w:szCs w:val="20"/>
                <w:lang w:eastAsia="zh-CN"/>
              </w:rPr>
              <w:t>机</w:t>
            </w:r>
            <w:r>
              <w:rPr>
                <w:rFonts w:hint="eastAsia" w:ascii="宋体" w:hAnsi="宋体" w:cs="宋体"/>
                <w:color w:val="auto"/>
                <w:spacing w:val="-58"/>
                <w:w w:val="99"/>
                <w:sz w:val="20"/>
                <w:szCs w:val="20"/>
                <w:lang w:eastAsia="zh-CN"/>
              </w:rPr>
              <w:t>、</w:t>
            </w:r>
            <w:r>
              <w:rPr>
                <w:rFonts w:hint="eastAsia" w:ascii="宋体" w:hAnsi="宋体" w:cs="宋体"/>
                <w:color w:val="auto"/>
                <w:spacing w:val="2"/>
                <w:w w:val="99"/>
                <w:sz w:val="20"/>
                <w:szCs w:val="20"/>
                <w:lang w:eastAsia="zh-CN"/>
              </w:rPr>
              <w:t>打</w:t>
            </w:r>
            <w:r>
              <w:rPr>
                <w:rFonts w:hint="eastAsia" w:ascii="宋体" w:hAnsi="宋体" w:cs="宋体"/>
                <w:color w:val="auto"/>
                <w:w w:val="99"/>
                <w:sz w:val="20"/>
                <w:szCs w:val="20"/>
                <w:lang w:eastAsia="zh-CN"/>
              </w:rPr>
              <w:t>印机</w:t>
            </w:r>
            <w:r>
              <w:rPr>
                <w:rFonts w:hint="eastAsia" w:ascii="宋体" w:hAnsi="宋体" w:cs="宋体"/>
                <w:color w:val="auto"/>
                <w:spacing w:val="2"/>
                <w:w w:val="99"/>
                <w:sz w:val="20"/>
                <w:szCs w:val="20"/>
                <w:lang w:eastAsia="zh-CN"/>
              </w:rPr>
              <w:t>和</w:t>
            </w:r>
            <w:r>
              <w:rPr>
                <w:rFonts w:hint="eastAsia" w:ascii="宋体" w:hAnsi="宋体" w:cs="宋体"/>
                <w:color w:val="auto"/>
                <w:w w:val="99"/>
                <w:sz w:val="20"/>
                <w:szCs w:val="20"/>
                <w:lang w:eastAsia="zh-CN"/>
              </w:rPr>
              <w:t>传真</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tc>
      </w:tr>
      <w:tr w14:paraId="6AEC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162CD696">
            <w:pPr>
              <w:widowControl/>
              <w:jc w:val="center"/>
              <w:rPr>
                <w:color w:val="auto"/>
              </w:rPr>
            </w:pPr>
          </w:p>
        </w:tc>
        <w:tc>
          <w:tcPr>
            <w:tcW w:w="1365" w:type="dxa"/>
            <w:vMerge w:val="continue"/>
            <w:shd w:val="clear" w:color="auto" w:fill="auto"/>
            <w:vAlign w:val="center"/>
          </w:tcPr>
          <w:p w14:paraId="47B7DE0F">
            <w:pPr>
              <w:widowControl/>
              <w:rPr>
                <w:color w:val="auto"/>
              </w:rPr>
            </w:pPr>
          </w:p>
        </w:tc>
        <w:tc>
          <w:tcPr>
            <w:tcW w:w="1980" w:type="dxa"/>
            <w:vMerge w:val="continue"/>
            <w:shd w:val="clear" w:color="auto" w:fill="auto"/>
            <w:vAlign w:val="center"/>
          </w:tcPr>
          <w:p w14:paraId="298CFDBC">
            <w:pPr>
              <w:widowControl/>
              <w:rPr>
                <w:color w:val="auto"/>
              </w:rPr>
            </w:pPr>
          </w:p>
        </w:tc>
        <w:tc>
          <w:tcPr>
            <w:tcW w:w="1932" w:type="dxa"/>
            <w:shd w:val="clear" w:color="auto" w:fill="auto"/>
            <w:vAlign w:val="center"/>
          </w:tcPr>
          <w:p w14:paraId="1378229C">
            <w:pPr>
              <w:pStyle w:val="76"/>
              <w:ind w:left="7"/>
              <w:jc w:val="both"/>
              <w:rPr>
                <w:color w:val="auto"/>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w:t>
            </w:r>
            <w:r>
              <w:rPr>
                <w:rFonts w:hint="eastAsia" w:ascii="宋体" w:hAnsi="宋体" w:cs="宋体"/>
                <w:color w:val="auto"/>
                <w:spacing w:val="1"/>
                <w:w w:val="99"/>
                <w:sz w:val="20"/>
                <w:szCs w:val="20"/>
              </w:rPr>
              <w:t>1</w:t>
            </w:r>
            <w:r>
              <w:rPr>
                <w:rFonts w:hint="eastAsia" w:ascii="宋体" w:hAnsi="宋体" w:cs="宋体"/>
                <w:color w:val="auto"/>
                <w:w w:val="99"/>
                <w:sz w:val="20"/>
                <w:szCs w:val="20"/>
              </w:rPr>
              <w:t>04针式打印机</w:t>
            </w:r>
          </w:p>
        </w:tc>
        <w:tc>
          <w:tcPr>
            <w:tcW w:w="3896" w:type="dxa"/>
            <w:shd w:val="clear" w:color="auto" w:fill="auto"/>
            <w:vAlign w:val="center"/>
          </w:tcPr>
          <w:p w14:paraId="361E27F8">
            <w:pPr>
              <w:pStyle w:val="76"/>
              <w:ind w:left="7" w:right="7"/>
              <w:jc w:val="both"/>
              <w:rPr>
                <w:color w:val="auto"/>
                <w:lang w:eastAsia="zh-CN"/>
              </w:rPr>
            </w:pPr>
            <w:r>
              <w:rPr>
                <w:rFonts w:hint="eastAsia" w:ascii="宋体" w:hAnsi="宋体" w:cs="宋体"/>
                <w:color w:val="auto"/>
                <w:w w:val="99"/>
                <w:sz w:val="20"/>
                <w:szCs w:val="20"/>
                <w:lang w:eastAsia="zh-CN"/>
              </w:rPr>
              <w:t>《复印</w:t>
            </w:r>
            <w:r>
              <w:rPr>
                <w:rFonts w:hint="eastAsia" w:ascii="宋体" w:hAnsi="宋体" w:cs="宋体"/>
                <w:color w:val="auto"/>
                <w:spacing w:val="2"/>
                <w:w w:val="99"/>
                <w:sz w:val="20"/>
                <w:szCs w:val="20"/>
                <w:lang w:eastAsia="zh-CN"/>
              </w:rPr>
              <w:t>机</w:t>
            </w:r>
            <w:r>
              <w:rPr>
                <w:rFonts w:hint="eastAsia" w:ascii="宋体" w:hAnsi="宋体" w:cs="宋体"/>
                <w:color w:val="auto"/>
                <w:spacing w:val="-58"/>
                <w:w w:val="99"/>
                <w:sz w:val="20"/>
                <w:szCs w:val="20"/>
                <w:lang w:eastAsia="zh-CN"/>
              </w:rPr>
              <w:t>、</w:t>
            </w:r>
            <w:r>
              <w:rPr>
                <w:rFonts w:hint="eastAsia" w:ascii="宋体" w:hAnsi="宋体" w:cs="宋体"/>
                <w:color w:val="auto"/>
                <w:spacing w:val="2"/>
                <w:w w:val="99"/>
                <w:sz w:val="20"/>
                <w:szCs w:val="20"/>
                <w:lang w:eastAsia="zh-CN"/>
              </w:rPr>
              <w:t>打</w:t>
            </w:r>
            <w:r>
              <w:rPr>
                <w:rFonts w:hint="eastAsia" w:ascii="宋体" w:hAnsi="宋体" w:cs="宋体"/>
                <w:color w:val="auto"/>
                <w:w w:val="99"/>
                <w:sz w:val="20"/>
                <w:szCs w:val="20"/>
                <w:lang w:eastAsia="zh-CN"/>
              </w:rPr>
              <w:t>印机</w:t>
            </w:r>
            <w:r>
              <w:rPr>
                <w:rFonts w:hint="eastAsia" w:ascii="宋体" w:hAnsi="宋体" w:cs="宋体"/>
                <w:color w:val="auto"/>
                <w:spacing w:val="2"/>
                <w:w w:val="99"/>
                <w:sz w:val="20"/>
                <w:szCs w:val="20"/>
                <w:lang w:eastAsia="zh-CN"/>
              </w:rPr>
              <w:t>和</w:t>
            </w:r>
            <w:r>
              <w:rPr>
                <w:rFonts w:hint="eastAsia" w:ascii="宋体" w:hAnsi="宋体" w:cs="宋体"/>
                <w:color w:val="auto"/>
                <w:w w:val="99"/>
                <w:sz w:val="20"/>
                <w:szCs w:val="20"/>
                <w:lang w:eastAsia="zh-CN"/>
              </w:rPr>
              <w:t>传真</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tc>
      </w:tr>
      <w:tr w14:paraId="1170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73E0A36A">
            <w:pPr>
              <w:widowControl/>
              <w:jc w:val="center"/>
              <w:rPr>
                <w:color w:val="auto"/>
              </w:rPr>
            </w:pPr>
          </w:p>
        </w:tc>
        <w:tc>
          <w:tcPr>
            <w:tcW w:w="1365" w:type="dxa"/>
            <w:vMerge w:val="continue"/>
            <w:shd w:val="clear" w:color="auto" w:fill="auto"/>
            <w:vAlign w:val="center"/>
          </w:tcPr>
          <w:p w14:paraId="4ECA0DB4">
            <w:pPr>
              <w:widowControl/>
              <w:rPr>
                <w:color w:val="auto"/>
              </w:rPr>
            </w:pPr>
          </w:p>
        </w:tc>
        <w:tc>
          <w:tcPr>
            <w:tcW w:w="1980" w:type="dxa"/>
            <w:shd w:val="clear" w:color="auto" w:fill="auto"/>
            <w:vAlign w:val="center"/>
          </w:tcPr>
          <w:p w14:paraId="5BF681E3">
            <w:pPr>
              <w:pStyle w:val="76"/>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604显示设备</w:t>
            </w:r>
          </w:p>
        </w:tc>
        <w:tc>
          <w:tcPr>
            <w:tcW w:w="1932" w:type="dxa"/>
            <w:shd w:val="clear" w:color="auto" w:fill="auto"/>
            <w:vAlign w:val="center"/>
          </w:tcPr>
          <w:p w14:paraId="5C57C1D1">
            <w:pPr>
              <w:pStyle w:val="76"/>
              <w:ind w:left="7"/>
              <w:jc w:val="both"/>
              <w:rPr>
                <w:color w:val="auto"/>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w:t>
            </w:r>
            <w:r>
              <w:rPr>
                <w:rFonts w:hint="eastAsia" w:ascii="宋体" w:hAnsi="宋体" w:cs="宋体"/>
                <w:color w:val="auto"/>
                <w:spacing w:val="1"/>
                <w:w w:val="99"/>
                <w:sz w:val="20"/>
                <w:szCs w:val="20"/>
              </w:rPr>
              <w:t>4</w:t>
            </w:r>
            <w:r>
              <w:rPr>
                <w:rFonts w:hint="eastAsia" w:ascii="宋体" w:hAnsi="宋体" w:cs="宋体"/>
                <w:color w:val="auto"/>
                <w:w w:val="99"/>
                <w:sz w:val="20"/>
                <w:szCs w:val="20"/>
              </w:rPr>
              <w:t>01液晶显示器</w:t>
            </w:r>
          </w:p>
        </w:tc>
        <w:tc>
          <w:tcPr>
            <w:tcW w:w="3896" w:type="dxa"/>
            <w:shd w:val="clear" w:color="auto" w:fill="auto"/>
            <w:vAlign w:val="center"/>
          </w:tcPr>
          <w:p w14:paraId="1CDE352E">
            <w:pPr>
              <w:pStyle w:val="76"/>
              <w:ind w:left="7" w:right="4"/>
              <w:jc w:val="both"/>
              <w:rPr>
                <w:color w:val="auto"/>
                <w:lang w:eastAsia="zh-CN"/>
              </w:rPr>
            </w:pPr>
            <w:r>
              <w:rPr>
                <w:rFonts w:hint="eastAsia" w:ascii="宋体" w:hAnsi="宋体" w:cs="宋体"/>
                <w:color w:val="auto"/>
                <w:spacing w:val="12"/>
                <w:w w:val="99"/>
                <w:sz w:val="20"/>
                <w:szCs w:val="20"/>
                <w:lang w:eastAsia="zh-CN"/>
              </w:rPr>
              <w:t>《计算机显示器能效限</w:t>
            </w:r>
            <w:r>
              <w:rPr>
                <w:rFonts w:hint="eastAsia" w:ascii="宋体" w:hAnsi="宋体" w:cs="宋体"/>
                <w:color w:val="auto"/>
                <w:spacing w:val="9"/>
                <w:w w:val="99"/>
                <w:sz w:val="20"/>
                <w:szCs w:val="20"/>
                <w:lang w:eastAsia="zh-CN"/>
              </w:rPr>
              <w:t>定</w:t>
            </w:r>
            <w:r>
              <w:rPr>
                <w:rFonts w:hint="eastAsia" w:ascii="宋体" w:hAnsi="宋体" w:cs="宋体"/>
                <w:color w:val="auto"/>
                <w:spacing w:val="12"/>
                <w:w w:val="99"/>
                <w:sz w:val="20"/>
                <w:szCs w:val="20"/>
                <w:lang w:eastAsia="zh-CN"/>
              </w:rPr>
              <w:t>值及</w:t>
            </w:r>
            <w:r>
              <w:rPr>
                <w:rFonts w:hint="eastAsia" w:ascii="宋体" w:hAnsi="宋体" w:cs="宋体"/>
                <w:color w:val="auto"/>
                <w:w w:val="99"/>
                <w:sz w:val="20"/>
                <w:szCs w:val="20"/>
                <w:lang w:eastAsia="zh-CN"/>
              </w:rPr>
              <w:t>能效等级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0</w:t>
            </w:r>
            <w:r>
              <w:rPr>
                <w:rFonts w:hint="eastAsia" w:ascii="宋体" w:hAnsi="宋体" w:cs="宋体"/>
                <w:color w:val="auto"/>
                <w:w w:val="99"/>
                <w:sz w:val="20"/>
                <w:szCs w:val="20"/>
                <w:lang w:eastAsia="zh-CN"/>
              </w:rPr>
              <w:t>）</w:t>
            </w:r>
          </w:p>
        </w:tc>
      </w:tr>
      <w:tr w14:paraId="4313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0792F108">
            <w:pPr>
              <w:widowControl/>
              <w:jc w:val="center"/>
              <w:rPr>
                <w:color w:val="auto"/>
              </w:rPr>
            </w:pPr>
          </w:p>
        </w:tc>
        <w:tc>
          <w:tcPr>
            <w:tcW w:w="1365" w:type="dxa"/>
            <w:vMerge w:val="continue"/>
            <w:shd w:val="clear" w:color="auto" w:fill="auto"/>
            <w:vAlign w:val="center"/>
          </w:tcPr>
          <w:p w14:paraId="62E3B2D0">
            <w:pPr>
              <w:widowControl/>
              <w:rPr>
                <w:color w:val="auto"/>
              </w:rPr>
            </w:pPr>
          </w:p>
        </w:tc>
        <w:tc>
          <w:tcPr>
            <w:tcW w:w="1980" w:type="dxa"/>
            <w:shd w:val="clear" w:color="auto" w:fill="auto"/>
            <w:vAlign w:val="center"/>
          </w:tcPr>
          <w:p w14:paraId="3BBD6876">
            <w:pPr>
              <w:pStyle w:val="76"/>
              <w:ind w:left="7" w:right="5"/>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609图形图像输入设备</w:t>
            </w:r>
          </w:p>
        </w:tc>
        <w:tc>
          <w:tcPr>
            <w:tcW w:w="1932" w:type="dxa"/>
            <w:shd w:val="clear" w:color="auto" w:fill="auto"/>
            <w:vAlign w:val="center"/>
          </w:tcPr>
          <w:p w14:paraId="5573859B">
            <w:pPr>
              <w:pStyle w:val="76"/>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w:t>
            </w:r>
            <w:r>
              <w:rPr>
                <w:rFonts w:hint="eastAsia" w:ascii="宋体" w:hAnsi="宋体" w:cs="宋体"/>
                <w:color w:val="auto"/>
                <w:spacing w:val="1"/>
                <w:w w:val="99"/>
                <w:sz w:val="20"/>
                <w:szCs w:val="20"/>
              </w:rPr>
              <w:t>9</w:t>
            </w:r>
            <w:r>
              <w:rPr>
                <w:rFonts w:hint="eastAsia" w:ascii="宋体" w:hAnsi="宋体" w:cs="宋体"/>
                <w:color w:val="auto"/>
                <w:w w:val="99"/>
                <w:sz w:val="20"/>
                <w:szCs w:val="20"/>
              </w:rPr>
              <w:t>01扫描仪</w:t>
            </w:r>
          </w:p>
        </w:tc>
        <w:tc>
          <w:tcPr>
            <w:tcW w:w="3896" w:type="dxa"/>
            <w:shd w:val="clear" w:color="auto" w:fill="auto"/>
            <w:vAlign w:val="center"/>
          </w:tcPr>
          <w:p w14:paraId="084C0D8D">
            <w:pPr>
              <w:pStyle w:val="76"/>
              <w:ind w:left="7" w:right="7"/>
              <w:jc w:val="both"/>
              <w:rPr>
                <w:rFonts w:ascii="宋体" w:hAnsi="宋体" w:cs="宋体"/>
                <w:color w:val="auto"/>
                <w:sz w:val="20"/>
                <w:szCs w:val="20"/>
                <w:lang w:eastAsia="zh-CN"/>
              </w:rPr>
            </w:pPr>
            <w:r>
              <w:rPr>
                <w:rFonts w:hint="eastAsia" w:ascii="宋体" w:hAnsi="宋体" w:cs="宋体"/>
                <w:color w:val="auto"/>
                <w:w w:val="99"/>
                <w:sz w:val="20"/>
                <w:szCs w:val="20"/>
                <w:lang w:eastAsia="zh-CN"/>
              </w:rPr>
              <w:t>参</w:t>
            </w:r>
            <w:r>
              <w:rPr>
                <w:rFonts w:hint="eastAsia" w:ascii="宋体" w:hAnsi="宋体" w:cs="宋体"/>
                <w:color w:val="auto"/>
                <w:spacing w:val="-29"/>
                <w:w w:val="99"/>
                <w:sz w:val="20"/>
                <w:szCs w:val="20"/>
                <w:lang w:eastAsia="zh-CN"/>
              </w:rPr>
              <w:t>照</w:t>
            </w:r>
            <w:r>
              <w:rPr>
                <w:rFonts w:hint="eastAsia" w:ascii="宋体" w:hAnsi="宋体" w:cs="宋体"/>
                <w:color w:val="auto"/>
                <w:w w:val="99"/>
                <w:sz w:val="20"/>
                <w:szCs w:val="20"/>
                <w:lang w:eastAsia="zh-CN"/>
              </w:rPr>
              <w:t>《</w:t>
            </w:r>
            <w:r>
              <w:rPr>
                <w:rFonts w:hint="eastAsia" w:ascii="宋体" w:hAnsi="宋体" w:cs="宋体"/>
                <w:color w:val="auto"/>
                <w:spacing w:val="2"/>
                <w:w w:val="99"/>
                <w:sz w:val="20"/>
                <w:szCs w:val="20"/>
                <w:lang w:eastAsia="zh-CN"/>
              </w:rPr>
              <w:t>复</w:t>
            </w:r>
            <w:r>
              <w:rPr>
                <w:rFonts w:hint="eastAsia" w:ascii="宋体" w:hAnsi="宋体" w:cs="宋体"/>
                <w:color w:val="auto"/>
                <w:w w:val="99"/>
                <w:sz w:val="20"/>
                <w:szCs w:val="20"/>
                <w:lang w:eastAsia="zh-CN"/>
              </w:rPr>
              <w:t>印</w:t>
            </w:r>
            <w:r>
              <w:rPr>
                <w:rFonts w:hint="eastAsia" w:ascii="宋体" w:hAnsi="宋体" w:cs="宋体"/>
                <w:color w:val="auto"/>
                <w:spacing w:val="2"/>
                <w:w w:val="99"/>
                <w:sz w:val="20"/>
                <w:szCs w:val="20"/>
                <w:lang w:eastAsia="zh-CN"/>
              </w:rPr>
              <w:t>机</w:t>
            </w:r>
            <w:r>
              <w:rPr>
                <w:rFonts w:hint="eastAsia" w:ascii="宋体" w:hAnsi="宋体" w:cs="宋体"/>
                <w:color w:val="auto"/>
                <w:spacing w:val="-29"/>
                <w:w w:val="99"/>
                <w:sz w:val="20"/>
                <w:szCs w:val="20"/>
                <w:lang w:eastAsia="zh-CN"/>
              </w:rPr>
              <w:t>、</w:t>
            </w:r>
            <w:r>
              <w:rPr>
                <w:rFonts w:hint="eastAsia" w:ascii="宋体" w:hAnsi="宋体" w:cs="宋体"/>
                <w:color w:val="auto"/>
                <w:w w:val="99"/>
                <w:sz w:val="20"/>
                <w:szCs w:val="20"/>
                <w:lang w:eastAsia="zh-CN"/>
              </w:rPr>
              <w:t>打</w:t>
            </w:r>
            <w:r>
              <w:rPr>
                <w:rFonts w:hint="eastAsia" w:ascii="宋体" w:hAnsi="宋体" w:cs="宋体"/>
                <w:color w:val="auto"/>
                <w:spacing w:val="2"/>
                <w:w w:val="99"/>
                <w:sz w:val="20"/>
                <w:szCs w:val="20"/>
                <w:lang w:eastAsia="zh-CN"/>
              </w:rPr>
              <w:t>印</w:t>
            </w:r>
            <w:r>
              <w:rPr>
                <w:rFonts w:hint="eastAsia" w:ascii="宋体" w:hAnsi="宋体" w:cs="宋体"/>
                <w:color w:val="auto"/>
                <w:w w:val="99"/>
                <w:sz w:val="20"/>
                <w:szCs w:val="20"/>
                <w:lang w:eastAsia="zh-CN"/>
              </w:rPr>
              <w:t>机和</w:t>
            </w:r>
            <w:r>
              <w:rPr>
                <w:rFonts w:hint="eastAsia" w:ascii="宋体" w:hAnsi="宋体" w:cs="宋体"/>
                <w:color w:val="auto"/>
                <w:spacing w:val="2"/>
                <w:w w:val="99"/>
                <w:sz w:val="20"/>
                <w:szCs w:val="20"/>
                <w:lang w:eastAsia="zh-CN"/>
              </w:rPr>
              <w:t>传</w:t>
            </w:r>
            <w:r>
              <w:rPr>
                <w:rFonts w:hint="eastAsia" w:ascii="宋体" w:hAnsi="宋体" w:cs="宋体"/>
                <w:color w:val="auto"/>
                <w:w w:val="99"/>
                <w:sz w:val="20"/>
                <w:szCs w:val="20"/>
                <w:lang w:eastAsia="zh-CN"/>
              </w:rPr>
              <w:t>真机能效限定</w:t>
            </w:r>
            <w:r>
              <w:rPr>
                <w:rFonts w:hint="eastAsia" w:ascii="宋体" w:hAnsi="宋体" w:cs="宋体"/>
                <w:color w:val="auto"/>
                <w:spacing w:val="2"/>
                <w:w w:val="99"/>
                <w:sz w:val="20"/>
                <w:szCs w:val="20"/>
                <w:lang w:eastAsia="zh-CN"/>
              </w:rPr>
              <w:t>值</w:t>
            </w:r>
            <w:r>
              <w:rPr>
                <w:rFonts w:hint="eastAsia" w:ascii="宋体" w:hAnsi="宋体" w:cs="宋体"/>
                <w:color w:val="auto"/>
                <w:w w:val="99"/>
                <w:sz w:val="20"/>
                <w:szCs w:val="20"/>
                <w:lang w:eastAsia="zh-CN"/>
              </w:rPr>
              <w:t>及能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p w14:paraId="5610919B">
            <w:pPr>
              <w:pStyle w:val="76"/>
              <w:ind w:left="7" w:right="5"/>
              <w:jc w:val="both"/>
              <w:rPr>
                <w:color w:val="auto"/>
                <w:lang w:eastAsia="zh-CN"/>
              </w:rPr>
            </w:pPr>
            <w:r>
              <w:rPr>
                <w:rFonts w:hint="eastAsia" w:ascii="宋体" w:hAnsi="宋体" w:cs="宋体"/>
                <w:color w:val="auto"/>
                <w:spacing w:val="2"/>
                <w:w w:val="99"/>
                <w:sz w:val="20"/>
                <w:szCs w:val="20"/>
                <w:lang w:eastAsia="zh-CN"/>
              </w:rPr>
              <w:t>中</w:t>
            </w:r>
            <w:r>
              <w:rPr>
                <w:rFonts w:hint="eastAsia" w:ascii="宋体" w:hAnsi="宋体" w:cs="宋体"/>
                <w:color w:val="auto"/>
                <w:spacing w:val="4"/>
                <w:w w:val="99"/>
                <w:sz w:val="20"/>
                <w:szCs w:val="20"/>
                <w:lang w:eastAsia="zh-CN"/>
              </w:rPr>
              <w:t>打印速</w:t>
            </w:r>
            <w:r>
              <w:rPr>
                <w:rFonts w:hint="eastAsia" w:ascii="宋体" w:hAnsi="宋体" w:cs="宋体"/>
                <w:color w:val="auto"/>
                <w:spacing w:val="2"/>
                <w:w w:val="99"/>
                <w:sz w:val="20"/>
                <w:szCs w:val="20"/>
                <w:lang w:eastAsia="zh-CN"/>
              </w:rPr>
              <w:t>度</w:t>
            </w:r>
            <w:r>
              <w:rPr>
                <w:rFonts w:hint="eastAsia" w:ascii="宋体" w:hAnsi="宋体" w:cs="宋体"/>
                <w:color w:val="auto"/>
                <w:w w:val="99"/>
                <w:sz w:val="20"/>
                <w:szCs w:val="20"/>
                <w:lang w:eastAsia="zh-CN"/>
              </w:rPr>
              <w:t>为</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5</w:t>
            </w:r>
            <w:r>
              <w:rPr>
                <w:rFonts w:hint="eastAsia" w:ascii="宋体" w:hAnsi="宋体" w:cs="宋体"/>
                <w:color w:val="auto"/>
                <w:spacing w:val="2"/>
                <w:w w:val="99"/>
                <w:sz w:val="20"/>
                <w:szCs w:val="20"/>
                <w:lang w:eastAsia="zh-CN"/>
              </w:rPr>
              <w:t>页</w:t>
            </w:r>
            <w:r>
              <w:rPr>
                <w:rFonts w:hint="eastAsia" w:ascii="宋体" w:hAnsi="宋体" w:cs="宋体"/>
                <w:color w:val="auto"/>
                <w:spacing w:val="5"/>
                <w:w w:val="99"/>
                <w:sz w:val="20"/>
                <w:szCs w:val="20"/>
                <w:lang w:eastAsia="zh-CN"/>
              </w:rPr>
              <w:t>/</w:t>
            </w:r>
            <w:r>
              <w:rPr>
                <w:rFonts w:hint="eastAsia" w:ascii="宋体" w:hAnsi="宋体" w:cs="宋体"/>
                <w:color w:val="auto"/>
                <w:spacing w:val="4"/>
                <w:w w:val="99"/>
                <w:sz w:val="20"/>
                <w:szCs w:val="20"/>
                <w:lang w:eastAsia="zh-CN"/>
              </w:rPr>
              <w:t>分的</w:t>
            </w:r>
            <w:r>
              <w:rPr>
                <w:rFonts w:hint="eastAsia" w:ascii="宋体" w:hAnsi="宋体" w:cs="宋体"/>
                <w:color w:val="auto"/>
                <w:spacing w:val="2"/>
                <w:w w:val="99"/>
                <w:sz w:val="20"/>
                <w:szCs w:val="20"/>
                <w:lang w:eastAsia="zh-CN"/>
              </w:rPr>
              <w:t>针</w:t>
            </w:r>
            <w:r>
              <w:rPr>
                <w:rFonts w:hint="eastAsia" w:ascii="宋体" w:hAnsi="宋体" w:cs="宋体"/>
                <w:color w:val="auto"/>
                <w:spacing w:val="4"/>
                <w:w w:val="99"/>
                <w:sz w:val="20"/>
                <w:szCs w:val="20"/>
                <w:lang w:eastAsia="zh-CN"/>
              </w:rPr>
              <w:t>式</w:t>
            </w:r>
            <w:r>
              <w:rPr>
                <w:rFonts w:hint="eastAsia" w:ascii="宋体" w:hAnsi="宋体" w:cs="宋体"/>
                <w:color w:val="auto"/>
                <w:w w:val="99"/>
                <w:sz w:val="20"/>
                <w:szCs w:val="20"/>
                <w:lang w:eastAsia="zh-CN"/>
              </w:rPr>
              <w:t>打印机相</w:t>
            </w:r>
            <w:r>
              <w:rPr>
                <w:rFonts w:hint="eastAsia" w:ascii="宋体" w:hAnsi="宋体" w:cs="宋体"/>
                <w:color w:val="auto"/>
                <w:spacing w:val="2"/>
                <w:w w:val="99"/>
                <w:sz w:val="20"/>
                <w:szCs w:val="20"/>
                <w:lang w:eastAsia="zh-CN"/>
              </w:rPr>
              <w:t>关</w:t>
            </w:r>
            <w:r>
              <w:rPr>
                <w:rFonts w:hint="eastAsia" w:ascii="宋体" w:hAnsi="宋体" w:cs="宋体"/>
                <w:color w:val="auto"/>
                <w:w w:val="99"/>
                <w:sz w:val="20"/>
                <w:szCs w:val="20"/>
                <w:lang w:eastAsia="zh-CN"/>
              </w:rPr>
              <w:t>要求</w:t>
            </w:r>
          </w:p>
        </w:tc>
      </w:tr>
      <w:tr w14:paraId="570D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shd w:val="clear" w:color="auto" w:fill="auto"/>
            <w:vAlign w:val="center"/>
          </w:tcPr>
          <w:p w14:paraId="57D9863E">
            <w:pPr>
              <w:pStyle w:val="76"/>
              <w:ind w:right="1"/>
              <w:jc w:val="center"/>
              <w:rPr>
                <w:color w:val="auto"/>
              </w:rPr>
            </w:pPr>
            <w:r>
              <w:rPr>
                <w:rFonts w:hint="eastAsia" w:ascii="宋体"/>
                <w:color w:val="auto"/>
                <w:w w:val="99"/>
                <w:sz w:val="20"/>
              </w:rPr>
              <w:t>3</w:t>
            </w:r>
          </w:p>
        </w:tc>
        <w:tc>
          <w:tcPr>
            <w:tcW w:w="1365" w:type="dxa"/>
            <w:shd w:val="clear" w:color="auto" w:fill="auto"/>
            <w:vAlign w:val="center"/>
          </w:tcPr>
          <w:p w14:paraId="78627F28">
            <w:pPr>
              <w:pStyle w:val="76"/>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02</w:t>
            </w:r>
            <w:r>
              <w:rPr>
                <w:rFonts w:hint="eastAsia" w:ascii="宋体" w:hAnsi="宋体" w:cs="宋体"/>
                <w:color w:val="auto"/>
                <w:spacing w:val="1"/>
                <w:w w:val="99"/>
                <w:sz w:val="20"/>
                <w:szCs w:val="20"/>
              </w:rPr>
              <w:t>0</w:t>
            </w:r>
            <w:r>
              <w:rPr>
                <w:rFonts w:hint="eastAsia" w:ascii="宋体" w:hAnsi="宋体" w:cs="宋体"/>
                <w:color w:val="auto"/>
                <w:w w:val="99"/>
                <w:sz w:val="20"/>
                <w:szCs w:val="20"/>
              </w:rPr>
              <w:t>2投影仪</w:t>
            </w:r>
          </w:p>
        </w:tc>
        <w:tc>
          <w:tcPr>
            <w:tcW w:w="1980" w:type="dxa"/>
            <w:shd w:val="clear" w:color="auto" w:fill="auto"/>
            <w:vAlign w:val="center"/>
          </w:tcPr>
          <w:p w14:paraId="315E6FC8">
            <w:pPr>
              <w:rPr>
                <w:color w:val="auto"/>
              </w:rPr>
            </w:pPr>
          </w:p>
        </w:tc>
        <w:tc>
          <w:tcPr>
            <w:tcW w:w="1932" w:type="dxa"/>
            <w:shd w:val="clear" w:color="auto" w:fill="auto"/>
            <w:vAlign w:val="center"/>
          </w:tcPr>
          <w:p w14:paraId="63BCB10B">
            <w:pPr>
              <w:rPr>
                <w:color w:val="auto"/>
              </w:rPr>
            </w:pPr>
          </w:p>
        </w:tc>
        <w:tc>
          <w:tcPr>
            <w:tcW w:w="3896" w:type="dxa"/>
            <w:shd w:val="clear" w:color="auto" w:fill="auto"/>
            <w:vAlign w:val="center"/>
          </w:tcPr>
          <w:p w14:paraId="6FDB7511">
            <w:pPr>
              <w:pStyle w:val="76"/>
              <w:ind w:left="7"/>
              <w:jc w:val="both"/>
              <w:rPr>
                <w:color w:val="auto"/>
                <w:lang w:eastAsia="zh-CN"/>
              </w:rPr>
            </w:pPr>
            <w:r>
              <w:rPr>
                <w:rFonts w:hint="eastAsia" w:ascii="宋体" w:hAnsi="宋体" w:cs="宋体"/>
                <w:color w:val="auto"/>
                <w:w w:val="99"/>
                <w:sz w:val="20"/>
                <w:szCs w:val="20"/>
                <w:lang w:eastAsia="zh-CN"/>
              </w:rPr>
              <w:t>《投影</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能效</w:t>
            </w:r>
            <w:r>
              <w:rPr>
                <w:rFonts w:hint="eastAsia" w:ascii="宋体" w:hAnsi="宋体" w:cs="宋体"/>
                <w:color w:val="auto"/>
                <w:spacing w:val="2"/>
                <w:w w:val="99"/>
                <w:sz w:val="20"/>
                <w:szCs w:val="20"/>
                <w:lang w:eastAsia="zh-CN"/>
              </w:rPr>
              <w:t>限</w:t>
            </w:r>
            <w:r>
              <w:rPr>
                <w:rFonts w:hint="eastAsia" w:ascii="宋体" w:hAnsi="宋体" w:cs="宋体"/>
                <w:color w:val="auto"/>
                <w:w w:val="99"/>
                <w:sz w:val="20"/>
                <w:szCs w:val="20"/>
                <w:lang w:eastAsia="zh-CN"/>
              </w:rPr>
              <w:t>定值</w:t>
            </w:r>
            <w:r>
              <w:rPr>
                <w:rFonts w:hint="eastAsia" w:ascii="宋体" w:hAnsi="宋体" w:cs="宋体"/>
                <w:color w:val="auto"/>
                <w:spacing w:val="2"/>
                <w:w w:val="99"/>
                <w:sz w:val="20"/>
                <w:szCs w:val="20"/>
                <w:lang w:eastAsia="zh-CN"/>
              </w:rPr>
              <w:t>及</w:t>
            </w:r>
            <w:r>
              <w:rPr>
                <w:rFonts w:hint="eastAsia" w:ascii="宋体" w:hAnsi="宋体" w:cs="宋体"/>
                <w:color w:val="auto"/>
                <w:w w:val="99"/>
                <w:sz w:val="20"/>
                <w:szCs w:val="20"/>
                <w:lang w:eastAsia="zh-CN"/>
              </w:rPr>
              <w:t>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w:t>
            </w:r>
            <w:r>
              <w:rPr>
                <w:rFonts w:hint="eastAsia" w:ascii="宋体" w:hAnsi="宋体" w:cs="宋体"/>
                <w:color w:val="auto"/>
                <w:w w:val="99"/>
                <w:sz w:val="20"/>
                <w:szCs w:val="20"/>
                <w:lang w:eastAsia="zh-CN"/>
              </w:rPr>
              <w:t>20</w:t>
            </w:r>
            <w:r>
              <w:rPr>
                <w:rFonts w:hint="eastAsia" w:ascii="宋体" w:hAnsi="宋体" w:cs="宋体"/>
                <w:color w:val="auto"/>
                <w:spacing w:val="1"/>
                <w:w w:val="99"/>
                <w:sz w:val="20"/>
                <w:szCs w:val="20"/>
                <w:lang w:eastAsia="zh-CN"/>
              </w:rPr>
              <w:t>28</w:t>
            </w:r>
            <w:r>
              <w:rPr>
                <w:rFonts w:hint="eastAsia" w:ascii="宋体" w:hAnsi="宋体" w:cs="宋体"/>
                <w:color w:val="auto"/>
                <w:w w:val="99"/>
                <w:sz w:val="20"/>
                <w:szCs w:val="20"/>
                <w:lang w:eastAsia="zh-CN"/>
              </w:rPr>
              <w:t>）</w:t>
            </w:r>
          </w:p>
        </w:tc>
      </w:tr>
      <w:tr w14:paraId="61C1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shd w:val="clear" w:color="auto" w:fill="auto"/>
            <w:vAlign w:val="center"/>
          </w:tcPr>
          <w:p w14:paraId="64891C6C">
            <w:pPr>
              <w:pStyle w:val="76"/>
              <w:ind w:right="1"/>
              <w:jc w:val="center"/>
              <w:rPr>
                <w:color w:val="auto"/>
              </w:rPr>
            </w:pPr>
            <w:r>
              <w:rPr>
                <w:rFonts w:hint="eastAsia" w:ascii="宋体"/>
                <w:color w:val="auto"/>
                <w:w w:val="99"/>
                <w:sz w:val="20"/>
              </w:rPr>
              <w:t>4</w:t>
            </w:r>
          </w:p>
        </w:tc>
        <w:tc>
          <w:tcPr>
            <w:tcW w:w="1365" w:type="dxa"/>
            <w:shd w:val="clear" w:color="auto" w:fill="auto"/>
            <w:vAlign w:val="center"/>
          </w:tcPr>
          <w:p w14:paraId="4CE41219">
            <w:pPr>
              <w:pStyle w:val="76"/>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02</w:t>
            </w:r>
            <w:r>
              <w:rPr>
                <w:rFonts w:hint="eastAsia" w:ascii="宋体" w:hAnsi="宋体" w:cs="宋体"/>
                <w:color w:val="auto"/>
                <w:spacing w:val="1"/>
                <w:w w:val="99"/>
                <w:sz w:val="20"/>
                <w:szCs w:val="20"/>
              </w:rPr>
              <w:t>0</w:t>
            </w:r>
            <w:r>
              <w:rPr>
                <w:rFonts w:hint="eastAsia" w:ascii="宋体" w:hAnsi="宋体" w:cs="宋体"/>
                <w:color w:val="auto"/>
                <w:w w:val="99"/>
                <w:sz w:val="20"/>
                <w:szCs w:val="20"/>
              </w:rPr>
              <w:t>4多功能一体机</w:t>
            </w:r>
          </w:p>
        </w:tc>
        <w:tc>
          <w:tcPr>
            <w:tcW w:w="1980" w:type="dxa"/>
            <w:shd w:val="clear" w:color="auto" w:fill="auto"/>
            <w:vAlign w:val="center"/>
          </w:tcPr>
          <w:p w14:paraId="0707B3F6">
            <w:pPr>
              <w:rPr>
                <w:color w:val="auto"/>
              </w:rPr>
            </w:pPr>
          </w:p>
        </w:tc>
        <w:tc>
          <w:tcPr>
            <w:tcW w:w="1932" w:type="dxa"/>
            <w:shd w:val="clear" w:color="auto" w:fill="auto"/>
            <w:vAlign w:val="center"/>
          </w:tcPr>
          <w:p w14:paraId="48C0C038">
            <w:pPr>
              <w:rPr>
                <w:color w:val="auto"/>
              </w:rPr>
            </w:pPr>
          </w:p>
        </w:tc>
        <w:tc>
          <w:tcPr>
            <w:tcW w:w="3896" w:type="dxa"/>
            <w:shd w:val="clear" w:color="auto" w:fill="auto"/>
            <w:vAlign w:val="center"/>
          </w:tcPr>
          <w:p w14:paraId="37A2461B">
            <w:pPr>
              <w:pStyle w:val="76"/>
              <w:ind w:left="7" w:right="7"/>
              <w:jc w:val="both"/>
              <w:rPr>
                <w:color w:val="auto"/>
                <w:lang w:eastAsia="zh-CN"/>
              </w:rPr>
            </w:pPr>
            <w:r>
              <w:rPr>
                <w:rFonts w:hint="eastAsia" w:ascii="宋体" w:hAnsi="宋体" w:cs="宋体"/>
                <w:color w:val="auto"/>
                <w:w w:val="99"/>
                <w:sz w:val="20"/>
                <w:szCs w:val="20"/>
                <w:lang w:eastAsia="zh-CN"/>
              </w:rPr>
              <w:t>《复印</w:t>
            </w:r>
            <w:r>
              <w:rPr>
                <w:rFonts w:hint="eastAsia" w:ascii="宋体" w:hAnsi="宋体" w:cs="宋体"/>
                <w:color w:val="auto"/>
                <w:spacing w:val="2"/>
                <w:w w:val="99"/>
                <w:sz w:val="20"/>
                <w:szCs w:val="20"/>
                <w:lang w:eastAsia="zh-CN"/>
              </w:rPr>
              <w:t>机</w:t>
            </w:r>
            <w:r>
              <w:rPr>
                <w:rFonts w:hint="eastAsia" w:ascii="宋体" w:hAnsi="宋体" w:cs="宋体"/>
                <w:color w:val="auto"/>
                <w:spacing w:val="-58"/>
                <w:w w:val="99"/>
                <w:sz w:val="20"/>
                <w:szCs w:val="20"/>
                <w:lang w:eastAsia="zh-CN"/>
              </w:rPr>
              <w:t>、</w:t>
            </w:r>
            <w:r>
              <w:rPr>
                <w:rFonts w:hint="eastAsia" w:ascii="宋体" w:hAnsi="宋体" w:cs="宋体"/>
                <w:color w:val="auto"/>
                <w:spacing w:val="2"/>
                <w:w w:val="99"/>
                <w:sz w:val="20"/>
                <w:szCs w:val="20"/>
                <w:lang w:eastAsia="zh-CN"/>
              </w:rPr>
              <w:t>打</w:t>
            </w:r>
            <w:r>
              <w:rPr>
                <w:rFonts w:hint="eastAsia" w:ascii="宋体" w:hAnsi="宋体" w:cs="宋体"/>
                <w:color w:val="auto"/>
                <w:w w:val="99"/>
                <w:sz w:val="20"/>
                <w:szCs w:val="20"/>
                <w:lang w:eastAsia="zh-CN"/>
              </w:rPr>
              <w:t>印机</w:t>
            </w:r>
            <w:r>
              <w:rPr>
                <w:rFonts w:hint="eastAsia" w:ascii="宋体" w:hAnsi="宋体" w:cs="宋体"/>
                <w:color w:val="auto"/>
                <w:spacing w:val="2"/>
                <w:w w:val="99"/>
                <w:sz w:val="20"/>
                <w:szCs w:val="20"/>
                <w:lang w:eastAsia="zh-CN"/>
              </w:rPr>
              <w:t>和</w:t>
            </w:r>
            <w:r>
              <w:rPr>
                <w:rFonts w:hint="eastAsia" w:ascii="宋体" w:hAnsi="宋体" w:cs="宋体"/>
                <w:color w:val="auto"/>
                <w:w w:val="99"/>
                <w:sz w:val="20"/>
                <w:szCs w:val="20"/>
                <w:lang w:eastAsia="zh-CN"/>
              </w:rPr>
              <w:t>传真</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tc>
      </w:tr>
      <w:tr w14:paraId="6435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shd w:val="clear" w:color="auto" w:fill="auto"/>
            <w:vAlign w:val="center"/>
          </w:tcPr>
          <w:p w14:paraId="15C62156">
            <w:pPr>
              <w:pStyle w:val="76"/>
              <w:ind w:right="1"/>
              <w:jc w:val="center"/>
              <w:rPr>
                <w:color w:val="auto"/>
              </w:rPr>
            </w:pPr>
            <w:r>
              <w:rPr>
                <w:rFonts w:hint="eastAsia" w:ascii="宋体"/>
                <w:color w:val="auto"/>
                <w:w w:val="99"/>
                <w:sz w:val="20"/>
              </w:rPr>
              <w:t>5</w:t>
            </w:r>
          </w:p>
        </w:tc>
        <w:tc>
          <w:tcPr>
            <w:tcW w:w="1365" w:type="dxa"/>
            <w:shd w:val="clear" w:color="auto" w:fill="auto"/>
            <w:vAlign w:val="center"/>
          </w:tcPr>
          <w:p w14:paraId="13EBFEA0">
            <w:pPr>
              <w:pStyle w:val="76"/>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05</w:t>
            </w:r>
            <w:r>
              <w:rPr>
                <w:rFonts w:hint="eastAsia" w:ascii="宋体" w:hAnsi="宋体" w:cs="宋体"/>
                <w:color w:val="auto"/>
                <w:spacing w:val="1"/>
                <w:w w:val="99"/>
                <w:sz w:val="20"/>
                <w:szCs w:val="20"/>
              </w:rPr>
              <w:t>1</w:t>
            </w:r>
            <w:r>
              <w:rPr>
                <w:rFonts w:hint="eastAsia" w:ascii="宋体" w:hAnsi="宋体" w:cs="宋体"/>
                <w:color w:val="auto"/>
                <w:w w:val="99"/>
                <w:sz w:val="20"/>
                <w:szCs w:val="20"/>
              </w:rPr>
              <w:t>9泵</w:t>
            </w:r>
          </w:p>
        </w:tc>
        <w:tc>
          <w:tcPr>
            <w:tcW w:w="1980" w:type="dxa"/>
            <w:shd w:val="clear" w:color="auto" w:fill="auto"/>
            <w:vAlign w:val="center"/>
          </w:tcPr>
          <w:p w14:paraId="6D2E305A">
            <w:pPr>
              <w:pStyle w:val="76"/>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05</w:t>
            </w:r>
            <w:r>
              <w:rPr>
                <w:rFonts w:hint="eastAsia" w:ascii="宋体" w:hAnsi="宋体" w:cs="宋体"/>
                <w:color w:val="auto"/>
                <w:spacing w:val="1"/>
                <w:w w:val="99"/>
                <w:sz w:val="20"/>
                <w:szCs w:val="20"/>
              </w:rPr>
              <w:t>1</w:t>
            </w:r>
            <w:r>
              <w:rPr>
                <w:rFonts w:hint="eastAsia" w:ascii="宋体" w:hAnsi="宋体" w:cs="宋体"/>
                <w:color w:val="auto"/>
                <w:w w:val="99"/>
                <w:sz w:val="20"/>
                <w:szCs w:val="20"/>
              </w:rPr>
              <w:t>901离心泵</w:t>
            </w:r>
          </w:p>
        </w:tc>
        <w:tc>
          <w:tcPr>
            <w:tcW w:w="1932" w:type="dxa"/>
            <w:shd w:val="clear" w:color="auto" w:fill="auto"/>
            <w:vAlign w:val="center"/>
          </w:tcPr>
          <w:p w14:paraId="7D636845">
            <w:pPr>
              <w:rPr>
                <w:color w:val="auto"/>
              </w:rPr>
            </w:pPr>
          </w:p>
        </w:tc>
        <w:tc>
          <w:tcPr>
            <w:tcW w:w="3896" w:type="dxa"/>
            <w:shd w:val="clear" w:color="auto" w:fill="auto"/>
            <w:vAlign w:val="center"/>
          </w:tcPr>
          <w:p w14:paraId="11C1DCCE">
            <w:pPr>
              <w:pStyle w:val="76"/>
              <w:ind w:left="7" w:right="4"/>
              <w:jc w:val="both"/>
              <w:rPr>
                <w:color w:val="auto"/>
                <w:lang w:eastAsia="zh-CN"/>
              </w:rPr>
            </w:pPr>
            <w:r>
              <w:rPr>
                <w:rFonts w:hint="eastAsia" w:ascii="宋体" w:hAnsi="宋体" w:cs="宋体"/>
                <w:color w:val="auto"/>
                <w:spacing w:val="12"/>
                <w:w w:val="99"/>
                <w:sz w:val="20"/>
                <w:szCs w:val="20"/>
                <w:lang w:eastAsia="zh-CN"/>
              </w:rPr>
              <w:t>《清水离心泵能效限定</w:t>
            </w:r>
            <w:r>
              <w:rPr>
                <w:rFonts w:hint="eastAsia" w:ascii="宋体" w:hAnsi="宋体" w:cs="宋体"/>
                <w:color w:val="auto"/>
                <w:spacing w:val="9"/>
                <w:w w:val="99"/>
                <w:sz w:val="20"/>
                <w:szCs w:val="20"/>
                <w:lang w:eastAsia="zh-CN"/>
              </w:rPr>
              <w:t>值</w:t>
            </w:r>
            <w:r>
              <w:rPr>
                <w:rFonts w:hint="eastAsia" w:ascii="宋体" w:hAnsi="宋体" w:cs="宋体"/>
                <w:color w:val="auto"/>
                <w:spacing w:val="12"/>
                <w:w w:val="99"/>
                <w:sz w:val="20"/>
                <w:szCs w:val="20"/>
                <w:lang w:eastAsia="zh-CN"/>
              </w:rPr>
              <w:t>及节</w:t>
            </w:r>
            <w:r>
              <w:rPr>
                <w:rFonts w:hint="eastAsia" w:ascii="宋体" w:hAnsi="宋体" w:cs="宋体"/>
                <w:color w:val="auto"/>
                <w:w w:val="99"/>
                <w:sz w:val="20"/>
                <w:szCs w:val="20"/>
                <w:lang w:eastAsia="zh-CN"/>
              </w:rPr>
              <w:t>能评价值</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19</w:t>
            </w:r>
            <w:r>
              <w:rPr>
                <w:rFonts w:hint="eastAsia" w:ascii="宋体" w:hAnsi="宋体" w:cs="宋体"/>
                <w:color w:val="auto"/>
                <w:w w:val="99"/>
                <w:sz w:val="20"/>
                <w:szCs w:val="20"/>
                <w:lang w:eastAsia="zh-CN"/>
              </w:rPr>
              <w:t>76</w:t>
            </w:r>
            <w:r>
              <w:rPr>
                <w:rFonts w:hint="eastAsia" w:ascii="宋体" w:hAnsi="宋体" w:cs="宋体"/>
                <w:color w:val="auto"/>
                <w:spacing w:val="1"/>
                <w:w w:val="99"/>
                <w:sz w:val="20"/>
                <w:szCs w:val="20"/>
                <w:lang w:eastAsia="zh-CN"/>
              </w:rPr>
              <w:t>2</w:t>
            </w:r>
            <w:r>
              <w:rPr>
                <w:rFonts w:hint="eastAsia" w:ascii="宋体" w:hAnsi="宋体" w:cs="宋体"/>
                <w:color w:val="auto"/>
                <w:w w:val="99"/>
                <w:sz w:val="20"/>
                <w:szCs w:val="20"/>
                <w:lang w:eastAsia="zh-CN"/>
              </w:rPr>
              <w:t>）</w:t>
            </w:r>
          </w:p>
        </w:tc>
      </w:tr>
      <w:tr w14:paraId="5DFF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restart"/>
            <w:shd w:val="clear" w:color="auto" w:fill="auto"/>
            <w:vAlign w:val="center"/>
          </w:tcPr>
          <w:p w14:paraId="677BF009">
            <w:pPr>
              <w:pStyle w:val="13"/>
              <w:spacing w:after="0"/>
              <w:jc w:val="center"/>
              <w:rPr>
                <w:color w:val="auto"/>
              </w:rPr>
            </w:pPr>
            <w:r>
              <w:rPr>
                <w:rFonts w:hint="eastAsia"/>
                <w:color w:val="auto"/>
              </w:rPr>
              <w:t>6</w:t>
            </w:r>
          </w:p>
        </w:tc>
        <w:tc>
          <w:tcPr>
            <w:tcW w:w="1365" w:type="dxa"/>
            <w:vMerge w:val="restart"/>
            <w:shd w:val="clear" w:color="auto" w:fill="auto"/>
            <w:vAlign w:val="center"/>
          </w:tcPr>
          <w:p w14:paraId="64CB674C">
            <w:pPr>
              <w:pStyle w:val="76"/>
              <w:ind w:left="7"/>
              <w:jc w:val="both"/>
              <w:rPr>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05</w:t>
            </w:r>
            <w:r>
              <w:rPr>
                <w:rFonts w:hint="eastAsia" w:ascii="宋体" w:hAnsi="宋体" w:cs="宋体"/>
                <w:color w:val="auto"/>
                <w:spacing w:val="1"/>
                <w:w w:val="99"/>
                <w:sz w:val="20"/>
                <w:szCs w:val="20"/>
              </w:rPr>
              <w:t>2</w:t>
            </w:r>
            <w:r>
              <w:rPr>
                <w:rFonts w:hint="eastAsia" w:ascii="宋体" w:hAnsi="宋体" w:cs="宋体"/>
                <w:color w:val="auto"/>
                <w:w w:val="99"/>
                <w:sz w:val="20"/>
                <w:szCs w:val="20"/>
              </w:rPr>
              <w:t>3制冷空调设备</w:t>
            </w:r>
          </w:p>
        </w:tc>
        <w:tc>
          <w:tcPr>
            <w:tcW w:w="1980" w:type="dxa"/>
            <w:vMerge w:val="restart"/>
            <w:shd w:val="clear" w:color="auto" w:fill="auto"/>
            <w:vAlign w:val="center"/>
          </w:tcPr>
          <w:p w14:paraId="77D3AAE8">
            <w:pPr>
              <w:pStyle w:val="76"/>
              <w:ind w:left="7" w:right="5"/>
              <w:jc w:val="both"/>
              <w:rPr>
                <w:color w:val="auto"/>
                <w:sz w:val="20"/>
                <w:szCs w:val="20"/>
                <w:lang w:eastAsia="zh-CN"/>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52</w:t>
            </w:r>
            <w:r>
              <w:rPr>
                <w:rFonts w:hint="eastAsia" w:ascii="宋体" w:hAnsi="宋体" w:cs="宋体"/>
                <w:color w:val="auto"/>
                <w:spacing w:val="1"/>
                <w:w w:val="99"/>
                <w:sz w:val="20"/>
                <w:szCs w:val="20"/>
              </w:rPr>
              <w:t>3</w:t>
            </w:r>
            <w:r>
              <w:rPr>
                <w:rFonts w:hint="eastAsia" w:ascii="宋体" w:hAnsi="宋体" w:cs="宋体"/>
                <w:color w:val="auto"/>
                <w:w w:val="99"/>
                <w:sz w:val="20"/>
                <w:szCs w:val="20"/>
              </w:rPr>
              <w:t>01制冷</w:t>
            </w:r>
            <w:r>
              <w:rPr>
                <w:rFonts w:hint="eastAsia" w:ascii="宋体" w:hAnsi="宋体" w:cs="宋体"/>
                <w:color w:val="auto"/>
                <w:w w:val="99"/>
                <w:sz w:val="20"/>
                <w:szCs w:val="20"/>
                <w:lang w:eastAsia="zh-CN"/>
              </w:rPr>
              <w:t>压缩机</w:t>
            </w:r>
          </w:p>
        </w:tc>
        <w:tc>
          <w:tcPr>
            <w:tcW w:w="1932" w:type="dxa"/>
            <w:shd w:val="clear" w:color="auto" w:fill="auto"/>
            <w:vAlign w:val="center"/>
          </w:tcPr>
          <w:p w14:paraId="5A3477F5">
            <w:pPr>
              <w:pStyle w:val="76"/>
              <w:ind w:left="7"/>
              <w:jc w:val="both"/>
              <w:rPr>
                <w:color w:val="auto"/>
              </w:rPr>
            </w:pPr>
            <w:r>
              <w:rPr>
                <w:rFonts w:hint="eastAsia" w:ascii="宋体" w:hAnsi="宋体" w:cs="宋体"/>
                <w:color w:val="auto"/>
                <w:w w:val="99"/>
                <w:sz w:val="20"/>
                <w:szCs w:val="20"/>
              </w:rPr>
              <w:t>冷水机组</w:t>
            </w:r>
          </w:p>
        </w:tc>
        <w:tc>
          <w:tcPr>
            <w:tcW w:w="3896" w:type="dxa"/>
            <w:shd w:val="clear" w:color="auto" w:fill="auto"/>
            <w:vAlign w:val="center"/>
          </w:tcPr>
          <w:p w14:paraId="623ACCCE">
            <w:pPr>
              <w:pStyle w:val="76"/>
              <w:ind w:left="7" w:right="4"/>
              <w:jc w:val="both"/>
              <w:rPr>
                <w:color w:val="auto"/>
                <w:lang w:eastAsia="zh-CN"/>
              </w:rPr>
            </w:pPr>
            <w:r>
              <w:rPr>
                <w:rFonts w:hint="eastAsia" w:ascii="宋体" w:hAnsi="宋体" w:cs="宋体"/>
                <w:color w:val="auto"/>
                <w:spacing w:val="12"/>
                <w:w w:val="99"/>
                <w:sz w:val="20"/>
                <w:szCs w:val="20"/>
                <w:lang w:eastAsia="zh-CN"/>
              </w:rPr>
              <w:t>《冷水机组能效限定值</w:t>
            </w:r>
            <w:r>
              <w:rPr>
                <w:rFonts w:hint="eastAsia" w:ascii="宋体" w:hAnsi="宋体" w:cs="宋体"/>
                <w:color w:val="auto"/>
                <w:spacing w:val="9"/>
                <w:w w:val="99"/>
                <w:sz w:val="20"/>
                <w:szCs w:val="20"/>
                <w:lang w:eastAsia="zh-CN"/>
              </w:rPr>
              <w:t>及</w:t>
            </w:r>
            <w:r>
              <w:rPr>
                <w:rFonts w:hint="eastAsia" w:ascii="宋体" w:hAnsi="宋体" w:cs="宋体"/>
                <w:color w:val="auto"/>
                <w:spacing w:val="12"/>
                <w:w w:val="99"/>
                <w:sz w:val="20"/>
                <w:szCs w:val="20"/>
                <w:lang w:eastAsia="zh-CN"/>
              </w:rPr>
              <w:t>能效</w:t>
            </w:r>
            <w:r>
              <w:rPr>
                <w:rFonts w:hint="eastAsia" w:ascii="宋体" w:hAnsi="宋体" w:cs="宋体"/>
                <w:color w:val="auto"/>
                <w:w w:val="99"/>
                <w:sz w:val="20"/>
                <w:szCs w:val="20"/>
                <w:lang w:eastAsia="zh-CN"/>
              </w:rPr>
              <w:t>等级</w:t>
            </w:r>
            <w:r>
              <w:rPr>
                <w:rFonts w:hint="eastAsia" w:ascii="宋体" w:hAnsi="宋体" w:cs="宋体"/>
                <w:color w:val="auto"/>
                <w:spacing w:val="-3"/>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195</w:t>
            </w:r>
            <w:r>
              <w:rPr>
                <w:rFonts w:hint="eastAsia" w:ascii="宋体" w:hAnsi="宋体" w:cs="宋体"/>
                <w:color w:val="auto"/>
                <w:w w:val="99"/>
                <w:sz w:val="20"/>
                <w:szCs w:val="20"/>
                <w:lang w:eastAsia="zh-CN"/>
              </w:rPr>
              <w:t>77</w:t>
            </w:r>
            <w:r>
              <w:rPr>
                <w:rFonts w:hint="eastAsia" w:ascii="宋体" w:hAnsi="宋体" w:cs="宋体"/>
                <w:color w:val="auto"/>
                <w:spacing w:val="-3"/>
                <w:w w:val="99"/>
                <w:sz w:val="20"/>
                <w:szCs w:val="20"/>
                <w:lang w:eastAsia="zh-CN"/>
              </w:rPr>
              <w:t>），</w:t>
            </w:r>
            <w:r>
              <w:rPr>
                <w:rFonts w:hint="eastAsia" w:ascii="宋体" w:hAnsi="宋体" w:cs="宋体"/>
                <w:color w:val="auto"/>
                <w:w w:val="99"/>
                <w:sz w:val="20"/>
                <w:szCs w:val="20"/>
                <w:lang w:eastAsia="zh-CN"/>
              </w:rPr>
              <w:t>《低</w:t>
            </w:r>
            <w:r>
              <w:rPr>
                <w:rFonts w:hint="eastAsia" w:ascii="宋体" w:hAnsi="宋体" w:cs="宋体"/>
                <w:color w:val="auto"/>
                <w:spacing w:val="2"/>
                <w:w w:val="99"/>
                <w:sz w:val="20"/>
                <w:szCs w:val="20"/>
                <w:lang w:eastAsia="zh-CN"/>
              </w:rPr>
              <w:t>环</w:t>
            </w:r>
            <w:r>
              <w:rPr>
                <w:rFonts w:hint="eastAsia" w:ascii="宋体" w:hAnsi="宋体" w:cs="宋体"/>
                <w:color w:val="auto"/>
                <w:w w:val="99"/>
                <w:sz w:val="20"/>
                <w:szCs w:val="20"/>
                <w:lang w:eastAsia="zh-CN"/>
              </w:rPr>
              <w:t>境温度空气源</w:t>
            </w:r>
            <w:r>
              <w:rPr>
                <w:rFonts w:hint="eastAsia" w:ascii="宋体" w:hAnsi="宋体" w:cs="宋体"/>
                <w:color w:val="auto"/>
                <w:spacing w:val="2"/>
                <w:w w:val="99"/>
                <w:sz w:val="20"/>
                <w:szCs w:val="20"/>
                <w:lang w:eastAsia="zh-CN"/>
              </w:rPr>
              <w:t>热</w:t>
            </w:r>
            <w:r>
              <w:rPr>
                <w:rFonts w:hint="eastAsia" w:ascii="宋体" w:hAnsi="宋体" w:cs="宋体"/>
                <w:color w:val="auto"/>
                <w:spacing w:val="-29"/>
                <w:w w:val="99"/>
                <w:sz w:val="20"/>
                <w:szCs w:val="20"/>
                <w:lang w:eastAsia="zh-CN"/>
              </w:rPr>
              <w:t>泵</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冷水</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机组</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效限定值及能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37</w:t>
            </w:r>
            <w:r>
              <w:rPr>
                <w:rFonts w:hint="eastAsia" w:ascii="宋体" w:hAnsi="宋体" w:cs="宋体"/>
                <w:color w:val="auto"/>
                <w:w w:val="99"/>
                <w:sz w:val="20"/>
                <w:szCs w:val="20"/>
                <w:lang w:eastAsia="zh-CN"/>
              </w:rPr>
              <w:t>48</w:t>
            </w:r>
            <w:r>
              <w:rPr>
                <w:rFonts w:hint="eastAsia" w:ascii="宋体" w:hAnsi="宋体" w:cs="宋体"/>
                <w:color w:val="auto"/>
                <w:spacing w:val="-2"/>
                <w:w w:val="99"/>
                <w:sz w:val="20"/>
                <w:szCs w:val="20"/>
                <w:lang w:eastAsia="zh-CN"/>
              </w:rPr>
              <w:t>0</w:t>
            </w:r>
            <w:r>
              <w:rPr>
                <w:rFonts w:hint="eastAsia" w:ascii="宋体" w:hAnsi="宋体" w:cs="宋体"/>
                <w:color w:val="auto"/>
                <w:w w:val="99"/>
                <w:sz w:val="20"/>
                <w:szCs w:val="20"/>
                <w:lang w:eastAsia="zh-CN"/>
              </w:rPr>
              <w:t>）</w:t>
            </w:r>
          </w:p>
        </w:tc>
      </w:tr>
      <w:tr w14:paraId="48CE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6B58BA0F">
            <w:pPr>
              <w:pStyle w:val="13"/>
              <w:spacing w:after="0"/>
              <w:jc w:val="center"/>
              <w:rPr>
                <w:color w:val="auto"/>
              </w:rPr>
            </w:pPr>
          </w:p>
        </w:tc>
        <w:tc>
          <w:tcPr>
            <w:tcW w:w="1365" w:type="dxa"/>
            <w:vMerge w:val="continue"/>
            <w:shd w:val="clear" w:color="auto" w:fill="auto"/>
            <w:vAlign w:val="center"/>
          </w:tcPr>
          <w:p w14:paraId="527F13AB">
            <w:pPr>
              <w:widowControl/>
              <w:rPr>
                <w:color w:val="auto"/>
                <w:sz w:val="20"/>
                <w:szCs w:val="20"/>
              </w:rPr>
            </w:pPr>
          </w:p>
        </w:tc>
        <w:tc>
          <w:tcPr>
            <w:tcW w:w="1980" w:type="dxa"/>
            <w:vMerge w:val="continue"/>
            <w:shd w:val="clear" w:color="auto" w:fill="auto"/>
            <w:vAlign w:val="center"/>
          </w:tcPr>
          <w:p w14:paraId="41F5C021">
            <w:pPr>
              <w:widowControl/>
              <w:rPr>
                <w:color w:val="auto"/>
                <w:sz w:val="20"/>
                <w:szCs w:val="20"/>
              </w:rPr>
            </w:pPr>
          </w:p>
        </w:tc>
        <w:tc>
          <w:tcPr>
            <w:tcW w:w="1932" w:type="dxa"/>
            <w:shd w:val="clear" w:color="auto" w:fill="auto"/>
            <w:vAlign w:val="center"/>
          </w:tcPr>
          <w:p w14:paraId="28FE8A38">
            <w:pPr>
              <w:pStyle w:val="76"/>
              <w:ind w:left="7"/>
              <w:jc w:val="both"/>
              <w:rPr>
                <w:color w:val="auto"/>
              </w:rPr>
            </w:pPr>
            <w:r>
              <w:rPr>
                <w:rFonts w:hint="eastAsia" w:ascii="宋体" w:hAnsi="宋体" w:cs="宋体"/>
                <w:color w:val="auto"/>
                <w:w w:val="99"/>
                <w:sz w:val="20"/>
                <w:szCs w:val="20"/>
              </w:rPr>
              <w:t>水源热</w:t>
            </w:r>
            <w:r>
              <w:rPr>
                <w:rFonts w:hint="eastAsia" w:ascii="宋体" w:hAnsi="宋体" w:cs="宋体"/>
                <w:color w:val="auto"/>
                <w:spacing w:val="2"/>
                <w:w w:val="99"/>
                <w:sz w:val="20"/>
                <w:szCs w:val="20"/>
              </w:rPr>
              <w:t>泵</w:t>
            </w:r>
            <w:r>
              <w:rPr>
                <w:rFonts w:hint="eastAsia" w:ascii="宋体" w:hAnsi="宋体" w:cs="宋体"/>
                <w:color w:val="auto"/>
                <w:w w:val="99"/>
                <w:sz w:val="20"/>
                <w:szCs w:val="20"/>
              </w:rPr>
              <w:t>机组</w:t>
            </w:r>
          </w:p>
        </w:tc>
        <w:tc>
          <w:tcPr>
            <w:tcW w:w="3896" w:type="dxa"/>
            <w:shd w:val="clear" w:color="auto" w:fill="auto"/>
            <w:vAlign w:val="center"/>
          </w:tcPr>
          <w:p w14:paraId="011B77B0">
            <w:pPr>
              <w:pStyle w:val="76"/>
              <w:ind w:left="7" w:right="7"/>
              <w:jc w:val="both"/>
              <w:rPr>
                <w:color w:val="auto"/>
                <w:lang w:eastAsia="zh-CN"/>
              </w:rPr>
            </w:pPr>
            <w:r>
              <w:rPr>
                <w:rFonts w:hint="eastAsia" w:ascii="宋体" w:hAnsi="宋体" w:cs="宋体"/>
                <w:color w:val="auto"/>
                <w:w w:val="99"/>
                <w:sz w:val="20"/>
                <w:szCs w:val="20"/>
                <w:lang w:eastAsia="zh-CN"/>
              </w:rPr>
              <w:t>《</w:t>
            </w:r>
            <w:r>
              <w:rPr>
                <w:rFonts w:hint="eastAsia" w:ascii="宋体" w:hAnsi="宋体" w:cs="宋体"/>
                <w:color w:val="auto"/>
                <w:spacing w:val="-29"/>
                <w:w w:val="99"/>
                <w:sz w:val="20"/>
                <w:szCs w:val="20"/>
                <w:lang w:eastAsia="zh-CN"/>
              </w:rPr>
              <w:t>水</w:t>
            </w:r>
            <w:r>
              <w:rPr>
                <w:rFonts w:hint="eastAsia" w:ascii="宋体" w:hAnsi="宋体" w:cs="宋体"/>
                <w:color w:val="auto"/>
                <w:w w:val="99"/>
                <w:sz w:val="20"/>
                <w:szCs w:val="20"/>
                <w:lang w:eastAsia="zh-CN"/>
              </w:rPr>
              <w:t>（</w:t>
            </w:r>
            <w:r>
              <w:rPr>
                <w:rFonts w:hint="eastAsia" w:ascii="宋体" w:hAnsi="宋体" w:cs="宋体"/>
                <w:color w:val="auto"/>
                <w:spacing w:val="2"/>
                <w:w w:val="99"/>
                <w:sz w:val="20"/>
                <w:szCs w:val="20"/>
                <w:lang w:eastAsia="zh-CN"/>
              </w:rPr>
              <w:t>地</w:t>
            </w:r>
            <w:r>
              <w:rPr>
                <w:rFonts w:hint="eastAsia" w:ascii="宋体" w:hAnsi="宋体" w:cs="宋体"/>
                <w:color w:val="auto"/>
                <w:spacing w:val="-29"/>
                <w:w w:val="99"/>
                <w:sz w:val="20"/>
                <w:szCs w:val="20"/>
                <w:lang w:eastAsia="zh-CN"/>
              </w:rPr>
              <w:t>）</w:t>
            </w:r>
            <w:r>
              <w:rPr>
                <w:rFonts w:hint="eastAsia" w:ascii="宋体" w:hAnsi="宋体" w:cs="宋体"/>
                <w:color w:val="auto"/>
                <w:spacing w:val="2"/>
                <w:w w:val="99"/>
                <w:sz w:val="20"/>
                <w:szCs w:val="20"/>
                <w:lang w:eastAsia="zh-CN"/>
              </w:rPr>
              <w:t>源</w:t>
            </w:r>
            <w:r>
              <w:rPr>
                <w:rFonts w:hint="eastAsia" w:ascii="宋体" w:hAnsi="宋体" w:cs="宋体"/>
                <w:color w:val="auto"/>
                <w:w w:val="99"/>
                <w:sz w:val="20"/>
                <w:szCs w:val="20"/>
                <w:lang w:eastAsia="zh-CN"/>
              </w:rPr>
              <w:t>热泵</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组能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限定值及能效</w:t>
            </w:r>
            <w:r>
              <w:rPr>
                <w:rFonts w:hint="eastAsia" w:ascii="宋体" w:hAnsi="宋体" w:cs="宋体"/>
                <w:color w:val="auto"/>
                <w:spacing w:val="2"/>
                <w:w w:val="99"/>
                <w:sz w:val="20"/>
                <w:szCs w:val="20"/>
                <w:lang w:eastAsia="zh-CN"/>
              </w:rPr>
              <w:t>等</w:t>
            </w:r>
            <w:r>
              <w:rPr>
                <w:rFonts w:hint="eastAsia" w:ascii="宋体" w:hAnsi="宋体" w:cs="宋体"/>
                <w:color w:val="auto"/>
                <w:w w:val="99"/>
                <w:sz w:val="20"/>
                <w:szCs w:val="20"/>
                <w:lang w:eastAsia="zh-CN"/>
              </w:rPr>
              <w:t>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30721</w:t>
            </w:r>
            <w:r>
              <w:rPr>
                <w:rFonts w:hint="eastAsia" w:ascii="宋体" w:hAnsi="宋体" w:cs="宋体"/>
                <w:color w:val="auto"/>
                <w:w w:val="99"/>
                <w:sz w:val="20"/>
                <w:szCs w:val="20"/>
                <w:lang w:eastAsia="zh-CN"/>
              </w:rPr>
              <w:t>）</w:t>
            </w:r>
          </w:p>
        </w:tc>
      </w:tr>
      <w:tr w14:paraId="52B7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045D135C">
            <w:pPr>
              <w:pStyle w:val="13"/>
              <w:spacing w:after="0"/>
              <w:jc w:val="center"/>
              <w:rPr>
                <w:color w:val="auto"/>
              </w:rPr>
            </w:pPr>
          </w:p>
        </w:tc>
        <w:tc>
          <w:tcPr>
            <w:tcW w:w="1365" w:type="dxa"/>
            <w:vMerge w:val="continue"/>
            <w:shd w:val="clear" w:color="auto" w:fill="auto"/>
            <w:vAlign w:val="center"/>
          </w:tcPr>
          <w:p w14:paraId="573ECEB6">
            <w:pPr>
              <w:rPr>
                <w:color w:val="auto"/>
                <w:sz w:val="20"/>
                <w:szCs w:val="20"/>
              </w:rPr>
            </w:pPr>
          </w:p>
        </w:tc>
        <w:tc>
          <w:tcPr>
            <w:tcW w:w="1980" w:type="dxa"/>
            <w:vMerge w:val="continue"/>
            <w:shd w:val="clear" w:color="auto" w:fill="auto"/>
            <w:vAlign w:val="center"/>
          </w:tcPr>
          <w:p w14:paraId="6BAF078D">
            <w:pPr>
              <w:rPr>
                <w:color w:val="auto"/>
                <w:sz w:val="20"/>
                <w:szCs w:val="20"/>
              </w:rPr>
            </w:pPr>
          </w:p>
        </w:tc>
        <w:tc>
          <w:tcPr>
            <w:tcW w:w="1932" w:type="dxa"/>
            <w:shd w:val="clear" w:color="auto" w:fill="auto"/>
            <w:vAlign w:val="center"/>
          </w:tcPr>
          <w:p w14:paraId="6DBBE28E">
            <w:pPr>
              <w:pStyle w:val="76"/>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溴化锂吸收式冷水</w:t>
            </w:r>
            <w:r>
              <w:rPr>
                <w:rFonts w:hint="eastAsia" w:ascii="宋体" w:hAnsi="宋体" w:cs="宋体"/>
                <w:color w:val="auto"/>
                <w:w w:val="99"/>
                <w:sz w:val="20"/>
                <w:szCs w:val="20"/>
                <w:lang w:eastAsia="zh-CN"/>
              </w:rPr>
              <w:t>机组</w:t>
            </w:r>
          </w:p>
        </w:tc>
        <w:tc>
          <w:tcPr>
            <w:tcW w:w="3896" w:type="dxa"/>
            <w:shd w:val="clear" w:color="auto" w:fill="auto"/>
            <w:vAlign w:val="center"/>
          </w:tcPr>
          <w:p w14:paraId="76672206">
            <w:pPr>
              <w:rPr>
                <w:color w:val="auto"/>
              </w:rPr>
            </w:pPr>
            <w:r>
              <w:rPr>
                <w:rFonts w:hint="eastAsia" w:ascii="宋体" w:hAnsi="宋体" w:cs="宋体"/>
                <w:color w:val="auto"/>
                <w:spacing w:val="12"/>
                <w:w w:val="99"/>
                <w:sz w:val="20"/>
                <w:szCs w:val="20"/>
              </w:rPr>
              <w:t>《溴化锂吸收式冷水机</w:t>
            </w:r>
            <w:r>
              <w:rPr>
                <w:rFonts w:hint="eastAsia" w:ascii="宋体" w:hAnsi="宋体" w:cs="宋体"/>
                <w:color w:val="auto"/>
                <w:spacing w:val="9"/>
                <w:w w:val="99"/>
                <w:sz w:val="20"/>
                <w:szCs w:val="20"/>
              </w:rPr>
              <w:t>组</w:t>
            </w:r>
            <w:r>
              <w:rPr>
                <w:rFonts w:hint="eastAsia" w:ascii="宋体" w:hAnsi="宋体" w:cs="宋体"/>
                <w:color w:val="auto"/>
                <w:spacing w:val="12"/>
                <w:w w:val="99"/>
                <w:sz w:val="20"/>
                <w:szCs w:val="20"/>
              </w:rPr>
              <w:t>能效</w:t>
            </w:r>
            <w:r>
              <w:rPr>
                <w:rFonts w:hint="eastAsia" w:ascii="宋体" w:hAnsi="宋体" w:cs="宋体"/>
                <w:color w:val="auto"/>
                <w:w w:val="99"/>
                <w:sz w:val="20"/>
                <w:szCs w:val="20"/>
              </w:rPr>
              <w:t>限定值及</w:t>
            </w:r>
            <w:r>
              <w:rPr>
                <w:rFonts w:hint="eastAsia" w:ascii="宋体" w:hAnsi="宋体" w:cs="宋体"/>
                <w:color w:val="auto"/>
                <w:spacing w:val="2"/>
                <w:w w:val="99"/>
                <w:sz w:val="20"/>
                <w:szCs w:val="20"/>
              </w:rPr>
              <w:t>能</w:t>
            </w:r>
            <w:r>
              <w:rPr>
                <w:rFonts w:hint="eastAsia" w:ascii="宋体" w:hAnsi="宋体" w:cs="宋体"/>
                <w:color w:val="auto"/>
                <w:w w:val="99"/>
                <w:sz w:val="20"/>
                <w:szCs w:val="20"/>
              </w:rPr>
              <w:t>源效</w:t>
            </w:r>
            <w:r>
              <w:rPr>
                <w:rFonts w:hint="eastAsia" w:ascii="宋体" w:hAnsi="宋体" w:cs="宋体"/>
                <w:color w:val="auto"/>
                <w:spacing w:val="2"/>
                <w:w w:val="99"/>
                <w:sz w:val="20"/>
                <w:szCs w:val="20"/>
              </w:rPr>
              <w:t>率</w:t>
            </w:r>
            <w:r>
              <w:rPr>
                <w:rFonts w:hint="eastAsia" w:ascii="宋体" w:hAnsi="宋体" w:cs="宋体"/>
                <w:color w:val="auto"/>
                <w:w w:val="99"/>
                <w:sz w:val="20"/>
                <w:szCs w:val="20"/>
              </w:rPr>
              <w:t>等级</w:t>
            </w:r>
            <w:r>
              <w:rPr>
                <w:rFonts w:hint="eastAsia" w:ascii="宋体" w:hAnsi="宋体" w:cs="宋体"/>
                <w:color w:val="auto"/>
                <w:spacing w:val="12"/>
                <w:w w:val="99"/>
                <w:sz w:val="20"/>
                <w:szCs w:val="20"/>
              </w:rPr>
              <w:t>》</w:t>
            </w:r>
            <w:r>
              <w:rPr>
                <w:rFonts w:hint="eastAsia" w:ascii="宋体" w:hAnsi="宋体" w:cs="宋体"/>
                <w:color w:val="auto"/>
                <w:w w:val="99"/>
                <w:sz w:val="20"/>
                <w:szCs w:val="20"/>
              </w:rPr>
              <w:t>（</w:t>
            </w:r>
            <w:r>
              <w:rPr>
                <w:rFonts w:hint="eastAsia" w:ascii="宋体" w:hAnsi="宋体" w:cs="宋体"/>
                <w:color w:val="auto"/>
                <w:spacing w:val="1"/>
                <w:w w:val="99"/>
                <w:sz w:val="20"/>
                <w:szCs w:val="20"/>
              </w:rPr>
              <w:t>G</w:t>
            </w:r>
            <w:r>
              <w:rPr>
                <w:rFonts w:hint="eastAsia" w:ascii="宋体" w:hAnsi="宋体" w:cs="宋体"/>
                <w:color w:val="auto"/>
                <w:w w:val="99"/>
                <w:sz w:val="20"/>
                <w:szCs w:val="20"/>
              </w:rPr>
              <w:t>B</w:t>
            </w:r>
            <w:r>
              <w:rPr>
                <w:rFonts w:hint="eastAsia" w:ascii="宋体" w:hAnsi="宋体" w:cs="宋体"/>
                <w:color w:val="auto"/>
                <w:spacing w:val="1"/>
                <w:w w:val="99"/>
                <w:sz w:val="20"/>
                <w:szCs w:val="20"/>
              </w:rPr>
              <w:t>2145</w:t>
            </w:r>
            <w:r>
              <w:rPr>
                <w:rFonts w:hint="eastAsia" w:ascii="宋体" w:hAnsi="宋体" w:cs="宋体"/>
                <w:color w:val="auto"/>
                <w:w w:val="99"/>
                <w:sz w:val="20"/>
                <w:szCs w:val="20"/>
              </w:rPr>
              <w:t>4）</w:t>
            </w:r>
          </w:p>
        </w:tc>
      </w:tr>
      <w:tr w14:paraId="2A1C2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701CE5E9">
            <w:pPr>
              <w:pStyle w:val="13"/>
              <w:spacing w:after="0"/>
              <w:jc w:val="center"/>
              <w:rPr>
                <w:color w:val="auto"/>
              </w:rPr>
            </w:pPr>
          </w:p>
        </w:tc>
        <w:tc>
          <w:tcPr>
            <w:tcW w:w="1365" w:type="dxa"/>
            <w:vMerge w:val="continue"/>
            <w:shd w:val="clear" w:color="auto" w:fill="auto"/>
            <w:vAlign w:val="center"/>
          </w:tcPr>
          <w:p w14:paraId="2F45E278">
            <w:pPr>
              <w:rPr>
                <w:color w:val="auto"/>
                <w:sz w:val="20"/>
                <w:szCs w:val="20"/>
              </w:rPr>
            </w:pPr>
          </w:p>
        </w:tc>
        <w:tc>
          <w:tcPr>
            <w:tcW w:w="1980" w:type="dxa"/>
            <w:vMerge w:val="restart"/>
            <w:shd w:val="clear" w:color="auto" w:fill="auto"/>
            <w:vAlign w:val="center"/>
          </w:tcPr>
          <w:p w14:paraId="68CD685F">
            <w:pPr>
              <w:rPr>
                <w:color w:val="auto"/>
                <w:sz w:val="20"/>
                <w:szCs w:val="20"/>
              </w:rPr>
            </w:pPr>
            <w:r>
              <w:rPr>
                <w:rFonts w:hint="eastAsia" w:ascii="宋体" w:hAnsi="宋体" w:cs="宋体"/>
                <w:color w:val="auto"/>
                <w:w w:val="99"/>
                <w:kern w:val="0"/>
                <w:sz w:val="20"/>
                <w:szCs w:val="20"/>
                <w:lang w:eastAsia="en-US"/>
              </w:rPr>
              <w:t>★A02052305空调机组</w:t>
            </w:r>
          </w:p>
        </w:tc>
        <w:tc>
          <w:tcPr>
            <w:tcW w:w="1932" w:type="dxa"/>
            <w:shd w:val="clear" w:color="auto" w:fill="auto"/>
            <w:vAlign w:val="center"/>
          </w:tcPr>
          <w:p w14:paraId="140F01A0">
            <w:pPr>
              <w:pStyle w:val="76"/>
              <w:ind w:left="7" w:righ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多联式空</w:t>
            </w:r>
            <w:r>
              <w:rPr>
                <w:rFonts w:hint="eastAsia" w:ascii="宋体" w:hAnsi="宋体" w:cs="宋体"/>
                <w:color w:val="auto"/>
                <w:spacing w:val="11"/>
                <w:w w:val="99"/>
                <w:sz w:val="20"/>
                <w:szCs w:val="20"/>
                <w:lang w:eastAsia="zh-CN"/>
              </w:rPr>
              <w:t>调（</w:t>
            </w:r>
            <w:r>
              <w:rPr>
                <w:rFonts w:hint="eastAsia" w:ascii="宋体" w:hAnsi="宋体" w:cs="宋体"/>
                <w:color w:val="auto"/>
                <w:spacing w:val="12"/>
                <w:w w:val="99"/>
                <w:sz w:val="20"/>
                <w:szCs w:val="20"/>
                <w:lang w:eastAsia="zh-CN"/>
              </w:rPr>
              <w:t>热泵</w:t>
            </w:r>
            <w:r>
              <w:rPr>
                <w:rFonts w:hint="eastAsia" w:ascii="宋体" w:hAnsi="宋体" w:cs="宋体"/>
                <w:color w:val="auto"/>
                <w:w w:val="99"/>
                <w:sz w:val="20"/>
                <w:szCs w:val="20"/>
                <w:lang w:eastAsia="zh-CN"/>
              </w:rPr>
              <w:t>）机组(制冷量</w:t>
            </w:r>
            <w:r>
              <w:rPr>
                <w:rFonts w:hint="eastAsia" w:ascii="宋体" w:hAnsi="宋体" w:cs="宋体"/>
                <w:color w:val="auto"/>
                <w:spacing w:val="1"/>
                <w:w w:val="99"/>
                <w:sz w:val="20"/>
                <w:szCs w:val="20"/>
                <w:lang w:eastAsia="zh-CN"/>
              </w:rPr>
              <w:t>&gt;140</w:t>
            </w:r>
            <w:r>
              <w:rPr>
                <w:rFonts w:hint="eastAsia" w:ascii="宋体" w:hAnsi="宋体" w:cs="宋体"/>
                <w:color w:val="auto"/>
                <w:w w:val="99"/>
                <w:sz w:val="20"/>
                <w:szCs w:val="20"/>
                <w:lang w:eastAsia="zh-CN"/>
              </w:rPr>
              <w:t>00</w:t>
            </w:r>
            <w:r>
              <w:rPr>
                <w:rFonts w:hint="eastAsia" w:ascii="宋体" w:hAnsi="宋体" w:cs="宋体"/>
                <w:color w:val="auto"/>
                <w:spacing w:val="1"/>
                <w:w w:val="99"/>
                <w:sz w:val="20"/>
                <w:szCs w:val="20"/>
                <w:lang w:eastAsia="zh-CN"/>
              </w:rPr>
              <w:t>W</w:t>
            </w:r>
            <w:r>
              <w:rPr>
                <w:rFonts w:hint="eastAsia" w:ascii="宋体" w:hAnsi="宋体" w:cs="宋体"/>
                <w:color w:val="auto"/>
                <w:w w:val="99"/>
                <w:sz w:val="20"/>
                <w:szCs w:val="20"/>
                <w:lang w:eastAsia="zh-CN"/>
              </w:rPr>
              <w:t>）</w:t>
            </w:r>
          </w:p>
        </w:tc>
        <w:tc>
          <w:tcPr>
            <w:tcW w:w="3896" w:type="dxa"/>
            <w:shd w:val="clear" w:color="auto" w:fill="auto"/>
            <w:vAlign w:val="center"/>
          </w:tcPr>
          <w:p w14:paraId="13ED433B">
            <w:pPr>
              <w:pStyle w:val="76"/>
              <w:ind w:left="7" w:right="7"/>
              <w:jc w:val="both"/>
              <w:rPr>
                <w:color w:val="auto"/>
                <w:lang w:eastAsia="zh-CN"/>
              </w:rPr>
            </w:pPr>
            <w:r>
              <w:rPr>
                <w:rFonts w:hint="eastAsia" w:ascii="宋体" w:hAnsi="宋体" w:cs="宋体"/>
                <w:color w:val="auto"/>
                <w:w w:val="99"/>
                <w:sz w:val="20"/>
                <w:szCs w:val="20"/>
                <w:lang w:eastAsia="zh-CN"/>
              </w:rPr>
              <w:t>《多联</w:t>
            </w:r>
            <w:r>
              <w:rPr>
                <w:rFonts w:hint="eastAsia" w:ascii="宋体" w:hAnsi="宋体" w:cs="宋体"/>
                <w:color w:val="auto"/>
                <w:spacing w:val="2"/>
                <w:w w:val="99"/>
                <w:sz w:val="20"/>
                <w:szCs w:val="20"/>
                <w:lang w:eastAsia="zh-CN"/>
              </w:rPr>
              <w:t>式</w:t>
            </w:r>
            <w:r>
              <w:rPr>
                <w:rFonts w:hint="eastAsia" w:ascii="宋体" w:hAnsi="宋体" w:cs="宋体"/>
                <w:color w:val="auto"/>
                <w:w w:val="99"/>
                <w:sz w:val="20"/>
                <w:szCs w:val="20"/>
                <w:lang w:eastAsia="zh-CN"/>
              </w:rPr>
              <w:t>空</w:t>
            </w:r>
            <w:r>
              <w:rPr>
                <w:rFonts w:hint="eastAsia" w:ascii="宋体" w:hAnsi="宋体" w:cs="宋体"/>
                <w:color w:val="auto"/>
                <w:spacing w:val="-27"/>
                <w:w w:val="99"/>
                <w:sz w:val="20"/>
                <w:szCs w:val="20"/>
                <w:lang w:eastAsia="zh-CN"/>
              </w:rPr>
              <w:t>调</w:t>
            </w:r>
            <w:r>
              <w:rPr>
                <w:rFonts w:hint="eastAsia" w:ascii="宋体" w:hAnsi="宋体" w:cs="宋体"/>
                <w:color w:val="auto"/>
                <w:w w:val="99"/>
                <w:sz w:val="20"/>
                <w:szCs w:val="20"/>
                <w:lang w:eastAsia="zh-CN"/>
              </w:rPr>
              <w:t>（热</w:t>
            </w:r>
            <w:r>
              <w:rPr>
                <w:rFonts w:hint="eastAsia" w:ascii="宋体" w:hAnsi="宋体" w:cs="宋体"/>
                <w:color w:val="auto"/>
                <w:spacing w:val="2"/>
                <w:w w:val="99"/>
                <w:sz w:val="20"/>
                <w:szCs w:val="20"/>
                <w:lang w:eastAsia="zh-CN"/>
              </w:rPr>
              <w:t>泵</w:t>
            </w:r>
            <w:r>
              <w:rPr>
                <w:rFonts w:hint="eastAsia" w:ascii="宋体" w:hAnsi="宋体" w:cs="宋体"/>
                <w:color w:val="auto"/>
                <w:spacing w:val="-29"/>
                <w:w w:val="99"/>
                <w:sz w:val="20"/>
                <w:szCs w:val="20"/>
                <w:lang w:eastAsia="zh-CN"/>
              </w:rPr>
              <w:t>）</w:t>
            </w:r>
            <w:r>
              <w:rPr>
                <w:rFonts w:hint="eastAsia" w:ascii="宋体" w:hAnsi="宋体" w:cs="宋体"/>
                <w:color w:val="auto"/>
                <w:w w:val="99"/>
                <w:sz w:val="20"/>
                <w:szCs w:val="20"/>
                <w:lang w:eastAsia="zh-CN"/>
              </w:rPr>
              <w:t>机</w:t>
            </w:r>
            <w:r>
              <w:rPr>
                <w:rFonts w:hint="eastAsia" w:ascii="宋体" w:hAnsi="宋体" w:cs="宋体"/>
                <w:color w:val="auto"/>
                <w:spacing w:val="2"/>
                <w:w w:val="99"/>
                <w:sz w:val="20"/>
                <w:szCs w:val="20"/>
                <w:lang w:eastAsia="zh-CN"/>
              </w:rPr>
              <w:t>组</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源效</w:t>
            </w:r>
            <w:r>
              <w:rPr>
                <w:rFonts w:hint="eastAsia" w:ascii="宋体" w:hAnsi="宋体" w:cs="宋体"/>
                <w:color w:val="auto"/>
                <w:spacing w:val="2"/>
                <w:w w:val="99"/>
                <w:sz w:val="20"/>
                <w:szCs w:val="20"/>
                <w:lang w:eastAsia="zh-CN"/>
              </w:rPr>
              <w:t>率</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2145</w:t>
            </w:r>
            <w:r>
              <w:rPr>
                <w:rFonts w:hint="eastAsia" w:ascii="宋体" w:hAnsi="宋体" w:cs="宋体"/>
                <w:color w:val="auto"/>
                <w:w w:val="99"/>
                <w:sz w:val="20"/>
                <w:szCs w:val="20"/>
                <w:lang w:eastAsia="zh-CN"/>
              </w:rPr>
              <w:t>4）</w:t>
            </w:r>
          </w:p>
        </w:tc>
      </w:tr>
      <w:tr w14:paraId="37AC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153AE3A5">
            <w:pPr>
              <w:pStyle w:val="13"/>
              <w:spacing w:after="0"/>
              <w:jc w:val="center"/>
              <w:rPr>
                <w:color w:val="auto"/>
              </w:rPr>
            </w:pPr>
          </w:p>
        </w:tc>
        <w:tc>
          <w:tcPr>
            <w:tcW w:w="1365" w:type="dxa"/>
            <w:vMerge w:val="continue"/>
            <w:shd w:val="clear" w:color="auto" w:fill="auto"/>
            <w:vAlign w:val="center"/>
          </w:tcPr>
          <w:p w14:paraId="071DE1BB">
            <w:pPr>
              <w:rPr>
                <w:color w:val="auto"/>
              </w:rPr>
            </w:pPr>
          </w:p>
        </w:tc>
        <w:tc>
          <w:tcPr>
            <w:tcW w:w="1980" w:type="dxa"/>
            <w:vMerge w:val="continue"/>
            <w:shd w:val="clear" w:color="auto" w:fill="auto"/>
            <w:vAlign w:val="center"/>
          </w:tcPr>
          <w:p w14:paraId="46E2E9D1">
            <w:pPr>
              <w:rPr>
                <w:color w:val="auto"/>
              </w:rPr>
            </w:pPr>
          </w:p>
        </w:tc>
        <w:tc>
          <w:tcPr>
            <w:tcW w:w="1932" w:type="dxa"/>
            <w:shd w:val="clear" w:color="auto" w:fill="auto"/>
            <w:vAlign w:val="center"/>
          </w:tcPr>
          <w:p w14:paraId="5758F665">
            <w:pPr>
              <w:pStyle w:val="76"/>
              <w:ind w:left="7"/>
              <w:jc w:val="both"/>
              <w:rPr>
                <w:color w:val="auto"/>
                <w:lang w:eastAsia="zh-CN"/>
              </w:rPr>
            </w:pPr>
            <w:r>
              <w:rPr>
                <w:rFonts w:hint="eastAsia" w:ascii="宋体" w:hAnsi="宋体" w:cs="宋体"/>
                <w:color w:val="auto"/>
                <w:w w:val="99"/>
                <w:sz w:val="20"/>
                <w:szCs w:val="20"/>
                <w:lang w:eastAsia="zh-CN"/>
              </w:rPr>
              <w:t>单元式空气调节机</w:t>
            </w:r>
            <w:r>
              <w:rPr>
                <w:rFonts w:hint="eastAsia" w:ascii="宋体" w:hAnsi="宋体" w:cs="宋体"/>
                <w:color w:val="auto"/>
                <w:spacing w:val="1"/>
                <w:w w:val="99"/>
                <w:sz w:val="20"/>
                <w:szCs w:val="20"/>
                <w:lang w:eastAsia="zh-CN"/>
              </w:rPr>
              <w:t>(</w:t>
            </w:r>
            <w:r>
              <w:rPr>
                <w:rFonts w:hint="eastAsia" w:ascii="宋体" w:hAnsi="宋体" w:cs="宋体"/>
                <w:color w:val="auto"/>
                <w:w w:val="99"/>
                <w:sz w:val="20"/>
                <w:szCs w:val="20"/>
                <w:lang w:eastAsia="zh-CN"/>
              </w:rPr>
              <w:t>制冷量</w:t>
            </w:r>
            <w:r>
              <w:rPr>
                <w:rFonts w:hint="eastAsia" w:ascii="宋体" w:hAnsi="宋体" w:cs="宋体"/>
                <w:color w:val="auto"/>
                <w:spacing w:val="1"/>
                <w:w w:val="99"/>
                <w:sz w:val="20"/>
                <w:szCs w:val="20"/>
                <w:lang w:eastAsia="zh-CN"/>
              </w:rPr>
              <w:t>&gt;1400</w:t>
            </w:r>
            <w:r>
              <w:rPr>
                <w:rFonts w:hint="eastAsia" w:ascii="宋体" w:hAnsi="宋体" w:cs="宋体"/>
                <w:color w:val="auto"/>
                <w:w w:val="99"/>
                <w:sz w:val="20"/>
                <w:szCs w:val="20"/>
                <w:lang w:eastAsia="zh-CN"/>
              </w:rPr>
              <w:t>0W)</w:t>
            </w:r>
          </w:p>
        </w:tc>
        <w:tc>
          <w:tcPr>
            <w:tcW w:w="3896" w:type="dxa"/>
            <w:shd w:val="clear" w:color="auto" w:fill="auto"/>
            <w:vAlign w:val="center"/>
          </w:tcPr>
          <w:p w14:paraId="38B0984A">
            <w:pPr>
              <w:pStyle w:val="76"/>
              <w:ind w:left="7" w:right="4"/>
              <w:jc w:val="both"/>
              <w:rPr>
                <w:color w:val="auto"/>
                <w:lang w:eastAsia="zh-CN"/>
              </w:rPr>
            </w:pPr>
            <w:r>
              <w:rPr>
                <w:rFonts w:hint="eastAsia" w:ascii="宋体" w:hAnsi="宋体" w:cs="宋体"/>
                <w:color w:val="auto"/>
                <w:spacing w:val="12"/>
                <w:w w:val="99"/>
                <w:sz w:val="20"/>
                <w:szCs w:val="20"/>
                <w:lang w:eastAsia="zh-CN"/>
              </w:rPr>
              <w:t>《单元式空气调节机能</w:t>
            </w:r>
            <w:r>
              <w:rPr>
                <w:rFonts w:hint="eastAsia" w:ascii="宋体" w:hAnsi="宋体" w:cs="宋体"/>
                <w:color w:val="auto"/>
                <w:spacing w:val="9"/>
                <w:w w:val="99"/>
                <w:sz w:val="20"/>
                <w:szCs w:val="20"/>
                <w:lang w:eastAsia="zh-CN"/>
              </w:rPr>
              <w:t>效</w:t>
            </w:r>
            <w:r>
              <w:rPr>
                <w:rFonts w:hint="eastAsia" w:ascii="宋体" w:hAnsi="宋体" w:cs="宋体"/>
                <w:color w:val="auto"/>
                <w:spacing w:val="12"/>
                <w:w w:val="99"/>
                <w:sz w:val="20"/>
                <w:szCs w:val="20"/>
                <w:lang w:eastAsia="zh-CN"/>
              </w:rPr>
              <w:t>限定</w:t>
            </w:r>
            <w:r>
              <w:rPr>
                <w:rFonts w:hint="eastAsia" w:ascii="宋体" w:hAnsi="宋体" w:cs="宋体"/>
                <w:color w:val="auto"/>
                <w:w w:val="99"/>
                <w:sz w:val="20"/>
                <w:szCs w:val="20"/>
                <w:lang w:eastAsia="zh-CN"/>
              </w:rPr>
              <w:t>值及能效</w:t>
            </w:r>
            <w:r>
              <w:rPr>
                <w:rFonts w:hint="eastAsia" w:ascii="宋体" w:hAnsi="宋体" w:cs="宋体"/>
                <w:color w:val="auto"/>
                <w:spacing w:val="2"/>
                <w:w w:val="99"/>
                <w:sz w:val="20"/>
                <w:szCs w:val="20"/>
                <w:lang w:eastAsia="zh-CN"/>
              </w:rPr>
              <w:t>等</w:t>
            </w:r>
            <w:r>
              <w:rPr>
                <w:rFonts w:hint="eastAsia" w:ascii="宋体" w:hAnsi="宋体" w:cs="宋体"/>
                <w:color w:val="auto"/>
                <w:w w:val="99"/>
                <w:sz w:val="20"/>
                <w:szCs w:val="20"/>
                <w:lang w:eastAsia="zh-CN"/>
              </w:rPr>
              <w:t>级</w:t>
            </w:r>
            <w:r>
              <w:rPr>
                <w:rFonts w:hint="eastAsia" w:ascii="宋体" w:hAnsi="宋体" w:cs="宋体"/>
                <w:color w:val="auto"/>
                <w:spacing w:val="-3"/>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195</w:t>
            </w:r>
            <w:r>
              <w:rPr>
                <w:rFonts w:hint="eastAsia" w:ascii="宋体" w:hAnsi="宋体" w:cs="宋体"/>
                <w:color w:val="auto"/>
                <w:w w:val="99"/>
                <w:sz w:val="20"/>
                <w:szCs w:val="20"/>
                <w:lang w:eastAsia="zh-CN"/>
              </w:rPr>
              <w:t>7</w:t>
            </w:r>
            <w:r>
              <w:rPr>
                <w:rFonts w:hint="eastAsia" w:ascii="宋体" w:hAnsi="宋体" w:cs="宋体"/>
                <w:color w:val="auto"/>
                <w:spacing w:val="-1"/>
                <w:w w:val="99"/>
                <w:sz w:val="20"/>
                <w:szCs w:val="20"/>
                <w:lang w:eastAsia="zh-CN"/>
              </w:rPr>
              <w:t>6</w:t>
            </w:r>
            <w:r>
              <w:rPr>
                <w:rFonts w:hint="eastAsia" w:ascii="宋体" w:hAnsi="宋体" w:cs="宋体"/>
                <w:color w:val="auto"/>
                <w:spacing w:val="-5"/>
                <w:w w:val="99"/>
                <w:sz w:val="20"/>
                <w:szCs w:val="20"/>
                <w:lang w:eastAsia="zh-CN"/>
              </w:rPr>
              <w:t>）</w:t>
            </w:r>
            <w:r>
              <w:rPr>
                <w:rFonts w:hint="eastAsia" w:ascii="宋体" w:hAnsi="宋体" w:cs="宋体"/>
                <w:color w:val="auto"/>
                <w:w w:val="99"/>
                <w:sz w:val="20"/>
                <w:szCs w:val="20"/>
                <w:lang w:eastAsia="zh-CN"/>
              </w:rPr>
              <w:t>《风管</w:t>
            </w:r>
            <w:r>
              <w:rPr>
                <w:rFonts w:hint="eastAsia" w:ascii="宋体" w:hAnsi="宋体" w:cs="宋体"/>
                <w:color w:val="auto"/>
                <w:spacing w:val="12"/>
                <w:w w:val="99"/>
                <w:sz w:val="20"/>
                <w:szCs w:val="20"/>
                <w:lang w:eastAsia="zh-CN"/>
              </w:rPr>
              <w:t>送风式空调机组能效限</w:t>
            </w:r>
            <w:r>
              <w:rPr>
                <w:rFonts w:hint="eastAsia" w:ascii="宋体" w:hAnsi="宋体" w:cs="宋体"/>
                <w:color w:val="auto"/>
                <w:spacing w:val="9"/>
                <w:w w:val="99"/>
                <w:sz w:val="20"/>
                <w:szCs w:val="20"/>
                <w:lang w:eastAsia="zh-CN"/>
              </w:rPr>
              <w:t>定</w:t>
            </w:r>
            <w:r>
              <w:rPr>
                <w:rFonts w:hint="eastAsia" w:ascii="宋体" w:hAnsi="宋体" w:cs="宋体"/>
                <w:color w:val="auto"/>
                <w:spacing w:val="12"/>
                <w:w w:val="99"/>
                <w:sz w:val="20"/>
                <w:szCs w:val="20"/>
                <w:lang w:eastAsia="zh-CN"/>
              </w:rPr>
              <w:t>值及能</w:t>
            </w:r>
            <w:r>
              <w:rPr>
                <w:rFonts w:hint="eastAsia" w:ascii="宋体" w:hAnsi="宋体" w:cs="宋体"/>
                <w:color w:val="auto"/>
                <w:w w:val="99"/>
                <w:sz w:val="20"/>
                <w:szCs w:val="20"/>
                <w:lang w:eastAsia="zh-CN"/>
              </w:rPr>
              <w:t>效等级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37</w:t>
            </w:r>
            <w:r>
              <w:rPr>
                <w:rFonts w:hint="eastAsia" w:ascii="宋体" w:hAnsi="宋体" w:cs="宋体"/>
                <w:color w:val="auto"/>
                <w:w w:val="99"/>
                <w:sz w:val="20"/>
                <w:szCs w:val="20"/>
                <w:lang w:eastAsia="zh-CN"/>
              </w:rPr>
              <w:t>47</w:t>
            </w:r>
            <w:r>
              <w:rPr>
                <w:rFonts w:hint="eastAsia" w:ascii="宋体" w:hAnsi="宋体" w:cs="宋体"/>
                <w:color w:val="auto"/>
                <w:spacing w:val="1"/>
                <w:w w:val="99"/>
                <w:sz w:val="20"/>
                <w:szCs w:val="20"/>
                <w:lang w:eastAsia="zh-CN"/>
              </w:rPr>
              <w:t>9</w:t>
            </w:r>
            <w:r>
              <w:rPr>
                <w:rFonts w:hint="eastAsia" w:ascii="宋体" w:hAnsi="宋体" w:cs="宋体"/>
                <w:color w:val="auto"/>
                <w:w w:val="99"/>
                <w:sz w:val="20"/>
                <w:szCs w:val="20"/>
                <w:lang w:eastAsia="zh-CN"/>
              </w:rPr>
              <w:t>）</w:t>
            </w:r>
          </w:p>
        </w:tc>
      </w:tr>
      <w:tr w14:paraId="3094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15A53BC2">
            <w:pPr>
              <w:pStyle w:val="13"/>
              <w:spacing w:after="0"/>
              <w:jc w:val="center"/>
              <w:rPr>
                <w:rFonts w:ascii="宋体" w:hAnsi="宋体" w:cs="宋体"/>
                <w:color w:val="auto"/>
                <w:sz w:val="20"/>
                <w:szCs w:val="20"/>
              </w:rPr>
            </w:pPr>
          </w:p>
        </w:tc>
        <w:tc>
          <w:tcPr>
            <w:tcW w:w="1365" w:type="dxa"/>
            <w:vMerge w:val="continue"/>
            <w:shd w:val="clear" w:color="auto" w:fill="auto"/>
            <w:vAlign w:val="center"/>
          </w:tcPr>
          <w:p w14:paraId="5CB71B8A">
            <w:pPr>
              <w:rPr>
                <w:rFonts w:ascii="宋体" w:hAnsi="宋体" w:cs="宋体"/>
                <w:color w:val="auto"/>
                <w:sz w:val="20"/>
                <w:szCs w:val="20"/>
              </w:rPr>
            </w:pPr>
          </w:p>
        </w:tc>
        <w:tc>
          <w:tcPr>
            <w:tcW w:w="1980" w:type="dxa"/>
            <w:shd w:val="clear" w:color="auto" w:fill="auto"/>
            <w:vAlign w:val="center"/>
          </w:tcPr>
          <w:p w14:paraId="01D91F7B">
            <w:pPr>
              <w:rPr>
                <w:rFonts w:ascii="宋体" w:hAnsi="宋体" w:cs="宋体"/>
                <w:color w:val="auto"/>
                <w:sz w:val="20"/>
                <w:szCs w:val="20"/>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52</w:t>
            </w:r>
            <w:r>
              <w:rPr>
                <w:rFonts w:hint="eastAsia" w:ascii="宋体" w:hAnsi="宋体" w:cs="宋体"/>
                <w:color w:val="auto"/>
                <w:spacing w:val="1"/>
                <w:w w:val="99"/>
                <w:sz w:val="20"/>
                <w:szCs w:val="20"/>
              </w:rPr>
              <w:t>3</w:t>
            </w:r>
            <w:r>
              <w:rPr>
                <w:rFonts w:hint="eastAsia" w:ascii="宋体" w:hAnsi="宋体" w:cs="宋体"/>
                <w:color w:val="auto"/>
                <w:w w:val="99"/>
                <w:sz w:val="20"/>
                <w:szCs w:val="20"/>
              </w:rPr>
              <w:t>09专用制冷、空</w:t>
            </w:r>
            <w:r>
              <w:rPr>
                <w:rFonts w:hint="eastAsia" w:ascii="宋体" w:hAnsi="宋体" w:cs="宋体"/>
                <w:color w:val="auto"/>
                <w:spacing w:val="2"/>
                <w:w w:val="99"/>
                <w:sz w:val="20"/>
                <w:szCs w:val="20"/>
              </w:rPr>
              <w:t>调</w:t>
            </w:r>
            <w:r>
              <w:rPr>
                <w:rFonts w:hint="eastAsia" w:ascii="宋体" w:hAnsi="宋体" w:cs="宋体"/>
                <w:color w:val="auto"/>
                <w:w w:val="99"/>
                <w:sz w:val="20"/>
                <w:szCs w:val="20"/>
              </w:rPr>
              <w:t>设备</w:t>
            </w:r>
          </w:p>
        </w:tc>
        <w:tc>
          <w:tcPr>
            <w:tcW w:w="1932" w:type="dxa"/>
            <w:shd w:val="clear" w:color="auto" w:fill="auto"/>
            <w:vAlign w:val="center"/>
          </w:tcPr>
          <w:p w14:paraId="68949FFC">
            <w:pPr>
              <w:pStyle w:val="76"/>
              <w:ind w:left="7"/>
              <w:jc w:val="both"/>
              <w:rPr>
                <w:rFonts w:ascii="宋体" w:hAnsi="宋体" w:cs="宋体"/>
                <w:color w:val="auto"/>
                <w:sz w:val="20"/>
                <w:szCs w:val="20"/>
              </w:rPr>
            </w:pPr>
            <w:r>
              <w:rPr>
                <w:rFonts w:hint="eastAsia" w:ascii="宋体" w:hAnsi="宋体" w:cs="宋体"/>
                <w:color w:val="auto"/>
                <w:w w:val="99"/>
                <w:sz w:val="20"/>
                <w:szCs w:val="20"/>
              </w:rPr>
              <w:t>机房空调</w:t>
            </w:r>
          </w:p>
        </w:tc>
        <w:tc>
          <w:tcPr>
            <w:tcW w:w="3896" w:type="dxa"/>
            <w:shd w:val="clear" w:color="auto" w:fill="auto"/>
            <w:vAlign w:val="center"/>
          </w:tcPr>
          <w:p w14:paraId="3C9E8FFA">
            <w:pPr>
              <w:pStyle w:val="76"/>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《单元式空气调节机能</w:t>
            </w:r>
            <w:r>
              <w:rPr>
                <w:rFonts w:hint="eastAsia" w:ascii="宋体" w:hAnsi="宋体" w:cs="宋体"/>
                <w:color w:val="auto"/>
                <w:spacing w:val="9"/>
                <w:w w:val="99"/>
                <w:sz w:val="20"/>
                <w:szCs w:val="20"/>
                <w:lang w:eastAsia="zh-CN"/>
              </w:rPr>
              <w:t>效</w:t>
            </w:r>
            <w:r>
              <w:rPr>
                <w:rFonts w:hint="eastAsia" w:ascii="宋体" w:hAnsi="宋体" w:cs="宋体"/>
                <w:color w:val="auto"/>
                <w:spacing w:val="12"/>
                <w:w w:val="99"/>
                <w:sz w:val="20"/>
                <w:szCs w:val="20"/>
                <w:lang w:eastAsia="zh-CN"/>
              </w:rPr>
              <w:t>限定</w:t>
            </w:r>
            <w:r>
              <w:rPr>
                <w:rFonts w:hint="eastAsia" w:ascii="宋体" w:hAnsi="宋体" w:cs="宋体"/>
                <w:color w:val="auto"/>
                <w:w w:val="99"/>
                <w:sz w:val="20"/>
                <w:szCs w:val="20"/>
                <w:lang w:eastAsia="zh-CN"/>
              </w:rPr>
              <w:t>值及能效</w:t>
            </w:r>
            <w:r>
              <w:rPr>
                <w:rFonts w:hint="eastAsia" w:ascii="宋体" w:hAnsi="宋体" w:cs="宋体"/>
                <w:color w:val="auto"/>
                <w:spacing w:val="2"/>
                <w:w w:val="99"/>
                <w:sz w:val="20"/>
                <w:szCs w:val="20"/>
                <w:lang w:eastAsia="zh-CN"/>
              </w:rPr>
              <w:t>等</w:t>
            </w:r>
            <w:r>
              <w:rPr>
                <w:rFonts w:hint="eastAsia" w:ascii="宋体" w:hAnsi="宋体" w:cs="宋体"/>
                <w:color w:val="auto"/>
                <w:w w:val="99"/>
                <w:sz w:val="20"/>
                <w:szCs w:val="20"/>
                <w:lang w:eastAsia="zh-CN"/>
              </w:rPr>
              <w:t>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19576</w:t>
            </w:r>
            <w:r>
              <w:rPr>
                <w:rFonts w:hint="eastAsia" w:ascii="宋体" w:hAnsi="宋体" w:cs="宋体"/>
                <w:color w:val="auto"/>
                <w:w w:val="99"/>
                <w:sz w:val="20"/>
                <w:szCs w:val="20"/>
                <w:lang w:eastAsia="zh-CN"/>
              </w:rPr>
              <w:t>）</w:t>
            </w:r>
          </w:p>
        </w:tc>
      </w:tr>
      <w:tr w14:paraId="5CC3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4A0E8A2A">
            <w:pPr>
              <w:pStyle w:val="13"/>
              <w:spacing w:after="0"/>
              <w:jc w:val="center"/>
              <w:rPr>
                <w:rFonts w:ascii="宋体" w:hAnsi="宋体" w:cs="宋体"/>
                <w:color w:val="auto"/>
                <w:sz w:val="20"/>
                <w:szCs w:val="20"/>
              </w:rPr>
            </w:pPr>
          </w:p>
        </w:tc>
        <w:tc>
          <w:tcPr>
            <w:tcW w:w="1365" w:type="dxa"/>
            <w:vMerge w:val="continue"/>
            <w:shd w:val="clear" w:color="auto" w:fill="auto"/>
            <w:vAlign w:val="center"/>
          </w:tcPr>
          <w:p w14:paraId="772E287C">
            <w:pPr>
              <w:rPr>
                <w:rFonts w:ascii="宋体" w:hAnsi="宋体" w:cs="宋体"/>
                <w:color w:val="auto"/>
                <w:sz w:val="20"/>
                <w:szCs w:val="20"/>
              </w:rPr>
            </w:pPr>
          </w:p>
        </w:tc>
        <w:tc>
          <w:tcPr>
            <w:tcW w:w="1980" w:type="dxa"/>
            <w:shd w:val="clear" w:color="auto" w:fill="auto"/>
            <w:vAlign w:val="center"/>
          </w:tcPr>
          <w:p w14:paraId="6E1BC298">
            <w:pPr>
              <w:rPr>
                <w:rFonts w:ascii="宋体" w:hAnsi="宋体" w:cs="宋体"/>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05</w:t>
            </w:r>
            <w:r>
              <w:rPr>
                <w:rFonts w:hint="eastAsia" w:ascii="宋体" w:hAnsi="宋体" w:cs="宋体"/>
                <w:color w:val="auto"/>
                <w:spacing w:val="1"/>
                <w:w w:val="99"/>
                <w:sz w:val="20"/>
                <w:szCs w:val="20"/>
              </w:rPr>
              <w:t>2</w:t>
            </w:r>
            <w:r>
              <w:rPr>
                <w:rFonts w:hint="eastAsia" w:ascii="宋体" w:hAnsi="宋体" w:cs="宋体"/>
                <w:color w:val="auto"/>
                <w:w w:val="99"/>
                <w:sz w:val="20"/>
                <w:szCs w:val="20"/>
              </w:rPr>
              <w:t>399其他制冷空调设备</w:t>
            </w:r>
          </w:p>
        </w:tc>
        <w:tc>
          <w:tcPr>
            <w:tcW w:w="1932" w:type="dxa"/>
            <w:shd w:val="clear" w:color="auto" w:fill="auto"/>
            <w:vAlign w:val="center"/>
          </w:tcPr>
          <w:p w14:paraId="1758FC7B">
            <w:pPr>
              <w:pStyle w:val="76"/>
              <w:ind w:left="7"/>
              <w:jc w:val="both"/>
              <w:rPr>
                <w:rFonts w:ascii="宋体" w:hAnsi="宋体" w:cs="宋体"/>
                <w:color w:val="auto"/>
                <w:sz w:val="20"/>
                <w:szCs w:val="20"/>
              </w:rPr>
            </w:pPr>
            <w:r>
              <w:rPr>
                <w:rFonts w:hint="eastAsia" w:ascii="宋体" w:hAnsi="宋体" w:cs="宋体"/>
                <w:color w:val="auto"/>
                <w:w w:val="99"/>
                <w:sz w:val="20"/>
                <w:szCs w:val="20"/>
              </w:rPr>
              <w:t>冷却塔</w:t>
            </w:r>
          </w:p>
        </w:tc>
        <w:tc>
          <w:tcPr>
            <w:tcW w:w="3896" w:type="dxa"/>
            <w:shd w:val="clear" w:color="auto" w:fill="auto"/>
            <w:vAlign w:val="center"/>
          </w:tcPr>
          <w:p w14:paraId="067D2CA6">
            <w:pPr>
              <w:pStyle w:val="76"/>
              <w:ind w:left="7"/>
              <w:jc w:val="both"/>
              <w:rPr>
                <w:rFonts w:ascii="宋体" w:hAnsi="宋体" w:cs="宋体"/>
                <w:color w:val="auto"/>
                <w:sz w:val="20"/>
                <w:szCs w:val="20"/>
                <w:lang w:eastAsia="zh-CN"/>
              </w:rPr>
            </w:pPr>
            <w:r>
              <w:rPr>
                <w:rFonts w:hint="eastAsia" w:ascii="宋体" w:hAnsi="宋体" w:cs="宋体"/>
                <w:color w:val="auto"/>
                <w:w w:val="99"/>
                <w:sz w:val="20"/>
                <w:szCs w:val="20"/>
                <w:lang w:eastAsia="zh-CN"/>
              </w:rPr>
              <w:t>《机械</w:t>
            </w:r>
            <w:r>
              <w:rPr>
                <w:rFonts w:hint="eastAsia" w:ascii="宋体" w:hAnsi="宋体" w:cs="宋体"/>
                <w:color w:val="auto"/>
                <w:spacing w:val="2"/>
                <w:w w:val="99"/>
                <w:sz w:val="20"/>
                <w:szCs w:val="20"/>
                <w:lang w:eastAsia="zh-CN"/>
              </w:rPr>
              <w:t>通</w:t>
            </w:r>
            <w:r>
              <w:rPr>
                <w:rFonts w:hint="eastAsia" w:ascii="宋体" w:hAnsi="宋体" w:cs="宋体"/>
                <w:color w:val="auto"/>
                <w:w w:val="99"/>
                <w:sz w:val="20"/>
                <w:szCs w:val="20"/>
                <w:lang w:eastAsia="zh-CN"/>
              </w:rPr>
              <w:t>风冷</w:t>
            </w:r>
            <w:r>
              <w:rPr>
                <w:rFonts w:hint="eastAsia" w:ascii="宋体" w:hAnsi="宋体" w:cs="宋体"/>
                <w:color w:val="auto"/>
                <w:spacing w:val="2"/>
                <w:w w:val="99"/>
                <w:sz w:val="20"/>
                <w:szCs w:val="20"/>
                <w:lang w:eastAsia="zh-CN"/>
              </w:rPr>
              <w:t>却</w:t>
            </w:r>
            <w:r>
              <w:rPr>
                <w:rFonts w:hint="eastAsia" w:ascii="宋体" w:hAnsi="宋体" w:cs="宋体"/>
                <w:color w:val="auto"/>
                <w:w w:val="99"/>
                <w:sz w:val="20"/>
                <w:szCs w:val="20"/>
                <w:lang w:eastAsia="zh-CN"/>
              </w:rPr>
              <w:t>塔第1部分：中小型开</w:t>
            </w:r>
            <w:r>
              <w:rPr>
                <w:rFonts w:hint="eastAsia" w:ascii="宋体" w:hAnsi="宋体" w:cs="宋体"/>
                <w:color w:val="auto"/>
                <w:spacing w:val="2"/>
                <w:w w:val="99"/>
                <w:sz w:val="20"/>
                <w:szCs w:val="20"/>
                <w:lang w:eastAsia="zh-CN"/>
              </w:rPr>
              <w:t>式</w:t>
            </w:r>
            <w:r>
              <w:rPr>
                <w:rFonts w:hint="eastAsia" w:ascii="宋体" w:hAnsi="宋体" w:cs="宋体"/>
                <w:color w:val="auto"/>
                <w:w w:val="99"/>
                <w:sz w:val="20"/>
                <w:szCs w:val="20"/>
                <w:lang w:eastAsia="zh-CN"/>
              </w:rPr>
              <w:t>冷却</w:t>
            </w:r>
            <w:r>
              <w:rPr>
                <w:rFonts w:hint="eastAsia" w:ascii="宋体" w:hAnsi="宋体" w:cs="宋体"/>
                <w:color w:val="auto"/>
                <w:spacing w:val="2"/>
                <w:w w:val="99"/>
                <w:sz w:val="20"/>
                <w:szCs w:val="20"/>
                <w:lang w:eastAsia="zh-CN"/>
              </w:rPr>
              <w:t>塔</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w:t>
            </w:r>
            <w:r>
              <w:rPr>
                <w:rFonts w:hint="eastAsia" w:ascii="宋体" w:hAnsi="宋体" w:cs="宋体"/>
                <w:color w:val="auto"/>
                <w:w w:val="99"/>
                <w:sz w:val="20"/>
                <w:szCs w:val="20"/>
                <w:lang w:eastAsia="zh-CN"/>
              </w:rPr>
              <w:t>T7190</w:t>
            </w:r>
            <w:r>
              <w:rPr>
                <w:rFonts w:hint="eastAsia" w:ascii="宋体" w:hAnsi="宋体" w:cs="宋体"/>
                <w:color w:val="auto"/>
                <w:spacing w:val="1"/>
                <w:w w:val="99"/>
                <w:sz w:val="20"/>
                <w:szCs w:val="20"/>
                <w:lang w:eastAsia="zh-CN"/>
              </w:rPr>
              <w:t>.1</w:t>
            </w:r>
            <w:r>
              <w:rPr>
                <w:rFonts w:hint="eastAsia" w:ascii="宋体" w:hAnsi="宋体" w:cs="宋体"/>
                <w:color w:val="auto"/>
                <w:spacing w:val="-87"/>
                <w:w w:val="99"/>
                <w:sz w:val="20"/>
                <w:szCs w:val="20"/>
                <w:lang w:eastAsia="zh-CN"/>
              </w:rPr>
              <w:t>）</w:t>
            </w:r>
            <w:r>
              <w:rPr>
                <w:rFonts w:hint="eastAsia" w:ascii="宋体" w:hAnsi="宋体" w:cs="宋体"/>
                <w:color w:val="auto"/>
                <w:w w:val="99"/>
                <w:sz w:val="20"/>
                <w:szCs w:val="20"/>
                <w:lang w:eastAsia="zh-CN"/>
              </w:rPr>
              <w:t>）《机械</w:t>
            </w:r>
            <w:r>
              <w:rPr>
                <w:rFonts w:hint="eastAsia" w:ascii="宋体" w:hAnsi="宋体" w:cs="宋体"/>
                <w:color w:val="auto"/>
                <w:spacing w:val="2"/>
                <w:w w:val="99"/>
                <w:sz w:val="20"/>
                <w:szCs w:val="20"/>
                <w:lang w:eastAsia="zh-CN"/>
              </w:rPr>
              <w:t>通</w:t>
            </w:r>
            <w:r>
              <w:rPr>
                <w:rFonts w:hint="eastAsia" w:ascii="宋体" w:hAnsi="宋体" w:cs="宋体"/>
                <w:color w:val="auto"/>
                <w:w w:val="99"/>
                <w:sz w:val="20"/>
                <w:szCs w:val="20"/>
                <w:lang w:eastAsia="zh-CN"/>
              </w:rPr>
              <w:t>风冷</w:t>
            </w:r>
            <w:r>
              <w:rPr>
                <w:rFonts w:hint="eastAsia" w:ascii="宋体" w:hAnsi="宋体" w:cs="宋体"/>
                <w:color w:val="auto"/>
                <w:spacing w:val="2"/>
                <w:w w:val="99"/>
                <w:sz w:val="20"/>
                <w:szCs w:val="20"/>
                <w:lang w:eastAsia="zh-CN"/>
              </w:rPr>
              <w:t>却</w:t>
            </w:r>
            <w:r>
              <w:rPr>
                <w:rFonts w:hint="eastAsia" w:ascii="宋体" w:hAnsi="宋体" w:cs="宋体"/>
                <w:color w:val="auto"/>
                <w:w w:val="99"/>
                <w:sz w:val="20"/>
                <w:szCs w:val="20"/>
                <w:lang w:eastAsia="zh-CN"/>
              </w:rPr>
              <w:t>塔第2部分：大型开式</w:t>
            </w:r>
            <w:r>
              <w:rPr>
                <w:rFonts w:hint="eastAsia" w:ascii="宋体" w:hAnsi="宋体" w:cs="宋体"/>
                <w:color w:val="auto"/>
                <w:spacing w:val="2"/>
                <w:w w:val="99"/>
                <w:sz w:val="20"/>
                <w:szCs w:val="20"/>
                <w:lang w:eastAsia="zh-CN"/>
              </w:rPr>
              <w:t>冷</w:t>
            </w:r>
            <w:r>
              <w:rPr>
                <w:rFonts w:hint="eastAsia" w:ascii="宋体" w:hAnsi="宋体" w:cs="宋体"/>
                <w:color w:val="auto"/>
                <w:w w:val="99"/>
                <w:sz w:val="20"/>
                <w:szCs w:val="20"/>
                <w:lang w:eastAsia="zh-CN"/>
              </w:rPr>
              <w:t>却塔》（</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w:t>
            </w:r>
            <w:r>
              <w:rPr>
                <w:rFonts w:hint="eastAsia" w:ascii="宋体" w:hAnsi="宋体" w:cs="宋体"/>
                <w:color w:val="auto"/>
                <w:w w:val="99"/>
                <w:sz w:val="20"/>
                <w:szCs w:val="20"/>
                <w:lang w:eastAsia="zh-CN"/>
              </w:rPr>
              <w:t>T719</w:t>
            </w:r>
            <w:r>
              <w:rPr>
                <w:rFonts w:hint="eastAsia" w:ascii="宋体" w:hAnsi="宋体" w:cs="宋体"/>
                <w:color w:val="auto"/>
                <w:spacing w:val="1"/>
                <w:w w:val="99"/>
                <w:sz w:val="20"/>
                <w:szCs w:val="20"/>
                <w:lang w:eastAsia="zh-CN"/>
              </w:rPr>
              <w:t>0.</w:t>
            </w:r>
            <w:r>
              <w:rPr>
                <w:rFonts w:hint="eastAsia" w:ascii="宋体" w:hAnsi="宋体" w:cs="宋体"/>
                <w:color w:val="auto"/>
                <w:w w:val="99"/>
                <w:sz w:val="20"/>
                <w:szCs w:val="20"/>
                <w:lang w:eastAsia="zh-CN"/>
              </w:rPr>
              <w:t>2）</w:t>
            </w:r>
          </w:p>
        </w:tc>
      </w:tr>
      <w:tr w14:paraId="7F95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shd w:val="clear" w:color="auto" w:fill="auto"/>
            <w:vAlign w:val="center"/>
          </w:tcPr>
          <w:p w14:paraId="1BFC6A54">
            <w:pPr>
              <w:pStyle w:val="76"/>
              <w:ind w:right="1"/>
              <w:jc w:val="center"/>
              <w:rPr>
                <w:rFonts w:ascii="宋体" w:hAnsi="宋体" w:cs="宋体"/>
                <w:color w:val="auto"/>
                <w:sz w:val="20"/>
                <w:szCs w:val="20"/>
              </w:rPr>
            </w:pPr>
            <w:r>
              <w:rPr>
                <w:rFonts w:hint="eastAsia" w:ascii="宋体"/>
                <w:color w:val="auto"/>
                <w:w w:val="99"/>
                <w:sz w:val="20"/>
              </w:rPr>
              <w:t>7</w:t>
            </w:r>
          </w:p>
        </w:tc>
        <w:tc>
          <w:tcPr>
            <w:tcW w:w="1365" w:type="dxa"/>
            <w:shd w:val="clear" w:color="auto" w:fill="auto"/>
            <w:vAlign w:val="center"/>
          </w:tcPr>
          <w:p w14:paraId="77B54631">
            <w:pPr>
              <w:pStyle w:val="76"/>
              <w:ind w:left="7"/>
              <w:jc w:val="both"/>
              <w:rPr>
                <w:rFonts w:ascii="宋体" w:hAnsi="宋体" w:cs="宋体"/>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06</w:t>
            </w:r>
            <w:r>
              <w:rPr>
                <w:rFonts w:hint="eastAsia" w:ascii="宋体" w:hAnsi="宋体" w:cs="宋体"/>
                <w:color w:val="auto"/>
                <w:spacing w:val="1"/>
                <w:w w:val="99"/>
                <w:sz w:val="20"/>
                <w:szCs w:val="20"/>
              </w:rPr>
              <w:t>0</w:t>
            </w:r>
            <w:r>
              <w:rPr>
                <w:rFonts w:hint="eastAsia" w:ascii="宋体" w:hAnsi="宋体" w:cs="宋体"/>
                <w:color w:val="auto"/>
                <w:w w:val="99"/>
                <w:sz w:val="20"/>
                <w:szCs w:val="20"/>
              </w:rPr>
              <w:t>1电机</w:t>
            </w:r>
          </w:p>
        </w:tc>
        <w:tc>
          <w:tcPr>
            <w:tcW w:w="1980" w:type="dxa"/>
            <w:shd w:val="clear" w:color="auto" w:fill="auto"/>
            <w:vAlign w:val="center"/>
          </w:tcPr>
          <w:p w14:paraId="53021947">
            <w:pPr>
              <w:rPr>
                <w:rFonts w:ascii="宋体" w:hAnsi="宋体" w:cs="宋体"/>
                <w:color w:val="auto"/>
                <w:sz w:val="20"/>
                <w:szCs w:val="20"/>
              </w:rPr>
            </w:pPr>
          </w:p>
        </w:tc>
        <w:tc>
          <w:tcPr>
            <w:tcW w:w="1932" w:type="dxa"/>
            <w:shd w:val="clear" w:color="auto" w:fill="auto"/>
            <w:vAlign w:val="center"/>
          </w:tcPr>
          <w:p w14:paraId="795FBEDA">
            <w:pPr>
              <w:rPr>
                <w:rFonts w:ascii="宋体" w:hAnsi="宋体" w:cs="宋体"/>
                <w:color w:val="auto"/>
                <w:sz w:val="20"/>
                <w:szCs w:val="20"/>
              </w:rPr>
            </w:pPr>
          </w:p>
        </w:tc>
        <w:tc>
          <w:tcPr>
            <w:tcW w:w="3896" w:type="dxa"/>
            <w:shd w:val="clear" w:color="auto" w:fill="auto"/>
            <w:vAlign w:val="center"/>
          </w:tcPr>
          <w:p w14:paraId="7ACC77B3">
            <w:pPr>
              <w:pStyle w:val="76"/>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《中小型三相异步电动</w:t>
            </w:r>
            <w:r>
              <w:rPr>
                <w:rFonts w:hint="eastAsia" w:ascii="宋体" w:hAnsi="宋体" w:cs="宋体"/>
                <w:color w:val="auto"/>
                <w:spacing w:val="9"/>
                <w:w w:val="99"/>
                <w:sz w:val="20"/>
                <w:szCs w:val="20"/>
                <w:lang w:eastAsia="zh-CN"/>
              </w:rPr>
              <w:t>机</w:t>
            </w:r>
            <w:r>
              <w:rPr>
                <w:rFonts w:hint="eastAsia" w:ascii="宋体" w:hAnsi="宋体" w:cs="宋体"/>
                <w:color w:val="auto"/>
                <w:spacing w:val="12"/>
                <w:w w:val="99"/>
                <w:sz w:val="20"/>
                <w:szCs w:val="20"/>
                <w:lang w:eastAsia="zh-CN"/>
              </w:rPr>
              <w:t>能效</w:t>
            </w:r>
            <w:r>
              <w:rPr>
                <w:rFonts w:hint="eastAsia" w:ascii="宋体" w:hAnsi="宋体" w:cs="宋体"/>
                <w:color w:val="auto"/>
                <w:w w:val="99"/>
                <w:sz w:val="20"/>
                <w:szCs w:val="20"/>
                <w:lang w:eastAsia="zh-CN"/>
              </w:rPr>
              <w:t>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18</w:t>
            </w:r>
            <w:r>
              <w:rPr>
                <w:rFonts w:hint="eastAsia" w:ascii="宋体" w:hAnsi="宋体" w:cs="宋体"/>
                <w:color w:val="auto"/>
                <w:w w:val="99"/>
                <w:sz w:val="20"/>
                <w:szCs w:val="20"/>
                <w:lang w:eastAsia="zh-CN"/>
              </w:rPr>
              <w:t>61</w:t>
            </w:r>
            <w:r>
              <w:rPr>
                <w:rFonts w:hint="eastAsia" w:ascii="宋体" w:hAnsi="宋体" w:cs="宋体"/>
                <w:color w:val="auto"/>
                <w:spacing w:val="1"/>
                <w:w w:val="99"/>
                <w:sz w:val="20"/>
                <w:szCs w:val="20"/>
                <w:lang w:eastAsia="zh-CN"/>
              </w:rPr>
              <w:t>3</w:t>
            </w:r>
            <w:r>
              <w:rPr>
                <w:rFonts w:hint="eastAsia" w:ascii="宋体" w:hAnsi="宋体" w:cs="宋体"/>
                <w:color w:val="auto"/>
                <w:w w:val="99"/>
                <w:sz w:val="20"/>
                <w:szCs w:val="20"/>
                <w:lang w:eastAsia="zh-CN"/>
              </w:rPr>
              <w:t>）</w:t>
            </w:r>
          </w:p>
        </w:tc>
      </w:tr>
      <w:tr w14:paraId="19A5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89" w:type="dxa"/>
            <w:shd w:val="clear" w:color="auto" w:fill="auto"/>
            <w:vAlign w:val="center"/>
          </w:tcPr>
          <w:p w14:paraId="299CC7C0">
            <w:pPr>
              <w:pStyle w:val="76"/>
              <w:ind w:right="1"/>
              <w:jc w:val="center"/>
              <w:rPr>
                <w:rFonts w:ascii="宋体" w:hAnsi="宋体" w:cs="宋体"/>
                <w:color w:val="auto"/>
                <w:sz w:val="20"/>
                <w:szCs w:val="20"/>
              </w:rPr>
            </w:pPr>
            <w:r>
              <w:rPr>
                <w:rFonts w:hint="eastAsia" w:ascii="宋体"/>
                <w:color w:val="auto"/>
                <w:w w:val="99"/>
                <w:sz w:val="20"/>
              </w:rPr>
              <w:t>8</w:t>
            </w:r>
          </w:p>
        </w:tc>
        <w:tc>
          <w:tcPr>
            <w:tcW w:w="1365" w:type="dxa"/>
            <w:shd w:val="clear" w:color="auto" w:fill="auto"/>
            <w:vAlign w:val="center"/>
          </w:tcPr>
          <w:p w14:paraId="4F15571A">
            <w:pPr>
              <w:pStyle w:val="76"/>
              <w:ind w:left="7"/>
              <w:jc w:val="both"/>
              <w:rPr>
                <w:rFonts w:ascii="宋体" w:hAnsi="宋体" w:cs="宋体"/>
                <w:color w:val="auto"/>
                <w:spacing w:val="1"/>
                <w:w w:val="99"/>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06</w:t>
            </w:r>
            <w:r>
              <w:rPr>
                <w:rFonts w:hint="eastAsia" w:ascii="宋体" w:hAnsi="宋体" w:cs="宋体"/>
                <w:color w:val="auto"/>
                <w:spacing w:val="1"/>
                <w:w w:val="99"/>
                <w:sz w:val="20"/>
                <w:szCs w:val="20"/>
              </w:rPr>
              <w:t>0</w:t>
            </w:r>
            <w:r>
              <w:rPr>
                <w:rFonts w:hint="eastAsia" w:ascii="宋体" w:hAnsi="宋体" w:cs="宋体"/>
                <w:color w:val="auto"/>
                <w:w w:val="99"/>
                <w:sz w:val="20"/>
                <w:szCs w:val="20"/>
              </w:rPr>
              <w:t>2变压</w:t>
            </w:r>
          </w:p>
          <w:p w14:paraId="0691F26D">
            <w:pPr>
              <w:pStyle w:val="76"/>
              <w:ind w:left="7"/>
              <w:jc w:val="both"/>
              <w:rPr>
                <w:rFonts w:ascii="宋体" w:hAnsi="宋体" w:cs="宋体"/>
                <w:color w:val="auto"/>
                <w:sz w:val="20"/>
                <w:szCs w:val="20"/>
              </w:rPr>
            </w:pPr>
            <w:r>
              <w:rPr>
                <w:rFonts w:hint="eastAsia" w:ascii="宋体" w:hAnsi="宋体" w:cs="宋体"/>
                <w:color w:val="auto"/>
                <w:w w:val="99"/>
                <w:sz w:val="20"/>
                <w:szCs w:val="20"/>
              </w:rPr>
              <w:t>器</w:t>
            </w:r>
          </w:p>
        </w:tc>
        <w:tc>
          <w:tcPr>
            <w:tcW w:w="1980" w:type="dxa"/>
            <w:shd w:val="clear" w:color="auto" w:fill="auto"/>
            <w:vAlign w:val="center"/>
          </w:tcPr>
          <w:p w14:paraId="4646A2C1">
            <w:pPr>
              <w:pStyle w:val="76"/>
              <w:ind w:left="7"/>
              <w:jc w:val="both"/>
              <w:rPr>
                <w:rFonts w:ascii="宋体" w:hAnsi="宋体" w:cs="宋体"/>
                <w:color w:val="auto"/>
                <w:sz w:val="20"/>
                <w:szCs w:val="20"/>
              </w:rPr>
            </w:pPr>
            <w:r>
              <w:rPr>
                <w:rFonts w:hint="eastAsia" w:ascii="宋体" w:hAnsi="宋体" w:cs="宋体"/>
                <w:color w:val="auto"/>
                <w:w w:val="99"/>
                <w:sz w:val="20"/>
                <w:szCs w:val="20"/>
              </w:rPr>
              <w:t>配电变</w:t>
            </w:r>
            <w:r>
              <w:rPr>
                <w:rFonts w:hint="eastAsia" w:ascii="宋体" w:hAnsi="宋体" w:cs="宋体"/>
                <w:color w:val="auto"/>
                <w:spacing w:val="2"/>
                <w:w w:val="99"/>
                <w:sz w:val="20"/>
                <w:szCs w:val="20"/>
              </w:rPr>
              <w:t>压</w:t>
            </w:r>
            <w:r>
              <w:rPr>
                <w:rFonts w:hint="eastAsia" w:ascii="宋体" w:hAnsi="宋体" w:cs="宋体"/>
                <w:color w:val="auto"/>
                <w:w w:val="99"/>
                <w:sz w:val="20"/>
                <w:szCs w:val="20"/>
              </w:rPr>
              <w:t>器</w:t>
            </w:r>
          </w:p>
        </w:tc>
        <w:tc>
          <w:tcPr>
            <w:tcW w:w="1932" w:type="dxa"/>
            <w:shd w:val="clear" w:color="auto" w:fill="auto"/>
            <w:vAlign w:val="center"/>
          </w:tcPr>
          <w:p w14:paraId="6062091B">
            <w:pPr>
              <w:rPr>
                <w:rFonts w:ascii="宋体" w:hAnsi="宋体" w:cs="宋体"/>
                <w:color w:val="auto"/>
                <w:sz w:val="20"/>
                <w:szCs w:val="20"/>
              </w:rPr>
            </w:pPr>
          </w:p>
        </w:tc>
        <w:tc>
          <w:tcPr>
            <w:tcW w:w="3896" w:type="dxa"/>
            <w:shd w:val="clear" w:color="auto" w:fill="auto"/>
            <w:vAlign w:val="center"/>
          </w:tcPr>
          <w:p w14:paraId="7D066B3B">
            <w:pPr>
              <w:pStyle w:val="76"/>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《三相配电变压器能效</w:t>
            </w:r>
            <w:r>
              <w:rPr>
                <w:rFonts w:hint="eastAsia" w:ascii="宋体" w:hAnsi="宋体" w:cs="宋体"/>
                <w:color w:val="auto"/>
                <w:spacing w:val="9"/>
                <w:w w:val="99"/>
                <w:sz w:val="20"/>
                <w:szCs w:val="20"/>
                <w:lang w:eastAsia="zh-CN"/>
              </w:rPr>
              <w:t>限</w:t>
            </w:r>
            <w:r>
              <w:rPr>
                <w:rFonts w:hint="eastAsia" w:ascii="宋体" w:hAnsi="宋体" w:cs="宋体"/>
                <w:color w:val="auto"/>
                <w:spacing w:val="12"/>
                <w:w w:val="99"/>
                <w:sz w:val="20"/>
                <w:szCs w:val="20"/>
                <w:lang w:eastAsia="zh-CN"/>
              </w:rPr>
              <w:t>定值</w:t>
            </w:r>
            <w:r>
              <w:rPr>
                <w:rFonts w:hint="eastAsia" w:ascii="宋体" w:hAnsi="宋体" w:cs="宋体"/>
                <w:color w:val="auto"/>
                <w:w w:val="99"/>
                <w:sz w:val="20"/>
                <w:szCs w:val="20"/>
                <w:lang w:eastAsia="zh-CN"/>
              </w:rPr>
              <w:t>及能效等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200</w:t>
            </w:r>
            <w:r>
              <w:rPr>
                <w:rFonts w:hint="eastAsia" w:ascii="宋体" w:hAnsi="宋体" w:cs="宋体"/>
                <w:color w:val="auto"/>
                <w:w w:val="99"/>
                <w:sz w:val="20"/>
                <w:szCs w:val="20"/>
                <w:lang w:eastAsia="zh-CN"/>
              </w:rPr>
              <w:t>5</w:t>
            </w:r>
            <w:r>
              <w:rPr>
                <w:rFonts w:hint="eastAsia" w:ascii="宋体" w:hAnsi="宋体" w:cs="宋体"/>
                <w:color w:val="auto"/>
                <w:spacing w:val="-1"/>
                <w:w w:val="99"/>
                <w:sz w:val="20"/>
                <w:szCs w:val="20"/>
                <w:lang w:eastAsia="zh-CN"/>
              </w:rPr>
              <w:t>2</w:t>
            </w:r>
            <w:r>
              <w:rPr>
                <w:rFonts w:hint="eastAsia" w:ascii="宋体" w:hAnsi="宋体" w:cs="宋体"/>
                <w:color w:val="auto"/>
                <w:w w:val="99"/>
                <w:sz w:val="20"/>
                <w:szCs w:val="20"/>
                <w:lang w:eastAsia="zh-CN"/>
              </w:rPr>
              <w:t>）</w:t>
            </w:r>
          </w:p>
        </w:tc>
      </w:tr>
      <w:tr w14:paraId="7173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89" w:type="dxa"/>
            <w:shd w:val="clear" w:color="auto" w:fill="auto"/>
            <w:vAlign w:val="center"/>
          </w:tcPr>
          <w:p w14:paraId="40CA75CC">
            <w:pPr>
              <w:pStyle w:val="76"/>
              <w:ind w:right="1"/>
              <w:jc w:val="center"/>
              <w:rPr>
                <w:color w:val="auto"/>
              </w:rPr>
            </w:pPr>
            <w:r>
              <w:rPr>
                <w:rFonts w:hint="eastAsia" w:ascii="宋体"/>
                <w:color w:val="auto"/>
                <w:w w:val="99"/>
                <w:sz w:val="20"/>
              </w:rPr>
              <w:t>9</w:t>
            </w:r>
          </w:p>
        </w:tc>
        <w:tc>
          <w:tcPr>
            <w:tcW w:w="1365" w:type="dxa"/>
            <w:shd w:val="clear" w:color="auto" w:fill="auto"/>
            <w:vAlign w:val="center"/>
          </w:tcPr>
          <w:p w14:paraId="3711704D">
            <w:pPr>
              <w:pStyle w:val="76"/>
              <w:ind w:left="7"/>
              <w:jc w:val="both"/>
              <w:rPr>
                <w:rFonts w:ascii="宋体" w:hAnsi="宋体" w:cs="宋体"/>
                <w:color w:val="auto"/>
                <w:w w:val="99"/>
                <w:sz w:val="20"/>
                <w:szCs w:val="20"/>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609镇</w:t>
            </w:r>
          </w:p>
          <w:p w14:paraId="0D76A05C">
            <w:pPr>
              <w:pStyle w:val="76"/>
              <w:ind w:left="7"/>
              <w:jc w:val="both"/>
              <w:rPr>
                <w:rFonts w:ascii="宋体" w:hAnsi="宋体" w:cs="宋体"/>
                <w:color w:val="auto"/>
                <w:sz w:val="20"/>
                <w:szCs w:val="20"/>
              </w:rPr>
            </w:pPr>
            <w:r>
              <w:rPr>
                <w:rFonts w:hint="eastAsia" w:ascii="宋体" w:hAnsi="宋体" w:cs="宋体"/>
                <w:color w:val="auto"/>
                <w:w w:val="99"/>
                <w:sz w:val="20"/>
                <w:szCs w:val="20"/>
              </w:rPr>
              <w:t>流器</w:t>
            </w:r>
          </w:p>
        </w:tc>
        <w:tc>
          <w:tcPr>
            <w:tcW w:w="1980" w:type="dxa"/>
            <w:shd w:val="clear" w:color="auto" w:fill="auto"/>
            <w:vAlign w:val="center"/>
          </w:tcPr>
          <w:p w14:paraId="38774434">
            <w:pPr>
              <w:pStyle w:val="76"/>
              <w:ind w:left="7"/>
              <w:jc w:val="both"/>
              <w:rPr>
                <w:rFonts w:ascii="宋体" w:hAnsi="宋体" w:cs="宋体"/>
                <w:color w:val="auto"/>
                <w:sz w:val="20"/>
                <w:szCs w:val="20"/>
              </w:rPr>
            </w:pPr>
            <w:r>
              <w:rPr>
                <w:rFonts w:hint="eastAsia" w:ascii="宋体" w:hAnsi="宋体" w:cs="宋体"/>
                <w:color w:val="auto"/>
                <w:w w:val="99"/>
                <w:sz w:val="20"/>
                <w:szCs w:val="20"/>
              </w:rPr>
              <w:t>管型荧</w:t>
            </w:r>
            <w:r>
              <w:rPr>
                <w:rFonts w:hint="eastAsia" w:ascii="宋体" w:hAnsi="宋体" w:cs="宋体"/>
                <w:color w:val="auto"/>
                <w:spacing w:val="2"/>
                <w:w w:val="99"/>
                <w:sz w:val="20"/>
                <w:szCs w:val="20"/>
              </w:rPr>
              <w:t>光</w:t>
            </w:r>
            <w:r>
              <w:rPr>
                <w:rFonts w:hint="eastAsia" w:ascii="宋体" w:hAnsi="宋体" w:cs="宋体"/>
                <w:color w:val="auto"/>
                <w:w w:val="99"/>
                <w:sz w:val="20"/>
                <w:szCs w:val="20"/>
              </w:rPr>
              <w:t>灯镇</w:t>
            </w:r>
            <w:r>
              <w:rPr>
                <w:rFonts w:hint="eastAsia" w:ascii="宋体" w:hAnsi="宋体" w:cs="宋体"/>
                <w:color w:val="auto"/>
                <w:spacing w:val="2"/>
                <w:w w:val="99"/>
                <w:sz w:val="20"/>
                <w:szCs w:val="20"/>
              </w:rPr>
              <w:t>流</w:t>
            </w:r>
            <w:r>
              <w:rPr>
                <w:rFonts w:hint="eastAsia" w:ascii="宋体" w:hAnsi="宋体" w:cs="宋体"/>
                <w:color w:val="auto"/>
                <w:w w:val="99"/>
                <w:sz w:val="20"/>
                <w:szCs w:val="20"/>
              </w:rPr>
              <w:t>器</w:t>
            </w:r>
          </w:p>
        </w:tc>
        <w:tc>
          <w:tcPr>
            <w:tcW w:w="1932" w:type="dxa"/>
            <w:shd w:val="clear" w:color="auto" w:fill="auto"/>
            <w:vAlign w:val="center"/>
          </w:tcPr>
          <w:p w14:paraId="71E2D6F5">
            <w:pPr>
              <w:rPr>
                <w:rFonts w:ascii="宋体" w:hAnsi="宋体" w:cs="宋体"/>
                <w:color w:val="auto"/>
                <w:sz w:val="20"/>
                <w:szCs w:val="20"/>
              </w:rPr>
            </w:pPr>
          </w:p>
        </w:tc>
        <w:tc>
          <w:tcPr>
            <w:tcW w:w="3896" w:type="dxa"/>
            <w:shd w:val="clear" w:color="auto" w:fill="auto"/>
            <w:vAlign w:val="center"/>
          </w:tcPr>
          <w:p w14:paraId="619A6104">
            <w:pPr>
              <w:pStyle w:val="76"/>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《管形荧光灯镇流器能</w:t>
            </w:r>
            <w:r>
              <w:rPr>
                <w:rFonts w:hint="eastAsia" w:ascii="宋体" w:hAnsi="宋体" w:cs="宋体"/>
                <w:color w:val="auto"/>
                <w:spacing w:val="9"/>
                <w:w w:val="99"/>
                <w:sz w:val="20"/>
                <w:szCs w:val="20"/>
                <w:lang w:eastAsia="zh-CN"/>
              </w:rPr>
              <w:t>效</w:t>
            </w:r>
            <w:r>
              <w:rPr>
                <w:rFonts w:hint="eastAsia" w:ascii="宋体" w:hAnsi="宋体" w:cs="宋体"/>
                <w:color w:val="auto"/>
                <w:spacing w:val="12"/>
                <w:w w:val="99"/>
                <w:sz w:val="20"/>
                <w:szCs w:val="20"/>
                <w:lang w:eastAsia="zh-CN"/>
              </w:rPr>
              <w:t>限定</w:t>
            </w:r>
            <w:r>
              <w:rPr>
                <w:rFonts w:hint="eastAsia" w:ascii="宋体" w:hAnsi="宋体" w:cs="宋体"/>
                <w:color w:val="auto"/>
                <w:w w:val="99"/>
                <w:sz w:val="20"/>
                <w:szCs w:val="20"/>
                <w:lang w:eastAsia="zh-CN"/>
              </w:rPr>
              <w:t>值及能效</w:t>
            </w:r>
            <w:r>
              <w:rPr>
                <w:rFonts w:hint="eastAsia" w:ascii="宋体" w:hAnsi="宋体" w:cs="宋体"/>
                <w:color w:val="auto"/>
                <w:spacing w:val="2"/>
                <w:w w:val="99"/>
                <w:sz w:val="20"/>
                <w:szCs w:val="20"/>
                <w:lang w:eastAsia="zh-CN"/>
              </w:rPr>
              <w:t>等</w:t>
            </w:r>
            <w:r>
              <w:rPr>
                <w:rFonts w:hint="eastAsia" w:ascii="宋体" w:hAnsi="宋体" w:cs="宋体"/>
                <w:color w:val="auto"/>
                <w:w w:val="99"/>
                <w:sz w:val="20"/>
                <w:szCs w:val="20"/>
                <w:lang w:eastAsia="zh-CN"/>
              </w:rPr>
              <w:t>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17896</w:t>
            </w:r>
            <w:r>
              <w:rPr>
                <w:rFonts w:hint="eastAsia" w:ascii="宋体" w:hAnsi="宋体" w:cs="宋体"/>
                <w:color w:val="auto"/>
                <w:w w:val="99"/>
                <w:sz w:val="20"/>
                <w:szCs w:val="20"/>
                <w:lang w:eastAsia="zh-CN"/>
              </w:rPr>
              <w:t>）</w:t>
            </w:r>
          </w:p>
        </w:tc>
      </w:tr>
      <w:tr w14:paraId="4C8C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89" w:type="dxa"/>
            <w:vMerge w:val="restart"/>
            <w:shd w:val="clear" w:color="auto" w:fill="auto"/>
            <w:vAlign w:val="center"/>
          </w:tcPr>
          <w:p w14:paraId="1D194A8F">
            <w:pPr>
              <w:pStyle w:val="76"/>
              <w:ind w:right="1"/>
              <w:jc w:val="center"/>
              <w:rPr>
                <w:rFonts w:ascii="宋体"/>
                <w:color w:val="auto"/>
                <w:w w:val="99"/>
                <w:sz w:val="20"/>
                <w:lang w:eastAsia="zh-CN"/>
              </w:rPr>
            </w:pPr>
            <w:r>
              <w:rPr>
                <w:rFonts w:hint="eastAsia" w:ascii="宋体"/>
                <w:color w:val="auto"/>
                <w:w w:val="99"/>
                <w:sz w:val="20"/>
                <w:lang w:eastAsia="zh-CN"/>
              </w:rPr>
              <w:t>10</w:t>
            </w:r>
          </w:p>
        </w:tc>
        <w:tc>
          <w:tcPr>
            <w:tcW w:w="1365" w:type="dxa"/>
            <w:vMerge w:val="restart"/>
            <w:shd w:val="clear" w:color="auto" w:fill="auto"/>
            <w:vAlign w:val="center"/>
          </w:tcPr>
          <w:p w14:paraId="19DEB1B4">
            <w:pPr>
              <w:rPr>
                <w:rFonts w:ascii="宋体" w:hAnsi="宋体" w:cs="宋体"/>
                <w:color w:val="auto"/>
                <w:sz w:val="20"/>
                <w:szCs w:val="20"/>
              </w:rPr>
            </w:pPr>
            <w:r>
              <w:rPr>
                <w:rFonts w:hint="eastAsia" w:ascii="宋体" w:hAnsi="宋体" w:cs="宋体"/>
                <w:color w:val="auto"/>
                <w:sz w:val="20"/>
                <w:szCs w:val="20"/>
              </w:rPr>
              <w:t>A020618生活</w:t>
            </w:r>
          </w:p>
          <w:p w14:paraId="02F7805B">
            <w:pPr>
              <w:rPr>
                <w:rFonts w:ascii="宋体" w:hAnsi="宋体" w:cs="宋体"/>
                <w:color w:val="auto"/>
                <w:sz w:val="20"/>
                <w:szCs w:val="20"/>
              </w:rPr>
            </w:pPr>
            <w:r>
              <w:rPr>
                <w:rFonts w:hint="eastAsia" w:ascii="宋体" w:hAnsi="宋体" w:cs="宋体"/>
                <w:color w:val="auto"/>
                <w:sz w:val="20"/>
                <w:szCs w:val="20"/>
              </w:rPr>
              <w:t>用电器</w:t>
            </w:r>
          </w:p>
        </w:tc>
        <w:tc>
          <w:tcPr>
            <w:tcW w:w="1980" w:type="dxa"/>
            <w:shd w:val="clear" w:color="auto" w:fill="auto"/>
            <w:vAlign w:val="center"/>
          </w:tcPr>
          <w:p w14:paraId="7D2B42F4">
            <w:pPr>
              <w:rPr>
                <w:rFonts w:ascii="宋体" w:hAnsi="宋体" w:cs="宋体"/>
                <w:color w:val="auto"/>
                <w:sz w:val="20"/>
                <w:szCs w:val="20"/>
              </w:rPr>
            </w:pPr>
            <w:r>
              <w:rPr>
                <w:rFonts w:hint="eastAsia" w:ascii="宋体" w:hAnsi="宋体" w:cs="宋体"/>
                <w:color w:val="auto"/>
                <w:sz w:val="20"/>
                <w:szCs w:val="20"/>
              </w:rPr>
              <w:t>A0206180101电冰箱</w:t>
            </w:r>
          </w:p>
        </w:tc>
        <w:tc>
          <w:tcPr>
            <w:tcW w:w="1932" w:type="dxa"/>
            <w:shd w:val="clear" w:color="auto" w:fill="auto"/>
            <w:vAlign w:val="center"/>
          </w:tcPr>
          <w:p w14:paraId="3AEE0A76">
            <w:pPr>
              <w:rPr>
                <w:rFonts w:ascii="宋体" w:hAnsi="宋体" w:cs="宋体"/>
                <w:color w:val="auto"/>
                <w:sz w:val="20"/>
                <w:szCs w:val="20"/>
              </w:rPr>
            </w:pPr>
          </w:p>
        </w:tc>
        <w:tc>
          <w:tcPr>
            <w:tcW w:w="3896" w:type="dxa"/>
            <w:shd w:val="clear" w:color="auto" w:fill="auto"/>
            <w:vAlign w:val="center"/>
          </w:tcPr>
          <w:p w14:paraId="492835B1">
            <w:pPr>
              <w:pStyle w:val="76"/>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《家用电冰箱耗电量限</w:t>
            </w:r>
            <w:r>
              <w:rPr>
                <w:rFonts w:hint="eastAsia" w:ascii="宋体" w:hAnsi="宋体" w:cs="宋体"/>
                <w:color w:val="auto"/>
                <w:spacing w:val="9"/>
                <w:w w:val="99"/>
                <w:sz w:val="20"/>
                <w:szCs w:val="20"/>
                <w:lang w:eastAsia="zh-CN"/>
              </w:rPr>
              <w:t>定</w:t>
            </w:r>
            <w:r>
              <w:rPr>
                <w:rFonts w:hint="eastAsia" w:ascii="宋体" w:hAnsi="宋体" w:cs="宋体"/>
                <w:color w:val="auto"/>
                <w:spacing w:val="12"/>
                <w:w w:val="99"/>
                <w:sz w:val="20"/>
                <w:szCs w:val="20"/>
                <w:lang w:eastAsia="zh-CN"/>
              </w:rPr>
              <w:t>值及</w:t>
            </w:r>
            <w:r>
              <w:rPr>
                <w:rFonts w:hint="eastAsia" w:ascii="宋体" w:hAnsi="宋体" w:cs="宋体"/>
                <w:color w:val="auto"/>
                <w:w w:val="99"/>
                <w:sz w:val="20"/>
                <w:szCs w:val="20"/>
                <w:lang w:eastAsia="zh-CN"/>
              </w:rPr>
              <w:t>能效等级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 xml:space="preserve">B </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20</w:t>
            </w:r>
            <w:r>
              <w:rPr>
                <w:rFonts w:hint="eastAsia" w:ascii="宋体" w:hAnsi="宋体" w:cs="宋体"/>
                <w:color w:val="auto"/>
                <w:spacing w:val="1"/>
                <w:w w:val="99"/>
                <w:sz w:val="20"/>
                <w:szCs w:val="20"/>
                <w:lang w:eastAsia="zh-CN"/>
              </w:rPr>
              <w:t>2</w:t>
            </w:r>
            <w:r>
              <w:rPr>
                <w:rFonts w:hint="eastAsia" w:ascii="宋体" w:hAnsi="宋体" w:cs="宋体"/>
                <w:color w:val="auto"/>
                <w:w w:val="99"/>
                <w:sz w:val="20"/>
                <w:szCs w:val="20"/>
                <w:lang w:eastAsia="zh-CN"/>
              </w:rPr>
              <w:t>1.</w:t>
            </w:r>
            <w:r>
              <w:rPr>
                <w:rFonts w:hint="eastAsia" w:ascii="宋体" w:hAnsi="宋体" w:cs="宋体"/>
                <w:color w:val="auto"/>
                <w:spacing w:val="1"/>
                <w:w w:val="99"/>
                <w:sz w:val="20"/>
                <w:szCs w:val="20"/>
                <w:lang w:eastAsia="zh-CN"/>
              </w:rPr>
              <w:t>2</w:t>
            </w:r>
            <w:r>
              <w:rPr>
                <w:rFonts w:hint="eastAsia" w:ascii="宋体" w:hAnsi="宋体" w:cs="宋体"/>
                <w:color w:val="auto"/>
                <w:w w:val="99"/>
                <w:sz w:val="20"/>
                <w:szCs w:val="20"/>
                <w:lang w:eastAsia="zh-CN"/>
              </w:rPr>
              <w:t>）</w:t>
            </w:r>
          </w:p>
        </w:tc>
      </w:tr>
      <w:tr w14:paraId="65E4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89" w:type="dxa"/>
            <w:vMerge w:val="continue"/>
            <w:shd w:val="clear" w:color="auto" w:fill="auto"/>
            <w:vAlign w:val="center"/>
          </w:tcPr>
          <w:p w14:paraId="7B80CC36">
            <w:pPr>
              <w:pStyle w:val="13"/>
              <w:spacing w:after="0"/>
              <w:jc w:val="center"/>
              <w:rPr>
                <w:color w:val="auto"/>
              </w:rPr>
            </w:pPr>
          </w:p>
        </w:tc>
        <w:tc>
          <w:tcPr>
            <w:tcW w:w="1365" w:type="dxa"/>
            <w:vMerge w:val="continue"/>
            <w:shd w:val="clear" w:color="auto" w:fill="auto"/>
            <w:vAlign w:val="center"/>
          </w:tcPr>
          <w:p w14:paraId="21FB3B3A">
            <w:pPr>
              <w:rPr>
                <w:rFonts w:ascii="宋体" w:hAnsi="宋体" w:cs="宋体"/>
                <w:color w:val="auto"/>
                <w:sz w:val="20"/>
                <w:szCs w:val="20"/>
              </w:rPr>
            </w:pPr>
          </w:p>
        </w:tc>
        <w:tc>
          <w:tcPr>
            <w:tcW w:w="1980" w:type="dxa"/>
            <w:vMerge w:val="restart"/>
            <w:shd w:val="clear" w:color="auto" w:fill="auto"/>
            <w:vAlign w:val="center"/>
          </w:tcPr>
          <w:p w14:paraId="44CD9F2D">
            <w:pPr>
              <w:pStyle w:val="76"/>
              <w:ind w:left="7"/>
              <w:jc w:val="both"/>
              <w:rPr>
                <w:rFonts w:ascii="宋体" w:hAnsi="宋体" w:cs="宋体"/>
                <w:color w:val="auto"/>
                <w:sz w:val="20"/>
                <w:szCs w:val="20"/>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61</w:t>
            </w:r>
            <w:r>
              <w:rPr>
                <w:rFonts w:hint="eastAsia" w:ascii="宋体" w:hAnsi="宋体" w:cs="宋体"/>
                <w:color w:val="auto"/>
                <w:spacing w:val="1"/>
                <w:w w:val="99"/>
                <w:sz w:val="20"/>
                <w:szCs w:val="20"/>
              </w:rPr>
              <w:t>8</w:t>
            </w:r>
            <w:r>
              <w:rPr>
                <w:rFonts w:hint="eastAsia" w:ascii="宋体" w:hAnsi="宋体" w:cs="宋体"/>
                <w:color w:val="auto"/>
                <w:w w:val="99"/>
                <w:sz w:val="20"/>
                <w:szCs w:val="20"/>
              </w:rPr>
              <w:t>0203空调</w:t>
            </w:r>
          </w:p>
          <w:p w14:paraId="19E06C09">
            <w:pPr>
              <w:rPr>
                <w:rFonts w:ascii="宋体" w:hAnsi="宋体" w:cs="宋体"/>
                <w:color w:val="auto"/>
                <w:sz w:val="20"/>
                <w:szCs w:val="20"/>
              </w:rPr>
            </w:pPr>
            <w:r>
              <w:rPr>
                <w:rFonts w:hint="eastAsia" w:ascii="宋体" w:hAnsi="宋体" w:cs="宋体"/>
                <w:color w:val="auto"/>
                <w:w w:val="99"/>
                <w:sz w:val="20"/>
                <w:szCs w:val="20"/>
              </w:rPr>
              <w:t>机</w:t>
            </w:r>
          </w:p>
        </w:tc>
        <w:tc>
          <w:tcPr>
            <w:tcW w:w="1932" w:type="dxa"/>
            <w:shd w:val="clear" w:color="auto" w:fill="auto"/>
            <w:vAlign w:val="center"/>
          </w:tcPr>
          <w:p w14:paraId="7BA4AE00">
            <w:pPr>
              <w:pStyle w:val="76"/>
              <w:ind w:left="7"/>
              <w:jc w:val="both"/>
              <w:rPr>
                <w:rFonts w:ascii="宋体" w:hAnsi="宋体" w:cs="宋体"/>
                <w:color w:val="auto"/>
                <w:sz w:val="20"/>
                <w:szCs w:val="20"/>
              </w:rPr>
            </w:pPr>
            <w:r>
              <w:rPr>
                <w:rFonts w:hint="eastAsia" w:ascii="宋体" w:hAnsi="宋体" w:cs="宋体"/>
                <w:color w:val="auto"/>
                <w:w w:val="99"/>
                <w:sz w:val="20"/>
                <w:szCs w:val="20"/>
              </w:rPr>
              <w:t>房间空</w:t>
            </w:r>
            <w:r>
              <w:rPr>
                <w:rFonts w:hint="eastAsia" w:ascii="宋体" w:hAnsi="宋体" w:cs="宋体"/>
                <w:color w:val="auto"/>
                <w:spacing w:val="2"/>
                <w:w w:val="99"/>
                <w:sz w:val="20"/>
                <w:szCs w:val="20"/>
              </w:rPr>
              <w:t>气</w:t>
            </w:r>
            <w:r>
              <w:rPr>
                <w:rFonts w:hint="eastAsia" w:ascii="宋体" w:hAnsi="宋体" w:cs="宋体"/>
                <w:color w:val="auto"/>
                <w:w w:val="99"/>
                <w:sz w:val="20"/>
                <w:szCs w:val="20"/>
              </w:rPr>
              <w:t>调节器</w:t>
            </w:r>
          </w:p>
        </w:tc>
        <w:tc>
          <w:tcPr>
            <w:tcW w:w="3896" w:type="dxa"/>
            <w:shd w:val="clear" w:color="auto" w:fill="auto"/>
            <w:vAlign w:val="center"/>
          </w:tcPr>
          <w:p w14:paraId="03BA58D4">
            <w:pPr>
              <w:pStyle w:val="76"/>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《转速可控型房间空气</w:t>
            </w:r>
            <w:r>
              <w:rPr>
                <w:rFonts w:hint="eastAsia" w:ascii="宋体" w:hAnsi="宋体" w:cs="宋体"/>
                <w:color w:val="auto"/>
                <w:spacing w:val="9"/>
                <w:w w:val="99"/>
                <w:sz w:val="20"/>
                <w:szCs w:val="20"/>
                <w:lang w:eastAsia="zh-CN"/>
              </w:rPr>
              <w:t>调</w:t>
            </w:r>
            <w:r>
              <w:rPr>
                <w:rFonts w:hint="eastAsia" w:ascii="宋体" w:hAnsi="宋体" w:cs="宋体"/>
                <w:color w:val="auto"/>
                <w:spacing w:val="12"/>
                <w:w w:val="99"/>
                <w:sz w:val="20"/>
                <w:szCs w:val="20"/>
                <w:lang w:eastAsia="zh-CN"/>
              </w:rPr>
              <w:t>节器</w:t>
            </w:r>
            <w:r>
              <w:rPr>
                <w:rFonts w:hint="eastAsia" w:ascii="宋体" w:hAnsi="宋体" w:cs="宋体"/>
                <w:color w:val="auto"/>
                <w:w w:val="99"/>
                <w:sz w:val="20"/>
                <w:szCs w:val="20"/>
                <w:lang w:eastAsia="zh-CN"/>
              </w:rPr>
              <w:t>能效限定值及能效等级》（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214</w:t>
            </w:r>
            <w:r>
              <w:rPr>
                <w:rFonts w:hint="eastAsia" w:ascii="宋体" w:hAnsi="宋体" w:cs="宋体"/>
                <w:color w:val="auto"/>
                <w:w w:val="99"/>
                <w:sz w:val="20"/>
                <w:szCs w:val="20"/>
                <w:lang w:eastAsia="zh-CN"/>
              </w:rPr>
              <w:t>55</w:t>
            </w:r>
            <w:r>
              <w:rPr>
                <w:rFonts w:hint="eastAsia" w:ascii="宋体" w:hAnsi="宋体" w:cs="宋体"/>
                <w:color w:val="auto"/>
                <w:spacing w:val="1"/>
                <w:w w:val="99"/>
                <w:sz w:val="20"/>
                <w:szCs w:val="20"/>
                <w:lang w:eastAsia="zh-CN"/>
              </w:rPr>
              <w:t>-</w:t>
            </w:r>
            <w:r>
              <w:rPr>
                <w:rFonts w:hint="eastAsia" w:ascii="宋体" w:hAnsi="宋体" w:cs="宋体"/>
                <w:color w:val="auto"/>
                <w:w w:val="99"/>
                <w:sz w:val="20"/>
                <w:szCs w:val="20"/>
                <w:lang w:eastAsia="zh-CN"/>
              </w:rPr>
              <w:t>20</w:t>
            </w:r>
            <w:r>
              <w:rPr>
                <w:rFonts w:hint="eastAsia" w:ascii="宋体" w:hAnsi="宋体" w:cs="宋体"/>
                <w:color w:val="auto"/>
                <w:spacing w:val="1"/>
                <w:w w:val="99"/>
                <w:sz w:val="20"/>
                <w:szCs w:val="20"/>
                <w:lang w:eastAsia="zh-CN"/>
              </w:rPr>
              <w:t>13</w:t>
            </w:r>
            <w:r>
              <w:rPr>
                <w:rFonts w:hint="eastAsia" w:ascii="宋体" w:hAnsi="宋体" w:cs="宋体"/>
                <w:color w:val="auto"/>
                <w:w w:val="99"/>
                <w:sz w:val="20"/>
                <w:szCs w:val="20"/>
                <w:lang w:eastAsia="zh-CN"/>
              </w:rPr>
              <w:t>），待</w:t>
            </w:r>
            <w:r>
              <w:rPr>
                <w:rFonts w:hint="eastAsia" w:ascii="宋体" w:hAnsi="宋体" w:cs="宋体"/>
                <w:color w:val="auto"/>
                <w:spacing w:val="1"/>
                <w:w w:val="99"/>
                <w:sz w:val="20"/>
                <w:szCs w:val="20"/>
                <w:lang w:eastAsia="zh-CN"/>
              </w:rPr>
              <w:t>20</w:t>
            </w:r>
            <w:r>
              <w:rPr>
                <w:rFonts w:hint="eastAsia" w:ascii="宋体" w:hAnsi="宋体" w:cs="宋体"/>
                <w:color w:val="auto"/>
                <w:w w:val="99"/>
                <w:sz w:val="20"/>
                <w:szCs w:val="20"/>
                <w:lang w:eastAsia="zh-CN"/>
              </w:rPr>
              <w:t>19</w:t>
            </w:r>
            <w:r>
              <w:rPr>
                <w:rFonts w:hint="eastAsia" w:ascii="宋体" w:hAnsi="宋体" w:cs="宋体"/>
                <w:color w:val="auto"/>
                <w:spacing w:val="-3"/>
                <w:w w:val="99"/>
                <w:sz w:val="20"/>
                <w:szCs w:val="20"/>
                <w:lang w:eastAsia="zh-CN"/>
              </w:rPr>
              <w:t>年</w:t>
            </w:r>
            <w:r>
              <w:rPr>
                <w:rFonts w:hint="eastAsia" w:ascii="宋体" w:hAnsi="宋体" w:cs="宋体"/>
                <w:color w:val="auto"/>
                <w:w w:val="99"/>
                <w:sz w:val="20"/>
                <w:szCs w:val="20"/>
                <w:lang w:eastAsia="zh-CN"/>
              </w:rPr>
              <w:t>修订发布后</w:t>
            </w:r>
            <w:r>
              <w:rPr>
                <w:rFonts w:hint="eastAsia" w:ascii="宋体" w:hAnsi="宋体" w:cs="宋体"/>
                <w:color w:val="auto"/>
                <w:spacing w:val="-29"/>
                <w:w w:val="99"/>
                <w:sz w:val="20"/>
                <w:szCs w:val="20"/>
                <w:lang w:eastAsia="zh-CN"/>
              </w:rPr>
              <w:t>，</w:t>
            </w:r>
            <w:r>
              <w:rPr>
                <w:rFonts w:hint="eastAsia" w:ascii="宋体" w:hAnsi="宋体" w:cs="宋体"/>
                <w:color w:val="auto"/>
                <w:spacing w:val="-27"/>
                <w:w w:val="99"/>
                <w:sz w:val="20"/>
                <w:szCs w:val="20"/>
                <w:lang w:eastAsia="zh-CN"/>
              </w:rPr>
              <w:t>按</w:t>
            </w:r>
            <w:r>
              <w:rPr>
                <w:rFonts w:hint="eastAsia" w:ascii="宋体" w:hAnsi="宋体" w:cs="宋体"/>
                <w:color w:val="auto"/>
                <w:w w:val="99"/>
                <w:sz w:val="20"/>
                <w:szCs w:val="20"/>
                <w:lang w:eastAsia="zh-CN"/>
              </w:rPr>
              <w:t>《</w:t>
            </w:r>
            <w:r>
              <w:rPr>
                <w:rFonts w:hint="eastAsia" w:ascii="宋体" w:hAnsi="宋体" w:cs="宋体"/>
                <w:color w:val="auto"/>
                <w:spacing w:val="2"/>
                <w:w w:val="99"/>
                <w:sz w:val="20"/>
                <w:szCs w:val="20"/>
                <w:lang w:eastAsia="zh-CN"/>
              </w:rPr>
              <w:t>房</w:t>
            </w:r>
            <w:r>
              <w:rPr>
                <w:rFonts w:hint="eastAsia" w:ascii="宋体" w:hAnsi="宋体" w:cs="宋体"/>
                <w:color w:val="auto"/>
                <w:w w:val="99"/>
                <w:sz w:val="20"/>
                <w:szCs w:val="20"/>
                <w:lang w:eastAsia="zh-CN"/>
              </w:rPr>
              <w:t>间空</w:t>
            </w:r>
            <w:r>
              <w:rPr>
                <w:rFonts w:hint="eastAsia" w:ascii="宋体" w:hAnsi="宋体" w:cs="宋体"/>
                <w:color w:val="auto"/>
                <w:spacing w:val="2"/>
                <w:w w:val="99"/>
                <w:sz w:val="20"/>
                <w:szCs w:val="20"/>
                <w:lang w:eastAsia="zh-CN"/>
              </w:rPr>
              <w:t>气</w:t>
            </w:r>
            <w:r>
              <w:rPr>
                <w:rFonts w:hint="eastAsia" w:ascii="宋体" w:hAnsi="宋体" w:cs="宋体"/>
                <w:color w:val="auto"/>
                <w:w w:val="99"/>
                <w:sz w:val="20"/>
                <w:szCs w:val="20"/>
                <w:lang w:eastAsia="zh-CN"/>
              </w:rPr>
              <w:t>调节</w:t>
            </w:r>
            <w:r>
              <w:rPr>
                <w:rFonts w:hint="eastAsia" w:ascii="宋体" w:hAnsi="宋体" w:cs="宋体"/>
                <w:color w:val="auto"/>
                <w:spacing w:val="2"/>
                <w:w w:val="99"/>
                <w:sz w:val="20"/>
                <w:szCs w:val="20"/>
                <w:lang w:eastAsia="zh-CN"/>
              </w:rPr>
              <w:t>器</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spacing w:val="-156"/>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GB214</w:t>
            </w:r>
            <w:r>
              <w:rPr>
                <w:rFonts w:hint="eastAsia" w:ascii="宋体" w:hAnsi="宋体" w:cs="宋体"/>
                <w:color w:val="auto"/>
                <w:w w:val="99"/>
                <w:sz w:val="20"/>
                <w:szCs w:val="20"/>
                <w:lang w:eastAsia="zh-CN"/>
              </w:rPr>
              <w:t>5</w:t>
            </w:r>
            <w:r>
              <w:rPr>
                <w:rFonts w:hint="eastAsia" w:ascii="宋体" w:hAnsi="宋体" w:cs="宋体"/>
                <w:color w:val="auto"/>
                <w:spacing w:val="-1"/>
                <w:w w:val="99"/>
                <w:sz w:val="20"/>
                <w:szCs w:val="20"/>
                <w:lang w:eastAsia="zh-CN"/>
              </w:rPr>
              <w:t>5</w:t>
            </w:r>
            <w:r>
              <w:rPr>
                <w:rFonts w:hint="eastAsia" w:ascii="宋体" w:hAnsi="宋体" w:cs="宋体"/>
                <w:color w:val="auto"/>
                <w:spacing w:val="-2"/>
                <w:w w:val="99"/>
                <w:sz w:val="20"/>
                <w:szCs w:val="20"/>
                <w:lang w:eastAsia="zh-CN"/>
              </w:rPr>
              <w:t>-</w:t>
            </w:r>
            <w:r>
              <w:rPr>
                <w:rFonts w:hint="eastAsia" w:ascii="宋体" w:hAnsi="宋体" w:cs="宋体"/>
                <w:color w:val="auto"/>
                <w:spacing w:val="1"/>
                <w:w w:val="99"/>
                <w:sz w:val="20"/>
                <w:szCs w:val="20"/>
                <w:lang w:eastAsia="zh-CN"/>
              </w:rPr>
              <w:t>201</w:t>
            </w:r>
            <w:r>
              <w:rPr>
                <w:rFonts w:hint="eastAsia" w:ascii="宋体" w:hAnsi="宋体" w:cs="宋体"/>
                <w:color w:val="auto"/>
                <w:w w:val="99"/>
                <w:sz w:val="20"/>
                <w:szCs w:val="20"/>
                <w:lang w:eastAsia="zh-CN"/>
              </w:rPr>
              <w:t>9实施。</w:t>
            </w:r>
          </w:p>
        </w:tc>
      </w:tr>
      <w:tr w14:paraId="76E6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73E31EDC">
            <w:pPr>
              <w:pStyle w:val="13"/>
              <w:spacing w:after="0"/>
              <w:jc w:val="center"/>
              <w:rPr>
                <w:color w:val="auto"/>
              </w:rPr>
            </w:pPr>
          </w:p>
        </w:tc>
        <w:tc>
          <w:tcPr>
            <w:tcW w:w="1365" w:type="dxa"/>
            <w:vMerge w:val="continue"/>
            <w:shd w:val="clear" w:color="auto" w:fill="auto"/>
            <w:vAlign w:val="center"/>
          </w:tcPr>
          <w:p w14:paraId="1B191804">
            <w:pPr>
              <w:rPr>
                <w:rFonts w:ascii="宋体" w:hAnsi="宋体" w:cs="宋体"/>
                <w:color w:val="auto"/>
                <w:sz w:val="20"/>
                <w:szCs w:val="20"/>
              </w:rPr>
            </w:pPr>
          </w:p>
        </w:tc>
        <w:tc>
          <w:tcPr>
            <w:tcW w:w="1980" w:type="dxa"/>
            <w:vMerge w:val="continue"/>
            <w:shd w:val="clear" w:color="auto" w:fill="auto"/>
            <w:vAlign w:val="center"/>
          </w:tcPr>
          <w:p w14:paraId="52153677">
            <w:pPr>
              <w:rPr>
                <w:rFonts w:ascii="宋体" w:hAnsi="宋体" w:cs="宋体"/>
                <w:color w:val="auto"/>
                <w:sz w:val="20"/>
                <w:szCs w:val="20"/>
              </w:rPr>
            </w:pPr>
          </w:p>
        </w:tc>
        <w:tc>
          <w:tcPr>
            <w:tcW w:w="1932" w:type="dxa"/>
            <w:shd w:val="clear" w:color="auto" w:fill="auto"/>
            <w:vAlign w:val="center"/>
          </w:tcPr>
          <w:p w14:paraId="651D8565">
            <w:pPr>
              <w:pStyle w:val="76"/>
              <w:ind w:left="7" w:righ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多联式空</w:t>
            </w:r>
            <w:r>
              <w:rPr>
                <w:rFonts w:hint="eastAsia" w:ascii="宋体" w:hAnsi="宋体" w:cs="宋体"/>
                <w:color w:val="auto"/>
                <w:spacing w:val="11"/>
                <w:w w:val="99"/>
                <w:sz w:val="20"/>
                <w:szCs w:val="20"/>
                <w:lang w:eastAsia="zh-CN"/>
              </w:rPr>
              <w:t>调（</w:t>
            </w:r>
            <w:r>
              <w:rPr>
                <w:rFonts w:hint="eastAsia" w:ascii="宋体" w:hAnsi="宋体" w:cs="宋体"/>
                <w:color w:val="auto"/>
                <w:spacing w:val="12"/>
                <w:w w:val="99"/>
                <w:sz w:val="20"/>
                <w:szCs w:val="20"/>
                <w:lang w:eastAsia="zh-CN"/>
              </w:rPr>
              <w:t>热泵</w:t>
            </w:r>
            <w:r>
              <w:rPr>
                <w:rFonts w:hint="eastAsia" w:ascii="宋体" w:hAnsi="宋体" w:cs="宋体"/>
                <w:color w:val="auto"/>
                <w:w w:val="99"/>
                <w:sz w:val="20"/>
                <w:szCs w:val="20"/>
                <w:lang w:eastAsia="zh-CN"/>
              </w:rPr>
              <w:t xml:space="preserve">）机组（制冷量≤ </w:t>
            </w:r>
            <w:r>
              <w:rPr>
                <w:rFonts w:hint="eastAsia" w:ascii="宋体" w:hAnsi="宋体" w:cs="宋体"/>
                <w:color w:val="auto"/>
                <w:spacing w:val="1"/>
                <w:w w:val="99"/>
                <w:sz w:val="20"/>
                <w:szCs w:val="20"/>
                <w:lang w:eastAsia="zh-CN"/>
              </w:rPr>
              <w:t>140</w:t>
            </w:r>
            <w:r>
              <w:rPr>
                <w:rFonts w:hint="eastAsia" w:ascii="宋体" w:hAnsi="宋体" w:cs="宋体"/>
                <w:color w:val="auto"/>
                <w:w w:val="99"/>
                <w:sz w:val="20"/>
                <w:szCs w:val="20"/>
                <w:lang w:eastAsia="zh-CN"/>
              </w:rPr>
              <w:t>00</w:t>
            </w:r>
            <w:r>
              <w:rPr>
                <w:rFonts w:hint="eastAsia" w:ascii="宋体" w:hAnsi="宋体" w:cs="宋体"/>
                <w:color w:val="auto"/>
                <w:spacing w:val="1"/>
                <w:w w:val="99"/>
                <w:sz w:val="20"/>
                <w:szCs w:val="20"/>
                <w:lang w:eastAsia="zh-CN"/>
              </w:rPr>
              <w:t>W</w:t>
            </w:r>
            <w:r>
              <w:rPr>
                <w:rFonts w:hint="eastAsia" w:ascii="宋体" w:hAnsi="宋体" w:cs="宋体"/>
                <w:color w:val="auto"/>
                <w:w w:val="99"/>
                <w:sz w:val="20"/>
                <w:szCs w:val="20"/>
                <w:lang w:eastAsia="zh-CN"/>
              </w:rPr>
              <w:t>）</w:t>
            </w:r>
          </w:p>
        </w:tc>
        <w:tc>
          <w:tcPr>
            <w:tcW w:w="3896" w:type="dxa"/>
            <w:shd w:val="clear" w:color="auto" w:fill="auto"/>
            <w:vAlign w:val="center"/>
          </w:tcPr>
          <w:p w14:paraId="084A7944">
            <w:pPr>
              <w:pStyle w:val="76"/>
              <w:ind w:left="7" w:right="7"/>
              <w:jc w:val="both"/>
              <w:rPr>
                <w:rFonts w:ascii="宋体" w:hAnsi="宋体" w:cs="宋体"/>
                <w:color w:val="auto"/>
                <w:sz w:val="20"/>
                <w:szCs w:val="20"/>
                <w:lang w:eastAsia="zh-CN"/>
              </w:rPr>
            </w:pPr>
            <w:r>
              <w:rPr>
                <w:rFonts w:hint="eastAsia" w:ascii="宋体" w:hAnsi="宋体" w:cs="宋体"/>
                <w:color w:val="auto"/>
                <w:w w:val="99"/>
                <w:sz w:val="20"/>
                <w:szCs w:val="20"/>
                <w:lang w:eastAsia="zh-CN"/>
              </w:rPr>
              <w:t>《多联</w:t>
            </w:r>
            <w:r>
              <w:rPr>
                <w:rFonts w:hint="eastAsia" w:ascii="宋体" w:hAnsi="宋体" w:cs="宋体"/>
                <w:color w:val="auto"/>
                <w:spacing w:val="2"/>
                <w:w w:val="99"/>
                <w:sz w:val="20"/>
                <w:szCs w:val="20"/>
                <w:lang w:eastAsia="zh-CN"/>
              </w:rPr>
              <w:t>式</w:t>
            </w:r>
            <w:r>
              <w:rPr>
                <w:rFonts w:hint="eastAsia" w:ascii="宋体" w:hAnsi="宋体" w:cs="宋体"/>
                <w:color w:val="auto"/>
                <w:w w:val="99"/>
                <w:sz w:val="20"/>
                <w:szCs w:val="20"/>
                <w:lang w:eastAsia="zh-CN"/>
              </w:rPr>
              <w:t>空</w:t>
            </w:r>
            <w:r>
              <w:rPr>
                <w:rFonts w:hint="eastAsia" w:ascii="宋体" w:hAnsi="宋体" w:cs="宋体"/>
                <w:color w:val="auto"/>
                <w:spacing w:val="-27"/>
                <w:w w:val="99"/>
                <w:sz w:val="20"/>
                <w:szCs w:val="20"/>
                <w:lang w:eastAsia="zh-CN"/>
              </w:rPr>
              <w:t>调</w:t>
            </w:r>
            <w:r>
              <w:rPr>
                <w:rFonts w:hint="eastAsia" w:ascii="宋体" w:hAnsi="宋体" w:cs="宋体"/>
                <w:color w:val="auto"/>
                <w:w w:val="99"/>
                <w:sz w:val="20"/>
                <w:szCs w:val="20"/>
                <w:lang w:eastAsia="zh-CN"/>
              </w:rPr>
              <w:t>（热</w:t>
            </w:r>
            <w:r>
              <w:rPr>
                <w:rFonts w:hint="eastAsia" w:ascii="宋体" w:hAnsi="宋体" w:cs="宋体"/>
                <w:color w:val="auto"/>
                <w:spacing w:val="2"/>
                <w:w w:val="99"/>
                <w:sz w:val="20"/>
                <w:szCs w:val="20"/>
                <w:lang w:eastAsia="zh-CN"/>
              </w:rPr>
              <w:t>泵</w:t>
            </w:r>
            <w:r>
              <w:rPr>
                <w:rFonts w:hint="eastAsia" w:ascii="宋体" w:hAnsi="宋体" w:cs="宋体"/>
                <w:color w:val="auto"/>
                <w:spacing w:val="-29"/>
                <w:w w:val="99"/>
                <w:sz w:val="20"/>
                <w:szCs w:val="20"/>
                <w:lang w:eastAsia="zh-CN"/>
              </w:rPr>
              <w:t>）</w:t>
            </w:r>
            <w:r>
              <w:rPr>
                <w:rFonts w:hint="eastAsia" w:ascii="宋体" w:hAnsi="宋体" w:cs="宋体"/>
                <w:color w:val="auto"/>
                <w:w w:val="99"/>
                <w:sz w:val="20"/>
                <w:szCs w:val="20"/>
                <w:lang w:eastAsia="zh-CN"/>
              </w:rPr>
              <w:t>机</w:t>
            </w:r>
            <w:r>
              <w:rPr>
                <w:rFonts w:hint="eastAsia" w:ascii="宋体" w:hAnsi="宋体" w:cs="宋体"/>
                <w:color w:val="auto"/>
                <w:spacing w:val="2"/>
                <w:w w:val="99"/>
                <w:sz w:val="20"/>
                <w:szCs w:val="20"/>
                <w:lang w:eastAsia="zh-CN"/>
              </w:rPr>
              <w:t>组</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源效</w:t>
            </w:r>
            <w:r>
              <w:rPr>
                <w:rFonts w:hint="eastAsia" w:ascii="宋体" w:hAnsi="宋体" w:cs="宋体"/>
                <w:color w:val="auto"/>
                <w:spacing w:val="2"/>
                <w:w w:val="99"/>
                <w:sz w:val="20"/>
                <w:szCs w:val="20"/>
                <w:lang w:eastAsia="zh-CN"/>
              </w:rPr>
              <w:t>率</w:t>
            </w:r>
            <w:r>
              <w:rPr>
                <w:rFonts w:hint="eastAsia" w:ascii="宋体" w:hAnsi="宋体" w:cs="宋体"/>
                <w:color w:val="auto"/>
                <w:w w:val="99"/>
                <w:sz w:val="20"/>
                <w:szCs w:val="20"/>
                <w:lang w:eastAsia="zh-CN"/>
              </w:rPr>
              <w:t>等级</w:t>
            </w:r>
            <w:r>
              <w:rPr>
                <w:rFonts w:hint="eastAsia" w:ascii="宋体" w:hAnsi="宋体" w:cs="宋体"/>
                <w:color w:val="auto"/>
                <w:spacing w:val="-106"/>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2145</w:t>
            </w:r>
            <w:r>
              <w:rPr>
                <w:rFonts w:hint="eastAsia" w:ascii="宋体" w:hAnsi="宋体" w:cs="宋体"/>
                <w:color w:val="auto"/>
                <w:w w:val="99"/>
                <w:sz w:val="20"/>
                <w:szCs w:val="20"/>
                <w:lang w:eastAsia="zh-CN"/>
              </w:rPr>
              <w:t>4）</w:t>
            </w:r>
          </w:p>
        </w:tc>
      </w:tr>
      <w:tr w14:paraId="62EE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89" w:type="dxa"/>
            <w:vMerge w:val="continue"/>
            <w:shd w:val="clear" w:color="auto" w:fill="auto"/>
            <w:vAlign w:val="center"/>
          </w:tcPr>
          <w:p w14:paraId="2680F1B8">
            <w:pPr>
              <w:pStyle w:val="13"/>
              <w:spacing w:after="0"/>
              <w:jc w:val="center"/>
              <w:rPr>
                <w:color w:val="auto"/>
              </w:rPr>
            </w:pPr>
          </w:p>
        </w:tc>
        <w:tc>
          <w:tcPr>
            <w:tcW w:w="1365" w:type="dxa"/>
            <w:vMerge w:val="continue"/>
            <w:shd w:val="clear" w:color="auto" w:fill="auto"/>
            <w:vAlign w:val="center"/>
          </w:tcPr>
          <w:p w14:paraId="3DF4F23E">
            <w:pPr>
              <w:rPr>
                <w:rFonts w:ascii="宋体" w:hAnsi="宋体" w:cs="宋体"/>
                <w:color w:val="auto"/>
                <w:sz w:val="20"/>
                <w:szCs w:val="20"/>
              </w:rPr>
            </w:pPr>
          </w:p>
        </w:tc>
        <w:tc>
          <w:tcPr>
            <w:tcW w:w="1980" w:type="dxa"/>
            <w:vMerge w:val="continue"/>
            <w:shd w:val="clear" w:color="auto" w:fill="auto"/>
            <w:vAlign w:val="center"/>
          </w:tcPr>
          <w:p w14:paraId="7B57315B">
            <w:pPr>
              <w:rPr>
                <w:rFonts w:ascii="宋体" w:hAnsi="宋体" w:cs="宋体"/>
                <w:color w:val="auto"/>
                <w:sz w:val="20"/>
                <w:szCs w:val="20"/>
              </w:rPr>
            </w:pPr>
          </w:p>
        </w:tc>
        <w:tc>
          <w:tcPr>
            <w:tcW w:w="1932" w:type="dxa"/>
            <w:shd w:val="clear" w:color="auto" w:fill="auto"/>
            <w:vAlign w:val="center"/>
          </w:tcPr>
          <w:p w14:paraId="33DEB182">
            <w:pPr>
              <w:pStyle w:val="76"/>
              <w:ind w:left="7"/>
              <w:jc w:val="both"/>
              <w:rPr>
                <w:rFonts w:ascii="宋体" w:hAnsi="宋体" w:cs="宋体"/>
                <w:color w:val="auto"/>
                <w:sz w:val="20"/>
                <w:szCs w:val="20"/>
                <w:lang w:eastAsia="zh-CN"/>
              </w:rPr>
            </w:pPr>
            <w:r>
              <w:rPr>
                <w:rFonts w:hint="eastAsia" w:ascii="宋体" w:hAnsi="宋体" w:cs="宋体"/>
                <w:color w:val="auto"/>
                <w:w w:val="99"/>
                <w:sz w:val="20"/>
                <w:szCs w:val="20"/>
                <w:lang w:eastAsia="zh-CN"/>
              </w:rPr>
              <w:t>单元式空气调节机</w:t>
            </w:r>
            <w:r>
              <w:rPr>
                <w:rFonts w:hint="eastAsia" w:ascii="宋体" w:hAnsi="宋体" w:cs="宋体"/>
                <w:color w:val="auto"/>
                <w:spacing w:val="1"/>
                <w:w w:val="99"/>
                <w:sz w:val="20"/>
                <w:szCs w:val="20"/>
                <w:lang w:eastAsia="zh-CN"/>
              </w:rPr>
              <w:t>(</w:t>
            </w:r>
            <w:r>
              <w:rPr>
                <w:rFonts w:hint="eastAsia" w:ascii="宋体" w:hAnsi="宋体" w:cs="宋体"/>
                <w:color w:val="auto"/>
                <w:w w:val="99"/>
                <w:sz w:val="20"/>
                <w:szCs w:val="20"/>
                <w:lang w:eastAsia="zh-CN"/>
              </w:rPr>
              <w:t>制冷量≤</w:t>
            </w:r>
            <w:r>
              <w:rPr>
                <w:rFonts w:hint="eastAsia" w:ascii="宋体" w:hAnsi="宋体" w:cs="宋体"/>
                <w:color w:val="auto"/>
                <w:spacing w:val="1"/>
                <w:w w:val="99"/>
                <w:sz w:val="20"/>
                <w:szCs w:val="20"/>
                <w:lang w:eastAsia="zh-CN"/>
              </w:rPr>
              <w:t>14000W</w:t>
            </w:r>
            <w:r>
              <w:rPr>
                <w:rFonts w:hint="eastAsia" w:ascii="宋体" w:hAnsi="宋体" w:cs="宋体"/>
                <w:color w:val="auto"/>
                <w:w w:val="99"/>
                <w:sz w:val="20"/>
                <w:szCs w:val="20"/>
                <w:lang w:eastAsia="zh-CN"/>
              </w:rPr>
              <w:t>)</w:t>
            </w:r>
          </w:p>
        </w:tc>
        <w:tc>
          <w:tcPr>
            <w:tcW w:w="3896" w:type="dxa"/>
            <w:shd w:val="clear" w:color="auto" w:fill="auto"/>
            <w:vAlign w:val="center"/>
          </w:tcPr>
          <w:p w14:paraId="421A3B41">
            <w:pPr>
              <w:pStyle w:val="76"/>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《单元式空气调节机能</w:t>
            </w:r>
            <w:r>
              <w:rPr>
                <w:rFonts w:hint="eastAsia" w:ascii="宋体" w:hAnsi="宋体" w:cs="宋体"/>
                <w:color w:val="auto"/>
                <w:spacing w:val="9"/>
                <w:w w:val="99"/>
                <w:sz w:val="20"/>
                <w:szCs w:val="20"/>
                <w:lang w:eastAsia="zh-CN"/>
              </w:rPr>
              <w:t>效</w:t>
            </w:r>
            <w:r>
              <w:rPr>
                <w:rFonts w:hint="eastAsia" w:ascii="宋体" w:hAnsi="宋体" w:cs="宋体"/>
                <w:color w:val="auto"/>
                <w:spacing w:val="12"/>
                <w:w w:val="99"/>
                <w:sz w:val="20"/>
                <w:szCs w:val="20"/>
                <w:lang w:eastAsia="zh-CN"/>
              </w:rPr>
              <w:t>限定</w:t>
            </w:r>
            <w:r>
              <w:rPr>
                <w:rFonts w:hint="eastAsia" w:ascii="宋体" w:hAnsi="宋体" w:cs="宋体"/>
                <w:color w:val="auto"/>
                <w:w w:val="99"/>
                <w:sz w:val="20"/>
                <w:szCs w:val="20"/>
                <w:lang w:eastAsia="zh-CN"/>
              </w:rPr>
              <w:t>值及能源</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率等</w:t>
            </w:r>
            <w:r>
              <w:rPr>
                <w:rFonts w:hint="eastAsia" w:ascii="宋体" w:hAnsi="宋体" w:cs="宋体"/>
                <w:color w:val="auto"/>
                <w:spacing w:val="2"/>
                <w:w w:val="99"/>
                <w:sz w:val="20"/>
                <w:szCs w:val="20"/>
                <w:lang w:eastAsia="zh-CN"/>
              </w:rPr>
              <w:t>级</w:t>
            </w:r>
            <w:r>
              <w:rPr>
                <w:rFonts w:hint="eastAsia" w:ascii="宋体" w:hAnsi="宋体" w:cs="宋体"/>
                <w:color w:val="auto"/>
                <w:spacing w:val="-104"/>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195</w:t>
            </w:r>
            <w:r>
              <w:rPr>
                <w:rFonts w:hint="eastAsia" w:ascii="宋体" w:hAnsi="宋体" w:cs="宋体"/>
                <w:color w:val="auto"/>
                <w:w w:val="99"/>
                <w:sz w:val="20"/>
                <w:szCs w:val="20"/>
                <w:lang w:eastAsia="zh-CN"/>
              </w:rPr>
              <w:t>7</w:t>
            </w:r>
            <w:r>
              <w:rPr>
                <w:rFonts w:hint="eastAsia" w:ascii="宋体" w:hAnsi="宋体" w:cs="宋体"/>
                <w:color w:val="auto"/>
                <w:spacing w:val="-3"/>
                <w:w w:val="99"/>
                <w:sz w:val="20"/>
                <w:szCs w:val="20"/>
                <w:lang w:eastAsia="zh-CN"/>
              </w:rPr>
              <w:t>6</w:t>
            </w:r>
            <w:r>
              <w:rPr>
                <w:rFonts w:hint="eastAsia" w:ascii="宋体" w:hAnsi="宋体" w:cs="宋体"/>
                <w:color w:val="auto"/>
                <w:spacing w:val="-104"/>
                <w:w w:val="99"/>
                <w:sz w:val="20"/>
                <w:szCs w:val="20"/>
                <w:lang w:eastAsia="zh-CN"/>
              </w:rPr>
              <w:t>）</w:t>
            </w:r>
            <w:r>
              <w:rPr>
                <w:rFonts w:hint="eastAsia" w:ascii="宋体" w:hAnsi="宋体" w:cs="宋体"/>
                <w:color w:val="auto"/>
                <w:w w:val="99"/>
                <w:sz w:val="20"/>
                <w:szCs w:val="20"/>
                <w:lang w:eastAsia="zh-CN"/>
              </w:rPr>
              <w:t>《风</w:t>
            </w:r>
            <w:r>
              <w:rPr>
                <w:rFonts w:hint="eastAsia" w:ascii="宋体" w:hAnsi="宋体" w:cs="宋体"/>
                <w:color w:val="auto"/>
                <w:spacing w:val="12"/>
                <w:w w:val="99"/>
                <w:sz w:val="20"/>
                <w:szCs w:val="20"/>
                <w:lang w:eastAsia="zh-CN"/>
              </w:rPr>
              <w:t>管送风式空调机组能效</w:t>
            </w:r>
            <w:r>
              <w:rPr>
                <w:rFonts w:hint="eastAsia" w:ascii="宋体" w:hAnsi="宋体" w:cs="宋体"/>
                <w:color w:val="auto"/>
                <w:spacing w:val="9"/>
                <w:w w:val="99"/>
                <w:sz w:val="20"/>
                <w:szCs w:val="20"/>
                <w:lang w:eastAsia="zh-CN"/>
              </w:rPr>
              <w:t>限</w:t>
            </w:r>
            <w:r>
              <w:rPr>
                <w:rFonts w:hint="eastAsia" w:ascii="宋体" w:hAnsi="宋体" w:cs="宋体"/>
                <w:color w:val="auto"/>
                <w:spacing w:val="12"/>
                <w:w w:val="99"/>
                <w:sz w:val="20"/>
                <w:szCs w:val="20"/>
                <w:lang w:eastAsia="zh-CN"/>
              </w:rPr>
              <w:t>定值</w:t>
            </w:r>
            <w:r>
              <w:rPr>
                <w:rFonts w:hint="eastAsia" w:ascii="宋体" w:hAnsi="宋体" w:cs="宋体"/>
                <w:color w:val="auto"/>
                <w:w w:val="99"/>
                <w:sz w:val="20"/>
                <w:szCs w:val="20"/>
                <w:lang w:eastAsia="zh-CN"/>
              </w:rPr>
              <w:t>及能效等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374</w:t>
            </w:r>
            <w:r>
              <w:rPr>
                <w:rFonts w:hint="eastAsia" w:ascii="宋体" w:hAnsi="宋体" w:cs="宋体"/>
                <w:color w:val="auto"/>
                <w:w w:val="99"/>
                <w:sz w:val="20"/>
                <w:szCs w:val="20"/>
                <w:lang w:eastAsia="zh-CN"/>
              </w:rPr>
              <w:t>7</w:t>
            </w:r>
            <w:r>
              <w:rPr>
                <w:rFonts w:hint="eastAsia" w:ascii="宋体" w:hAnsi="宋体" w:cs="宋体"/>
                <w:color w:val="auto"/>
                <w:spacing w:val="-1"/>
                <w:w w:val="99"/>
                <w:sz w:val="20"/>
                <w:szCs w:val="20"/>
                <w:lang w:eastAsia="zh-CN"/>
              </w:rPr>
              <w:t>9</w:t>
            </w:r>
            <w:r>
              <w:rPr>
                <w:rFonts w:hint="eastAsia" w:ascii="宋体" w:hAnsi="宋体" w:cs="宋体"/>
                <w:color w:val="auto"/>
                <w:w w:val="99"/>
                <w:sz w:val="20"/>
                <w:szCs w:val="20"/>
                <w:lang w:eastAsia="zh-CN"/>
              </w:rPr>
              <w:t>）</w:t>
            </w:r>
          </w:p>
        </w:tc>
      </w:tr>
      <w:tr w14:paraId="55D5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3D188C4A">
            <w:pPr>
              <w:pStyle w:val="13"/>
              <w:spacing w:after="0"/>
              <w:jc w:val="center"/>
              <w:rPr>
                <w:color w:val="auto"/>
              </w:rPr>
            </w:pPr>
          </w:p>
        </w:tc>
        <w:tc>
          <w:tcPr>
            <w:tcW w:w="1365" w:type="dxa"/>
            <w:vMerge w:val="continue"/>
            <w:shd w:val="clear" w:color="auto" w:fill="auto"/>
            <w:vAlign w:val="center"/>
          </w:tcPr>
          <w:p w14:paraId="53591D37">
            <w:pPr>
              <w:rPr>
                <w:rFonts w:ascii="宋体" w:hAnsi="宋体" w:cs="宋体"/>
                <w:color w:val="auto"/>
                <w:sz w:val="20"/>
                <w:szCs w:val="20"/>
              </w:rPr>
            </w:pPr>
          </w:p>
        </w:tc>
        <w:tc>
          <w:tcPr>
            <w:tcW w:w="1980" w:type="dxa"/>
            <w:shd w:val="clear" w:color="auto" w:fill="auto"/>
            <w:vAlign w:val="center"/>
          </w:tcPr>
          <w:p w14:paraId="4BD919A7">
            <w:pPr>
              <w:pStyle w:val="76"/>
              <w:ind w:left="7"/>
              <w:jc w:val="both"/>
              <w:rPr>
                <w:rFonts w:ascii="宋体" w:hAnsi="宋体" w:cs="宋体"/>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06</w:t>
            </w:r>
            <w:r>
              <w:rPr>
                <w:rFonts w:hint="eastAsia" w:ascii="宋体" w:hAnsi="宋体" w:cs="宋体"/>
                <w:color w:val="auto"/>
                <w:spacing w:val="1"/>
                <w:w w:val="99"/>
                <w:sz w:val="20"/>
                <w:szCs w:val="20"/>
              </w:rPr>
              <w:t>1</w:t>
            </w:r>
            <w:r>
              <w:rPr>
                <w:rFonts w:hint="eastAsia" w:ascii="宋体" w:hAnsi="宋体" w:cs="宋体"/>
                <w:color w:val="auto"/>
                <w:w w:val="99"/>
                <w:sz w:val="20"/>
                <w:szCs w:val="20"/>
              </w:rPr>
              <w:t>80</w:t>
            </w:r>
            <w:r>
              <w:rPr>
                <w:rFonts w:hint="eastAsia" w:ascii="宋体" w:hAnsi="宋体" w:cs="宋体"/>
                <w:color w:val="auto"/>
                <w:spacing w:val="1"/>
                <w:w w:val="99"/>
                <w:sz w:val="20"/>
                <w:szCs w:val="20"/>
              </w:rPr>
              <w:t>3</w:t>
            </w:r>
            <w:r>
              <w:rPr>
                <w:rFonts w:hint="eastAsia" w:ascii="宋体" w:hAnsi="宋体" w:cs="宋体"/>
                <w:color w:val="auto"/>
                <w:w w:val="99"/>
                <w:sz w:val="20"/>
                <w:szCs w:val="20"/>
              </w:rPr>
              <w:t>01洗衣机</w:t>
            </w:r>
          </w:p>
        </w:tc>
        <w:tc>
          <w:tcPr>
            <w:tcW w:w="1932" w:type="dxa"/>
            <w:shd w:val="clear" w:color="auto" w:fill="auto"/>
            <w:vAlign w:val="center"/>
          </w:tcPr>
          <w:p w14:paraId="5A29B2AE">
            <w:pPr>
              <w:rPr>
                <w:rFonts w:ascii="宋体" w:hAnsi="宋体" w:cs="宋体"/>
                <w:color w:val="auto"/>
                <w:sz w:val="20"/>
                <w:szCs w:val="20"/>
              </w:rPr>
            </w:pPr>
          </w:p>
        </w:tc>
        <w:tc>
          <w:tcPr>
            <w:tcW w:w="3896" w:type="dxa"/>
            <w:shd w:val="clear" w:color="auto" w:fill="auto"/>
            <w:vAlign w:val="center"/>
          </w:tcPr>
          <w:p w14:paraId="21891C1A">
            <w:pPr>
              <w:pStyle w:val="76"/>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《电动洗衣机能效水效</w:t>
            </w:r>
            <w:r>
              <w:rPr>
                <w:rFonts w:hint="eastAsia" w:ascii="宋体" w:hAnsi="宋体" w:cs="宋体"/>
                <w:color w:val="auto"/>
                <w:spacing w:val="9"/>
                <w:w w:val="99"/>
                <w:sz w:val="20"/>
                <w:szCs w:val="20"/>
                <w:lang w:eastAsia="zh-CN"/>
              </w:rPr>
              <w:t>限</w:t>
            </w:r>
            <w:r>
              <w:rPr>
                <w:rFonts w:hint="eastAsia" w:ascii="宋体" w:hAnsi="宋体" w:cs="宋体"/>
                <w:color w:val="auto"/>
                <w:spacing w:val="12"/>
                <w:w w:val="99"/>
                <w:sz w:val="20"/>
                <w:szCs w:val="20"/>
                <w:lang w:eastAsia="zh-CN"/>
              </w:rPr>
              <w:t>定值</w:t>
            </w:r>
            <w:r>
              <w:rPr>
                <w:rFonts w:hint="eastAsia" w:ascii="宋体" w:hAnsi="宋体" w:cs="宋体"/>
                <w:color w:val="auto"/>
                <w:w w:val="99"/>
                <w:sz w:val="20"/>
                <w:szCs w:val="20"/>
                <w:lang w:eastAsia="zh-CN"/>
              </w:rPr>
              <w:t>及等级》（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1202</w:t>
            </w:r>
            <w:r>
              <w:rPr>
                <w:rFonts w:hint="eastAsia" w:ascii="宋体" w:hAnsi="宋体" w:cs="宋体"/>
                <w:color w:val="auto"/>
                <w:w w:val="99"/>
                <w:sz w:val="20"/>
                <w:szCs w:val="20"/>
                <w:lang w:eastAsia="zh-CN"/>
              </w:rPr>
              <w:t>1.</w:t>
            </w:r>
            <w:r>
              <w:rPr>
                <w:rFonts w:hint="eastAsia" w:ascii="宋体" w:hAnsi="宋体" w:cs="宋体"/>
                <w:color w:val="auto"/>
                <w:spacing w:val="1"/>
                <w:w w:val="99"/>
                <w:sz w:val="20"/>
                <w:szCs w:val="20"/>
                <w:lang w:eastAsia="zh-CN"/>
              </w:rPr>
              <w:t>4</w:t>
            </w:r>
            <w:r>
              <w:rPr>
                <w:rFonts w:hint="eastAsia" w:ascii="宋体" w:hAnsi="宋体" w:cs="宋体"/>
                <w:color w:val="auto"/>
                <w:w w:val="99"/>
                <w:sz w:val="20"/>
                <w:szCs w:val="20"/>
                <w:lang w:eastAsia="zh-CN"/>
              </w:rPr>
              <w:t>）</w:t>
            </w:r>
          </w:p>
        </w:tc>
      </w:tr>
      <w:tr w14:paraId="7C92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0BE26808">
            <w:pPr>
              <w:pStyle w:val="13"/>
              <w:spacing w:after="0"/>
              <w:jc w:val="center"/>
              <w:rPr>
                <w:color w:val="auto"/>
              </w:rPr>
            </w:pPr>
          </w:p>
        </w:tc>
        <w:tc>
          <w:tcPr>
            <w:tcW w:w="1365" w:type="dxa"/>
            <w:vMerge w:val="continue"/>
            <w:shd w:val="clear" w:color="auto" w:fill="auto"/>
            <w:vAlign w:val="center"/>
          </w:tcPr>
          <w:p w14:paraId="1E92FD20">
            <w:pPr>
              <w:rPr>
                <w:rFonts w:ascii="宋体" w:hAnsi="宋体" w:cs="宋体"/>
                <w:color w:val="auto"/>
                <w:sz w:val="20"/>
                <w:szCs w:val="20"/>
              </w:rPr>
            </w:pPr>
          </w:p>
        </w:tc>
        <w:tc>
          <w:tcPr>
            <w:tcW w:w="1980" w:type="dxa"/>
            <w:vMerge w:val="restart"/>
            <w:shd w:val="clear" w:color="auto" w:fill="auto"/>
            <w:vAlign w:val="center"/>
          </w:tcPr>
          <w:p w14:paraId="789A6E81">
            <w:pPr>
              <w:pStyle w:val="76"/>
              <w:ind w:left="7"/>
              <w:jc w:val="both"/>
              <w:rPr>
                <w:rFonts w:ascii="宋体" w:hAnsi="宋体" w:cs="宋体"/>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06</w:t>
            </w:r>
            <w:r>
              <w:rPr>
                <w:rFonts w:hint="eastAsia" w:ascii="宋体" w:hAnsi="宋体" w:cs="宋体"/>
                <w:color w:val="auto"/>
                <w:spacing w:val="1"/>
                <w:w w:val="99"/>
                <w:sz w:val="20"/>
                <w:szCs w:val="20"/>
              </w:rPr>
              <w:t>1</w:t>
            </w:r>
            <w:r>
              <w:rPr>
                <w:rFonts w:hint="eastAsia" w:ascii="宋体" w:hAnsi="宋体" w:cs="宋体"/>
                <w:color w:val="auto"/>
                <w:w w:val="99"/>
                <w:sz w:val="20"/>
                <w:szCs w:val="20"/>
              </w:rPr>
              <w:t>808热水器</w:t>
            </w:r>
          </w:p>
        </w:tc>
        <w:tc>
          <w:tcPr>
            <w:tcW w:w="1932" w:type="dxa"/>
            <w:shd w:val="clear" w:color="auto" w:fill="auto"/>
            <w:vAlign w:val="center"/>
          </w:tcPr>
          <w:p w14:paraId="3B4C2F54">
            <w:pPr>
              <w:pStyle w:val="76"/>
              <w:ind w:left="7"/>
              <w:jc w:val="both"/>
              <w:rPr>
                <w:rFonts w:ascii="宋体" w:hAnsi="宋体" w:cs="宋体"/>
                <w:color w:val="auto"/>
                <w:sz w:val="20"/>
                <w:szCs w:val="20"/>
              </w:rPr>
            </w:pPr>
            <w:r>
              <w:rPr>
                <w:rFonts w:hint="eastAsia" w:ascii="宋体" w:hAnsi="宋体" w:cs="宋体"/>
                <w:color w:val="auto"/>
                <w:w w:val="99"/>
                <w:sz w:val="20"/>
                <w:szCs w:val="20"/>
              </w:rPr>
              <w:t>★电热</w:t>
            </w:r>
            <w:r>
              <w:rPr>
                <w:rFonts w:hint="eastAsia" w:ascii="宋体" w:hAnsi="宋体" w:cs="宋体"/>
                <w:color w:val="auto"/>
                <w:spacing w:val="2"/>
                <w:w w:val="99"/>
                <w:sz w:val="20"/>
                <w:szCs w:val="20"/>
              </w:rPr>
              <w:t>水</w:t>
            </w:r>
            <w:r>
              <w:rPr>
                <w:rFonts w:hint="eastAsia" w:ascii="宋体" w:hAnsi="宋体" w:cs="宋体"/>
                <w:color w:val="auto"/>
                <w:w w:val="99"/>
                <w:sz w:val="20"/>
                <w:szCs w:val="20"/>
              </w:rPr>
              <w:t>器</w:t>
            </w:r>
          </w:p>
        </w:tc>
        <w:tc>
          <w:tcPr>
            <w:tcW w:w="3896" w:type="dxa"/>
            <w:shd w:val="clear" w:color="auto" w:fill="auto"/>
            <w:vAlign w:val="center"/>
          </w:tcPr>
          <w:p w14:paraId="1035B43D">
            <w:pPr>
              <w:pStyle w:val="76"/>
              <w:tabs>
                <w:tab w:val="left" w:pos="1608"/>
              </w:tabs>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《储水式电热水器能效</w:t>
            </w:r>
            <w:r>
              <w:rPr>
                <w:rFonts w:hint="eastAsia" w:ascii="宋体" w:hAnsi="宋体" w:cs="宋体"/>
                <w:color w:val="auto"/>
                <w:spacing w:val="9"/>
                <w:w w:val="99"/>
                <w:sz w:val="20"/>
                <w:szCs w:val="20"/>
                <w:lang w:eastAsia="zh-CN"/>
              </w:rPr>
              <w:t>限</w:t>
            </w:r>
            <w:r>
              <w:rPr>
                <w:rFonts w:hint="eastAsia" w:ascii="宋体" w:hAnsi="宋体" w:cs="宋体"/>
                <w:color w:val="auto"/>
                <w:spacing w:val="12"/>
                <w:w w:val="99"/>
                <w:sz w:val="20"/>
                <w:szCs w:val="20"/>
                <w:lang w:eastAsia="zh-CN"/>
              </w:rPr>
              <w:t>定值</w:t>
            </w:r>
            <w:r>
              <w:rPr>
                <w:rFonts w:hint="eastAsia" w:ascii="宋体" w:hAnsi="宋体" w:cs="宋体"/>
                <w:color w:val="auto"/>
                <w:w w:val="99"/>
                <w:sz w:val="20"/>
                <w:szCs w:val="20"/>
                <w:lang w:eastAsia="zh-CN"/>
              </w:rPr>
              <w:t>及能效等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 xml:space="preserve">B </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51</w:t>
            </w:r>
            <w:r>
              <w:rPr>
                <w:rFonts w:hint="eastAsia" w:ascii="宋体" w:hAnsi="宋体" w:cs="宋体"/>
                <w:color w:val="auto"/>
                <w:spacing w:val="1"/>
                <w:w w:val="99"/>
                <w:sz w:val="20"/>
                <w:szCs w:val="20"/>
                <w:lang w:eastAsia="zh-CN"/>
              </w:rPr>
              <w:t>9</w:t>
            </w:r>
            <w:r>
              <w:rPr>
                <w:rFonts w:hint="eastAsia" w:ascii="宋体" w:hAnsi="宋体" w:cs="宋体"/>
                <w:color w:val="auto"/>
                <w:w w:val="99"/>
                <w:sz w:val="20"/>
                <w:szCs w:val="20"/>
                <w:lang w:eastAsia="zh-CN"/>
              </w:rPr>
              <w:t>）</w:t>
            </w:r>
          </w:p>
        </w:tc>
      </w:tr>
      <w:tr w14:paraId="788E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6F57CBF2">
            <w:pPr>
              <w:pStyle w:val="13"/>
              <w:spacing w:after="0"/>
              <w:jc w:val="center"/>
              <w:rPr>
                <w:color w:val="auto"/>
              </w:rPr>
            </w:pPr>
          </w:p>
        </w:tc>
        <w:tc>
          <w:tcPr>
            <w:tcW w:w="1365" w:type="dxa"/>
            <w:vMerge w:val="continue"/>
            <w:shd w:val="clear" w:color="auto" w:fill="auto"/>
            <w:vAlign w:val="center"/>
          </w:tcPr>
          <w:p w14:paraId="2AAE2ECE">
            <w:pPr>
              <w:rPr>
                <w:rFonts w:ascii="宋体" w:hAnsi="宋体" w:cs="宋体"/>
                <w:color w:val="auto"/>
                <w:sz w:val="20"/>
                <w:szCs w:val="20"/>
              </w:rPr>
            </w:pPr>
          </w:p>
        </w:tc>
        <w:tc>
          <w:tcPr>
            <w:tcW w:w="1980" w:type="dxa"/>
            <w:vMerge w:val="continue"/>
            <w:shd w:val="clear" w:color="auto" w:fill="auto"/>
            <w:vAlign w:val="center"/>
          </w:tcPr>
          <w:p w14:paraId="7A2044F6">
            <w:pPr>
              <w:widowControl/>
              <w:rPr>
                <w:rFonts w:ascii="宋体" w:hAnsi="宋体" w:cs="宋体"/>
                <w:color w:val="auto"/>
                <w:sz w:val="20"/>
                <w:szCs w:val="20"/>
              </w:rPr>
            </w:pPr>
          </w:p>
        </w:tc>
        <w:tc>
          <w:tcPr>
            <w:tcW w:w="1932" w:type="dxa"/>
            <w:shd w:val="clear" w:color="auto" w:fill="auto"/>
            <w:vAlign w:val="center"/>
          </w:tcPr>
          <w:p w14:paraId="04069B1E">
            <w:pPr>
              <w:pStyle w:val="76"/>
              <w:ind w:left="7"/>
              <w:jc w:val="both"/>
              <w:rPr>
                <w:rFonts w:ascii="宋体" w:hAnsi="宋体" w:cs="宋体"/>
                <w:color w:val="auto"/>
                <w:sz w:val="20"/>
                <w:szCs w:val="20"/>
              </w:rPr>
            </w:pPr>
            <w:r>
              <w:rPr>
                <w:rFonts w:hint="eastAsia" w:ascii="宋体" w:hAnsi="宋体" w:cs="宋体"/>
                <w:color w:val="auto"/>
                <w:w w:val="99"/>
                <w:sz w:val="20"/>
                <w:szCs w:val="20"/>
              </w:rPr>
              <w:t>燃气热</w:t>
            </w:r>
            <w:r>
              <w:rPr>
                <w:rFonts w:hint="eastAsia" w:ascii="宋体" w:hAnsi="宋体" w:cs="宋体"/>
                <w:color w:val="auto"/>
                <w:spacing w:val="2"/>
                <w:w w:val="99"/>
                <w:sz w:val="20"/>
                <w:szCs w:val="20"/>
              </w:rPr>
              <w:t>水</w:t>
            </w:r>
            <w:r>
              <w:rPr>
                <w:rFonts w:hint="eastAsia" w:ascii="宋体" w:hAnsi="宋体" w:cs="宋体"/>
                <w:color w:val="auto"/>
                <w:w w:val="99"/>
                <w:sz w:val="20"/>
                <w:szCs w:val="20"/>
              </w:rPr>
              <w:t>器</w:t>
            </w:r>
          </w:p>
        </w:tc>
        <w:tc>
          <w:tcPr>
            <w:tcW w:w="3896" w:type="dxa"/>
            <w:shd w:val="clear" w:color="auto" w:fill="auto"/>
            <w:vAlign w:val="center"/>
          </w:tcPr>
          <w:p w14:paraId="2A8033C5">
            <w:pPr>
              <w:pStyle w:val="76"/>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《家用燃气快速热水器</w:t>
            </w:r>
            <w:r>
              <w:rPr>
                <w:rFonts w:hint="eastAsia" w:ascii="宋体" w:hAnsi="宋体" w:cs="宋体"/>
                <w:color w:val="auto"/>
                <w:spacing w:val="9"/>
                <w:w w:val="99"/>
                <w:sz w:val="20"/>
                <w:szCs w:val="20"/>
                <w:lang w:eastAsia="zh-CN"/>
              </w:rPr>
              <w:t>和</w:t>
            </w:r>
            <w:r>
              <w:rPr>
                <w:rFonts w:hint="eastAsia" w:ascii="宋体" w:hAnsi="宋体" w:cs="宋体"/>
                <w:color w:val="auto"/>
                <w:spacing w:val="12"/>
                <w:w w:val="99"/>
                <w:sz w:val="20"/>
                <w:szCs w:val="20"/>
                <w:lang w:eastAsia="zh-CN"/>
              </w:rPr>
              <w:t>燃气</w:t>
            </w:r>
            <w:r>
              <w:rPr>
                <w:rFonts w:hint="eastAsia" w:ascii="宋体" w:hAnsi="宋体" w:cs="宋体"/>
                <w:color w:val="auto"/>
                <w:w w:val="99"/>
                <w:sz w:val="20"/>
                <w:szCs w:val="20"/>
                <w:lang w:eastAsia="zh-CN"/>
              </w:rPr>
              <w:t>采暖热水</w:t>
            </w:r>
            <w:r>
              <w:rPr>
                <w:rFonts w:hint="eastAsia" w:ascii="宋体" w:hAnsi="宋体" w:cs="宋体"/>
                <w:color w:val="auto"/>
                <w:spacing w:val="2"/>
                <w:w w:val="99"/>
                <w:sz w:val="20"/>
                <w:szCs w:val="20"/>
                <w:lang w:eastAsia="zh-CN"/>
              </w:rPr>
              <w:t>炉</w:t>
            </w:r>
            <w:r>
              <w:rPr>
                <w:rFonts w:hint="eastAsia" w:ascii="宋体" w:hAnsi="宋体" w:cs="宋体"/>
                <w:color w:val="auto"/>
                <w:w w:val="99"/>
                <w:sz w:val="20"/>
                <w:szCs w:val="20"/>
                <w:lang w:eastAsia="zh-CN"/>
              </w:rPr>
              <w:t>能效</w:t>
            </w:r>
            <w:r>
              <w:rPr>
                <w:rFonts w:hint="eastAsia" w:ascii="宋体" w:hAnsi="宋体" w:cs="宋体"/>
                <w:color w:val="auto"/>
                <w:spacing w:val="2"/>
                <w:w w:val="99"/>
                <w:sz w:val="20"/>
                <w:szCs w:val="20"/>
                <w:lang w:eastAsia="zh-CN"/>
              </w:rPr>
              <w:t>限</w:t>
            </w:r>
            <w:r>
              <w:rPr>
                <w:rFonts w:hint="eastAsia" w:ascii="宋体" w:hAnsi="宋体" w:cs="宋体"/>
                <w:color w:val="auto"/>
                <w:w w:val="99"/>
                <w:sz w:val="20"/>
                <w:szCs w:val="20"/>
                <w:lang w:eastAsia="zh-CN"/>
              </w:rPr>
              <w:t>定值</w:t>
            </w:r>
            <w:r>
              <w:rPr>
                <w:rFonts w:hint="eastAsia" w:ascii="宋体" w:hAnsi="宋体" w:cs="宋体"/>
                <w:color w:val="auto"/>
                <w:spacing w:val="2"/>
                <w:w w:val="99"/>
                <w:sz w:val="20"/>
                <w:szCs w:val="20"/>
                <w:lang w:eastAsia="zh-CN"/>
              </w:rPr>
              <w:t>及</w:t>
            </w:r>
            <w:r>
              <w:rPr>
                <w:rFonts w:hint="eastAsia" w:ascii="宋体" w:hAnsi="宋体" w:cs="宋体"/>
                <w:color w:val="auto"/>
                <w:w w:val="99"/>
                <w:sz w:val="20"/>
                <w:szCs w:val="20"/>
                <w:lang w:eastAsia="zh-CN"/>
              </w:rPr>
              <w:t>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w:t>
            </w:r>
            <w:r>
              <w:rPr>
                <w:rFonts w:hint="eastAsia" w:ascii="宋体" w:hAnsi="宋体" w:cs="宋体"/>
                <w:color w:val="auto"/>
                <w:w w:val="99"/>
                <w:sz w:val="20"/>
                <w:szCs w:val="20"/>
                <w:lang w:eastAsia="zh-CN"/>
              </w:rPr>
              <w:t>06</w:t>
            </w:r>
            <w:r>
              <w:rPr>
                <w:rFonts w:hint="eastAsia" w:ascii="宋体" w:hAnsi="宋体" w:cs="宋体"/>
                <w:color w:val="auto"/>
                <w:spacing w:val="1"/>
                <w:w w:val="99"/>
                <w:sz w:val="20"/>
                <w:szCs w:val="20"/>
                <w:lang w:eastAsia="zh-CN"/>
              </w:rPr>
              <w:t>65</w:t>
            </w:r>
            <w:r>
              <w:rPr>
                <w:rFonts w:hint="eastAsia" w:ascii="宋体" w:hAnsi="宋体" w:cs="宋体"/>
                <w:color w:val="auto"/>
                <w:w w:val="99"/>
                <w:sz w:val="20"/>
                <w:szCs w:val="20"/>
                <w:lang w:eastAsia="zh-CN"/>
              </w:rPr>
              <w:t>）</w:t>
            </w:r>
          </w:p>
        </w:tc>
      </w:tr>
      <w:tr w14:paraId="32F2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3572D697">
            <w:pPr>
              <w:pStyle w:val="13"/>
              <w:spacing w:after="0"/>
              <w:jc w:val="center"/>
              <w:rPr>
                <w:color w:val="auto"/>
              </w:rPr>
            </w:pPr>
          </w:p>
        </w:tc>
        <w:tc>
          <w:tcPr>
            <w:tcW w:w="1365" w:type="dxa"/>
            <w:vMerge w:val="continue"/>
            <w:shd w:val="clear" w:color="auto" w:fill="auto"/>
            <w:vAlign w:val="center"/>
          </w:tcPr>
          <w:p w14:paraId="4037EB18">
            <w:pPr>
              <w:rPr>
                <w:rFonts w:ascii="宋体" w:hAnsi="宋体" w:cs="宋体"/>
                <w:color w:val="auto"/>
                <w:sz w:val="20"/>
                <w:szCs w:val="20"/>
              </w:rPr>
            </w:pPr>
          </w:p>
        </w:tc>
        <w:tc>
          <w:tcPr>
            <w:tcW w:w="1980" w:type="dxa"/>
            <w:vMerge w:val="continue"/>
            <w:shd w:val="clear" w:color="auto" w:fill="auto"/>
            <w:vAlign w:val="center"/>
          </w:tcPr>
          <w:p w14:paraId="4B4D1692">
            <w:pPr>
              <w:widowControl/>
              <w:rPr>
                <w:rFonts w:ascii="宋体" w:hAnsi="宋体" w:cs="宋体"/>
                <w:color w:val="auto"/>
                <w:sz w:val="20"/>
                <w:szCs w:val="20"/>
              </w:rPr>
            </w:pPr>
          </w:p>
        </w:tc>
        <w:tc>
          <w:tcPr>
            <w:tcW w:w="1932" w:type="dxa"/>
            <w:shd w:val="clear" w:color="auto" w:fill="auto"/>
            <w:vAlign w:val="center"/>
          </w:tcPr>
          <w:p w14:paraId="0783B27B">
            <w:pPr>
              <w:pStyle w:val="76"/>
              <w:ind w:left="7"/>
              <w:jc w:val="both"/>
              <w:rPr>
                <w:rFonts w:ascii="宋体" w:hAnsi="宋体" w:cs="宋体"/>
                <w:color w:val="auto"/>
                <w:sz w:val="20"/>
                <w:szCs w:val="20"/>
              </w:rPr>
            </w:pPr>
            <w:r>
              <w:rPr>
                <w:rFonts w:hint="eastAsia" w:ascii="宋体" w:hAnsi="宋体" w:cs="宋体"/>
                <w:color w:val="auto"/>
                <w:w w:val="99"/>
                <w:sz w:val="20"/>
                <w:szCs w:val="20"/>
              </w:rPr>
              <w:t>热泵热</w:t>
            </w:r>
            <w:r>
              <w:rPr>
                <w:rFonts w:hint="eastAsia" w:ascii="宋体" w:hAnsi="宋体" w:cs="宋体"/>
                <w:color w:val="auto"/>
                <w:spacing w:val="2"/>
                <w:w w:val="99"/>
                <w:sz w:val="20"/>
                <w:szCs w:val="20"/>
              </w:rPr>
              <w:t>水</w:t>
            </w:r>
            <w:r>
              <w:rPr>
                <w:rFonts w:hint="eastAsia" w:ascii="宋体" w:hAnsi="宋体" w:cs="宋体"/>
                <w:color w:val="auto"/>
                <w:w w:val="99"/>
                <w:sz w:val="20"/>
                <w:szCs w:val="20"/>
              </w:rPr>
              <w:t>器</w:t>
            </w:r>
          </w:p>
        </w:tc>
        <w:tc>
          <w:tcPr>
            <w:tcW w:w="3896" w:type="dxa"/>
            <w:shd w:val="clear" w:color="auto" w:fill="auto"/>
            <w:vAlign w:val="center"/>
          </w:tcPr>
          <w:p w14:paraId="720EA917">
            <w:pPr>
              <w:pStyle w:val="76"/>
              <w:ind w:left="7" w:right="7"/>
              <w:jc w:val="both"/>
              <w:rPr>
                <w:rFonts w:ascii="宋体" w:hAnsi="宋体" w:cs="宋体"/>
                <w:color w:val="auto"/>
                <w:sz w:val="20"/>
                <w:szCs w:val="20"/>
                <w:lang w:eastAsia="zh-CN"/>
              </w:rPr>
            </w:pPr>
            <w:r>
              <w:rPr>
                <w:rFonts w:hint="eastAsia" w:ascii="宋体" w:hAnsi="宋体" w:cs="宋体"/>
                <w:color w:val="auto"/>
                <w:w w:val="99"/>
                <w:sz w:val="20"/>
                <w:szCs w:val="20"/>
                <w:lang w:eastAsia="zh-CN"/>
              </w:rPr>
              <w:t>《热泵</w:t>
            </w:r>
            <w:r>
              <w:rPr>
                <w:rFonts w:hint="eastAsia" w:ascii="宋体" w:hAnsi="宋体" w:cs="宋体"/>
                <w:color w:val="auto"/>
                <w:spacing w:val="2"/>
                <w:w w:val="99"/>
                <w:sz w:val="20"/>
                <w:szCs w:val="20"/>
                <w:lang w:eastAsia="zh-CN"/>
              </w:rPr>
              <w:t>热</w:t>
            </w:r>
            <w:r>
              <w:rPr>
                <w:rFonts w:hint="eastAsia" w:ascii="宋体" w:hAnsi="宋体" w:cs="宋体"/>
                <w:color w:val="auto"/>
                <w:w w:val="99"/>
                <w:sz w:val="20"/>
                <w:szCs w:val="20"/>
                <w:lang w:eastAsia="zh-CN"/>
              </w:rPr>
              <w:t>水</w:t>
            </w:r>
            <w:r>
              <w:rPr>
                <w:rFonts w:hint="eastAsia" w:ascii="宋体" w:hAnsi="宋体" w:cs="宋体"/>
                <w:color w:val="auto"/>
                <w:spacing w:val="-27"/>
                <w:w w:val="99"/>
                <w:sz w:val="20"/>
                <w:szCs w:val="20"/>
                <w:lang w:eastAsia="zh-CN"/>
              </w:rPr>
              <w:t>机</w:t>
            </w:r>
            <w:r>
              <w:rPr>
                <w:rFonts w:hint="eastAsia" w:ascii="宋体" w:hAnsi="宋体" w:cs="宋体"/>
                <w:color w:val="auto"/>
                <w:w w:val="99"/>
                <w:sz w:val="20"/>
                <w:szCs w:val="20"/>
                <w:lang w:eastAsia="zh-CN"/>
              </w:rPr>
              <w:t>（器</w:t>
            </w:r>
            <w:r>
              <w:rPr>
                <w:rFonts w:hint="eastAsia" w:ascii="宋体" w:hAnsi="宋体" w:cs="宋体"/>
                <w:color w:val="auto"/>
                <w:spacing w:val="-27"/>
                <w:w w:val="99"/>
                <w:sz w:val="20"/>
                <w:szCs w:val="20"/>
                <w:lang w:eastAsia="zh-CN"/>
              </w:rPr>
              <w:t>）</w:t>
            </w:r>
            <w:r>
              <w:rPr>
                <w:rFonts w:hint="eastAsia" w:ascii="宋体" w:hAnsi="宋体" w:cs="宋体"/>
                <w:color w:val="auto"/>
                <w:w w:val="99"/>
                <w:sz w:val="20"/>
                <w:szCs w:val="20"/>
                <w:lang w:eastAsia="zh-CN"/>
              </w:rPr>
              <w:t>能效</w:t>
            </w:r>
            <w:r>
              <w:rPr>
                <w:rFonts w:hint="eastAsia" w:ascii="宋体" w:hAnsi="宋体" w:cs="宋体"/>
                <w:color w:val="auto"/>
                <w:spacing w:val="2"/>
                <w:w w:val="99"/>
                <w:sz w:val="20"/>
                <w:szCs w:val="20"/>
                <w:lang w:eastAsia="zh-CN"/>
              </w:rPr>
              <w:t>限</w:t>
            </w:r>
            <w:r>
              <w:rPr>
                <w:rFonts w:hint="eastAsia" w:ascii="宋体" w:hAnsi="宋体" w:cs="宋体"/>
                <w:color w:val="auto"/>
                <w:w w:val="99"/>
                <w:sz w:val="20"/>
                <w:szCs w:val="20"/>
                <w:lang w:eastAsia="zh-CN"/>
              </w:rPr>
              <w:t>定值及能效等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295</w:t>
            </w:r>
            <w:r>
              <w:rPr>
                <w:rFonts w:hint="eastAsia" w:ascii="宋体" w:hAnsi="宋体" w:cs="宋体"/>
                <w:color w:val="auto"/>
                <w:w w:val="99"/>
                <w:sz w:val="20"/>
                <w:szCs w:val="20"/>
                <w:lang w:eastAsia="zh-CN"/>
              </w:rPr>
              <w:t>4</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tc>
      </w:tr>
      <w:tr w14:paraId="02BD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17F0BB78">
            <w:pPr>
              <w:jc w:val="center"/>
              <w:rPr>
                <w:rFonts w:ascii="宋体" w:hAnsi="宋体" w:cs="宋体"/>
                <w:color w:val="auto"/>
                <w:sz w:val="20"/>
                <w:szCs w:val="20"/>
              </w:rPr>
            </w:pPr>
          </w:p>
        </w:tc>
        <w:tc>
          <w:tcPr>
            <w:tcW w:w="1365" w:type="dxa"/>
            <w:vMerge w:val="continue"/>
            <w:shd w:val="clear" w:color="auto" w:fill="auto"/>
            <w:vAlign w:val="center"/>
          </w:tcPr>
          <w:p w14:paraId="5979ECC9">
            <w:pPr>
              <w:rPr>
                <w:rFonts w:ascii="宋体" w:hAnsi="宋体" w:cs="宋体"/>
                <w:color w:val="auto"/>
                <w:sz w:val="20"/>
                <w:szCs w:val="20"/>
              </w:rPr>
            </w:pPr>
          </w:p>
        </w:tc>
        <w:tc>
          <w:tcPr>
            <w:tcW w:w="1980" w:type="dxa"/>
            <w:vMerge w:val="continue"/>
            <w:shd w:val="clear" w:color="auto" w:fill="auto"/>
            <w:vAlign w:val="center"/>
          </w:tcPr>
          <w:p w14:paraId="0F3BD39C">
            <w:pPr>
              <w:widowControl/>
              <w:rPr>
                <w:rFonts w:ascii="宋体" w:hAnsi="宋体" w:cs="宋体"/>
                <w:color w:val="auto"/>
                <w:sz w:val="20"/>
                <w:szCs w:val="20"/>
              </w:rPr>
            </w:pPr>
          </w:p>
        </w:tc>
        <w:tc>
          <w:tcPr>
            <w:tcW w:w="1932" w:type="dxa"/>
            <w:shd w:val="clear" w:color="auto" w:fill="auto"/>
            <w:vAlign w:val="center"/>
          </w:tcPr>
          <w:p w14:paraId="02DE4C2D">
            <w:pPr>
              <w:pStyle w:val="76"/>
              <w:ind w:left="7"/>
              <w:jc w:val="both"/>
              <w:rPr>
                <w:rFonts w:ascii="宋体" w:hAnsi="宋体" w:cs="宋体"/>
                <w:color w:val="auto"/>
                <w:sz w:val="20"/>
                <w:szCs w:val="20"/>
              </w:rPr>
            </w:pPr>
            <w:r>
              <w:rPr>
                <w:rFonts w:hint="eastAsia" w:ascii="宋体" w:hAnsi="宋体" w:cs="宋体"/>
                <w:color w:val="auto"/>
                <w:w w:val="99"/>
                <w:sz w:val="20"/>
                <w:szCs w:val="20"/>
              </w:rPr>
              <w:t>太阳能</w:t>
            </w:r>
            <w:r>
              <w:rPr>
                <w:rFonts w:hint="eastAsia" w:ascii="宋体" w:hAnsi="宋体" w:cs="宋体"/>
                <w:color w:val="auto"/>
                <w:spacing w:val="2"/>
                <w:w w:val="99"/>
                <w:sz w:val="20"/>
                <w:szCs w:val="20"/>
              </w:rPr>
              <w:t>热</w:t>
            </w:r>
            <w:r>
              <w:rPr>
                <w:rFonts w:hint="eastAsia" w:ascii="宋体" w:hAnsi="宋体" w:cs="宋体"/>
                <w:color w:val="auto"/>
                <w:w w:val="99"/>
                <w:sz w:val="20"/>
                <w:szCs w:val="20"/>
              </w:rPr>
              <w:t>水系统</w:t>
            </w:r>
          </w:p>
        </w:tc>
        <w:tc>
          <w:tcPr>
            <w:tcW w:w="3896" w:type="dxa"/>
            <w:shd w:val="clear" w:color="auto" w:fill="auto"/>
            <w:vAlign w:val="center"/>
          </w:tcPr>
          <w:p w14:paraId="2B15ED04">
            <w:pPr>
              <w:pStyle w:val="76"/>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《家用太阳能热水系统</w:t>
            </w:r>
            <w:r>
              <w:rPr>
                <w:rFonts w:hint="eastAsia" w:ascii="宋体" w:hAnsi="宋体" w:cs="宋体"/>
                <w:color w:val="auto"/>
                <w:spacing w:val="9"/>
                <w:w w:val="99"/>
                <w:sz w:val="20"/>
                <w:szCs w:val="20"/>
                <w:lang w:eastAsia="zh-CN"/>
              </w:rPr>
              <w:t>能</w:t>
            </w:r>
            <w:r>
              <w:rPr>
                <w:rFonts w:hint="eastAsia" w:ascii="宋体" w:hAnsi="宋体" w:cs="宋体"/>
                <w:color w:val="auto"/>
                <w:spacing w:val="12"/>
                <w:w w:val="99"/>
                <w:sz w:val="20"/>
                <w:szCs w:val="20"/>
                <w:lang w:eastAsia="zh-CN"/>
              </w:rPr>
              <w:t>效限</w:t>
            </w:r>
            <w:r>
              <w:rPr>
                <w:rFonts w:hint="eastAsia" w:ascii="宋体" w:hAnsi="宋体" w:cs="宋体"/>
                <w:color w:val="auto"/>
                <w:w w:val="99"/>
                <w:sz w:val="20"/>
                <w:szCs w:val="20"/>
                <w:lang w:eastAsia="zh-CN"/>
              </w:rPr>
              <w:t>定值及能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26</w:t>
            </w:r>
            <w:r>
              <w:rPr>
                <w:rFonts w:hint="eastAsia" w:ascii="宋体" w:hAnsi="宋体" w:cs="宋体"/>
                <w:color w:val="auto"/>
                <w:w w:val="99"/>
                <w:sz w:val="20"/>
                <w:szCs w:val="20"/>
                <w:lang w:eastAsia="zh-CN"/>
              </w:rPr>
              <w:t>96</w:t>
            </w:r>
            <w:r>
              <w:rPr>
                <w:rFonts w:hint="eastAsia" w:ascii="宋体" w:hAnsi="宋体" w:cs="宋体"/>
                <w:color w:val="auto"/>
                <w:spacing w:val="-2"/>
                <w:w w:val="99"/>
                <w:sz w:val="20"/>
                <w:szCs w:val="20"/>
                <w:lang w:eastAsia="zh-CN"/>
              </w:rPr>
              <w:t>9</w:t>
            </w:r>
            <w:r>
              <w:rPr>
                <w:rFonts w:hint="eastAsia" w:ascii="宋体" w:hAnsi="宋体" w:cs="宋体"/>
                <w:color w:val="auto"/>
                <w:w w:val="99"/>
                <w:sz w:val="20"/>
                <w:szCs w:val="20"/>
                <w:lang w:eastAsia="zh-CN"/>
              </w:rPr>
              <w:t>）</w:t>
            </w:r>
          </w:p>
        </w:tc>
      </w:tr>
      <w:tr w14:paraId="2B9A3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restart"/>
            <w:shd w:val="clear" w:color="auto" w:fill="auto"/>
            <w:vAlign w:val="center"/>
          </w:tcPr>
          <w:p w14:paraId="69291DD6">
            <w:pPr>
              <w:pStyle w:val="76"/>
              <w:jc w:val="center"/>
              <w:rPr>
                <w:rFonts w:ascii="宋体" w:hAnsi="宋体" w:cs="宋体"/>
                <w:color w:val="auto"/>
                <w:sz w:val="20"/>
                <w:szCs w:val="20"/>
              </w:rPr>
            </w:pPr>
            <w:r>
              <w:rPr>
                <w:rFonts w:hint="eastAsia" w:ascii="宋体"/>
                <w:color w:val="auto"/>
                <w:spacing w:val="1"/>
                <w:w w:val="99"/>
                <w:sz w:val="20"/>
              </w:rPr>
              <w:t>1</w:t>
            </w:r>
            <w:r>
              <w:rPr>
                <w:rFonts w:hint="eastAsia" w:ascii="宋体"/>
                <w:color w:val="auto"/>
                <w:w w:val="99"/>
                <w:sz w:val="20"/>
              </w:rPr>
              <w:t>1</w:t>
            </w:r>
          </w:p>
        </w:tc>
        <w:tc>
          <w:tcPr>
            <w:tcW w:w="1365" w:type="dxa"/>
            <w:vMerge w:val="restart"/>
            <w:shd w:val="clear" w:color="auto" w:fill="auto"/>
            <w:vAlign w:val="center"/>
          </w:tcPr>
          <w:p w14:paraId="5E2178DF">
            <w:pPr>
              <w:pStyle w:val="76"/>
              <w:ind w:left="7"/>
              <w:jc w:val="both"/>
              <w:rPr>
                <w:rFonts w:ascii="宋体" w:hAnsi="宋体" w:cs="宋体"/>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06</w:t>
            </w:r>
            <w:r>
              <w:rPr>
                <w:rFonts w:hint="eastAsia" w:ascii="宋体" w:hAnsi="宋体" w:cs="宋体"/>
                <w:color w:val="auto"/>
                <w:spacing w:val="1"/>
                <w:w w:val="99"/>
                <w:sz w:val="20"/>
                <w:szCs w:val="20"/>
              </w:rPr>
              <w:t>1</w:t>
            </w:r>
            <w:r>
              <w:rPr>
                <w:rFonts w:hint="eastAsia" w:ascii="宋体" w:hAnsi="宋体" w:cs="宋体"/>
                <w:color w:val="auto"/>
                <w:w w:val="99"/>
                <w:sz w:val="20"/>
                <w:szCs w:val="20"/>
              </w:rPr>
              <w:t>9照明设备</w:t>
            </w:r>
          </w:p>
        </w:tc>
        <w:tc>
          <w:tcPr>
            <w:tcW w:w="1980" w:type="dxa"/>
            <w:shd w:val="clear" w:color="auto" w:fill="auto"/>
            <w:vAlign w:val="center"/>
          </w:tcPr>
          <w:p w14:paraId="5457F227">
            <w:pPr>
              <w:pStyle w:val="76"/>
              <w:ind w:left="7" w:right="7"/>
              <w:jc w:val="both"/>
              <w:rPr>
                <w:rFonts w:ascii="宋体" w:hAnsi="宋体" w:cs="宋体"/>
                <w:color w:val="auto"/>
                <w:sz w:val="20"/>
                <w:szCs w:val="20"/>
                <w:lang w:eastAsia="zh-CN"/>
              </w:rPr>
            </w:pPr>
            <w:r>
              <w:rPr>
                <w:rFonts w:hint="eastAsia" w:ascii="宋体" w:hAnsi="宋体" w:cs="宋体"/>
                <w:color w:val="auto"/>
                <w:w w:val="99"/>
                <w:sz w:val="20"/>
                <w:szCs w:val="20"/>
                <w:lang w:eastAsia="zh-CN"/>
              </w:rPr>
              <w:t>★</w:t>
            </w:r>
            <w:r>
              <w:rPr>
                <w:rFonts w:hint="eastAsia" w:ascii="宋体" w:hAnsi="宋体" w:cs="宋体"/>
                <w:color w:val="auto"/>
                <w:spacing w:val="24"/>
                <w:w w:val="99"/>
                <w:sz w:val="20"/>
                <w:szCs w:val="20"/>
                <w:lang w:eastAsia="zh-CN"/>
              </w:rPr>
              <w:t>普</w:t>
            </w:r>
            <w:r>
              <w:rPr>
                <w:rFonts w:hint="eastAsia" w:ascii="宋体" w:hAnsi="宋体" w:cs="宋体"/>
                <w:color w:val="auto"/>
                <w:w w:val="99"/>
                <w:sz w:val="20"/>
                <w:szCs w:val="20"/>
                <w:lang w:eastAsia="zh-CN"/>
              </w:rPr>
              <w:t>通照明用</w:t>
            </w:r>
            <w:r>
              <w:rPr>
                <w:rFonts w:hint="eastAsia" w:ascii="宋体" w:hAnsi="宋体" w:cs="宋体"/>
                <w:color w:val="auto"/>
                <w:spacing w:val="24"/>
                <w:w w:val="99"/>
                <w:sz w:val="20"/>
                <w:szCs w:val="20"/>
                <w:lang w:eastAsia="zh-CN"/>
              </w:rPr>
              <w:t>双</w:t>
            </w:r>
            <w:r>
              <w:rPr>
                <w:rFonts w:hint="eastAsia" w:ascii="宋体" w:hAnsi="宋体" w:cs="宋体"/>
                <w:color w:val="auto"/>
                <w:w w:val="99"/>
                <w:sz w:val="20"/>
                <w:szCs w:val="20"/>
                <w:lang w:eastAsia="zh-CN"/>
              </w:rPr>
              <w:t>端荧光灯</w:t>
            </w:r>
          </w:p>
        </w:tc>
        <w:tc>
          <w:tcPr>
            <w:tcW w:w="1932" w:type="dxa"/>
            <w:shd w:val="clear" w:color="auto" w:fill="auto"/>
            <w:vAlign w:val="center"/>
          </w:tcPr>
          <w:p w14:paraId="3692738B">
            <w:pPr>
              <w:rPr>
                <w:rFonts w:ascii="宋体" w:hAnsi="宋体" w:cs="宋体"/>
                <w:color w:val="auto"/>
                <w:sz w:val="20"/>
                <w:szCs w:val="20"/>
              </w:rPr>
            </w:pPr>
          </w:p>
        </w:tc>
        <w:tc>
          <w:tcPr>
            <w:tcW w:w="3896" w:type="dxa"/>
            <w:shd w:val="clear" w:color="auto" w:fill="auto"/>
            <w:vAlign w:val="center"/>
          </w:tcPr>
          <w:p w14:paraId="5D113C17">
            <w:pPr>
              <w:pStyle w:val="76"/>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《普通照明用双端荧光</w:t>
            </w:r>
            <w:r>
              <w:rPr>
                <w:rFonts w:hint="eastAsia" w:ascii="宋体" w:hAnsi="宋体" w:cs="宋体"/>
                <w:color w:val="auto"/>
                <w:spacing w:val="9"/>
                <w:w w:val="99"/>
                <w:sz w:val="20"/>
                <w:szCs w:val="20"/>
                <w:lang w:eastAsia="zh-CN"/>
              </w:rPr>
              <w:t>灯</w:t>
            </w:r>
            <w:r>
              <w:rPr>
                <w:rFonts w:hint="eastAsia" w:ascii="宋体" w:hAnsi="宋体" w:cs="宋体"/>
                <w:color w:val="auto"/>
                <w:spacing w:val="12"/>
                <w:w w:val="99"/>
                <w:sz w:val="20"/>
                <w:szCs w:val="20"/>
                <w:lang w:eastAsia="zh-CN"/>
              </w:rPr>
              <w:t>能效</w:t>
            </w:r>
            <w:r>
              <w:rPr>
                <w:rFonts w:hint="eastAsia" w:ascii="宋体" w:hAnsi="宋体" w:cs="宋体"/>
                <w:color w:val="auto"/>
                <w:w w:val="99"/>
                <w:sz w:val="20"/>
                <w:szCs w:val="20"/>
                <w:lang w:eastAsia="zh-CN"/>
              </w:rPr>
              <w:t>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19</w:t>
            </w:r>
            <w:r>
              <w:rPr>
                <w:rFonts w:hint="eastAsia" w:ascii="宋体" w:hAnsi="宋体" w:cs="宋体"/>
                <w:color w:val="auto"/>
                <w:w w:val="99"/>
                <w:sz w:val="20"/>
                <w:szCs w:val="20"/>
                <w:lang w:eastAsia="zh-CN"/>
              </w:rPr>
              <w:t>04</w:t>
            </w:r>
            <w:r>
              <w:rPr>
                <w:rFonts w:hint="eastAsia" w:ascii="宋体" w:hAnsi="宋体" w:cs="宋体"/>
                <w:color w:val="auto"/>
                <w:spacing w:val="1"/>
                <w:w w:val="99"/>
                <w:sz w:val="20"/>
                <w:szCs w:val="20"/>
                <w:lang w:eastAsia="zh-CN"/>
              </w:rPr>
              <w:t>3</w:t>
            </w:r>
            <w:r>
              <w:rPr>
                <w:rFonts w:hint="eastAsia" w:ascii="宋体" w:hAnsi="宋体" w:cs="宋体"/>
                <w:color w:val="auto"/>
                <w:w w:val="99"/>
                <w:sz w:val="20"/>
                <w:szCs w:val="20"/>
                <w:lang w:eastAsia="zh-CN"/>
              </w:rPr>
              <w:t>）</w:t>
            </w:r>
          </w:p>
        </w:tc>
      </w:tr>
      <w:tr w14:paraId="3581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51F519D1">
            <w:pPr>
              <w:widowControl/>
              <w:jc w:val="center"/>
              <w:rPr>
                <w:rFonts w:ascii="宋体" w:hAnsi="宋体" w:cs="宋体"/>
                <w:color w:val="auto"/>
                <w:sz w:val="20"/>
                <w:szCs w:val="20"/>
              </w:rPr>
            </w:pPr>
          </w:p>
        </w:tc>
        <w:tc>
          <w:tcPr>
            <w:tcW w:w="1365" w:type="dxa"/>
            <w:vMerge w:val="continue"/>
            <w:shd w:val="clear" w:color="auto" w:fill="auto"/>
            <w:vAlign w:val="center"/>
          </w:tcPr>
          <w:p w14:paraId="41581E78">
            <w:pPr>
              <w:widowControl/>
              <w:rPr>
                <w:rFonts w:ascii="宋体" w:hAnsi="宋体" w:cs="宋体"/>
                <w:color w:val="auto"/>
                <w:sz w:val="20"/>
                <w:szCs w:val="20"/>
              </w:rPr>
            </w:pPr>
          </w:p>
        </w:tc>
        <w:tc>
          <w:tcPr>
            <w:tcW w:w="1980" w:type="dxa"/>
            <w:shd w:val="clear" w:color="auto" w:fill="auto"/>
            <w:vAlign w:val="center"/>
          </w:tcPr>
          <w:p w14:paraId="394627E3">
            <w:pPr>
              <w:pStyle w:val="76"/>
              <w:ind w:left="7" w:right="2"/>
              <w:jc w:val="both"/>
              <w:rPr>
                <w:rFonts w:ascii="宋体" w:hAnsi="宋体" w:cs="宋体"/>
                <w:color w:val="auto"/>
                <w:sz w:val="20"/>
                <w:szCs w:val="20"/>
              </w:rPr>
            </w:pPr>
            <w:r>
              <w:rPr>
                <w:rFonts w:hint="eastAsia" w:ascii="宋体" w:hAnsi="宋体" w:cs="宋体"/>
                <w:color w:val="auto"/>
                <w:spacing w:val="1"/>
                <w:w w:val="99"/>
                <w:sz w:val="20"/>
                <w:szCs w:val="20"/>
              </w:rPr>
              <w:t>LE</w:t>
            </w:r>
            <w:r>
              <w:rPr>
                <w:rFonts w:hint="eastAsia" w:ascii="宋体" w:hAnsi="宋体" w:cs="宋体"/>
                <w:color w:val="auto"/>
                <w:w w:val="99"/>
                <w:sz w:val="20"/>
                <w:szCs w:val="20"/>
              </w:rPr>
              <w:t>D</w:t>
            </w:r>
            <w:r>
              <w:rPr>
                <w:rFonts w:hint="eastAsia" w:ascii="宋体" w:hAnsi="宋体" w:cs="宋体"/>
                <w:color w:val="auto"/>
                <w:spacing w:val="12"/>
                <w:w w:val="99"/>
                <w:sz w:val="20"/>
                <w:szCs w:val="20"/>
              </w:rPr>
              <w:t>道</w:t>
            </w:r>
            <w:r>
              <w:rPr>
                <w:rFonts w:hint="eastAsia" w:ascii="宋体" w:hAnsi="宋体" w:cs="宋体"/>
                <w:color w:val="auto"/>
                <w:spacing w:val="9"/>
                <w:w w:val="99"/>
                <w:sz w:val="20"/>
                <w:szCs w:val="20"/>
              </w:rPr>
              <w:t>路</w:t>
            </w:r>
            <w:r>
              <w:rPr>
                <w:rFonts w:hint="eastAsia" w:ascii="宋体" w:hAnsi="宋体" w:cs="宋体"/>
                <w:color w:val="auto"/>
                <w:spacing w:val="13"/>
                <w:w w:val="99"/>
                <w:sz w:val="20"/>
                <w:szCs w:val="20"/>
              </w:rPr>
              <w:t>/</w:t>
            </w:r>
            <w:r>
              <w:rPr>
                <w:rFonts w:hint="eastAsia" w:ascii="宋体" w:hAnsi="宋体" w:cs="宋体"/>
                <w:color w:val="auto"/>
                <w:spacing w:val="12"/>
                <w:w w:val="99"/>
                <w:sz w:val="20"/>
                <w:szCs w:val="20"/>
              </w:rPr>
              <w:t>隧道照</w:t>
            </w:r>
            <w:r>
              <w:rPr>
                <w:rFonts w:hint="eastAsia" w:ascii="宋体" w:hAnsi="宋体" w:cs="宋体"/>
                <w:color w:val="auto"/>
                <w:w w:val="99"/>
                <w:sz w:val="20"/>
                <w:szCs w:val="20"/>
              </w:rPr>
              <w:t>明产品</w:t>
            </w:r>
          </w:p>
        </w:tc>
        <w:tc>
          <w:tcPr>
            <w:tcW w:w="1932" w:type="dxa"/>
            <w:shd w:val="clear" w:color="auto" w:fill="auto"/>
            <w:vAlign w:val="center"/>
          </w:tcPr>
          <w:p w14:paraId="28475722">
            <w:pPr>
              <w:rPr>
                <w:rFonts w:ascii="宋体" w:hAnsi="宋体" w:cs="宋体"/>
                <w:color w:val="auto"/>
                <w:sz w:val="20"/>
                <w:szCs w:val="20"/>
              </w:rPr>
            </w:pPr>
          </w:p>
        </w:tc>
        <w:tc>
          <w:tcPr>
            <w:tcW w:w="3896" w:type="dxa"/>
            <w:shd w:val="clear" w:color="auto" w:fill="auto"/>
            <w:vAlign w:val="center"/>
          </w:tcPr>
          <w:p w14:paraId="1D872ACF">
            <w:pPr>
              <w:pStyle w:val="76"/>
              <w:ind w:left="7" w:right="7"/>
              <w:jc w:val="both"/>
              <w:rPr>
                <w:rFonts w:ascii="宋体" w:hAnsi="宋体" w:cs="宋体"/>
                <w:color w:val="auto"/>
                <w:sz w:val="20"/>
                <w:szCs w:val="20"/>
                <w:lang w:eastAsia="zh-CN"/>
              </w:rPr>
            </w:pPr>
            <w:r>
              <w:rPr>
                <w:rFonts w:hint="eastAsia" w:ascii="宋体" w:hAnsi="宋体" w:cs="宋体"/>
                <w:color w:val="auto"/>
                <w:spacing w:val="4"/>
                <w:w w:val="99"/>
                <w:sz w:val="20"/>
                <w:szCs w:val="20"/>
                <w:lang w:eastAsia="zh-CN"/>
              </w:rPr>
              <w:t>《</w:t>
            </w:r>
            <w:r>
              <w:rPr>
                <w:rFonts w:hint="eastAsia" w:ascii="宋体" w:hAnsi="宋体" w:cs="宋体"/>
                <w:color w:val="auto"/>
                <w:spacing w:val="2"/>
                <w:w w:val="99"/>
                <w:sz w:val="20"/>
                <w:szCs w:val="20"/>
                <w:lang w:eastAsia="zh-CN"/>
              </w:rPr>
              <w:t>道</w:t>
            </w:r>
            <w:r>
              <w:rPr>
                <w:rFonts w:hint="eastAsia" w:ascii="宋体" w:hAnsi="宋体" w:cs="宋体"/>
                <w:color w:val="auto"/>
                <w:spacing w:val="4"/>
                <w:w w:val="99"/>
                <w:sz w:val="20"/>
                <w:szCs w:val="20"/>
                <w:lang w:eastAsia="zh-CN"/>
              </w:rPr>
              <w:t>路和隧道照</w:t>
            </w:r>
            <w:r>
              <w:rPr>
                <w:rFonts w:hint="eastAsia" w:ascii="宋体" w:hAnsi="宋体" w:cs="宋体"/>
                <w:color w:val="auto"/>
                <w:spacing w:val="2"/>
                <w:w w:val="99"/>
                <w:sz w:val="20"/>
                <w:szCs w:val="20"/>
                <w:lang w:eastAsia="zh-CN"/>
              </w:rPr>
              <w:t>明</w:t>
            </w:r>
            <w:r>
              <w:rPr>
                <w:rFonts w:hint="eastAsia" w:ascii="宋体" w:hAnsi="宋体" w:cs="宋体"/>
                <w:color w:val="auto"/>
                <w:w w:val="99"/>
                <w:sz w:val="20"/>
                <w:szCs w:val="20"/>
                <w:lang w:eastAsia="zh-CN"/>
              </w:rPr>
              <w:t>用</w:t>
            </w:r>
            <w:r>
              <w:rPr>
                <w:rFonts w:hint="eastAsia" w:ascii="宋体" w:hAnsi="宋体" w:cs="宋体"/>
                <w:color w:val="auto"/>
                <w:spacing w:val="1"/>
                <w:w w:val="99"/>
                <w:sz w:val="20"/>
                <w:szCs w:val="20"/>
                <w:lang w:eastAsia="zh-CN"/>
              </w:rPr>
              <w:t>LE</w:t>
            </w:r>
            <w:r>
              <w:rPr>
                <w:rFonts w:hint="eastAsia" w:ascii="宋体" w:hAnsi="宋体" w:cs="宋体"/>
                <w:color w:val="auto"/>
                <w:w w:val="99"/>
                <w:sz w:val="20"/>
                <w:szCs w:val="20"/>
                <w:lang w:eastAsia="zh-CN"/>
              </w:rPr>
              <w:t>D</w:t>
            </w:r>
            <w:r>
              <w:rPr>
                <w:rFonts w:hint="eastAsia" w:ascii="宋体" w:hAnsi="宋体" w:cs="宋体"/>
                <w:color w:val="auto"/>
                <w:spacing w:val="4"/>
                <w:w w:val="99"/>
                <w:sz w:val="20"/>
                <w:szCs w:val="20"/>
                <w:lang w:eastAsia="zh-CN"/>
              </w:rPr>
              <w:t>灯</w:t>
            </w:r>
            <w:r>
              <w:rPr>
                <w:rFonts w:hint="eastAsia" w:ascii="宋体" w:hAnsi="宋体" w:cs="宋体"/>
                <w:color w:val="auto"/>
                <w:spacing w:val="2"/>
                <w:w w:val="99"/>
                <w:sz w:val="20"/>
                <w:szCs w:val="20"/>
                <w:lang w:eastAsia="zh-CN"/>
              </w:rPr>
              <w:t>具</w:t>
            </w:r>
            <w:r>
              <w:rPr>
                <w:rFonts w:hint="eastAsia" w:ascii="宋体" w:hAnsi="宋体" w:cs="宋体"/>
                <w:color w:val="auto"/>
                <w:w w:val="99"/>
                <w:sz w:val="20"/>
                <w:szCs w:val="20"/>
                <w:lang w:eastAsia="zh-CN"/>
              </w:rPr>
              <w:t>能效限定</w:t>
            </w:r>
            <w:r>
              <w:rPr>
                <w:rFonts w:hint="eastAsia" w:ascii="宋体" w:hAnsi="宋体" w:cs="宋体"/>
                <w:color w:val="auto"/>
                <w:spacing w:val="2"/>
                <w:w w:val="99"/>
                <w:sz w:val="20"/>
                <w:szCs w:val="20"/>
                <w:lang w:eastAsia="zh-CN"/>
              </w:rPr>
              <w:t>值</w:t>
            </w:r>
            <w:r>
              <w:rPr>
                <w:rFonts w:hint="eastAsia" w:ascii="宋体" w:hAnsi="宋体" w:cs="宋体"/>
                <w:color w:val="auto"/>
                <w:w w:val="99"/>
                <w:sz w:val="20"/>
                <w:szCs w:val="20"/>
                <w:lang w:eastAsia="zh-CN"/>
              </w:rPr>
              <w:t>及能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106"/>
                <w:w w:val="99"/>
                <w:sz w:val="20"/>
                <w:szCs w:val="20"/>
                <w:lang w:eastAsia="zh-CN"/>
              </w:rPr>
              <w:t>》</w:t>
            </w:r>
            <w:r>
              <w:rPr>
                <w:rFonts w:hint="eastAsia" w:ascii="宋体" w:hAnsi="宋体" w:cs="宋体"/>
                <w:color w:val="auto"/>
                <w:spacing w:val="4"/>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3747</w:t>
            </w:r>
            <w:r>
              <w:rPr>
                <w:rFonts w:hint="eastAsia" w:ascii="宋体" w:hAnsi="宋体" w:cs="宋体"/>
                <w:color w:val="auto"/>
                <w:w w:val="99"/>
                <w:sz w:val="20"/>
                <w:szCs w:val="20"/>
                <w:lang w:eastAsia="zh-CN"/>
              </w:rPr>
              <w:t>8</w:t>
            </w:r>
            <w:r>
              <w:rPr>
                <w:rFonts w:hint="eastAsia" w:ascii="宋体" w:hAnsi="宋体" w:cs="宋体"/>
                <w:color w:val="auto"/>
                <w:spacing w:val="4"/>
                <w:w w:val="99"/>
                <w:sz w:val="20"/>
                <w:szCs w:val="20"/>
                <w:lang w:eastAsia="zh-CN"/>
              </w:rPr>
              <w:t>）</w:t>
            </w:r>
          </w:p>
        </w:tc>
      </w:tr>
      <w:tr w14:paraId="56F9C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5E771073">
            <w:pPr>
              <w:widowControl/>
              <w:jc w:val="center"/>
              <w:rPr>
                <w:rFonts w:ascii="宋体" w:hAnsi="宋体" w:cs="宋体"/>
                <w:color w:val="auto"/>
                <w:sz w:val="20"/>
                <w:szCs w:val="20"/>
              </w:rPr>
            </w:pPr>
          </w:p>
        </w:tc>
        <w:tc>
          <w:tcPr>
            <w:tcW w:w="1365" w:type="dxa"/>
            <w:vMerge w:val="continue"/>
            <w:shd w:val="clear" w:color="auto" w:fill="auto"/>
            <w:vAlign w:val="center"/>
          </w:tcPr>
          <w:p w14:paraId="42F63A42">
            <w:pPr>
              <w:widowControl/>
              <w:rPr>
                <w:rFonts w:ascii="宋体" w:hAnsi="宋体" w:cs="宋体"/>
                <w:color w:val="auto"/>
                <w:sz w:val="20"/>
                <w:szCs w:val="20"/>
              </w:rPr>
            </w:pPr>
          </w:p>
        </w:tc>
        <w:tc>
          <w:tcPr>
            <w:tcW w:w="1980" w:type="dxa"/>
            <w:shd w:val="clear" w:color="auto" w:fill="auto"/>
            <w:vAlign w:val="center"/>
          </w:tcPr>
          <w:p w14:paraId="2FED8801">
            <w:pPr>
              <w:pStyle w:val="76"/>
              <w:ind w:left="7"/>
              <w:jc w:val="both"/>
              <w:rPr>
                <w:rFonts w:ascii="宋体" w:hAnsi="宋体" w:cs="宋体"/>
                <w:color w:val="auto"/>
                <w:sz w:val="20"/>
                <w:szCs w:val="20"/>
              </w:rPr>
            </w:pPr>
            <w:r>
              <w:rPr>
                <w:rFonts w:hint="eastAsia" w:ascii="宋体" w:hAnsi="宋体" w:cs="宋体"/>
                <w:color w:val="auto"/>
                <w:spacing w:val="1"/>
                <w:w w:val="99"/>
                <w:sz w:val="20"/>
                <w:szCs w:val="20"/>
              </w:rPr>
              <w:t>LE</w:t>
            </w:r>
            <w:r>
              <w:rPr>
                <w:rFonts w:hint="eastAsia" w:ascii="宋体" w:hAnsi="宋体" w:cs="宋体"/>
                <w:color w:val="auto"/>
                <w:w w:val="99"/>
                <w:sz w:val="20"/>
                <w:szCs w:val="20"/>
              </w:rPr>
              <w:t>D筒灯</w:t>
            </w:r>
          </w:p>
        </w:tc>
        <w:tc>
          <w:tcPr>
            <w:tcW w:w="1932" w:type="dxa"/>
            <w:shd w:val="clear" w:color="auto" w:fill="auto"/>
            <w:vAlign w:val="center"/>
          </w:tcPr>
          <w:p w14:paraId="2BDF6084">
            <w:pPr>
              <w:rPr>
                <w:rFonts w:ascii="宋体" w:hAnsi="宋体" w:cs="宋体"/>
                <w:color w:val="auto"/>
                <w:sz w:val="20"/>
                <w:szCs w:val="20"/>
              </w:rPr>
            </w:pPr>
          </w:p>
        </w:tc>
        <w:tc>
          <w:tcPr>
            <w:tcW w:w="3896" w:type="dxa"/>
            <w:shd w:val="clear" w:color="auto" w:fill="auto"/>
            <w:vAlign w:val="center"/>
          </w:tcPr>
          <w:p w14:paraId="3F229AAF">
            <w:pPr>
              <w:pStyle w:val="76"/>
              <w:ind w:left="7" w:right="7"/>
              <w:jc w:val="both"/>
              <w:rPr>
                <w:rFonts w:ascii="宋体" w:hAnsi="宋体" w:cs="宋体"/>
                <w:color w:val="auto"/>
                <w:sz w:val="20"/>
                <w:szCs w:val="20"/>
                <w:lang w:eastAsia="zh-CN"/>
              </w:rPr>
            </w:pPr>
            <w:r>
              <w:rPr>
                <w:rFonts w:hint="eastAsia" w:ascii="宋体" w:hAnsi="宋体" w:cs="宋体"/>
                <w:color w:val="auto"/>
                <w:spacing w:val="4"/>
                <w:w w:val="99"/>
                <w:sz w:val="20"/>
                <w:szCs w:val="20"/>
                <w:lang w:eastAsia="zh-CN"/>
              </w:rPr>
              <w:t>《</w:t>
            </w:r>
            <w:r>
              <w:rPr>
                <w:rFonts w:hint="eastAsia" w:ascii="宋体" w:hAnsi="宋体" w:cs="宋体"/>
                <w:color w:val="auto"/>
                <w:spacing w:val="2"/>
                <w:w w:val="99"/>
                <w:sz w:val="20"/>
                <w:szCs w:val="20"/>
                <w:lang w:eastAsia="zh-CN"/>
              </w:rPr>
              <w:t>室</w:t>
            </w:r>
            <w:r>
              <w:rPr>
                <w:rFonts w:hint="eastAsia" w:ascii="宋体" w:hAnsi="宋体" w:cs="宋体"/>
                <w:color w:val="auto"/>
                <w:spacing w:val="4"/>
                <w:w w:val="99"/>
                <w:sz w:val="20"/>
                <w:szCs w:val="20"/>
                <w:lang w:eastAsia="zh-CN"/>
              </w:rPr>
              <w:t>内照明</w:t>
            </w:r>
            <w:r>
              <w:rPr>
                <w:rFonts w:hint="eastAsia" w:ascii="宋体" w:hAnsi="宋体" w:cs="宋体"/>
                <w:color w:val="auto"/>
                <w:w w:val="99"/>
                <w:sz w:val="20"/>
                <w:szCs w:val="20"/>
                <w:lang w:eastAsia="zh-CN"/>
              </w:rPr>
              <w:t>用</w:t>
            </w:r>
            <w:r>
              <w:rPr>
                <w:rFonts w:hint="eastAsia" w:ascii="宋体" w:hAnsi="宋体" w:cs="宋体"/>
                <w:color w:val="auto"/>
                <w:spacing w:val="1"/>
                <w:w w:val="99"/>
                <w:sz w:val="20"/>
                <w:szCs w:val="20"/>
                <w:lang w:eastAsia="zh-CN"/>
              </w:rPr>
              <w:t>LE</w:t>
            </w:r>
            <w:r>
              <w:rPr>
                <w:rFonts w:hint="eastAsia" w:ascii="宋体" w:hAnsi="宋体" w:cs="宋体"/>
                <w:color w:val="auto"/>
                <w:w w:val="99"/>
                <w:sz w:val="20"/>
                <w:szCs w:val="20"/>
                <w:lang w:eastAsia="zh-CN"/>
              </w:rPr>
              <w:t>D</w:t>
            </w:r>
            <w:r>
              <w:rPr>
                <w:rFonts w:hint="eastAsia" w:ascii="宋体" w:hAnsi="宋体" w:cs="宋体"/>
                <w:color w:val="auto"/>
                <w:spacing w:val="4"/>
                <w:w w:val="99"/>
                <w:sz w:val="20"/>
                <w:szCs w:val="20"/>
                <w:lang w:eastAsia="zh-CN"/>
              </w:rPr>
              <w:t>产</w:t>
            </w:r>
            <w:r>
              <w:rPr>
                <w:rFonts w:hint="eastAsia" w:ascii="宋体" w:hAnsi="宋体" w:cs="宋体"/>
                <w:color w:val="auto"/>
                <w:spacing w:val="2"/>
                <w:w w:val="99"/>
                <w:sz w:val="20"/>
                <w:szCs w:val="20"/>
                <w:lang w:eastAsia="zh-CN"/>
              </w:rPr>
              <w:t>品</w:t>
            </w:r>
            <w:r>
              <w:rPr>
                <w:rFonts w:hint="eastAsia" w:ascii="宋体" w:hAnsi="宋体" w:cs="宋体"/>
                <w:color w:val="auto"/>
                <w:spacing w:val="4"/>
                <w:w w:val="99"/>
                <w:sz w:val="20"/>
                <w:szCs w:val="20"/>
                <w:lang w:eastAsia="zh-CN"/>
              </w:rPr>
              <w:t>能效</w:t>
            </w:r>
            <w:r>
              <w:rPr>
                <w:rFonts w:hint="eastAsia" w:ascii="宋体" w:hAnsi="宋体" w:cs="宋体"/>
                <w:color w:val="auto"/>
                <w:spacing w:val="2"/>
                <w:w w:val="99"/>
                <w:sz w:val="20"/>
                <w:szCs w:val="20"/>
                <w:lang w:eastAsia="zh-CN"/>
              </w:rPr>
              <w:t>限</w:t>
            </w:r>
            <w:r>
              <w:rPr>
                <w:rFonts w:hint="eastAsia" w:ascii="宋体" w:hAnsi="宋体" w:cs="宋体"/>
                <w:color w:val="auto"/>
                <w:w w:val="99"/>
                <w:sz w:val="20"/>
                <w:szCs w:val="20"/>
                <w:lang w:eastAsia="zh-CN"/>
              </w:rPr>
              <w:t>定值及能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30</w:t>
            </w:r>
            <w:r>
              <w:rPr>
                <w:rFonts w:hint="eastAsia" w:ascii="宋体" w:hAnsi="宋体" w:cs="宋体"/>
                <w:color w:val="auto"/>
                <w:w w:val="99"/>
                <w:sz w:val="20"/>
                <w:szCs w:val="20"/>
                <w:lang w:eastAsia="zh-CN"/>
              </w:rPr>
              <w:t>25</w:t>
            </w:r>
            <w:r>
              <w:rPr>
                <w:rFonts w:hint="eastAsia" w:ascii="宋体" w:hAnsi="宋体" w:cs="宋体"/>
                <w:color w:val="auto"/>
                <w:spacing w:val="-2"/>
                <w:w w:val="99"/>
                <w:sz w:val="20"/>
                <w:szCs w:val="20"/>
                <w:lang w:eastAsia="zh-CN"/>
              </w:rPr>
              <w:t>5</w:t>
            </w:r>
            <w:r>
              <w:rPr>
                <w:rFonts w:hint="eastAsia" w:ascii="宋体" w:hAnsi="宋体" w:cs="宋体"/>
                <w:color w:val="auto"/>
                <w:w w:val="99"/>
                <w:sz w:val="20"/>
                <w:szCs w:val="20"/>
                <w:lang w:eastAsia="zh-CN"/>
              </w:rPr>
              <w:t>）</w:t>
            </w:r>
          </w:p>
        </w:tc>
      </w:tr>
      <w:tr w14:paraId="509B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72257934">
            <w:pPr>
              <w:widowControl/>
              <w:jc w:val="center"/>
              <w:rPr>
                <w:rFonts w:ascii="宋体" w:hAnsi="宋体" w:cs="宋体"/>
                <w:color w:val="auto"/>
                <w:sz w:val="20"/>
                <w:szCs w:val="20"/>
              </w:rPr>
            </w:pPr>
          </w:p>
        </w:tc>
        <w:tc>
          <w:tcPr>
            <w:tcW w:w="1365" w:type="dxa"/>
            <w:vMerge w:val="continue"/>
            <w:shd w:val="clear" w:color="auto" w:fill="auto"/>
            <w:vAlign w:val="center"/>
          </w:tcPr>
          <w:p w14:paraId="4A272827">
            <w:pPr>
              <w:widowControl/>
              <w:rPr>
                <w:rFonts w:ascii="宋体" w:hAnsi="宋体" w:cs="宋体"/>
                <w:color w:val="auto"/>
                <w:sz w:val="20"/>
                <w:szCs w:val="20"/>
              </w:rPr>
            </w:pPr>
          </w:p>
        </w:tc>
        <w:tc>
          <w:tcPr>
            <w:tcW w:w="1980" w:type="dxa"/>
            <w:shd w:val="clear" w:color="auto" w:fill="auto"/>
            <w:vAlign w:val="center"/>
          </w:tcPr>
          <w:p w14:paraId="0785D0C7">
            <w:pPr>
              <w:pStyle w:val="76"/>
              <w:ind w:right="7"/>
              <w:jc w:val="both"/>
              <w:rPr>
                <w:rFonts w:ascii="宋体" w:hAnsi="宋体" w:cs="宋体"/>
                <w:color w:val="auto"/>
                <w:sz w:val="20"/>
                <w:szCs w:val="20"/>
                <w:lang w:eastAsia="zh-CN"/>
              </w:rPr>
            </w:pPr>
            <w:r>
              <w:rPr>
                <w:rFonts w:hint="eastAsia" w:ascii="宋体" w:hAnsi="宋体" w:cs="宋体"/>
                <w:color w:val="auto"/>
                <w:w w:val="99"/>
                <w:sz w:val="20"/>
                <w:szCs w:val="20"/>
                <w:lang w:eastAsia="zh-CN"/>
              </w:rPr>
              <w:t>普</w:t>
            </w:r>
            <w:r>
              <w:rPr>
                <w:rFonts w:hint="eastAsia" w:ascii="宋体" w:hAnsi="宋体" w:cs="宋体"/>
                <w:color w:val="auto"/>
                <w:spacing w:val="24"/>
                <w:w w:val="99"/>
                <w:sz w:val="20"/>
                <w:szCs w:val="20"/>
                <w:lang w:eastAsia="zh-CN"/>
              </w:rPr>
              <w:t>通</w:t>
            </w:r>
            <w:r>
              <w:rPr>
                <w:rFonts w:hint="eastAsia" w:ascii="宋体" w:hAnsi="宋体" w:cs="宋体"/>
                <w:color w:val="auto"/>
                <w:w w:val="99"/>
                <w:sz w:val="20"/>
                <w:szCs w:val="20"/>
                <w:lang w:eastAsia="zh-CN"/>
              </w:rPr>
              <w:t>照明用非</w:t>
            </w:r>
            <w:r>
              <w:rPr>
                <w:rFonts w:hint="eastAsia" w:ascii="宋体" w:hAnsi="宋体" w:cs="宋体"/>
                <w:color w:val="auto"/>
                <w:spacing w:val="24"/>
                <w:w w:val="99"/>
                <w:sz w:val="20"/>
                <w:szCs w:val="20"/>
                <w:lang w:eastAsia="zh-CN"/>
              </w:rPr>
              <w:t>定</w:t>
            </w:r>
            <w:r>
              <w:rPr>
                <w:rFonts w:hint="eastAsia" w:ascii="宋体" w:hAnsi="宋体" w:cs="宋体"/>
                <w:color w:val="auto"/>
                <w:w w:val="99"/>
                <w:sz w:val="20"/>
                <w:szCs w:val="20"/>
                <w:lang w:eastAsia="zh-CN"/>
              </w:rPr>
              <w:t>向自镇流</w:t>
            </w:r>
            <w:r>
              <w:rPr>
                <w:rFonts w:hint="eastAsia" w:ascii="宋体" w:hAnsi="宋体" w:cs="宋体"/>
                <w:color w:val="auto"/>
                <w:spacing w:val="1"/>
                <w:w w:val="99"/>
                <w:sz w:val="20"/>
                <w:szCs w:val="20"/>
                <w:lang w:eastAsia="zh-CN"/>
              </w:rPr>
              <w:t>LE</w:t>
            </w:r>
            <w:r>
              <w:rPr>
                <w:rFonts w:hint="eastAsia" w:ascii="宋体" w:hAnsi="宋体" w:cs="宋体"/>
                <w:color w:val="auto"/>
                <w:w w:val="99"/>
                <w:sz w:val="20"/>
                <w:szCs w:val="20"/>
                <w:lang w:eastAsia="zh-CN"/>
              </w:rPr>
              <w:t>D灯</w:t>
            </w:r>
          </w:p>
        </w:tc>
        <w:tc>
          <w:tcPr>
            <w:tcW w:w="1932" w:type="dxa"/>
            <w:shd w:val="clear" w:color="auto" w:fill="auto"/>
            <w:vAlign w:val="center"/>
          </w:tcPr>
          <w:p w14:paraId="39E2AA3F">
            <w:pPr>
              <w:rPr>
                <w:rFonts w:ascii="宋体" w:hAnsi="宋体" w:cs="宋体"/>
                <w:color w:val="auto"/>
                <w:sz w:val="20"/>
                <w:szCs w:val="20"/>
              </w:rPr>
            </w:pPr>
          </w:p>
        </w:tc>
        <w:tc>
          <w:tcPr>
            <w:tcW w:w="3896" w:type="dxa"/>
            <w:shd w:val="clear" w:color="auto" w:fill="auto"/>
            <w:vAlign w:val="center"/>
          </w:tcPr>
          <w:p w14:paraId="5502B11A">
            <w:pPr>
              <w:pStyle w:val="76"/>
              <w:ind w:right="7"/>
              <w:jc w:val="both"/>
              <w:rPr>
                <w:rFonts w:ascii="宋体" w:hAnsi="宋体" w:cs="宋体"/>
                <w:color w:val="auto"/>
                <w:sz w:val="20"/>
                <w:szCs w:val="20"/>
                <w:lang w:eastAsia="zh-CN"/>
              </w:rPr>
            </w:pPr>
            <w:r>
              <w:rPr>
                <w:rFonts w:hint="eastAsia" w:ascii="宋体" w:hAnsi="宋体" w:cs="宋体"/>
                <w:color w:val="auto"/>
                <w:spacing w:val="4"/>
                <w:w w:val="99"/>
                <w:sz w:val="20"/>
                <w:szCs w:val="20"/>
                <w:lang w:eastAsia="zh-CN"/>
              </w:rPr>
              <w:t>《</w:t>
            </w:r>
            <w:r>
              <w:rPr>
                <w:rFonts w:hint="eastAsia" w:ascii="宋体" w:hAnsi="宋体" w:cs="宋体"/>
                <w:color w:val="auto"/>
                <w:spacing w:val="2"/>
                <w:w w:val="99"/>
                <w:sz w:val="20"/>
                <w:szCs w:val="20"/>
                <w:lang w:eastAsia="zh-CN"/>
              </w:rPr>
              <w:t>室</w:t>
            </w:r>
            <w:r>
              <w:rPr>
                <w:rFonts w:hint="eastAsia" w:ascii="宋体" w:hAnsi="宋体" w:cs="宋体"/>
                <w:color w:val="auto"/>
                <w:spacing w:val="4"/>
                <w:w w:val="99"/>
                <w:sz w:val="20"/>
                <w:szCs w:val="20"/>
                <w:lang w:eastAsia="zh-CN"/>
              </w:rPr>
              <w:t>内照明</w:t>
            </w:r>
            <w:r>
              <w:rPr>
                <w:rFonts w:hint="eastAsia" w:ascii="宋体" w:hAnsi="宋体" w:cs="宋体"/>
                <w:color w:val="auto"/>
                <w:w w:val="99"/>
                <w:sz w:val="20"/>
                <w:szCs w:val="20"/>
                <w:lang w:eastAsia="zh-CN"/>
              </w:rPr>
              <w:t>用</w:t>
            </w:r>
            <w:r>
              <w:rPr>
                <w:rFonts w:hint="eastAsia" w:ascii="宋体" w:hAnsi="宋体" w:cs="宋体"/>
                <w:color w:val="auto"/>
                <w:spacing w:val="1"/>
                <w:w w:val="99"/>
                <w:sz w:val="20"/>
                <w:szCs w:val="20"/>
                <w:lang w:eastAsia="zh-CN"/>
              </w:rPr>
              <w:t>LE</w:t>
            </w:r>
            <w:r>
              <w:rPr>
                <w:rFonts w:hint="eastAsia" w:ascii="宋体" w:hAnsi="宋体" w:cs="宋体"/>
                <w:color w:val="auto"/>
                <w:w w:val="99"/>
                <w:sz w:val="20"/>
                <w:szCs w:val="20"/>
                <w:lang w:eastAsia="zh-CN"/>
              </w:rPr>
              <w:t>D</w:t>
            </w:r>
            <w:r>
              <w:rPr>
                <w:rFonts w:hint="eastAsia" w:ascii="宋体" w:hAnsi="宋体" w:cs="宋体"/>
                <w:color w:val="auto"/>
                <w:spacing w:val="4"/>
                <w:w w:val="99"/>
                <w:sz w:val="20"/>
                <w:szCs w:val="20"/>
                <w:lang w:eastAsia="zh-CN"/>
              </w:rPr>
              <w:t>产</w:t>
            </w:r>
            <w:r>
              <w:rPr>
                <w:rFonts w:hint="eastAsia" w:ascii="宋体" w:hAnsi="宋体" w:cs="宋体"/>
                <w:color w:val="auto"/>
                <w:spacing w:val="2"/>
                <w:w w:val="99"/>
                <w:sz w:val="20"/>
                <w:szCs w:val="20"/>
                <w:lang w:eastAsia="zh-CN"/>
              </w:rPr>
              <w:t>品</w:t>
            </w:r>
            <w:r>
              <w:rPr>
                <w:rFonts w:hint="eastAsia" w:ascii="宋体" w:hAnsi="宋体" w:cs="宋体"/>
                <w:color w:val="auto"/>
                <w:spacing w:val="4"/>
                <w:w w:val="99"/>
                <w:sz w:val="20"/>
                <w:szCs w:val="20"/>
                <w:lang w:eastAsia="zh-CN"/>
              </w:rPr>
              <w:t>能效</w:t>
            </w:r>
            <w:r>
              <w:rPr>
                <w:rFonts w:hint="eastAsia" w:ascii="宋体" w:hAnsi="宋体" w:cs="宋体"/>
                <w:color w:val="auto"/>
                <w:spacing w:val="2"/>
                <w:w w:val="99"/>
                <w:sz w:val="20"/>
                <w:szCs w:val="20"/>
                <w:lang w:eastAsia="zh-CN"/>
              </w:rPr>
              <w:t>限</w:t>
            </w:r>
            <w:r>
              <w:rPr>
                <w:rFonts w:hint="eastAsia" w:ascii="宋体" w:hAnsi="宋体" w:cs="宋体"/>
                <w:color w:val="auto"/>
                <w:w w:val="99"/>
                <w:sz w:val="20"/>
                <w:szCs w:val="20"/>
                <w:lang w:eastAsia="zh-CN"/>
              </w:rPr>
              <w:t>定值及能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30</w:t>
            </w:r>
            <w:r>
              <w:rPr>
                <w:rFonts w:hint="eastAsia" w:ascii="宋体" w:hAnsi="宋体" w:cs="宋体"/>
                <w:color w:val="auto"/>
                <w:w w:val="99"/>
                <w:sz w:val="20"/>
                <w:szCs w:val="20"/>
                <w:lang w:eastAsia="zh-CN"/>
              </w:rPr>
              <w:t>25</w:t>
            </w:r>
            <w:r>
              <w:rPr>
                <w:rFonts w:hint="eastAsia" w:ascii="宋体" w:hAnsi="宋体" w:cs="宋体"/>
                <w:color w:val="auto"/>
                <w:spacing w:val="-2"/>
                <w:w w:val="99"/>
                <w:sz w:val="20"/>
                <w:szCs w:val="20"/>
                <w:lang w:eastAsia="zh-CN"/>
              </w:rPr>
              <w:t>5</w:t>
            </w:r>
            <w:r>
              <w:rPr>
                <w:rFonts w:hint="eastAsia" w:ascii="宋体" w:hAnsi="宋体" w:cs="宋体"/>
                <w:color w:val="auto"/>
                <w:w w:val="99"/>
                <w:sz w:val="20"/>
                <w:szCs w:val="20"/>
                <w:lang w:eastAsia="zh-CN"/>
              </w:rPr>
              <w:t>）</w:t>
            </w:r>
          </w:p>
        </w:tc>
      </w:tr>
      <w:tr w14:paraId="40AA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shd w:val="clear" w:color="auto" w:fill="auto"/>
            <w:vAlign w:val="center"/>
          </w:tcPr>
          <w:p w14:paraId="579A8012">
            <w:pPr>
              <w:pStyle w:val="76"/>
              <w:jc w:val="center"/>
              <w:rPr>
                <w:rFonts w:ascii="宋体" w:hAnsi="宋体" w:cs="宋体"/>
                <w:color w:val="auto"/>
                <w:sz w:val="20"/>
                <w:szCs w:val="20"/>
              </w:rPr>
            </w:pPr>
            <w:r>
              <w:rPr>
                <w:rFonts w:hint="eastAsia" w:ascii="宋体"/>
                <w:color w:val="auto"/>
                <w:spacing w:val="1"/>
                <w:w w:val="99"/>
                <w:sz w:val="20"/>
              </w:rPr>
              <w:t>1</w:t>
            </w:r>
            <w:r>
              <w:rPr>
                <w:rFonts w:hint="eastAsia" w:ascii="宋体"/>
                <w:color w:val="auto"/>
                <w:w w:val="99"/>
                <w:sz w:val="20"/>
              </w:rPr>
              <w:t>2</w:t>
            </w:r>
          </w:p>
        </w:tc>
        <w:tc>
          <w:tcPr>
            <w:tcW w:w="1365" w:type="dxa"/>
            <w:shd w:val="clear" w:color="auto" w:fill="auto"/>
            <w:vAlign w:val="center"/>
          </w:tcPr>
          <w:p w14:paraId="4441CA82">
            <w:pPr>
              <w:pStyle w:val="76"/>
              <w:ind w:left="7"/>
              <w:jc w:val="both"/>
              <w:rPr>
                <w:rFonts w:ascii="宋体" w:hAnsi="宋体" w:cs="宋体"/>
                <w:color w:val="auto"/>
                <w:sz w:val="20"/>
                <w:szCs w:val="20"/>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910电视设备</w:t>
            </w:r>
          </w:p>
        </w:tc>
        <w:tc>
          <w:tcPr>
            <w:tcW w:w="1980" w:type="dxa"/>
            <w:shd w:val="clear" w:color="auto" w:fill="auto"/>
            <w:vAlign w:val="center"/>
          </w:tcPr>
          <w:p w14:paraId="0BDFDE2A">
            <w:pPr>
              <w:pStyle w:val="76"/>
              <w:ind w:left="7" w:right="5"/>
              <w:jc w:val="both"/>
              <w:rPr>
                <w:rFonts w:ascii="宋体" w:hAnsi="宋体" w:cs="宋体"/>
                <w:color w:val="auto"/>
                <w:sz w:val="20"/>
                <w:szCs w:val="20"/>
                <w:lang w:eastAsia="zh-CN"/>
              </w:rPr>
            </w:pPr>
            <w:r>
              <w:rPr>
                <w:rFonts w:hint="eastAsia" w:ascii="宋体" w:hAnsi="宋体" w:cs="宋体"/>
                <w:color w:val="auto"/>
                <w:spacing w:val="1"/>
                <w:w w:val="99"/>
                <w:sz w:val="20"/>
                <w:szCs w:val="20"/>
                <w:lang w:eastAsia="zh-CN"/>
              </w:rPr>
              <w:t>A02</w:t>
            </w:r>
            <w:r>
              <w:rPr>
                <w:rFonts w:hint="eastAsia" w:ascii="宋体" w:hAnsi="宋体" w:cs="宋体"/>
                <w:color w:val="auto"/>
                <w:w w:val="99"/>
                <w:sz w:val="20"/>
                <w:szCs w:val="20"/>
                <w:lang w:eastAsia="zh-CN"/>
              </w:rPr>
              <w:t>09</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001普通电视设备（</w:t>
            </w:r>
            <w:r>
              <w:rPr>
                <w:rFonts w:hint="eastAsia" w:ascii="宋体" w:hAnsi="宋体" w:cs="宋体"/>
                <w:color w:val="auto"/>
                <w:spacing w:val="2"/>
                <w:w w:val="99"/>
                <w:sz w:val="20"/>
                <w:szCs w:val="20"/>
                <w:lang w:eastAsia="zh-CN"/>
              </w:rPr>
              <w:t>电</w:t>
            </w:r>
            <w:r>
              <w:rPr>
                <w:rFonts w:hint="eastAsia" w:ascii="宋体" w:hAnsi="宋体" w:cs="宋体"/>
                <w:color w:val="auto"/>
                <w:w w:val="99"/>
                <w:sz w:val="20"/>
                <w:szCs w:val="20"/>
                <w:lang w:eastAsia="zh-CN"/>
              </w:rPr>
              <w:t>视机）</w:t>
            </w:r>
          </w:p>
        </w:tc>
        <w:tc>
          <w:tcPr>
            <w:tcW w:w="1932" w:type="dxa"/>
            <w:shd w:val="clear" w:color="auto" w:fill="auto"/>
            <w:vAlign w:val="center"/>
          </w:tcPr>
          <w:p w14:paraId="462351B1">
            <w:pPr>
              <w:rPr>
                <w:rFonts w:ascii="宋体" w:hAnsi="宋体" w:cs="宋体"/>
                <w:color w:val="auto"/>
                <w:sz w:val="20"/>
                <w:szCs w:val="20"/>
              </w:rPr>
            </w:pPr>
          </w:p>
        </w:tc>
        <w:tc>
          <w:tcPr>
            <w:tcW w:w="3896" w:type="dxa"/>
            <w:shd w:val="clear" w:color="auto" w:fill="auto"/>
            <w:vAlign w:val="center"/>
          </w:tcPr>
          <w:p w14:paraId="07FDCC20">
            <w:pPr>
              <w:pStyle w:val="76"/>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《平板电视能效限定值</w:t>
            </w:r>
            <w:r>
              <w:rPr>
                <w:rFonts w:hint="eastAsia" w:ascii="宋体" w:hAnsi="宋体" w:cs="宋体"/>
                <w:color w:val="auto"/>
                <w:spacing w:val="9"/>
                <w:w w:val="99"/>
                <w:sz w:val="20"/>
                <w:szCs w:val="20"/>
                <w:lang w:eastAsia="zh-CN"/>
              </w:rPr>
              <w:t>及</w:t>
            </w:r>
            <w:r>
              <w:rPr>
                <w:rFonts w:hint="eastAsia" w:ascii="宋体" w:hAnsi="宋体" w:cs="宋体"/>
                <w:color w:val="auto"/>
                <w:spacing w:val="12"/>
                <w:w w:val="99"/>
                <w:sz w:val="20"/>
                <w:szCs w:val="20"/>
                <w:lang w:eastAsia="zh-CN"/>
              </w:rPr>
              <w:t>能效</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248</w:t>
            </w:r>
            <w:r>
              <w:rPr>
                <w:rFonts w:hint="eastAsia" w:ascii="宋体" w:hAnsi="宋体" w:cs="宋体"/>
                <w:color w:val="auto"/>
                <w:w w:val="99"/>
                <w:sz w:val="20"/>
                <w:szCs w:val="20"/>
                <w:lang w:eastAsia="zh-CN"/>
              </w:rPr>
              <w:t>50）</w:t>
            </w:r>
          </w:p>
        </w:tc>
      </w:tr>
      <w:tr w14:paraId="2D9F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shd w:val="clear" w:color="auto" w:fill="auto"/>
            <w:vAlign w:val="center"/>
          </w:tcPr>
          <w:p w14:paraId="51FA52EC">
            <w:pPr>
              <w:pStyle w:val="76"/>
              <w:jc w:val="center"/>
              <w:rPr>
                <w:rFonts w:ascii="宋体" w:hAnsi="宋体" w:cs="宋体"/>
                <w:color w:val="auto"/>
                <w:sz w:val="20"/>
                <w:szCs w:val="20"/>
              </w:rPr>
            </w:pPr>
            <w:r>
              <w:rPr>
                <w:rFonts w:hint="eastAsia" w:ascii="宋体"/>
                <w:color w:val="auto"/>
                <w:spacing w:val="1"/>
                <w:w w:val="99"/>
                <w:sz w:val="20"/>
              </w:rPr>
              <w:t>1</w:t>
            </w:r>
            <w:r>
              <w:rPr>
                <w:rFonts w:hint="eastAsia" w:ascii="宋体"/>
                <w:color w:val="auto"/>
                <w:w w:val="99"/>
                <w:sz w:val="20"/>
              </w:rPr>
              <w:t>3</w:t>
            </w:r>
          </w:p>
        </w:tc>
        <w:tc>
          <w:tcPr>
            <w:tcW w:w="1365" w:type="dxa"/>
            <w:shd w:val="clear" w:color="auto" w:fill="auto"/>
            <w:vAlign w:val="center"/>
          </w:tcPr>
          <w:p w14:paraId="785284A8">
            <w:pPr>
              <w:pStyle w:val="76"/>
              <w:ind w:left="7"/>
              <w:jc w:val="both"/>
              <w:rPr>
                <w:rFonts w:ascii="宋体" w:hAnsi="宋体" w:cs="宋体"/>
                <w:color w:val="auto"/>
                <w:sz w:val="20"/>
                <w:szCs w:val="20"/>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911视</w:t>
            </w:r>
          </w:p>
          <w:p w14:paraId="0B247F0B">
            <w:pPr>
              <w:pStyle w:val="76"/>
              <w:ind w:left="7"/>
              <w:jc w:val="both"/>
              <w:rPr>
                <w:rFonts w:ascii="宋体" w:hAnsi="宋体" w:cs="宋体"/>
                <w:color w:val="auto"/>
                <w:sz w:val="20"/>
                <w:szCs w:val="20"/>
              </w:rPr>
            </w:pPr>
            <w:r>
              <w:rPr>
                <w:rFonts w:hint="eastAsia" w:ascii="宋体" w:hAnsi="宋体" w:cs="宋体"/>
                <w:color w:val="auto"/>
                <w:w w:val="99"/>
                <w:sz w:val="20"/>
                <w:szCs w:val="20"/>
              </w:rPr>
              <w:t>频设备</w:t>
            </w:r>
          </w:p>
        </w:tc>
        <w:tc>
          <w:tcPr>
            <w:tcW w:w="1980" w:type="dxa"/>
            <w:shd w:val="clear" w:color="auto" w:fill="auto"/>
            <w:vAlign w:val="center"/>
          </w:tcPr>
          <w:p w14:paraId="79BA6D9D">
            <w:pPr>
              <w:pStyle w:val="76"/>
              <w:ind w:left="7" w:right="5"/>
              <w:jc w:val="both"/>
              <w:rPr>
                <w:rFonts w:ascii="宋体" w:hAnsi="宋体" w:cs="宋体"/>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09</w:t>
            </w:r>
            <w:r>
              <w:rPr>
                <w:rFonts w:hint="eastAsia" w:ascii="宋体" w:hAnsi="宋体" w:cs="宋体"/>
                <w:color w:val="auto"/>
                <w:spacing w:val="1"/>
                <w:w w:val="99"/>
                <w:sz w:val="20"/>
                <w:szCs w:val="20"/>
              </w:rPr>
              <w:t>1</w:t>
            </w:r>
            <w:r>
              <w:rPr>
                <w:rFonts w:hint="eastAsia" w:ascii="宋体" w:hAnsi="宋体" w:cs="宋体"/>
                <w:color w:val="auto"/>
                <w:w w:val="99"/>
                <w:sz w:val="20"/>
                <w:szCs w:val="20"/>
              </w:rPr>
              <w:t>107视频监控设备</w:t>
            </w:r>
          </w:p>
        </w:tc>
        <w:tc>
          <w:tcPr>
            <w:tcW w:w="1932" w:type="dxa"/>
            <w:shd w:val="clear" w:color="auto" w:fill="auto"/>
            <w:vAlign w:val="center"/>
          </w:tcPr>
          <w:p w14:paraId="270325F1">
            <w:pPr>
              <w:pStyle w:val="76"/>
              <w:ind w:left="7"/>
              <w:jc w:val="both"/>
              <w:rPr>
                <w:rFonts w:ascii="宋体" w:hAnsi="宋体" w:cs="宋体"/>
                <w:color w:val="auto"/>
                <w:sz w:val="20"/>
                <w:szCs w:val="20"/>
              </w:rPr>
            </w:pPr>
            <w:r>
              <w:rPr>
                <w:rFonts w:hint="eastAsia" w:ascii="宋体" w:hAnsi="宋体" w:cs="宋体"/>
                <w:color w:val="auto"/>
                <w:w w:val="99"/>
                <w:sz w:val="20"/>
                <w:szCs w:val="20"/>
              </w:rPr>
              <w:t>监视器</w:t>
            </w:r>
          </w:p>
        </w:tc>
        <w:tc>
          <w:tcPr>
            <w:tcW w:w="3896" w:type="dxa"/>
            <w:shd w:val="clear" w:color="auto" w:fill="auto"/>
            <w:vAlign w:val="center"/>
          </w:tcPr>
          <w:p w14:paraId="65A9149F">
            <w:pPr>
              <w:pStyle w:val="76"/>
              <w:ind w:left="7" w:right="5"/>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以射频信号为主要信号</w:t>
            </w:r>
            <w:r>
              <w:rPr>
                <w:rFonts w:hint="eastAsia" w:ascii="宋体" w:hAnsi="宋体" w:cs="宋体"/>
                <w:color w:val="auto"/>
                <w:spacing w:val="9"/>
                <w:w w:val="99"/>
                <w:sz w:val="20"/>
                <w:szCs w:val="20"/>
                <w:lang w:eastAsia="zh-CN"/>
              </w:rPr>
              <w:t>输</w:t>
            </w:r>
            <w:r>
              <w:rPr>
                <w:rFonts w:hint="eastAsia" w:ascii="宋体" w:hAnsi="宋体" w:cs="宋体"/>
                <w:color w:val="auto"/>
                <w:spacing w:val="12"/>
                <w:w w:val="99"/>
                <w:sz w:val="20"/>
                <w:szCs w:val="20"/>
                <w:lang w:eastAsia="zh-CN"/>
              </w:rPr>
              <w:t>入的</w:t>
            </w:r>
            <w:r>
              <w:rPr>
                <w:rFonts w:hint="eastAsia" w:ascii="宋体" w:hAnsi="宋体" w:cs="宋体"/>
                <w:color w:val="auto"/>
                <w:w w:val="99"/>
                <w:sz w:val="20"/>
                <w:szCs w:val="20"/>
                <w:lang w:eastAsia="zh-CN"/>
              </w:rPr>
              <w:t>监视器应</w:t>
            </w:r>
            <w:r>
              <w:rPr>
                <w:rFonts w:hint="eastAsia" w:ascii="宋体" w:hAnsi="宋体" w:cs="宋体"/>
                <w:color w:val="auto"/>
                <w:spacing w:val="2"/>
                <w:w w:val="99"/>
                <w:sz w:val="20"/>
                <w:szCs w:val="20"/>
                <w:lang w:eastAsia="zh-CN"/>
              </w:rPr>
              <w:t>符</w:t>
            </w:r>
            <w:r>
              <w:rPr>
                <w:rFonts w:hint="eastAsia" w:ascii="宋体" w:hAnsi="宋体" w:cs="宋体"/>
                <w:color w:val="auto"/>
                <w:spacing w:val="-58"/>
                <w:w w:val="99"/>
                <w:sz w:val="20"/>
                <w:szCs w:val="20"/>
                <w:lang w:eastAsia="zh-CN"/>
              </w:rPr>
              <w:t>合</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平板</w:t>
            </w:r>
            <w:r>
              <w:rPr>
                <w:rFonts w:hint="eastAsia" w:ascii="宋体" w:hAnsi="宋体" w:cs="宋体"/>
                <w:color w:val="auto"/>
                <w:spacing w:val="2"/>
                <w:w w:val="99"/>
                <w:sz w:val="20"/>
                <w:szCs w:val="20"/>
                <w:lang w:eastAsia="zh-CN"/>
              </w:rPr>
              <w:t>电</w:t>
            </w:r>
            <w:r>
              <w:rPr>
                <w:rFonts w:hint="eastAsia" w:ascii="宋体" w:hAnsi="宋体" w:cs="宋体"/>
                <w:color w:val="auto"/>
                <w:w w:val="99"/>
                <w:sz w:val="20"/>
                <w:szCs w:val="20"/>
                <w:lang w:eastAsia="zh-CN"/>
              </w:rPr>
              <w:t>视能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限定值及能效</w:t>
            </w:r>
            <w:r>
              <w:rPr>
                <w:rFonts w:hint="eastAsia" w:ascii="宋体" w:hAnsi="宋体" w:cs="宋体"/>
                <w:color w:val="auto"/>
                <w:spacing w:val="2"/>
                <w:w w:val="99"/>
                <w:sz w:val="20"/>
                <w:szCs w:val="20"/>
                <w:lang w:eastAsia="zh-CN"/>
              </w:rPr>
              <w:t>等</w:t>
            </w:r>
            <w:r>
              <w:rPr>
                <w:rFonts w:hint="eastAsia" w:ascii="宋体" w:hAnsi="宋体" w:cs="宋体"/>
                <w:color w:val="auto"/>
                <w:w w:val="99"/>
                <w:sz w:val="20"/>
                <w:szCs w:val="20"/>
                <w:lang w:eastAsia="zh-CN"/>
              </w:rPr>
              <w:t>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24850</w:t>
            </w:r>
            <w:r>
              <w:rPr>
                <w:rFonts w:hint="eastAsia" w:ascii="宋体" w:hAnsi="宋体" w:cs="宋体"/>
                <w:color w:val="auto"/>
                <w:spacing w:val="-3"/>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2"/>
                <w:w w:val="99"/>
                <w:sz w:val="20"/>
                <w:szCs w:val="20"/>
                <w:lang w:eastAsia="zh-CN"/>
              </w:rPr>
              <w:t>以数字信号为主要信号</w:t>
            </w:r>
            <w:r>
              <w:rPr>
                <w:rFonts w:hint="eastAsia" w:ascii="宋体" w:hAnsi="宋体" w:cs="宋体"/>
                <w:color w:val="auto"/>
                <w:spacing w:val="9"/>
                <w:w w:val="99"/>
                <w:sz w:val="20"/>
                <w:szCs w:val="20"/>
                <w:lang w:eastAsia="zh-CN"/>
              </w:rPr>
              <w:t>输</w:t>
            </w:r>
            <w:r>
              <w:rPr>
                <w:rFonts w:hint="eastAsia" w:ascii="宋体" w:hAnsi="宋体" w:cs="宋体"/>
                <w:color w:val="auto"/>
                <w:spacing w:val="12"/>
                <w:w w:val="99"/>
                <w:sz w:val="20"/>
                <w:szCs w:val="20"/>
                <w:lang w:eastAsia="zh-CN"/>
              </w:rPr>
              <w:t>入的</w:t>
            </w:r>
            <w:r>
              <w:rPr>
                <w:rFonts w:hint="eastAsia" w:ascii="宋体" w:hAnsi="宋体" w:cs="宋体"/>
                <w:color w:val="auto"/>
                <w:w w:val="99"/>
                <w:sz w:val="20"/>
                <w:szCs w:val="20"/>
                <w:lang w:eastAsia="zh-CN"/>
              </w:rPr>
              <w:t>监视器应</w:t>
            </w:r>
            <w:r>
              <w:rPr>
                <w:rFonts w:hint="eastAsia" w:ascii="宋体" w:hAnsi="宋体" w:cs="宋体"/>
                <w:color w:val="auto"/>
                <w:spacing w:val="2"/>
                <w:w w:val="99"/>
                <w:sz w:val="20"/>
                <w:szCs w:val="20"/>
                <w:lang w:eastAsia="zh-CN"/>
              </w:rPr>
              <w:t>符</w:t>
            </w:r>
            <w:r>
              <w:rPr>
                <w:rFonts w:hint="eastAsia" w:ascii="宋体" w:hAnsi="宋体" w:cs="宋体"/>
                <w:color w:val="auto"/>
                <w:spacing w:val="-58"/>
                <w:w w:val="99"/>
                <w:sz w:val="20"/>
                <w:szCs w:val="20"/>
                <w:lang w:eastAsia="zh-CN"/>
              </w:rPr>
              <w:t>合</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计算</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显示</w:t>
            </w:r>
            <w:r>
              <w:rPr>
                <w:rFonts w:hint="eastAsia" w:ascii="宋体" w:hAnsi="宋体" w:cs="宋体"/>
                <w:color w:val="auto"/>
                <w:spacing w:val="2"/>
                <w:w w:val="99"/>
                <w:sz w:val="20"/>
                <w:szCs w:val="20"/>
                <w:lang w:eastAsia="zh-CN"/>
              </w:rPr>
              <w:t>器</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0</w:t>
            </w:r>
            <w:r>
              <w:rPr>
                <w:rFonts w:hint="eastAsia" w:ascii="宋体" w:hAnsi="宋体" w:cs="宋体"/>
                <w:color w:val="auto"/>
                <w:w w:val="99"/>
                <w:sz w:val="20"/>
                <w:szCs w:val="20"/>
                <w:lang w:eastAsia="zh-CN"/>
              </w:rPr>
              <w:t>）</w:t>
            </w:r>
          </w:p>
        </w:tc>
      </w:tr>
      <w:tr w14:paraId="4885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shd w:val="clear" w:color="auto" w:fill="auto"/>
            <w:vAlign w:val="center"/>
          </w:tcPr>
          <w:p w14:paraId="19109C1B">
            <w:pPr>
              <w:pStyle w:val="76"/>
              <w:jc w:val="center"/>
              <w:rPr>
                <w:rFonts w:ascii="宋体" w:hAnsi="宋体" w:cs="宋体"/>
                <w:color w:val="auto"/>
                <w:sz w:val="20"/>
                <w:szCs w:val="20"/>
              </w:rPr>
            </w:pPr>
            <w:r>
              <w:rPr>
                <w:rFonts w:hint="eastAsia" w:ascii="宋体"/>
                <w:color w:val="auto"/>
                <w:spacing w:val="1"/>
                <w:w w:val="99"/>
                <w:sz w:val="20"/>
              </w:rPr>
              <w:t>1</w:t>
            </w:r>
            <w:r>
              <w:rPr>
                <w:rFonts w:hint="eastAsia" w:ascii="宋体"/>
                <w:color w:val="auto"/>
                <w:w w:val="99"/>
                <w:sz w:val="20"/>
              </w:rPr>
              <w:t>4</w:t>
            </w:r>
          </w:p>
        </w:tc>
        <w:tc>
          <w:tcPr>
            <w:tcW w:w="1365" w:type="dxa"/>
            <w:shd w:val="clear" w:color="auto" w:fill="auto"/>
            <w:vAlign w:val="center"/>
          </w:tcPr>
          <w:p w14:paraId="184368AB">
            <w:pPr>
              <w:pStyle w:val="76"/>
              <w:ind w:left="7"/>
              <w:jc w:val="both"/>
              <w:rPr>
                <w:rFonts w:ascii="宋体" w:hAnsi="宋体" w:cs="宋体"/>
                <w:color w:val="auto"/>
                <w:sz w:val="20"/>
                <w:szCs w:val="20"/>
              </w:rPr>
            </w:pPr>
            <w:r>
              <w:rPr>
                <w:rFonts w:hint="eastAsia" w:ascii="宋体" w:hAnsi="宋体" w:cs="宋体"/>
                <w:color w:val="auto"/>
                <w:spacing w:val="1"/>
                <w:w w:val="99"/>
                <w:sz w:val="20"/>
                <w:szCs w:val="20"/>
              </w:rPr>
              <w:t>A03</w:t>
            </w:r>
            <w:r>
              <w:rPr>
                <w:rFonts w:hint="eastAsia" w:ascii="宋体" w:hAnsi="宋体" w:cs="宋体"/>
                <w:color w:val="auto"/>
                <w:w w:val="99"/>
                <w:sz w:val="20"/>
                <w:szCs w:val="20"/>
              </w:rPr>
              <w:t>12</w:t>
            </w:r>
            <w:r>
              <w:rPr>
                <w:rFonts w:hint="eastAsia" w:ascii="宋体" w:hAnsi="宋体" w:cs="宋体"/>
                <w:color w:val="auto"/>
                <w:spacing w:val="1"/>
                <w:w w:val="99"/>
                <w:sz w:val="20"/>
                <w:szCs w:val="20"/>
              </w:rPr>
              <w:t>1</w:t>
            </w:r>
            <w:r>
              <w:rPr>
                <w:rFonts w:hint="eastAsia" w:ascii="宋体" w:hAnsi="宋体" w:cs="宋体"/>
                <w:color w:val="auto"/>
                <w:w w:val="99"/>
                <w:sz w:val="20"/>
                <w:szCs w:val="20"/>
              </w:rPr>
              <w:t>0饮食炊事机械</w:t>
            </w:r>
          </w:p>
        </w:tc>
        <w:tc>
          <w:tcPr>
            <w:tcW w:w="1980" w:type="dxa"/>
            <w:shd w:val="clear" w:color="auto" w:fill="auto"/>
            <w:vAlign w:val="center"/>
          </w:tcPr>
          <w:p w14:paraId="4A689667">
            <w:pPr>
              <w:pStyle w:val="76"/>
              <w:ind w:left="7"/>
              <w:jc w:val="both"/>
              <w:rPr>
                <w:rFonts w:ascii="宋体" w:hAnsi="宋体" w:cs="宋体"/>
                <w:color w:val="auto"/>
                <w:sz w:val="20"/>
                <w:szCs w:val="20"/>
              </w:rPr>
            </w:pPr>
            <w:r>
              <w:rPr>
                <w:rFonts w:hint="eastAsia" w:ascii="宋体" w:hAnsi="宋体" w:cs="宋体"/>
                <w:color w:val="auto"/>
                <w:w w:val="99"/>
                <w:sz w:val="20"/>
                <w:szCs w:val="20"/>
              </w:rPr>
              <w:t>商用燃</w:t>
            </w:r>
            <w:r>
              <w:rPr>
                <w:rFonts w:hint="eastAsia" w:ascii="宋体" w:hAnsi="宋体" w:cs="宋体"/>
                <w:color w:val="auto"/>
                <w:spacing w:val="2"/>
                <w:w w:val="99"/>
                <w:sz w:val="20"/>
                <w:szCs w:val="20"/>
              </w:rPr>
              <w:t>气</w:t>
            </w:r>
            <w:r>
              <w:rPr>
                <w:rFonts w:hint="eastAsia" w:ascii="宋体" w:hAnsi="宋体" w:cs="宋体"/>
                <w:color w:val="auto"/>
                <w:w w:val="99"/>
                <w:sz w:val="20"/>
                <w:szCs w:val="20"/>
              </w:rPr>
              <w:t>灶具</w:t>
            </w:r>
          </w:p>
        </w:tc>
        <w:tc>
          <w:tcPr>
            <w:tcW w:w="1932" w:type="dxa"/>
            <w:shd w:val="clear" w:color="auto" w:fill="auto"/>
            <w:vAlign w:val="center"/>
          </w:tcPr>
          <w:p w14:paraId="263AA900">
            <w:pPr>
              <w:rPr>
                <w:rFonts w:ascii="宋体" w:hAnsi="宋体" w:cs="宋体"/>
                <w:color w:val="auto"/>
                <w:sz w:val="20"/>
                <w:szCs w:val="20"/>
              </w:rPr>
            </w:pPr>
          </w:p>
        </w:tc>
        <w:tc>
          <w:tcPr>
            <w:tcW w:w="3896" w:type="dxa"/>
            <w:shd w:val="clear" w:color="auto" w:fill="auto"/>
            <w:vAlign w:val="center"/>
          </w:tcPr>
          <w:p w14:paraId="2420C926">
            <w:pPr>
              <w:pStyle w:val="76"/>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《商用燃气灶具能效限</w:t>
            </w:r>
            <w:r>
              <w:rPr>
                <w:rFonts w:hint="eastAsia" w:ascii="宋体" w:hAnsi="宋体" w:cs="宋体"/>
                <w:color w:val="auto"/>
                <w:spacing w:val="9"/>
                <w:w w:val="99"/>
                <w:sz w:val="20"/>
                <w:szCs w:val="20"/>
                <w:lang w:eastAsia="zh-CN"/>
              </w:rPr>
              <w:t>定</w:t>
            </w:r>
            <w:r>
              <w:rPr>
                <w:rFonts w:hint="eastAsia" w:ascii="宋体" w:hAnsi="宋体" w:cs="宋体"/>
                <w:color w:val="auto"/>
                <w:spacing w:val="12"/>
                <w:w w:val="99"/>
                <w:sz w:val="20"/>
                <w:szCs w:val="20"/>
                <w:lang w:eastAsia="zh-CN"/>
              </w:rPr>
              <w:t>值及</w:t>
            </w:r>
            <w:r>
              <w:rPr>
                <w:rFonts w:hint="eastAsia" w:ascii="宋体" w:hAnsi="宋体" w:cs="宋体"/>
                <w:color w:val="auto"/>
                <w:w w:val="99"/>
                <w:sz w:val="20"/>
                <w:szCs w:val="20"/>
                <w:lang w:eastAsia="zh-CN"/>
              </w:rPr>
              <w:t>能效等级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30</w:t>
            </w:r>
            <w:r>
              <w:rPr>
                <w:rFonts w:hint="eastAsia" w:ascii="宋体" w:hAnsi="宋体" w:cs="宋体"/>
                <w:color w:val="auto"/>
                <w:w w:val="99"/>
                <w:sz w:val="20"/>
                <w:szCs w:val="20"/>
                <w:lang w:eastAsia="zh-CN"/>
              </w:rPr>
              <w:t>53</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tc>
      </w:tr>
      <w:tr w14:paraId="6F8A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restart"/>
            <w:shd w:val="clear" w:color="auto" w:fill="auto"/>
            <w:vAlign w:val="center"/>
          </w:tcPr>
          <w:p w14:paraId="4480689C">
            <w:pPr>
              <w:pStyle w:val="76"/>
              <w:jc w:val="center"/>
              <w:rPr>
                <w:rFonts w:ascii="宋体" w:hAnsi="宋体" w:cs="宋体"/>
                <w:color w:val="auto"/>
                <w:sz w:val="20"/>
                <w:szCs w:val="20"/>
              </w:rPr>
            </w:pPr>
            <w:r>
              <w:rPr>
                <w:rFonts w:hint="eastAsia" w:ascii="宋体"/>
                <w:color w:val="auto"/>
                <w:spacing w:val="1"/>
                <w:w w:val="99"/>
                <w:sz w:val="20"/>
              </w:rPr>
              <w:t>1</w:t>
            </w:r>
            <w:r>
              <w:rPr>
                <w:rFonts w:hint="eastAsia" w:ascii="宋体"/>
                <w:color w:val="auto"/>
                <w:w w:val="99"/>
                <w:sz w:val="20"/>
              </w:rPr>
              <w:t>5</w:t>
            </w:r>
          </w:p>
        </w:tc>
        <w:tc>
          <w:tcPr>
            <w:tcW w:w="1365" w:type="dxa"/>
            <w:vMerge w:val="restart"/>
            <w:shd w:val="clear" w:color="auto" w:fill="auto"/>
            <w:vAlign w:val="center"/>
          </w:tcPr>
          <w:p w14:paraId="7EF40883">
            <w:pPr>
              <w:pStyle w:val="76"/>
              <w:ind w:left="7"/>
              <w:jc w:val="both"/>
              <w:rPr>
                <w:rFonts w:ascii="宋体" w:hAnsi="宋体" w:cs="宋体"/>
                <w:color w:val="auto"/>
                <w:sz w:val="20"/>
                <w:szCs w:val="20"/>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A060</w:t>
            </w:r>
            <w:r>
              <w:rPr>
                <w:rFonts w:hint="eastAsia" w:ascii="宋体" w:hAnsi="宋体" w:cs="宋体"/>
                <w:color w:val="auto"/>
                <w:w w:val="99"/>
                <w:sz w:val="20"/>
                <w:szCs w:val="20"/>
              </w:rPr>
              <w:t>805便器</w:t>
            </w:r>
          </w:p>
        </w:tc>
        <w:tc>
          <w:tcPr>
            <w:tcW w:w="1980" w:type="dxa"/>
            <w:shd w:val="clear" w:color="auto" w:fill="auto"/>
            <w:vAlign w:val="center"/>
          </w:tcPr>
          <w:p w14:paraId="541834F0">
            <w:pPr>
              <w:pStyle w:val="76"/>
              <w:ind w:left="7"/>
              <w:jc w:val="both"/>
              <w:rPr>
                <w:rFonts w:ascii="宋体" w:hAnsi="宋体" w:cs="宋体"/>
                <w:color w:val="auto"/>
                <w:sz w:val="20"/>
                <w:szCs w:val="20"/>
              </w:rPr>
            </w:pPr>
            <w:r>
              <w:rPr>
                <w:rFonts w:hint="eastAsia" w:ascii="宋体" w:hAnsi="宋体" w:cs="宋体"/>
                <w:color w:val="auto"/>
                <w:w w:val="99"/>
                <w:sz w:val="20"/>
                <w:szCs w:val="20"/>
              </w:rPr>
              <w:t>坐便器</w:t>
            </w:r>
          </w:p>
        </w:tc>
        <w:tc>
          <w:tcPr>
            <w:tcW w:w="1932" w:type="dxa"/>
            <w:shd w:val="clear" w:color="auto" w:fill="auto"/>
            <w:vAlign w:val="center"/>
          </w:tcPr>
          <w:p w14:paraId="487C6B2E">
            <w:pPr>
              <w:rPr>
                <w:rFonts w:ascii="宋体" w:hAnsi="宋体" w:cs="宋体"/>
                <w:color w:val="auto"/>
                <w:sz w:val="20"/>
                <w:szCs w:val="20"/>
              </w:rPr>
            </w:pPr>
          </w:p>
        </w:tc>
        <w:tc>
          <w:tcPr>
            <w:tcW w:w="3896" w:type="dxa"/>
            <w:shd w:val="clear" w:color="auto" w:fill="auto"/>
            <w:vAlign w:val="center"/>
          </w:tcPr>
          <w:p w14:paraId="012E6B34">
            <w:pPr>
              <w:pStyle w:val="76"/>
              <w:ind w:left="7"/>
              <w:jc w:val="both"/>
              <w:rPr>
                <w:rFonts w:ascii="宋体" w:hAnsi="宋体" w:cs="宋体"/>
                <w:color w:val="auto"/>
                <w:sz w:val="20"/>
                <w:szCs w:val="20"/>
                <w:lang w:eastAsia="zh-CN"/>
              </w:rPr>
            </w:pPr>
            <w:r>
              <w:rPr>
                <w:rFonts w:hint="eastAsia" w:ascii="宋体" w:hAnsi="宋体" w:cs="宋体"/>
                <w:color w:val="auto"/>
                <w:w w:val="99"/>
                <w:sz w:val="20"/>
                <w:szCs w:val="20"/>
                <w:lang w:eastAsia="zh-CN"/>
              </w:rPr>
              <w:t>《坐便</w:t>
            </w:r>
            <w:r>
              <w:rPr>
                <w:rFonts w:hint="eastAsia" w:ascii="宋体" w:hAnsi="宋体" w:cs="宋体"/>
                <w:color w:val="auto"/>
                <w:spacing w:val="2"/>
                <w:w w:val="99"/>
                <w:sz w:val="20"/>
                <w:szCs w:val="20"/>
                <w:lang w:eastAsia="zh-CN"/>
              </w:rPr>
              <w:t>器</w:t>
            </w:r>
            <w:r>
              <w:rPr>
                <w:rFonts w:hint="eastAsia" w:ascii="宋体" w:hAnsi="宋体" w:cs="宋体"/>
                <w:color w:val="auto"/>
                <w:w w:val="99"/>
                <w:sz w:val="20"/>
                <w:szCs w:val="20"/>
                <w:lang w:eastAsia="zh-CN"/>
              </w:rPr>
              <w:t>水效</w:t>
            </w:r>
            <w:r>
              <w:rPr>
                <w:rFonts w:hint="eastAsia" w:ascii="宋体" w:hAnsi="宋体" w:cs="宋体"/>
                <w:color w:val="auto"/>
                <w:spacing w:val="2"/>
                <w:w w:val="99"/>
                <w:sz w:val="20"/>
                <w:szCs w:val="20"/>
                <w:lang w:eastAsia="zh-CN"/>
              </w:rPr>
              <w:t>限</w:t>
            </w:r>
            <w:r>
              <w:rPr>
                <w:rFonts w:hint="eastAsia" w:ascii="宋体" w:hAnsi="宋体" w:cs="宋体"/>
                <w:color w:val="auto"/>
                <w:w w:val="99"/>
                <w:sz w:val="20"/>
                <w:szCs w:val="20"/>
                <w:lang w:eastAsia="zh-CN"/>
              </w:rPr>
              <w:t>定值</w:t>
            </w:r>
            <w:r>
              <w:rPr>
                <w:rFonts w:hint="eastAsia" w:ascii="宋体" w:hAnsi="宋体" w:cs="宋体"/>
                <w:color w:val="auto"/>
                <w:spacing w:val="2"/>
                <w:w w:val="99"/>
                <w:sz w:val="20"/>
                <w:szCs w:val="20"/>
                <w:lang w:eastAsia="zh-CN"/>
              </w:rPr>
              <w:t>及</w:t>
            </w:r>
            <w:r>
              <w:rPr>
                <w:rFonts w:hint="eastAsia" w:ascii="宋体" w:hAnsi="宋体" w:cs="宋体"/>
                <w:color w:val="auto"/>
                <w:w w:val="99"/>
                <w:sz w:val="20"/>
                <w:szCs w:val="20"/>
                <w:lang w:eastAsia="zh-CN"/>
              </w:rPr>
              <w:t>水</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w:t>
            </w:r>
            <w:r>
              <w:rPr>
                <w:rFonts w:hint="eastAsia" w:ascii="宋体" w:hAnsi="宋体" w:cs="宋体"/>
                <w:color w:val="auto"/>
                <w:w w:val="99"/>
                <w:sz w:val="20"/>
                <w:szCs w:val="20"/>
                <w:lang w:eastAsia="zh-CN"/>
              </w:rPr>
              <w:t>55</w:t>
            </w:r>
            <w:r>
              <w:rPr>
                <w:rFonts w:hint="eastAsia" w:ascii="宋体" w:hAnsi="宋体" w:cs="宋体"/>
                <w:color w:val="auto"/>
                <w:spacing w:val="1"/>
                <w:w w:val="99"/>
                <w:sz w:val="20"/>
                <w:szCs w:val="20"/>
                <w:lang w:eastAsia="zh-CN"/>
              </w:rPr>
              <w:t>02</w:t>
            </w:r>
            <w:r>
              <w:rPr>
                <w:rFonts w:hint="eastAsia" w:ascii="宋体" w:hAnsi="宋体" w:cs="宋体"/>
                <w:color w:val="auto"/>
                <w:w w:val="99"/>
                <w:sz w:val="20"/>
                <w:szCs w:val="20"/>
                <w:lang w:eastAsia="zh-CN"/>
              </w:rPr>
              <w:t>）</w:t>
            </w:r>
          </w:p>
        </w:tc>
      </w:tr>
      <w:tr w14:paraId="39C8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696FC6A5">
            <w:pPr>
              <w:widowControl/>
              <w:jc w:val="center"/>
              <w:rPr>
                <w:rFonts w:ascii="宋体" w:hAnsi="宋体" w:cs="宋体"/>
                <w:color w:val="auto"/>
                <w:sz w:val="20"/>
                <w:szCs w:val="20"/>
              </w:rPr>
            </w:pPr>
          </w:p>
        </w:tc>
        <w:tc>
          <w:tcPr>
            <w:tcW w:w="1365" w:type="dxa"/>
            <w:vMerge w:val="continue"/>
            <w:shd w:val="clear" w:color="auto" w:fill="auto"/>
            <w:vAlign w:val="center"/>
          </w:tcPr>
          <w:p w14:paraId="06A9BD55">
            <w:pPr>
              <w:widowControl/>
              <w:rPr>
                <w:rFonts w:ascii="宋体" w:hAnsi="宋体" w:cs="宋体"/>
                <w:color w:val="auto"/>
                <w:sz w:val="20"/>
                <w:szCs w:val="20"/>
              </w:rPr>
            </w:pPr>
          </w:p>
        </w:tc>
        <w:tc>
          <w:tcPr>
            <w:tcW w:w="1980" w:type="dxa"/>
            <w:shd w:val="clear" w:color="auto" w:fill="auto"/>
            <w:vAlign w:val="center"/>
          </w:tcPr>
          <w:p w14:paraId="14A9F1C2">
            <w:pPr>
              <w:pStyle w:val="76"/>
              <w:ind w:left="7"/>
              <w:jc w:val="both"/>
              <w:rPr>
                <w:rFonts w:ascii="宋体" w:hAnsi="宋体" w:cs="宋体"/>
                <w:color w:val="auto"/>
                <w:sz w:val="20"/>
                <w:szCs w:val="20"/>
              </w:rPr>
            </w:pPr>
            <w:r>
              <w:rPr>
                <w:rFonts w:hint="eastAsia" w:ascii="宋体" w:hAnsi="宋体" w:cs="宋体"/>
                <w:color w:val="auto"/>
                <w:w w:val="99"/>
                <w:sz w:val="20"/>
                <w:szCs w:val="20"/>
              </w:rPr>
              <w:t>蹲便器</w:t>
            </w:r>
          </w:p>
        </w:tc>
        <w:tc>
          <w:tcPr>
            <w:tcW w:w="1932" w:type="dxa"/>
            <w:shd w:val="clear" w:color="auto" w:fill="auto"/>
            <w:vAlign w:val="center"/>
          </w:tcPr>
          <w:p w14:paraId="1AF1012A">
            <w:pPr>
              <w:rPr>
                <w:rFonts w:ascii="宋体" w:hAnsi="宋体" w:cs="宋体"/>
                <w:color w:val="auto"/>
                <w:sz w:val="20"/>
                <w:szCs w:val="20"/>
              </w:rPr>
            </w:pPr>
          </w:p>
        </w:tc>
        <w:tc>
          <w:tcPr>
            <w:tcW w:w="3896" w:type="dxa"/>
            <w:shd w:val="clear" w:color="auto" w:fill="auto"/>
            <w:vAlign w:val="center"/>
          </w:tcPr>
          <w:p w14:paraId="6772F25E">
            <w:pPr>
              <w:pStyle w:val="76"/>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《蹲便器用水效率限定</w:t>
            </w:r>
            <w:r>
              <w:rPr>
                <w:rFonts w:hint="eastAsia" w:ascii="宋体" w:hAnsi="宋体" w:cs="宋体"/>
                <w:color w:val="auto"/>
                <w:spacing w:val="9"/>
                <w:w w:val="99"/>
                <w:sz w:val="20"/>
                <w:szCs w:val="20"/>
                <w:lang w:eastAsia="zh-CN"/>
              </w:rPr>
              <w:t>值</w:t>
            </w:r>
            <w:r>
              <w:rPr>
                <w:rFonts w:hint="eastAsia" w:ascii="宋体" w:hAnsi="宋体" w:cs="宋体"/>
                <w:color w:val="auto"/>
                <w:spacing w:val="12"/>
                <w:w w:val="99"/>
                <w:sz w:val="20"/>
                <w:szCs w:val="20"/>
                <w:lang w:eastAsia="zh-CN"/>
              </w:rPr>
              <w:t>及用</w:t>
            </w:r>
            <w:r>
              <w:rPr>
                <w:rFonts w:hint="eastAsia" w:ascii="宋体" w:hAnsi="宋体" w:cs="宋体"/>
                <w:color w:val="auto"/>
                <w:w w:val="99"/>
                <w:sz w:val="20"/>
                <w:szCs w:val="20"/>
                <w:lang w:eastAsia="zh-CN"/>
              </w:rPr>
              <w:t>水效率等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307</w:t>
            </w:r>
            <w:r>
              <w:rPr>
                <w:rFonts w:hint="eastAsia" w:ascii="宋体" w:hAnsi="宋体" w:cs="宋体"/>
                <w:color w:val="auto"/>
                <w:w w:val="99"/>
                <w:sz w:val="20"/>
                <w:szCs w:val="20"/>
                <w:lang w:eastAsia="zh-CN"/>
              </w:rPr>
              <w:t>1</w:t>
            </w:r>
            <w:r>
              <w:rPr>
                <w:rFonts w:hint="eastAsia" w:ascii="宋体" w:hAnsi="宋体" w:cs="宋体"/>
                <w:color w:val="auto"/>
                <w:spacing w:val="-1"/>
                <w:w w:val="99"/>
                <w:sz w:val="20"/>
                <w:szCs w:val="20"/>
                <w:lang w:eastAsia="zh-CN"/>
              </w:rPr>
              <w:t>7</w:t>
            </w:r>
            <w:r>
              <w:rPr>
                <w:rFonts w:hint="eastAsia" w:ascii="宋体" w:hAnsi="宋体" w:cs="宋体"/>
                <w:color w:val="auto"/>
                <w:w w:val="99"/>
                <w:sz w:val="20"/>
                <w:szCs w:val="20"/>
                <w:lang w:eastAsia="zh-CN"/>
              </w:rPr>
              <w:t>）</w:t>
            </w:r>
          </w:p>
        </w:tc>
      </w:tr>
      <w:tr w14:paraId="2524E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4A8B0701">
            <w:pPr>
              <w:widowControl/>
              <w:jc w:val="center"/>
              <w:rPr>
                <w:rFonts w:ascii="宋体" w:hAnsi="宋体" w:cs="宋体"/>
                <w:color w:val="auto"/>
                <w:sz w:val="20"/>
                <w:szCs w:val="20"/>
              </w:rPr>
            </w:pPr>
          </w:p>
        </w:tc>
        <w:tc>
          <w:tcPr>
            <w:tcW w:w="1365" w:type="dxa"/>
            <w:vMerge w:val="continue"/>
            <w:shd w:val="clear" w:color="auto" w:fill="auto"/>
            <w:vAlign w:val="center"/>
          </w:tcPr>
          <w:p w14:paraId="4907A1DC">
            <w:pPr>
              <w:widowControl/>
              <w:rPr>
                <w:rFonts w:ascii="宋体" w:hAnsi="宋体" w:cs="宋体"/>
                <w:color w:val="auto"/>
                <w:sz w:val="20"/>
                <w:szCs w:val="20"/>
              </w:rPr>
            </w:pPr>
          </w:p>
        </w:tc>
        <w:tc>
          <w:tcPr>
            <w:tcW w:w="1980" w:type="dxa"/>
            <w:shd w:val="clear" w:color="auto" w:fill="auto"/>
            <w:vAlign w:val="center"/>
          </w:tcPr>
          <w:p w14:paraId="4E7DB83D">
            <w:pPr>
              <w:pStyle w:val="76"/>
              <w:ind w:left="7"/>
              <w:jc w:val="both"/>
              <w:rPr>
                <w:rFonts w:ascii="宋体" w:hAnsi="宋体" w:cs="宋体"/>
                <w:color w:val="auto"/>
                <w:sz w:val="20"/>
                <w:szCs w:val="20"/>
              </w:rPr>
            </w:pPr>
            <w:r>
              <w:rPr>
                <w:rFonts w:hint="eastAsia" w:ascii="宋体" w:hAnsi="宋体" w:cs="宋体"/>
                <w:color w:val="auto"/>
                <w:w w:val="99"/>
                <w:sz w:val="20"/>
                <w:szCs w:val="20"/>
              </w:rPr>
              <w:t>小便器</w:t>
            </w:r>
          </w:p>
        </w:tc>
        <w:tc>
          <w:tcPr>
            <w:tcW w:w="1932" w:type="dxa"/>
            <w:shd w:val="clear" w:color="auto" w:fill="auto"/>
            <w:vAlign w:val="center"/>
          </w:tcPr>
          <w:p w14:paraId="1E8768A0">
            <w:pPr>
              <w:rPr>
                <w:rFonts w:ascii="宋体" w:hAnsi="宋体" w:cs="宋体"/>
                <w:color w:val="auto"/>
                <w:sz w:val="20"/>
                <w:szCs w:val="20"/>
              </w:rPr>
            </w:pPr>
          </w:p>
        </w:tc>
        <w:tc>
          <w:tcPr>
            <w:tcW w:w="3896" w:type="dxa"/>
            <w:shd w:val="clear" w:color="auto" w:fill="auto"/>
            <w:vAlign w:val="center"/>
          </w:tcPr>
          <w:p w14:paraId="43774819">
            <w:pPr>
              <w:pStyle w:val="76"/>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《小便器用水效率限定</w:t>
            </w:r>
            <w:r>
              <w:rPr>
                <w:rFonts w:hint="eastAsia" w:ascii="宋体" w:hAnsi="宋体" w:cs="宋体"/>
                <w:color w:val="auto"/>
                <w:spacing w:val="9"/>
                <w:w w:val="99"/>
                <w:sz w:val="20"/>
                <w:szCs w:val="20"/>
                <w:lang w:eastAsia="zh-CN"/>
              </w:rPr>
              <w:t>值</w:t>
            </w:r>
            <w:r>
              <w:rPr>
                <w:rFonts w:hint="eastAsia" w:ascii="宋体" w:hAnsi="宋体" w:cs="宋体"/>
                <w:color w:val="auto"/>
                <w:spacing w:val="12"/>
                <w:w w:val="99"/>
                <w:sz w:val="20"/>
                <w:szCs w:val="20"/>
                <w:lang w:eastAsia="zh-CN"/>
              </w:rPr>
              <w:t>及用</w:t>
            </w:r>
            <w:r>
              <w:rPr>
                <w:rFonts w:hint="eastAsia" w:ascii="宋体" w:hAnsi="宋体" w:cs="宋体"/>
                <w:color w:val="auto"/>
                <w:w w:val="99"/>
                <w:sz w:val="20"/>
                <w:szCs w:val="20"/>
                <w:lang w:eastAsia="zh-CN"/>
              </w:rPr>
              <w:t>水效率等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283</w:t>
            </w:r>
            <w:r>
              <w:rPr>
                <w:rFonts w:hint="eastAsia" w:ascii="宋体" w:hAnsi="宋体" w:cs="宋体"/>
                <w:color w:val="auto"/>
                <w:w w:val="99"/>
                <w:sz w:val="20"/>
                <w:szCs w:val="20"/>
                <w:lang w:eastAsia="zh-CN"/>
              </w:rPr>
              <w:t>7</w:t>
            </w:r>
            <w:r>
              <w:rPr>
                <w:rFonts w:hint="eastAsia" w:ascii="宋体" w:hAnsi="宋体" w:cs="宋体"/>
                <w:color w:val="auto"/>
                <w:spacing w:val="-1"/>
                <w:w w:val="99"/>
                <w:sz w:val="20"/>
                <w:szCs w:val="20"/>
                <w:lang w:eastAsia="zh-CN"/>
              </w:rPr>
              <w:t>7</w:t>
            </w:r>
            <w:r>
              <w:rPr>
                <w:rFonts w:hint="eastAsia" w:ascii="宋体" w:hAnsi="宋体" w:cs="宋体"/>
                <w:color w:val="auto"/>
                <w:w w:val="99"/>
                <w:sz w:val="20"/>
                <w:szCs w:val="20"/>
                <w:lang w:eastAsia="zh-CN"/>
              </w:rPr>
              <w:t>）</w:t>
            </w:r>
          </w:p>
        </w:tc>
      </w:tr>
      <w:tr w14:paraId="08EE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shd w:val="clear" w:color="auto" w:fill="auto"/>
            <w:vAlign w:val="center"/>
          </w:tcPr>
          <w:p w14:paraId="22A2685E">
            <w:pPr>
              <w:pStyle w:val="76"/>
              <w:jc w:val="center"/>
              <w:rPr>
                <w:rFonts w:ascii="宋体" w:hAnsi="宋体" w:cs="宋体"/>
                <w:color w:val="auto"/>
                <w:sz w:val="20"/>
                <w:szCs w:val="20"/>
              </w:rPr>
            </w:pPr>
            <w:r>
              <w:rPr>
                <w:rFonts w:hint="eastAsia" w:ascii="宋体"/>
                <w:color w:val="auto"/>
                <w:sz w:val="20"/>
              </w:rPr>
              <w:t>16</w:t>
            </w:r>
          </w:p>
        </w:tc>
        <w:tc>
          <w:tcPr>
            <w:tcW w:w="1365" w:type="dxa"/>
            <w:shd w:val="clear" w:color="auto" w:fill="auto"/>
            <w:vAlign w:val="center"/>
          </w:tcPr>
          <w:p w14:paraId="179B9AB3">
            <w:pPr>
              <w:pStyle w:val="76"/>
              <w:ind w:left="7"/>
              <w:jc w:val="both"/>
              <w:rPr>
                <w:rFonts w:ascii="宋体" w:hAnsi="宋体" w:cs="宋体"/>
                <w:color w:val="auto"/>
                <w:sz w:val="20"/>
                <w:szCs w:val="20"/>
              </w:rPr>
            </w:pPr>
            <w:r>
              <w:rPr>
                <w:rFonts w:hint="eastAsia" w:ascii="宋体" w:hAnsi="宋体" w:cs="宋体"/>
                <w:color w:val="auto"/>
                <w:sz w:val="20"/>
                <w:szCs w:val="20"/>
              </w:rPr>
              <w:t>★A060806水</w:t>
            </w:r>
            <w:r>
              <w:rPr>
                <w:rFonts w:hint="eastAsia" w:ascii="宋体" w:hAnsi="宋体" w:cs="宋体"/>
                <w:color w:val="auto"/>
                <w:w w:val="99"/>
                <w:sz w:val="20"/>
                <w:szCs w:val="20"/>
              </w:rPr>
              <w:t>嘴</w:t>
            </w:r>
          </w:p>
        </w:tc>
        <w:tc>
          <w:tcPr>
            <w:tcW w:w="1980" w:type="dxa"/>
            <w:shd w:val="clear" w:color="auto" w:fill="auto"/>
            <w:vAlign w:val="center"/>
          </w:tcPr>
          <w:p w14:paraId="496D2E72">
            <w:pPr>
              <w:rPr>
                <w:rFonts w:ascii="宋体" w:hAnsi="宋体" w:cs="宋体"/>
                <w:color w:val="auto"/>
                <w:sz w:val="20"/>
                <w:szCs w:val="20"/>
              </w:rPr>
            </w:pPr>
          </w:p>
        </w:tc>
        <w:tc>
          <w:tcPr>
            <w:tcW w:w="1932" w:type="dxa"/>
            <w:shd w:val="clear" w:color="auto" w:fill="auto"/>
            <w:vAlign w:val="center"/>
          </w:tcPr>
          <w:p w14:paraId="25620F0C">
            <w:pPr>
              <w:rPr>
                <w:rFonts w:ascii="宋体" w:hAnsi="宋体" w:cs="宋体"/>
                <w:color w:val="auto"/>
                <w:sz w:val="20"/>
                <w:szCs w:val="20"/>
              </w:rPr>
            </w:pPr>
          </w:p>
        </w:tc>
        <w:tc>
          <w:tcPr>
            <w:tcW w:w="3896" w:type="dxa"/>
            <w:shd w:val="clear" w:color="auto" w:fill="auto"/>
            <w:vAlign w:val="center"/>
          </w:tcPr>
          <w:p w14:paraId="2EF05D2B">
            <w:pPr>
              <w:pStyle w:val="76"/>
              <w:ind w:left="7" w:right="4"/>
              <w:jc w:val="both"/>
              <w:rPr>
                <w:rFonts w:ascii="宋体" w:hAnsi="宋体" w:cs="宋体"/>
                <w:color w:val="auto"/>
                <w:sz w:val="20"/>
                <w:szCs w:val="20"/>
                <w:lang w:eastAsia="zh-CN"/>
              </w:rPr>
            </w:pPr>
            <w:r>
              <w:rPr>
                <w:rFonts w:hint="eastAsia" w:ascii="宋体" w:hAnsi="宋体" w:cs="宋体"/>
                <w:color w:val="auto"/>
                <w:spacing w:val="10"/>
                <w:sz w:val="20"/>
                <w:szCs w:val="20"/>
                <w:lang w:eastAsia="zh-CN"/>
              </w:rPr>
              <w:t>《水嘴用水效率限定值及用水效</w:t>
            </w:r>
            <w:r>
              <w:rPr>
                <w:rFonts w:hint="eastAsia" w:ascii="宋体" w:hAnsi="宋体" w:cs="宋体"/>
                <w:color w:val="auto"/>
                <w:sz w:val="20"/>
                <w:szCs w:val="20"/>
                <w:lang w:eastAsia="zh-CN"/>
              </w:rPr>
              <w:t>率等级》（GB 25501）</w:t>
            </w:r>
          </w:p>
        </w:tc>
      </w:tr>
      <w:tr w14:paraId="2394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shd w:val="clear" w:color="auto" w:fill="auto"/>
            <w:vAlign w:val="center"/>
          </w:tcPr>
          <w:p w14:paraId="45E8B5C3">
            <w:pPr>
              <w:pStyle w:val="76"/>
              <w:jc w:val="center"/>
              <w:rPr>
                <w:rFonts w:ascii="宋体" w:hAnsi="宋体" w:cs="宋体"/>
                <w:color w:val="auto"/>
                <w:sz w:val="20"/>
                <w:szCs w:val="20"/>
              </w:rPr>
            </w:pPr>
            <w:r>
              <w:rPr>
                <w:rFonts w:hint="eastAsia" w:ascii="宋体"/>
                <w:color w:val="auto"/>
                <w:sz w:val="20"/>
              </w:rPr>
              <w:t>17</w:t>
            </w:r>
          </w:p>
        </w:tc>
        <w:tc>
          <w:tcPr>
            <w:tcW w:w="1365" w:type="dxa"/>
            <w:shd w:val="clear" w:color="auto" w:fill="auto"/>
            <w:vAlign w:val="center"/>
          </w:tcPr>
          <w:p w14:paraId="3A4922B1">
            <w:pPr>
              <w:pStyle w:val="76"/>
              <w:ind w:left="7"/>
              <w:jc w:val="both"/>
              <w:rPr>
                <w:rFonts w:ascii="宋体" w:hAnsi="宋体" w:cs="宋体"/>
                <w:color w:val="auto"/>
                <w:sz w:val="20"/>
                <w:szCs w:val="20"/>
              </w:rPr>
            </w:pPr>
            <w:r>
              <w:rPr>
                <w:rFonts w:hint="eastAsia" w:ascii="宋体" w:hAnsi="宋体" w:cs="宋体"/>
                <w:color w:val="auto"/>
                <w:sz w:val="20"/>
                <w:szCs w:val="20"/>
              </w:rPr>
              <w:t>A060807便器冲洗阀</w:t>
            </w:r>
          </w:p>
        </w:tc>
        <w:tc>
          <w:tcPr>
            <w:tcW w:w="1980" w:type="dxa"/>
            <w:shd w:val="clear" w:color="auto" w:fill="auto"/>
            <w:vAlign w:val="center"/>
          </w:tcPr>
          <w:p w14:paraId="418B2220">
            <w:pPr>
              <w:rPr>
                <w:rFonts w:ascii="宋体" w:hAnsi="宋体" w:cs="宋体"/>
                <w:color w:val="auto"/>
                <w:sz w:val="20"/>
                <w:szCs w:val="20"/>
              </w:rPr>
            </w:pPr>
          </w:p>
        </w:tc>
        <w:tc>
          <w:tcPr>
            <w:tcW w:w="1932" w:type="dxa"/>
            <w:shd w:val="clear" w:color="auto" w:fill="auto"/>
            <w:vAlign w:val="center"/>
          </w:tcPr>
          <w:p w14:paraId="63F1CDBD">
            <w:pPr>
              <w:rPr>
                <w:rFonts w:ascii="宋体" w:hAnsi="宋体" w:cs="宋体"/>
                <w:color w:val="auto"/>
                <w:sz w:val="20"/>
                <w:szCs w:val="20"/>
              </w:rPr>
            </w:pPr>
          </w:p>
        </w:tc>
        <w:tc>
          <w:tcPr>
            <w:tcW w:w="3896" w:type="dxa"/>
            <w:shd w:val="clear" w:color="auto" w:fill="auto"/>
            <w:vAlign w:val="center"/>
          </w:tcPr>
          <w:p w14:paraId="15E7BE31">
            <w:pPr>
              <w:pStyle w:val="76"/>
              <w:ind w:left="7" w:right="4"/>
              <w:jc w:val="both"/>
              <w:rPr>
                <w:rFonts w:ascii="宋体" w:hAnsi="宋体" w:cs="宋体"/>
                <w:color w:val="auto"/>
                <w:sz w:val="20"/>
                <w:szCs w:val="20"/>
                <w:lang w:eastAsia="zh-CN"/>
              </w:rPr>
            </w:pPr>
            <w:r>
              <w:rPr>
                <w:rFonts w:hint="eastAsia" w:ascii="宋体" w:hAnsi="宋体" w:cs="宋体"/>
                <w:color w:val="auto"/>
                <w:spacing w:val="10"/>
                <w:sz w:val="20"/>
                <w:szCs w:val="20"/>
                <w:lang w:eastAsia="zh-CN"/>
              </w:rPr>
              <w:t>《便器冲洗阀用水效率限定值及</w:t>
            </w:r>
            <w:r>
              <w:rPr>
                <w:rFonts w:hint="eastAsia" w:ascii="宋体" w:hAnsi="宋体" w:cs="宋体"/>
                <w:color w:val="auto"/>
                <w:sz w:val="20"/>
                <w:szCs w:val="20"/>
                <w:lang w:eastAsia="zh-CN"/>
              </w:rPr>
              <w:t>用水效率等级》（GB28379）</w:t>
            </w:r>
          </w:p>
        </w:tc>
      </w:tr>
      <w:tr w14:paraId="4069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shd w:val="clear" w:color="auto" w:fill="auto"/>
            <w:vAlign w:val="center"/>
          </w:tcPr>
          <w:p w14:paraId="6E081D36">
            <w:pPr>
              <w:pStyle w:val="76"/>
              <w:jc w:val="center"/>
              <w:rPr>
                <w:rFonts w:ascii="宋体" w:hAnsi="宋体" w:cs="宋体"/>
                <w:color w:val="auto"/>
                <w:sz w:val="20"/>
                <w:szCs w:val="20"/>
              </w:rPr>
            </w:pPr>
            <w:r>
              <w:rPr>
                <w:rFonts w:hint="eastAsia" w:ascii="宋体"/>
                <w:color w:val="auto"/>
                <w:sz w:val="20"/>
              </w:rPr>
              <w:t>18</w:t>
            </w:r>
          </w:p>
        </w:tc>
        <w:tc>
          <w:tcPr>
            <w:tcW w:w="1365" w:type="dxa"/>
            <w:shd w:val="clear" w:color="auto" w:fill="auto"/>
            <w:vAlign w:val="center"/>
          </w:tcPr>
          <w:p w14:paraId="476B048D">
            <w:pPr>
              <w:pStyle w:val="76"/>
              <w:ind w:left="7"/>
              <w:jc w:val="both"/>
              <w:rPr>
                <w:rFonts w:ascii="宋体" w:hAnsi="宋体" w:cs="宋体"/>
                <w:color w:val="auto"/>
                <w:sz w:val="20"/>
                <w:szCs w:val="20"/>
              </w:rPr>
            </w:pPr>
            <w:r>
              <w:rPr>
                <w:rFonts w:hint="eastAsia" w:ascii="宋体" w:hAnsi="宋体" w:cs="宋体"/>
                <w:color w:val="auto"/>
                <w:sz w:val="20"/>
                <w:szCs w:val="20"/>
              </w:rPr>
              <w:t>A060810淋浴</w:t>
            </w:r>
            <w:r>
              <w:rPr>
                <w:rFonts w:hint="eastAsia" w:ascii="宋体" w:hAnsi="宋体" w:cs="宋体"/>
                <w:color w:val="auto"/>
                <w:w w:val="99"/>
                <w:sz w:val="20"/>
                <w:szCs w:val="20"/>
              </w:rPr>
              <w:t>器</w:t>
            </w:r>
          </w:p>
        </w:tc>
        <w:tc>
          <w:tcPr>
            <w:tcW w:w="1980" w:type="dxa"/>
            <w:shd w:val="clear" w:color="auto" w:fill="auto"/>
            <w:vAlign w:val="center"/>
          </w:tcPr>
          <w:p w14:paraId="4B37A7E0">
            <w:pPr>
              <w:rPr>
                <w:rFonts w:ascii="宋体" w:hAnsi="宋体" w:cs="宋体"/>
                <w:color w:val="auto"/>
                <w:sz w:val="20"/>
                <w:szCs w:val="20"/>
              </w:rPr>
            </w:pPr>
          </w:p>
        </w:tc>
        <w:tc>
          <w:tcPr>
            <w:tcW w:w="1932" w:type="dxa"/>
            <w:shd w:val="clear" w:color="auto" w:fill="auto"/>
            <w:vAlign w:val="center"/>
          </w:tcPr>
          <w:p w14:paraId="2F205DF4">
            <w:pPr>
              <w:rPr>
                <w:rFonts w:ascii="宋体" w:hAnsi="宋体" w:cs="宋体"/>
                <w:color w:val="auto"/>
                <w:sz w:val="20"/>
                <w:szCs w:val="20"/>
              </w:rPr>
            </w:pPr>
          </w:p>
        </w:tc>
        <w:tc>
          <w:tcPr>
            <w:tcW w:w="3896" w:type="dxa"/>
            <w:shd w:val="clear" w:color="auto" w:fill="auto"/>
            <w:vAlign w:val="center"/>
          </w:tcPr>
          <w:p w14:paraId="2D5E988D">
            <w:pPr>
              <w:pStyle w:val="76"/>
              <w:ind w:left="7" w:right="4"/>
              <w:jc w:val="both"/>
              <w:rPr>
                <w:rFonts w:ascii="宋体" w:hAnsi="宋体" w:cs="宋体"/>
                <w:color w:val="auto"/>
                <w:sz w:val="20"/>
                <w:szCs w:val="20"/>
                <w:lang w:eastAsia="zh-CN"/>
              </w:rPr>
            </w:pPr>
            <w:r>
              <w:rPr>
                <w:rFonts w:hint="eastAsia" w:ascii="宋体" w:hAnsi="宋体" w:cs="宋体"/>
                <w:color w:val="auto"/>
                <w:spacing w:val="10"/>
                <w:sz w:val="20"/>
                <w:szCs w:val="20"/>
                <w:lang w:eastAsia="zh-CN"/>
              </w:rPr>
              <w:t>《淋浴器用水效率限定值及用水</w:t>
            </w:r>
            <w:r>
              <w:rPr>
                <w:rFonts w:hint="eastAsia" w:ascii="宋体" w:hAnsi="宋体" w:cs="宋体"/>
                <w:color w:val="auto"/>
                <w:sz w:val="20"/>
                <w:szCs w:val="20"/>
                <w:lang w:eastAsia="zh-CN"/>
              </w:rPr>
              <w:t>效率等级》（GB28378）</w:t>
            </w:r>
          </w:p>
        </w:tc>
      </w:tr>
    </w:tbl>
    <w:p w14:paraId="7A56AF46">
      <w:pPr>
        <w:pStyle w:val="13"/>
        <w:spacing w:line="360" w:lineRule="auto"/>
        <w:rPr>
          <w:rFonts w:ascii="宋体" w:hAnsi="宋体" w:cs="宋体"/>
          <w:color w:val="auto"/>
          <w:szCs w:val="21"/>
        </w:rPr>
      </w:pPr>
      <w:r>
        <w:rPr>
          <w:rFonts w:hint="eastAsia" w:ascii="宋体" w:hAnsi="宋体" w:cs="宋体"/>
          <w:color w:val="auto"/>
          <w:spacing w:val="-3"/>
          <w:szCs w:val="21"/>
        </w:rPr>
        <w:t>注：1.节能产品认证应依据相关国家标准的最新版本，依据国家标准中二级能效（水效）</w:t>
      </w:r>
      <w:r>
        <w:rPr>
          <w:rFonts w:hint="eastAsia" w:ascii="宋体" w:hAnsi="宋体" w:cs="宋体"/>
          <w:color w:val="auto"/>
          <w:szCs w:val="21"/>
        </w:rPr>
        <w:t>指标。</w:t>
      </w:r>
    </w:p>
    <w:p w14:paraId="0B78B18C">
      <w:pPr>
        <w:pStyle w:val="13"/>
        <w:spacing w:line="360" w:lineRule="auto"/>
        <w:rPr>
          <w:rFonts w:ascii="宋体" w:hAnsi="宋体" w:cs="宋体"/>
          <w:b/>
          <w:bCs/>
          <w:color w:val="auto"/>
          <w:szCs w:val="21"/>
        </w:rPr>
      </w:pPr>
      <w:r>
        <w:rPr>
          <w:rFonts w:hint="eastAsia" w:ascii="宋体" w:hAnsi="宋体" w:cs="宋体"/>
          <w:color w:val="auto"/>
          <w:szCs w:val="21"/>
        </w:rPr>
        <w:t xml:space="preserve">    2</w:t>
      </w:r>
      <w:r>
        <w:rPr>
          <w:rFonts w:hint="eastAsia" w:ascii="宋体" w:hAnsi="宋体" w:cs="宋体"/>
          <w:b/>
          <w:bCs/>
          <w:color w:val="auto"/>
          <w:szCs w:val="21"/>
        </w:rPr>
        <w:t>.以“★”标注的为政府强制采购产品。</w:t>
      </w:r>
    </w:p>
    <w:p w14:paraId="1A4419D1">
      <w:pPr>
        <w:pStyle w:val="13"/>
        <w:spacing w:line="360" w:lineRule="auto"/>
        <w:rPr>
          <w:rFonts w:ascii="Arial Unicode MS" w:hAnsi="Arial Unicode MS" w:eastAsia="Arial Unicode MS" w:cs="Arial Unicode MS"/>
          <w:color w:val="auto"/>
          <w:sz w:val="32"/>
          <w:szCs w:val="32"/>
        </w:rPr>
      </w:pPr>
      <w:r>
        <w:rPr>
          <w:rFonts w:ascii="宋体" w:hAnsi="宋体" w:cs="宋体"/>
          <w:color w:val="auto"/>
          <w:sz w:val="20"/>
          <w:szCs w:val="20"/>
        </w:rPr>
        <w:br w:type="page"/>
      </w:r>
      <w:r>
        <w:rPr>
          <w:rFonts w:hint="eastAsia" w:ascii="Arial Unicode MS" w:hAnsi="Arial Unicode MS" w:eastAsia="Arial Unicode MS" w:cs="Arial Unicode MS"/>
          <w:color w:val="auto"/>
          <w:sz w:val="32"/>
          <w:szCs w:val="32"/>
        </w:rPr>
        <w:t>附件2：</w:t>
      </w:r>
    </w:p>
    <w:p w14:paraId="41DEC4F8">
      <w:pPr>
        <w:spacing w:line="528" w:lineRule="exact"/>
        <w:ind w:left="1871"/>
        <w:rPr>
          <w:rFonts w:ascii="Arial Unicode MS" w:hAnsi="Arial Unicode MS" w:eastAsia="Arial Unicode MS" w:cs="Arial Unicode MS"/>
          <w:color w:val="auto"/>
          <w:sz w:val="40"/>
          <w:szCs w:val="40"/>
        </w:rPr>
      </w:pPr>
      <w:r>
        <w:rPr>
          <w:rFonts w:hint="eastAsia" w:ascii="Arial Unicode MS" w:hAnsi="Arial Unicode MS" w:eastAsia="Arial Unicode MS" w:cs="Arial Unicode MS"/>
          <w:color w:val="auto"/>
          <w:sz w:val="40"/>
          <w:szCs w:val="40"/>
        </w:rPr>
        <w:t>中小微企业划型标准</w:t>
      </w:r>
    </w:p>
    <w:tbl>
      <w:tblPr>
        <w:tblStyle w:val="34"/>
        <w:tblW w:w="8380" w:type="dxa"/>
        <w:tblInd w:w="250" w:type="dxa"/>
        <w:tblLayout w:type="fixed"/>
        <w:tblCellMar>
          <w:top w:w="0" w:type="dxa"/>
          <w:left w:w="108" w:type="dxa"/>
          <w:bottom w:w="0" w:type="dxa"/>
          <w:right w:w="108" w:type="dxa"/>
        </w:tblCellMar>
      </w:tblPr>
      <w:tblGrid>
        <w:gridCol w:w="1701"/>
        <w:gridCol w:w="1384"/>
        <w:gridCol w:w="1272"/>
        <w:gridCol w:w="1609"/>
        <w:gridCol w:w="1500"/>
        <w:gridCol w:w="914"/>
      </w:tblGrid>
      <w:tr w14:paraId="2C31A028">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407EA7FE">
            <w:pPr>
              <w:widowControl/>
              <w:jc w:val="center"/>
              <w:rPr>
                <w:rFonts w:ascii="宋体" w:hAnsi="宋体" w:cs="宋体"/>
                <w:b/>
                <w:color w:val="auto"/>
                <w:kern w:val="0"/>
                <w:sz w:val="24"/>
              </w:rPr>
            </w:pPr>
            <w:r>
              <w:rPr>
                <w:rFonts w:hint="eastAsia" w:ascii="宋体" w:hAnsi="宋体" w:cs="宋体"/>
                <w:b/>
                <w:color w:val="auto"/>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2A6CAEA7">
            <w:pPr>
              <w:widowControl/>
              <w:jc w:val="center"/>
              <w:rPr>
                <w:rFonts w:ascii="宋体" w:hAnsi="宋体" w:cs="宋体"/>
                <w:b/>
                <w:color w:val="auto"/>
                <w:kern w:val="0"/>
                <w:sz w:val="24"/>
              </w:rPr>
            </w:pPr>
            <w:r>
              <w:rPr>
                <w:rFonts w:hint="eastAsia" w:ascii="宋体" w:hAnsi="宋体" w:cs="宋体"/>
                <w:b/>
                <w:color w:val="auto"/>
                <w:kern w:val="0"/>
                <w:sz w:val="24"/>
              </w:rPr>
              <w:t>指标名称</w:t>
            </w:r>
          </w:p>
        </w:tc>
        <w:tc>
          <w:tcPr>
            <w:tcW w:w="1272" w:type="dxa"/>
            <w:tcBorders>
              <w:top w:val="single" w:color="auto" w:sz="4" w:space="0"/>
              <w:left w:val="nil"/>
              <w:bottom w:val="single" w:color="auto" w:sz="4" w:space="0"/>
              <w:right w:val="single" w:color="auto" w:sz="4" w:space="0"/>
            </w:tcBorders>
            <w:vAlign w:val="center"/>
          </w:tcPr>
          <w:p w14:paraId="40E74EC9">
            <w:pPr>
              <w:widowControl/>
              <w:jc w:val="center"/>
              <w:rPr>
                <w:rFonts w:ascii="宋体" w:hAnsi="宋体" w:cs="宋体"/>
                <w:b/>
                <w:color w:val="auto"/>
                <w:kern w:val="0"/>
                <w:sz w:val="24"/>
              </w:rPr>
            </w:pPr>
            <w:r>
              <w:rPr>
                <w:rFonts w:hint="eastAsia" w:ascii="宋体" w:hAnsi="宋体" w:cs="宋体"/>
                <w:b/>
                <w:color w:val="auto"/>
                <w:kern w:val="0"/>
                <w:sz w:val="24"/>
              </w:rPr>
              <w:t>计量单位</w:t>
            </w:r>
          </w:p>
        </w:tc>
        <w:tc>
          <w:tcPr>
            <w:tcW w:w="1609" w:type="dxa"/>
            <w:tcBorders>
              <w:top w:val="single" w:color="auto" w:sz="4" w:space="0"/>
              <w:left w:val="nil"/>
              <w:bottom w:val="single" w:color="auto" w:sz="4" w:space="0"/>
              <w:right w:val="single" w:color="auto" w:sz="4" w:space="0"/>
            </w:tcBorders>
            <w:vAlign w:val="center"/>
          </w:tcPr>
          <w:p w14:paraId="6D831246">
            <w:pPr>
              <w:widowControl/>
              <w:jc w:val="center"/>
              <w:rPr>
                <w:rFonts w:ascii="宋体" w:hAnsi="宋体" w:cs="宋体"/>
                <w:b/>
                <w:color w:val="auto"/>
                <w:kern w:val="0"/>
                <w:sz w:val="24"/>
              </w:rPr>
            </w:pPr>
            <w:r>
              <w:rPr>
                <w:rFonts w:hint="eastAsia" w:ascii="宋体" w:hAnsi="宋体" w:cs="宋体"/>
                <w:b/>
                <w:color w:val="auto"/>
                <w:kern w:val="0"/>
                <w:sz w:val="24"/>
              </w:rPr>
              <w:t>中型</w:t>
            </w:r>
          </w:p>
        </w:tc>
        <w:tc>
          <w:tcPr>
            <w:tcW w:w="1500" w:type="dxa"/>
            <w:tcBorders>
              <w:top w:val="single" w:color="auto" w:sz="4" w:space="0"/>
              <w:left w:val="nil"/>
              <w:bottom w:val="single" w:color="auto" w:sz="4" w:space="0"/>
              <w:right w:val="single" w:color="auto" w:sz="4" w:space="0"/>
            </w:tcBorders>
            <w:vAlign w:val="center"/>
          </w:tcPr>
          <w:p w14:paraId="332BA94B">
            <w:pPr>
              <w:widowControl/>
              <w:jc w:val="center"/>
              <w:rPr>
                <w:rFonts w:ascii="宋体" w:hAnsi="宋体" w:cs="宋体"/>
                <w:b/>
                <w:color w:val="auto"/>
                <w:kern w:val="0"/>
                <w:sz w:val="24"/>
              </w:rPr>
            </w:pPr>
            <w:r>
              <w:rPr>
                <w:rFonts w:hint="eastAsia" w:ascii="宋体" w:hAnsi="宋体" w:cs="宋体"/>
                <w:b/>
                <w:color w:val="auto"/>
                <w:kern w:val="0"/>
                <w:sz w:val="24"/>
              </w:rPr>
              <w:t>小型</w:t>
            </w:r>
          </w:p>
        </w:tc>
        <w:tc>
          <w:tcPr>
            <w:tcW w:w="914" w:type="dxa"/>
            <w:tcBorders>
              <w:top w:val="single" w:color="auto" w:sz="4" w:space="0"/>
              <w:left w:val="nil"/>
              <w:bottom w:val="single" w:color="auto" w:sz="4" w:space="0"/>
              <w:right w:val="single" w:color="auto" w:sz="4" w:space="0"/>
            </w:tcBorders>
            <w:vAlign w:val="center"/>
          </w:tcPr>
          <w:p w14:paraId="66D3F2F9">
            <w:pPr>
              <w:widowControl/>
              <w:jc w:val="center"/>
              <w:rPr>
                <w:rFonts w:ascii="宋体" w:hAnsi="宋体" w:cs="宋体"/>
                <w:b/>
                <w:color w:val="auto"/>
                <w:kern w:val="0"/>
                <w:sz w:val="24"/>
              </w:rPr>
            </w:pPr>
            <w:r>
              <w:rPr>
                <w:rFonts w:hint="eastAsia" w:ascii="宋体" w:hAnsi="宋体" w:cs="宋体"/>
                <w:b/>
                <w:color w:val="auto"/>
                <w:kern w:val="0"/>
                <w:sz w:val="24"/>
              </w:rPr>
              <w:t>微型</w:t>
            </w:r>
          </w:p>
        </w:tc>
      </w:tr>
      <w:tr w14:paraId="63C16922">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0AA518E3">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农、林、牧、渔</w:t>
            </w:r>
          </w:p>
        </w:tc>
        <w:tc>
          <w:tcPr>
            <w:tcW w:w="1384" w:type="dxa"/>
            <w:tcBorders>
              <w:top w:val="nil"/>
              <w:left w:val="nil"/>
              <w:bottom w:val="single" w:color="auto" w:sz="4" w:space="0"/>
              <w:right w:val="single" w:color="auto" w:sz="4" w:space="0"/>
            </w:tcBorders>
            <w:vAlign w:val="center"/>
          </w:tcPr>
          <w:p w14:paraId="5D4F7657">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272" w:type="dxa"/>
            <w:tcBorders>
              <w:top w:val="nil"/>
              <w:left w:val="nil"/>
              <w:bottom w:val="single" w:color="auto" w:sz="4" w:space="0"/>
              <w:right w:val="single" w:color="auto" w:sz="4" w:space="0"/>
            </w:tcBorders>
            <w:vAlign w:val="center"/>
          </w:tcPr>
          <w:p w14:paraId="2123252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7139A406">
            <w:pPr>
              <w:widowControl/>
              <w:jc w:val="left"/>
              <w:rPr>
                <w:rFonts w:ascii="宋体" w:hAnsi="宋体" w:cs="宋体"/>
                <w:color w:val="auto"/>
                <w:kern w:val="0"/>
                <w:sz w:val="18"/>
                <w:szCs w:val="18"/>
              </w:rPr>
            </w:pPr>
            <w:r>
              <w:rPr>
                <w:rFonts w:hint="eastAsia" w:ascii="宋体" w:hAnsi="宋体" w:cs="宋体"/>
                <w:color w:val="auto"/>
                <w:kern w:val="0"/>
                <w:sz w:val="18"/>
                <w:szCs w:val="18"/>
              </w:rPr>
              <w:t>500≤Y＜20000</w:t>
            </w:r>
          </w:p>
        </w:tc>
        <w:tc>
          <w:tcPr>
            <w:tcW w:w="1500" w:type="dxa"/>
            <w:tcBorders>
              <w:top w:val="nil"/>
              <w:left w:val="nil"/>
              <w:bottom w:val="single" w:color="auto" w:sz="4" w:space="0"/>
              <w:right w:val="single" w:color="auto" w:sz="4" w:space="0"/>
            </w:tcBorders>
            <w:vAlign w:val="center"/>
          </w:tcPr>
          <w:p w14:paraId="2E4298AF">
            <w:pPr>
              <w:widowControl/>
              <w:jc w:val="left"/>
              <w:rPr>
                <w:rFonts w:ascii="宋体" w:hAnsi="宋体" w:cs="宋体"/>
                <w:color w:val="auto"/>
                <w:kern w:val="0"/>
                <w:sz w:val="18"/>
                <w:szCs w:val="18"/>
              </w:rPr>
            </w:pPr>
            <w:r>
              <w:rPr>
                <w:rFonts w:hint="eastAsia" w:ascii="宋体" w:hAnsi="宋体" w:cs="宋体"/>
                <w:color w:val="auto"/>
                <w:kern w:val="0"/>
                <w:sz w:val="18"/>
                <w:szCs w:val="18"/>
              </w:rPr>
              <w:t>50≤Y＜500</w:t>
            </w:r>
          </w:p>
        </w:tc>
        <w:tc>
          <w:tcPr>
            <w:tcW w:w="914" w:type="dxa"/>
            <w:tcBorders>
              <w:top w:val="nil"/>
              <w:left w:val="nil"/>
              <w:bottom w:val="single" w:color="auto" w:sz="4" w:space="0"/>
              <w:right w:val="single" w:color="auto" w:sz="4" w:space="0"/>
            </w:tcBorders>
            <w:vAlign w:val="center"/>
          </w:tcPr>
          <w:p w14:paraId="017398BC">
            <w:pPr>
              <w:widowControl/>
              <w:jc w:val="left"/>
              <w:rPr>
                <w:rFonts w:ascii="宋体" w:hAnsi="宋体" w:cs="宋体"/>
                <w:color w:val="auto"/>
                <w:kern w:val="0"/>
                <w:sz w:val="18"/>
                <w:szCs w:val="18"/>
              </w:rPr>
            </w:pPr>
            <w:r>
              <w:rPr>
                <w:rFonts w:hint="eastAsia" w:ascii="宋体" w:hAnsi="宋体" w:cs="宋体"/>
                <w:color w:val="auto"/>
                <w:kern w:val="0"/>
                <w:sz w:val="18"/>
                <w:szCs w:val="18"/>
              </w:rPr>
              <w:t>Y＜50</w:t>
            </w:r>
          </w:p>
        </w:tc>
      </w:tr>
      <w:tr w14:paraId="10FC970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AF30199">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工业</w:t>
            </w:r>
          </w:p>
        </w:tc>
        <w:tc>
          <w:tcPr>
            <w:tcW w:w="1384" w:type="dxa"/>
            <w:tcBorders>
              <w:top w:val="nil"/>
              <w:left w:val="nil"/>
              <w:bottom w:val="single" w:color="auto" w:sz="4" w:space="0"/>
              <w:right w:val="single" w:color="auto" w:sz="4" w:space="0"/>
            </w:tcBorders>
            <w:vAlign w:val="center"/>
          </w:tcPr>
          <w:p w14:paraId="73C6E89E">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272" w:type="dxa"/>
            <w:tcBorders>
              <w:top w:val="nil"/>
              <w:left w:val="nil"/>
              <w:bottom w:val="single" w:color="auto" w:sz="4" w:space="0"/>
              <w:right w:val="single" w:color="auto" w:sz="4" w:space="0"/>
            </w:tcBorders>
            <w:vAlign w:val="center"/>
          </w:tcPr>
          <w:p w14:paraId="1705C84E">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609" w:type="dxa"/>
            <w:tcBorders>
              <w:top w:val="nil"/>
              <w:left w:val="nil"/>
              <w:bottom w:val="single" w:color="auto" w:sz="4" w:space="0"/>
              <w:right w:val="single" w:color="auto" w:sz="4" w:space="0"/>
            </w:tcBorders>
            <w:vAlign w:val="center"/>
          </w:tcPr>
          <w:p w14:paraId="08A61417">
            <w:pPr>
              <w:widowControl/>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500" w:type="dxa"/>
            <w:tcBorders>
              <w:top w:val="nil"/>
              <w:left w:val="nil"/>
              <w:bottom w:val="single" w:color="auto" w:sz="4" w:space="0"/>
              <w:right w:val="single" w:color="auto" w:sz="4" w:space="0"/>
            </w:tcBorders>
            <w:vAlign w:val="center"/>
          </w:tcPr>
          <w:p w14:paraId="59DB59F6">
            <w:pPr>
              <w:widowControl/>
              <w:jc w:val="left"/>
              <w:rPr>
                <w:rFonts w:ascii="宋体" w:hAnsi="宋体" w:cs="宋体"/>
                <w:color w:val="auto"/>
                <w:kern w:val="0"/>
                <w:sz w:val="18"/>
                <w:szCs w:val="18"/>
              </w:rPr>
            </w:pPr>
            <w:r>
              <w:rPr>
                <w:rFonts w:hint="eastAsia" w:ascii="宋体" w:hAnsi="宋体" w:cs="宋体"/>
                <w:color w:val="auto"/>
                <w:kern w:val="0"/>
                <w:sz w:val="18"/>
                <w:szCs w:val="18"/>
              </w:rPr>
              <w:t>20≤X＜300</w:t>
            </w:r>
          </w:p>
        </w:tc>
        <w:tc>
          <w:tcPr>
            <w:tcW w:w="914" w:type="dxa"/>
            <w:tcBorders>
              <w:top w:val="nil"/>
              <w:left w:val="nil"/>
              <w:bottom w:val="single" w:color="auto" w:sz="4" w:space="0"/>
              <w:right w:val="single" w:color="auto" w:sz="4" w:space="0"/>
            </w:tcBorders>
            <w:vAlign w:val="center"/>
          </w:tcPr>
          <w:p w14:paraId="358784DE">
            <w:pPr>
              <w:widowControl/>
              <w:jc w:val="left"/>
              <w:rPr>
                <w:rFonts w:ascii="宋体" w:hAnsi="宋体" w:cs="宋体"/>
                <w:color w:val="auto"/>
                <w:kern w:val="0"/>
                <w:sz w:val="18"/>
                <w:szCs w:val="18"/>
              </w:rPr>
            </w:pPr>
            <w:r>
              <w:rPr>
                <w:rFonts w:hint="eastAsia" w:ascii="宋体" w:hAnsi="宋体" w:cs="宋体"/>
                <w:color w:val="auto"/>
                <w:kern w:val="0"/>
                <w:sz w:val="18"/>
                <w:szCs w:val="18"/>
              </w:rPr>
              <w:t>X＜20</w:t>
            </w:r>
          </w:p>
        </w:tc>
      </w:tr>
      <w:tr w14:paraId="337997F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101618B">
            <w:pPr>
              <w:widowControl/>
              <w:jc w:val="center"/>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1F2EA9EB">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272" w:type="dxa"/>
            <w:tcBorders>
              <w:top w:val="nil"/>
              <w:left w:val="nil"/>
              <w:bottom w:val="single" w:color="auto" w:sz="4" w:space="0"/>
              <w:right w:val="single" w:color="auto" w:sz="4" w:space="0"/>
            </w:tcBorders>
            <w:vAlign w:val="center"/>
          </w:tcPr>
          <w:p w14:paraId="1A0982B3">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2BF444F7">
            <w:pPr>
              <w:widowControl/>
              <w:jc w:val="left"/>
              <w:rPr>
                <w:rFonts w:ascii="宋体" w:hAnsi="宋体" w:cs="宋体"/>
                <w:color w:val="auto"/>
                <w:kern w:val="0"/>
                <w:sz w:val="18"/>
                <w:szCs w:val="18"/>
              </w:rPr>
            </w:pPr>
            <w:r>
              <w:rPr>
                <w:rFonts w:hint="eastAsia" w:ascii="宋体" w:hAnsi="宋体" w:cs="宋体"/>
                <w:color w:val="auto"/>
                <w:kern w:val="0"/>
                <w:sz w:val="18"/>
                <w:szCs w:val="18"/>
              </w:rPr>
              <w:t>2000≤Y＜40000</w:t>
            </w:r>
          </w:p>
        </w:tc>
        <w:tc>
          <w:tcPr>
            <w:tcW w:w="1500" w:type="dxa"/>
            <w:tcBorders>
              <w:top w:val="nil"/>
              <w:left w:val="nil"/>
              <w:bottom w:val="single" w:color="auto" w:sz="4" w:space="0"/>
              <w:right w:val="single" w:color="auto" w:sz="4" w:space="0"/>
            </w:tcBorders>
            <w:vAlign w:val="center"/>
          </w:tcPr>
          <w:p w14:paraId="75E321A6">
            <w:pPr>
              <w:widowControl/>
              <w:jc w:val="left"/>
              <w:rPr>
                <w:rFonts w:ascii="宋体" w:hAnsi="宋体" w:cs="宋体"/>
                <w:color w:val="auto"/>
                <w:kern w:val="0"/>
                <w:sz w:val="18"/>
                <w:szCs w:val="18"/>
              </w:rPr>
            </w:pPr>
            <w:r>
              <w:rPr>
                <w:rFonts w:hint="eastAsia" w:ascii="宋体" w:hAnsi="宋体" w:cs="宋体"/>
                <w:color w:val="auto"/>
                <w:kern w:val="0"/>
                <w:sz w:val="18"/>
                <w:szCs w:val="18"/>
              </w:rPr>
              <w:t>300≤Y＜2000</w:t>
            </w:r>
          </w:p>
        </w:tc>
        <w:tc>
          <w:tcPr>
            <w:tcW w:w="914" w:type="dxa"/>
            <w:tcBorders>
              <w:top w:val="nil"/>
              <w:left w:val="nil"/>
              <w:bottom w:val="single" w:color="auto" w:sz="4" w:space="0"/>
              <w:right w:val="single" w:color="auto" w:sz="4" w:space="0"/>
            </w:tcBorders>
            <w:vAlign w:val="center"/>
          </w:tcPr>
          <w:p w14:paraId="708F4777">
            <w:pPr>
              <w:widowControl/>
              <w:jc w:val="left"/>
              <w:rPr>
                <w:rFonts w:ascii="宋体" w:hAnsi="宋体" w:cs="宋体"/>
                <w:color w:val="auto"/>
                <w:kern w:val="0"/>
                <w:sz w:val="18"/>
                <w:szCs w:val="18"/>
              </w:rPr>
            </w:pPr>
            <w:r>
              <w:rPr>
                <w:rFonts w:hint="eastAsia" w:ascii="宋体" w:hAnsi="宋体" w:cs="宋体"/>
                <w:color w:val="auto"/>
                <w:kern w:val="0"/>
                <w:sz w:val="18"/>
                <w:szCs w:val="18"/>
              </w:rPr>
              <w:t>Y＜300</w:t>
            </w:r>
          </w:p>
        </w:tc>
      </w:tr>
      <w:tr w14:paraId="072A544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4158DBB">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建筑业</w:t>
            </w:r>
          </w:p>
        </w:tc>
        <w:tc>
          <w:tcPr>
            <w:tcW w:w="1384" w:type="dxa"/>
            <w:tcBorders>
              <w:top w:val="nil"/>
              <w:left w:val="nil"/>
              <w:bottom w:val="single" w:color="auto" w:sz="4" w:space="0"/>
              <w:right w:val="single" w:color="auto" w:sz="4" w:space="0"/>
            </w:tcBorders>
            <w:vAlign w:val="center"/>
          </w:tcPr>
          <w:p w14:paraId="56117CC7">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272" w:type="dxa"/>
            <w:tcBorders>
              <w:top w:val="nil"/>
              <w:left w:val="nil"/>
              <w:bottom w:val="single" w:color="auto" w:sz="4" w:space="0"/>
              <w:right w:val="single" w:color="auto" w:sz="4" w:space="0"/>
            </w:tcBorders>
            <w:vAlign w:val="center"/>
          </w:tcPr>
          <w:p w14:paraId="47B6B374">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6AA6F439">
            <w:pPr>
              <w:widowControl/>
              <w:jc w:val="left"/>
              <w:rPr>
                <w:rFonts w:ascii="宋体" w:hAnsi="宋体" w:cs="宋体"/>
                <w:color w:val="auto"/>
                <w:kern w:val="0"/>
                <w:sz w:val="18"/>
                <w:szCs w:val="18"/>
              </w:rPr>
            </w:pPr>
            <w:r>
              <w:rPr>
                <w:rFonts w:hint="eastAsia" w:ascii="宋体" w:hAnsi="宋体" w:cs="宋体"/>
                <w:color w:val="auto"/>
                <w:kern w:val="0"/>
                <w:sz w:val="18"/>
                <w:szCs w:val="18"/>
              </w:rPr>
              <w:t>6000≤Y＜80000</w:t>
            </w:r>
          </w:p>
        </w:tc>
        <w:tc>
          <w:tcPr>
            <w:tcW w:w="1500" w:type="dxa"/>
            <w:tcBorders>
              <w:top w:val="nil"/>
              <w:left w:val="nil"/>
              <w:bottom w:val="single" w:color="auto" w:sz="4" w:space="0"/>
              <w:right w:val="single" w:color="auto" w:sz="4" w:space="0"/>
            </w:tcBorders>
            <w:vAlign w:val="center"/>
          </w:tcPr>
          <w:p w14:paraId="3710B89C">
            <w:pPr>
              <w:widowControl/>
              <w:jc w:val="left"/>
              <w:rPr>
                <w:rFonts w:ascii="宋体" w:hAnsi="宋体" w:cs="宋体"/>
                <w:color w:val="auto"/>
                <w:kern w:val="0"/>
                <w:sz w:val="18"/>
                <w:szCs w:val="18"/>
              </w:rPr>
            </w:pPr>
            <w:r>
              <w:rPr>
                <w:rFonts w:hint="eastAsia" w:ascii="宋体" w:hAnsi="宋体" w:cs="宋体"/>
                <w:color w:val="auto"/>
                <w:kern w:val="0"/>
                <w:sz w:val="18"/>
                <w:szCs w:val="18"/>
              </w:rPr>
              <w:t>300≤Y＜6000</w:t>
            </w:r>
          </w:p>
        </w:tc>
        <w:tc>
          <w:tcPr>
            <w:tcW w:w="914" w:type="dxa"/>
            <w:tcBorders>
              <w:top w:val="nil"/>
              <w:left w:val="nil"/>
              <w:bottom w:val="single" w:color="auto" w:sz="4" w:space="0"/>
              <w:right w:val="single" w:color="auto" w:sz="4" w:space="0"/>
            </w:tcBorders>
            <w:vAlign w:val="center"/>
          </w:tcPr>
          <w:p w14:paraId="495F39D4">
            <w:pPr>
              <w:widowControl/>
              <w:jc w:val="left"/>
              <w:rPr>
                <w:rFonts w:ascii="宋体" w:hAnsi="宋体" w:cs="宋体"/>
                <w:color w:val="auto"/>
                <w:kern w:val="0"/>
                <w:sz w:val="18"/>
                <w:szCs w:val="18"/>
              </w:rPr>
            </w:pPr>
            <w:r>
              <w:rPr>
                <w:rFonts w:hint="eastAsia" w:ascii="宋体" w:hAnsi="宋体" w:cs="宋体"/>
                <w:color w:val="auto"/>
                <w:kern w:val="0"/>
                <w:sz w:val="18"/>
                <w:szCs w:val="18"/>
              </w:rPr>
              <w:t>Y＜300</w:t>
            </w:r>
          </w:p>
        </w:tc>
      </w:tr>
      <w:tr w14:paraId="681978A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CD07E87">
            <w:pPr>
              <w:widowControl/>
              <w:jc w:val="center"/>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45B2CA54">
            <w:pPr>
              <w:widowControl/>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1272" w:type="dxa"/>
            <w:tcBorders>
              <w:top w:val="nil"/>
              <w:left w:val="nil"/>
              <w:bottom w:val="single" w:color="auto" w:sz="4" w:space="0"/>
              <w:right w:val="single" w:color="auto" w:sz="4" w:space="0"/>
            </w:tcBorders>
            <w:vAlign w:val="center"/>
          </w:tcPr>
          <w:p w14:paraId="7A5F9027">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42E0F882">
            <w:pPr>
              <w:widowControl/>
              <w:jc w:val="left"/>
              <w:rPr>
                <w:rFonts w:ascii="宋体" w:hAnsi="宋体" w:cs="宋体"/>
                <w:color w:val="auto"/>
                <w:kern w:val="0"/>
                <w:sz w:val="18"/>
                <w:szCs w:val="18"/>
              </w:rPr>
            </w:pPr>
            <w:r>
              <w:rPr>
                <w:rFonts w:hint="eastAsia" w:ascii="宋体" w:hAnsi="宋体" w:cs="宋体"/>
                <w:color w:val="auto"/>
                <w:kern w:val="0"/>
                <w:sz w:val="18"/>
                <w:szCs w:val="18"/>
              </w:rPr>
              <w:t>5000≤Z＜80000</w:t>
            </w:r>
          </w:p>
        </w:tc>
        <w:tc>
          <w:tcPr>
            <w:tcW w:w="1500" w:type="dxa"/>
            <w:tcBorders>
              <w:top w:val="nil"/>
              <w:left w:val="nil"/>
              <w:bottom w:val="single" w:color="auto" w:sz="4" w:space="0"/>
              <w:right w:val="single" w:color="auto" w:sz="4" w:space="0"/>
            </w:tcBorders>
            <w:vAlign w:val="center"/>
          </w:tcPr>
          <w:p w14:paraId="127B0EE8">
            <w:pPr>
              <w:widowControl/>
              <w:jc w:val="left"/>
              <w:rPr>
                <w:rFonts w:ascii="宋体" w:hAnsi="宋体" w:cs="宋体"/>
                <w:color w:val="auto"/>
                <w:kern w:val="0"/>
                <w:sz w:val="18"/>
                <w:szCs w:val="18"/>
              </w:rPr>
            </w:pPr>
            <w:r>
              <w:rPr>
                <w:rFonts w:hint="eastAsia" w:ascii="宋体" w:hAnsi="宋体" w:cs="宋体"/>
                <w:color w:val="auto"/>
                <w:kern w:val="0"/>
                <w:sz w:val="18"/>
                <w:szCs w:val="18"/>
              </w:rPr>
              <w:t>300≤Z＜5000</w:t>
            </w:r>
          </w:p>
        </w:tc>
        <w:tc>
          <w:tcPr>
            <w:tcW w:w="914" w:type="dxa"/>
            <w:tcBorders>
              <w:top w:val="nil"/>
              <w:left w:val="nil"/>
              <w:bottom w:val="single" w:color="auto" w:sz="4" w:space="0"/>
              <w:right w:val="single" w:color="auto" w:sz="4" w:space="0"/>
            </w:tcBorders>
            <w:vAlign w:val="center"/>
          </w:tcPr>
          <w:p w14:paraId="116DEE86">
            <w:pPr>
              <w:widowControl/>
              <w:jc w:val="left"/>
              <w:rPr>
                <w:rFonts w:ascii="宋体" w:hAnsi="宋体" w:cs="宋体"/>
                <w:color w:val="auto"/>
                <w:kern w:val="0"/>
                <w:sz w:val="18"/>
                <w:szCs w:val="18"/>
              </w:rPr>
            </w:pPr>
            <w:r>
              <w:rPr>
                <w:rFonts w:hint="eastAsia" w:ascii="宋体" w:hAnsi="宋体" w:cs="宋体"/>
                <w:color w:val="auto"/>
                <w:kern w:val="0"/>
                <w:sz w:val="18"/>
                <w:szCs w:val="18"/>
              </w:rPr>
              <w:t>Z＜300</w:t>
            </w:r>
          </w:p>
        </w:tc>
      </w:tr>
      <w:tr w14:paraId="3BE3948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1C1CD8D">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批发业</w:t>
            </w:r>
          </w:p>
        </w:tc>
        <w:tc>
          <w:tcPr>
            <w:tcW w:w="1384" w:type="dxa"/>
            <w:tcBorders>
              <w:top w:val="nil"/>
              <w:left w:val="nil"/>
              <w:bottom w:val="single" w:color="auto" w:sz="4" w:space="0"/>
              <w:right w:val="single" w:color="auto" w:sz="4" w:space="0"/>
            </w:tcBorders>
            <w:vAlign w:val="center"/>
          </w:tcPr>
          <w:p w14:paraId="14B9E142">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272" w:type="dxa"/>
            <w:tcBorders>
              <w:top w:val="nil"/>
              <w:left w:val="nil"/>
              <w:bottom w:val="single" w:color="auto" w:sz="4" w:space="0"/>
              <w:right w:val="single" w:color="auto" w:sz="4" w:space="0"/>
            </w:tcBorders>
            <w:vAlign w:val="center"/>
          </w:tcPr>
          <w:p w14:paraId="22FB109E">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609" w:type="dxa"/>
            <w:tcBorders>
              <w:top w:val="nil"/>
              <w:left w:val="nil"/>
              <w:bottom w:val="single" w:color="auto" w:sz="4" w:space="0"/>
              <w:right w:val="single" w:color="auto" w:sz="4" w:space="0"/>
            </w:tcBorders>
            <w:vAlign w:val="center"/>
          </w:tcPr>
          <w:p w14:paraId="5A07F803">
            <w:pPr>
              <w:widowControl/>
              <w:jc w:val="left"/>
              <w:rPr>
                <w:rFonts w:ascii="宋体" w:hAnsi="宋体" w:cs="宋体"/>
                <w:color w:val="auto"/>
                <w:kern w:val="0"/>
                <w:sz w:val="18"/>
                <w:szCs w:val="18"/>
              </w:rPr>
            </w:pPr>
            <w:r>
              <w:rPr>
                <w:rFonts w:hint="eastAsia" w:ascii="宋体" w:hAnsi="宋体" w:cs="宋体"/>
                <w:color w:val="auto"/>
                <w:kern w:val="0"/>
                <w:sz w:val="18"/>
                <w:szCs w:val="18"/>
              </w:rPr>
              <w:t>20≤X＜200</w:t>
            </w:r>
          </w:p>
        </w:tc>
        <w:tc>
          <w:tcPr>
            <w:tcW w:w="1500" w:type="dxa"/>
            <w:tcBorders>
              <w:top w:val="nil"/>
              <w:left w:val="nil"/>
              <w:bottom w:val="single" w:color="auto" w:sz="4" w:space="0"/>
              <w:right w:val="single" w:color="auto" w:sz="4" w:space="0"/>
            </w:tcBorders>
            <w:vAlign w:val="center"/>
          </w:tcPr>
          <w:p w14:paraId="4E8E8079">
            <w:pPr>
              <w:widowControl/>
              <w:jc w:val="left"/>
              <w:rPr>
                <w:rFonts w:ascii="宋体" w:hAnsi="宋体" w:cs="宋体"/>
                <w:color w:val="auto"/>
                <w:kern w:val="0"/>
                <w:sz w:val="18"/>
                <w:szCs w:val="18"/>
              </w:rPr>
            </w:pPr>
            <w:r>
              <w:rPr>
                <w:rFonts w:hint="eastAsia" w:ascii="宋体" w:hAnsi="宋体" w:cs="宋体"/>
                <w:color w:val="auto"/>
                <w:kern w:val="0"/>
                <w:sz w:val="18"/>
                <w:szCs w:val="18"/>
              </w:rPr>
              <w:t>5≤X＜20</w:t>
            </w:r>
          </w:p>
        </w:tc>
        <w:tc>
          <w:tcPr>
            <w:tcW w:w="914" w:type="dxa"/>
            <w:tcBorders>
              <w:top w:val="nil"/>
              <w:left w:val="nil"/>
              <w:bottom w:val="single" w:color="auto" w:sz="4" w:space="0"/>
              <w:right w:val="single" w:color="auto" w:sz="4" w:space="0"/>
            </w:tcBorders>
            <w:vAlign w:val="center"/>
          </w:tcPr>
          <w:p w14:paraId="26C382C1">
            <w:pPr>
              <w:widowControl/>
              <w:jc w:val="left"/>
              <w:rPr>
                <w:rFonts w:ascii="宋体" w:hAnsi="宋体" w:cs="宋体"/>
                <w:color w:val="auto"/>
                <w:kern w:val="0"/>
                <w:sz w:val="18"/>
                <w:szCs w:val="18"/>
              </w:rPr>
            </w:pPr>
            <w:r>
              <w:rPr>
                <w:rFonts w:hint="eastAsia" w:ascii="宋体" w:hAnsi="宋体" w:cs="宋体"/>
                <w:color w:val="auto"/>
                <w:kern w:val="0"/>
                <w:sz w:val="18"/>
                <w:szCs w:val="18"/>
              </w:rPr>
              <w:t>X＜5</w:t>
            </w:r>
          </w:p>
        </w:tc>
      </w:tr>
      <w:tr w14:paraId="015448A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C93D5C5">
            <w:pPr>
              <w:widowControl/>
              <w:jc w:val="center"/>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6F0F12B2">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272" w:type="dxa"/>
            <w:tcBorders>
              <w:top w:val="nil"/>
              <w:left w:val="nil"/>
              <w:bottom w:val="single" w:color="auto" w:sz="4" w:space="0"/>
              <w:right w:val="single" w:color="auto" w:sz="4" w:space="0"/>
            </w:tcBorders>
            <w:vAlign w:val="center"/>
          </w:tcPr>
          <w:p w14:paraId="1C2B3412">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127F94B2">
            <w:pPr>
              <w:widowControl/>
              <w:jc w:val="left"/>
              <w:rPr>
                <w:rFonts w:ascii="宋体" w:hAnsi="宋体" w:cs="宋体"/>
                <w:color w:val="auto"/>
                <w:kern w:val="0"/>
                <w:sz w:val="18"/>
                <w:szCs w:val="18"/>
              </w:rPr>
            </w:pPr>
            <w:r>
              <w:rPr>
                <w:rFonts w:hint="eastAsia" w:ascii="宋体" w:hAnsi="宋体" w:cs="宋体"/>
                <w:color w:val="auto"/>
                <w:kern w:val="0"/>
                <w:sz w:val="18"/>
                <w:szCs w:val="18"/>
              </w:rPr>
              <w:t>5000≤Y＜40000</w:t>
            </w:r>
          </w:p>
        </w:tc>
        <w:tc>
          <w:tcPr>
            <w:tcW w:w="1500" w:type="dxa"/>
            <w:tcBorders>
              <w:top w:val="nil"/>
              <w:left w:val="nil"/>
              <w:bottom w:val="single" w:color="auto" w:sz="4" w:space="0"/>
              <w:right w:val="single" w:color="auto" w:sz="4" w:space="0"/>
            </w:tcBorders>
            <w:vAlign w:val="center"/>
          </w:tcPr>
          <w:p w14:paraId="0F240FC2">
            <w:pPr>
              <w:widowControl/>
              <w:jc w:val="left"/>
              <w:rPr>
                <w:rFonts w:ascii="宋体" w:hAnsi="宋体" w:cs="宋体"/>
                <w:color w:val="auto"/>
                <w:kern w:val="0"/>
                <w:sz w:val="18"/>
                <w:szCs w:val="18"/>
              </w:rPr>
            </w:pPr>
            <w:r>
              <w:rPr>
                <w:rFonts w:hint="eastAsia" w:ascii="宋体" w:hAnsi="宋体" w:cs="宋体"/>
                <w:color w:val="auto"/>
                <w:kern w:val="0"/>
                <w:sz w:val="18"/>
                <w:szCs w:val="18"/>
              </w:rPr>
              <w:t>1000≤Y＜5000</w:t>
            </w:r>
          </w:p>
        </w:tc>
        <w:tc>
          <w:tcPr>
            <w:tcW w:w="914" w:type="dxa"/>
            <w:tcBorders>
              <w:top w:val="nil"/>
              <w:left w:val="nil"/>
              <w:bottom w:val="single" w:color="auto" w:sz="4" w:space="0"/>
              <w:right w:val="single" w:color="auto" w:sz="4" w:space="0"/>
            </w:tcBorders>
            <w:vAlign w:val="center"/>
          </w:tcPr>
          <w:p w14:paraId="2EFC0459">
            <w:pPr>
              <w:widowControl/>
              <w:jc w:val="left"/>
              <w:rPr>
                <w:rFonts w:ascii="宋体" w:hAnsi="宋体" w:cs="宋体"/>
                <w:color w:val="auto"/>
                <w:kern w:val="0"/>
                <w:sz w:val="18"/>
                <w:szCs w:val="18"/>
              </w:rPr>
            </w:pPr>
            <w:r>
              <w:rPr>
                <w:rFonts w:hint="eastAsia" w:ascii="宋体" w:hAnsi="宋体" w:cs="宋体"/>
                <w:color w:val="auto"/>
                <w:kern w:val="0"/>
                <w:sz w:val="18"/>
                <w:szCs w:val="18"/>
              </w:rPr>
              <w:t>Y＜1000</w:t>
            </w:r>
          </w:p>
        </w:tc>
      </w:tr>
      <w:tr w14:paraId="13B2A04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DB4FD23">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零售业</w:t>
            </w:r>
          </w:p>
        </w:tc>
        <w:tc>
          <w:tcPr>
            <w:tcW w:w="1384" w:type="dxa"/>
            <w:tcBorders>
              <w:top w:val="nil"/>
              <w:left w:val="nil"/>
              <w:bottom w:val="single" w:color="auto" w:sz="4" w:space="0"/>
              <w:right w:val="single" w:color="auto" w:sz="4" w:space="0"/>
            </w:tcBorders>
            <w:vAlign w:val="center"/>
          </w:tcPr>
          <w:p w14:paraId="799CDC2F">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272" w:type="dxa"/>
            <w:tcBorders>
              <w:top w:val="nil"/>
              <w:left w:val="nil"/>
              <w:bottom w:val="single" w:color="auto" w:sz="4" w:space="0"/>
              <w:right w:val="single" w:color="auto" w:sz="4" w:space="0"/>
            </w:tcBorders>
            <w:vAlign w:val="center"/>
          </w:tcPr>
          <w:p w14:paraId="5FB7A75D">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609" w:type="dxa"/>
            <w:tcBorders>
              <w:top w:val="nil"/>
              <w:left w:val="nil"/>
              <w:bottom w:val="single" w:color="auto" w:sz="4" w:space="0"/>
              <w:right w:val="single" w:color="auto" w:sz="4" w:space="0"/>
            </w:tcBorders>
            <w:vAlign w:val="center"/>
          </w:tcPr>
          <w:p w14:paraId="243578D8">
            <w:pPr>
              <w:widowControl/>
              <w:jc w:val="left"/>
              <w:rPr>
                <w:rFonts w:ascii="宋体" w:hAnsi="宋体" w:cs="宋体"/>
                <w:color w:val="auto"/>
                <w:kern w:val="0"/>
                <w:sz w:val="18"/>
                <w:szCs w:val="18"/>
              </w:rPr>
            </w:pPr>
            <w:r>
              <w:rPr>
                <w:rFonts w:hint="eastAsia" w:ascii="宋体" w:hAnsi="宋体" w:cs="宋体"/>
                <w:color w:val="auto"/>
                <w:kern w:val="0"/>
                <w:sz w:val="18"/>
                <w:szCs w:val="18"/>
              </w:rPr>
              <w:t>50≤X＜300</w:t>
            </w:r>
          </w:p>
        </w:tc>
        <w:tc>
          <w:tcPr>
            <w:tcW w:w="1500" w:type="dxa"/>
            <w:tcBorders>
              <w:top w:val="nil"/>
              <w:left w:val="nil"/>
              <w:bottom w:val="single" w:color="auto" w:sz="4" w:space="0"/>
              <w:right w:val="single" w:color="auto" w:sz="4" w:space="0"/>
            </w:tcBorders>
            <w:vAlign w:val="center"/>
          </w:tcPr>
          <w:p w14:paraId="662CE41D">
            <w:pPr>
              <w:widowControl/>
              <w:jc w:val="left"/>
              <w:rPr>
                <w:rFonts w:ascii="宋体" w:hAnsi="宋体" w:cs="宋体"/>
                <w:color w:val="auto"/>
                <w:kern w:val="0"/>
                <w:sz w:val="18"/>
                <w:szCs w:val="18"/>
              </w:rPr>
            </w:pPr>
            <w:r>
              <w:rPr>
                <w:rFonts w:hint="eastAsia" w:ascii="宋体" w:hAnsi="宋体" w:cs="宋体"/>
                <w:color w:val="auto"/>
                <w:kern w:val="0"/>
                <w:sz w:val="18"/>
                <w:szCs w:val="18"/>
              </w:rPr>
              <w:t>10≤X＜50</w:t>
            </w:r>
          </w:p>
        </w:tc>
        <w:tc>
          <w:tcPr>
            <w:tcW w:w="914" w:type="dxa"/>
            <w:tcBorders>
              <w:top w:val="nil"/>
              <w:left w:val="nil"/>
              <w:bottom w:val="single" w:color="auto" w:sz="4" w:space="0"/>
              <w:right w:val="single" w:color="auto" w:sz="4" w:space="0"/>
            </w:tcBorders>
            <w:vAlign w:val="center"/>
          </w:tcPr>
          <w:p w14:paraId="76FA7088">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32E2418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22669E6">
            <w:pPr>
              <w:widowControl/>
              <w:jc w:val="center"/>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1D34A54">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272" w:type="dxa"/>
            <w:tcBorders>
              <w:top w:val="nil"/>
              <w:left w:val="nil"/>
              <w:bottom w:val="single" w:color="auto" w:sz="4" w:space="0"/>
              <w:right w:val="single" w:color="auto" w:sz="4" w:space="0"/>
            </w:tcBorders>
            <w:vAlign w:val="center"/>
          </w:tcPr>
          <w:p w14:paraId="704FD188">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6CC4825B">
            <w:pPr>
              <w:widowControl/>
              <w:jc w:val="left"/>
              <w:rPr>
                <w:rFonts w:ascii="宋体" w:hAnsi="宋体" w:cs="宋体"/>
                <w:color w:val="auto"/>
                <w:kern w:val="0"/>
                <w:sz w:val="18"/>
                <w:szCs w:val="18"/>
              </w:rPr>
            </w:pPr>
            <w:r>
              <w:rPr>
                <w:rFonts w:hint="eastAsia" w:ascii="宋体" w:hAnsi="宋体" w:cs="宋体"/>
                <w:color w:val="auto"/>
                <w:kern w:val="0"/>
                <w:sz w:val="18"/>
                <w:szCs w:val="18"/>
              </w:rPr>
              <w:t>500≤Y＜20000</w:t>
            </w:r>
          </w:p>
        </w:tc>
        <w:tc>
          <w:tcPr>
            <w:tcW w:w="1500" w:type="dxa"/>
            <w:tcBorders>
              <w:top w:val="nil"/>
              <w:left w:val="nil"/>
              <w:bottom w:val="single" w:color="auto" w:sz="4" w:space="0"/>
              <w:right w:val="single" w:color="auto" w:sz="4" w:space="0"/>
            </w:tcBorders>
            <w:vAlign w:val="center"/>
          </w:tcPr>
          <w:p w14:paraId="10ECB911">
            <w:pPr>
              <w:widowControl/>
              <w:jc w:val="left"/>
              <w:rPr>
                <w:rFonts w:ascii="宋体" w:hAnsi="宋体" w:cs="宋体"/>
                <w:color w:val="auto"/>
                <w:kern w:val="0"/>
                <w:sz w:val="18"/>
                <w:szCs w:val="18"/>
              </w:rPr>
            </w:pPr>
            <w:r>
              <w:rPr>
                <w:rFonts w:hint="eastAsia" w:ascii="宋体" w:hAnsi="宋体" w:cs="宋体"/>
                <w:color w:val="auto"/>
                <w:kern w:val="0"/>
                <w:sz w:val="18"/>
                <w:szCs w:val="18"/>
              </w:rPr>
              <w:t>100≤Y＜500</w:t>
            </w:r>
          </w:p>
        </w:tc>
        <w:tc>
          <w:tcPr>
            <w:tcW w:w="914" w:type="dxa"/>
            <w:tcBorders>
              <w:top w:val="nil"/>
              <w:left w:val="nil"/>
              <w:bottom w:val="single" w:color="auto" w:sz="4" w:space="0"/>
              <w:right w:val="single" w:color="auto" w:sz="4" w:space="0"/>
            </w:tcBorders>
            <w:vAlign w:val="center"/>
          </w:tcPr>
          <w:p w14:paraId="1AB36D70">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2D26EA6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0D279C8">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交通运输业</w:t>
            </w:r>
          </w:p>
        </w:tc>
        <w:tc>
          <w:tcPr>
            <w:tcW w:w="1384" w:type="dxa"/>
            <w:tcBorders>
              <w:top w:val="nil"/>
              <w:left w:val="nil"/>
              <w:bottom w:val="single" w:color="auto" w:sz="4" w:space="0"/>
              <w:right w:val="single" w:color="auto" w:sz="4" w:space="0"/>
            </w:tcBorders>
            <w:vAlign w:val="center"/>
          </w:tcPr>
          <w:p w14:paraId="40620F62">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272" w:type="dxa"/>
            <w:tcBorders>
              <w:top w:val="nil"/>
              <w:left w:val="nil"/>
              <w:bottom w:val="single" w:color="auto" w:sz="4" w:space="0"/>
              <w:right w:val="single" w:color="auto" w:sz="4" w:space="0"/>
            </w:tcBorders>
            <w:vAlign w:val="center"/>
          </w:tcPr>
          <w:p w14:paraId="385A5D46">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609" w:type="dxa"/>
            <w:tcBorders>
              <w:top w:val="nil"/>
              <w:left w:val="nil"/>
              <w:bottom w:val="single" w:color="auto" w:sz="4" w:space="0"/>
              <w:right w:val="single" w:color="auto" w:sz="4" w:space="0"/>
            </w:tcBorders>
            <w:vAlign w:val="center"/>
          </w:tcPr>
          <w:p w14:paraId="2E1B7032">
            <w:pPr>
              <w:widowControl/>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500" w:type="dxa"/>
            <w:tcBorders>
              <w:top w:val="nil"/>
              <w:left w:val="nil"/>
              <w:bottom w:val="single" w:color="auto" w:sz="4" w:space="0"/>
              <w:right w:val="single" w:color="auto" w:sz="4" w:space="0"/>
            </w:tcBorders>
            <w:vAlign w:val="center"/>
          </w:tcPr>
          <w:p w14:paraId="0BE043A5">
            <w:pPr>
              <w:widowControl/>
              <w:jc w:val="left"/>
              <w:rPr>
                <w:rFonts w:ascii="宋体" w:hAnsi="宋体" w:cs="宋体"/>
                <w:color w:val="auto"/>
                <w:kern w:val="0"/>
                <w:sz w:val="18"/>
                <w:szCs w:val="18"/>
              </w:rPr>
            </w:pPr>
            <w:r>
              <w:rPr>
                <w:rFonts w:hint="eastAsia" w:ascii="宋体" w:hAnsi="宋体" w:cs="宋体"/>
                <w:color w:val="auto"/>
                <w:kern w:val="0"/>
                <w:sz w:val="18"/>
                <w:szCs w:val="18"/>
              </w:rPr>
              <w:t>20≤X＜300</w:t>
            </w:r>
          </w:p>
        </w:tc>
        <w:tc>
          <w:tcPr>
            <w:tcW w:w="914" w:type="dxa"/>
            <w:tcBorders>
              <w:top w:val="nil"/>
              <w:left w:val="nil"/>
              <w:bottom w:val="single" w:color="auto" w:sz="4" w:space="0"/>
              <w:right w:val="single" w:color="auto" w:sz="4" w:space="0"/>
            </w:tcBorders>
            <w:vAlign w:val="center"/>
          </w:tcPr>
          <w:p w14:paraId="1E00A98B">
            <w:pPr>
              <w:widowControl/>
              <w:jc w:val="left"/>
              <w:rPr>
                <w:rFonts w:ascii="宋体" w:hAnsi="宋体" w:cs="宋体"/>
                <w:color w:val="auto"/>
                <w:kern w:val="0"/>
                <w:sz w:val="18"/>
                <w:szCs w:val="18"/>
              </w:rPr>
            </w:pPr>
            <w:r>
              <w:rPr>
                <w:rFonts w:hint="eastAsia" w:ascii="宋体" w:hAnsi="宋体" w:cs="宋体"/>
                <w:color w:val="auto"/>
                <w:kern w:val="0"/>
                <w:sz w:val="18"/>
                <w:szCs w:val="18"/>
              </w:rPr>
              <w:t>X＜20</w:t>
            </w:r>
          </w:p>
        </w:tc>
      </w:tr>
      <w:tr w14:paraId="57DEA1E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ACD83A6">
            <w:pPr>
              <w:widowControl/>
              <w:jc w:val="center"/>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6C896411">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272" w:type="dxa"/>
            <w:tcBorders>
              <w:top w:val="nil"/>
              <w:left w:val="nil"/>
              <w:bottom w:val="single" w:color="auto" w:sz="4" w:space="0"/>
              <w:right w:val="single" w:color="auto" w:sz="4" w:space="0"/>
            </w:tcBorders>
            <w:vAlign w:val="center"/>
          </w:tcPr>
          <w:p w14:paraId="7A8FC1E9">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78B74966">
            <w:pPr>
              <w:widowControl/>
              <w:jc w:val="left"/>
              <w:rPr>
                <w:rFonts w:ascii="宋体" w:hAnsi="宋体" w:cs="宋体"/>
                <w:color w:val="auto"/>
                <w:kern w:val="0"/>
                <w:sz w:val="18"/>
                <w:szCs w:val="18"/>
              </w:rPr>
            </w:pPr>
            <w:r>
              <w:rPr>
                <w:rFonts w:hint="eastAsia" w:ascii="宋体" w:hAnsi="宋体" w:cs="宋体"/>
                <w:color w:val="auto"/>
                <w:kern w:val="0"/>
                <w:sz w:val="18"/>
                <w:szCs w:val="18"/>
              </w:rPr>
              <w:t>3000≤Y＜30000</w:t>
            </w:r>
          </w:p>
        </w:tc>
        <w:tc>
          <w:tcPr>
            <w:tcW w:w="1500" w:type="dxa"/>
            <w:tcBorders>
              <w:top w:val="nil"/>
              <w:left w:val="nil"/>
              <w:bottom w:val="single" w:color="auto" w:sz="4" w:space="0"/>
              <w:right w:val="single" w:color="auto" w:sz="4" w:space="0"/>
            </w:tcBorders>
            <w:vAlign w:val="center"/>
          </w:tcPr>
          <w:p w14:paraId="6820F0BA">
            <w:pPr>
              <w:widowControl/>
              <w:jc w:val="left"/>
              <w:rPr>
                <w:rFonts w:ascii="宋体" w:hAnsi="宋体" w:cs="宋体"/>
                <w:color w:val="auto"/>
                <w:kern w:val="0"/>
                <w:sz w:val="18"/>
                <w:szCs w:val="18"/>
              </w:rPr>
            </w:pPr>
            <w:r>
              <w:rPr>
                <w:rFonts w:hint="eastAsia" w:ascii="宋体" w:hAnsi="宋体" w:cs="宋体"/>
                <w:color w:val="auto"/>
                <w:kern w:val="0"/>
                <w:sz w:val="18"/>
                <w:szCs w:val="18"/>
              </w:rPr>
              <w:t>200≤Y＜3000</w:t>
            </w:r>
          </w:p>
        </w:tc>
        <w:tc>
          <w:tcPr>
            <w:tcW w:w="914" w:type="dxa"/>
            <w:tcBorders>
              <w:top w:val="nil"/>
              <w:left w:val="nil"/>
              <w:bottom w:val="single" w:color="auto" w:sz="4" w:space="0"/>
              <w:right w:val="single" w:color="auto" w:sz="4" w:space="0"/>
            </w:tcBorders>
            <w:vAlign w:val="center"/>
          </w:tcPr>
          <w:p w14:paraId="4F8A9675">
            <w:pPr>
              <w:widowControl/>
              <w:jc w:val="left"/>
              <w:rPr>
                <w:rFonts w:ascii="宋体" w:hAnsi="宋体" w:cs="宋体"/>
                <w:color w:val="auto"/>
                <w:kern w:val="0"/>
                <w:sz w:val="18"/>
                <w:szCs w:val="18"/>
              </w:rPr>
            </w:pPr>
            <w:r>
              <w:rPr>
                <w:rFonts w:hint="eastAsia" w:ascii="宋体" w:hAnsi="宋体" w:cs="宋体"/>
                <w:color w:val="auto"/>
                <w:kern w:val="0"/>
                <w:sz w:val="18"/>
                <w:szCs w:val="18"/>
              </w:rPr>
              <w:t>Y＜200</w:t>
            </w:r>
          </w:p>
        </w:tc>
      </w:tr>
      <w:tr w14:paraId="24A6A61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2F176972">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仓储业</w:t>
            </w:r>
          </w:p>
        </w:tc>
        <w:tc>
          <w:tcPr>
            <w:tcW w:w="1384" w:type="dxa"/>
            <w:tcBorders>
              <w:top w:val="nil"/>
              <w:left w:val="nil"/>
              <w:bottom w:val="single" w:color="auto" w:sz="4" w:space="0"/>
              <w:right w:val="single" w:color="auto" w:sz="4" w:space="0"/>
            </w:tcBorders>
            <w:vAlign w:val="center"/>
          </w:tcPr>
          <w:p w14:paraId="0E3F2666">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272" w:type="dxa"/>
            <w:tcBorders>
              <w:top w:val="nil"/>
              <w:left w:val="nil"/>
              <w:bottom w:val="single" w:color="auto" w:sz="4" w:space="0"/>
              <w:right w:val="single" w:color="auto" w:sz="4" w:space="0"/>
            </w:tcBorders>
            <w:vAlign w:val="center"/>
          </w:tcPr>
          <w:p w14:paraId="64C98B67">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609" w:type="dxa"/>
            <w:tcBorders>
              <w:top w:val="nil"/>
              <w:left w:val="nil"/>
              <w:bottom w:val="single" w:color="auto" w:sz="4" w:space="0"/>
              <w:right w:val="single" w:color="auto" w:sz="4" w:space="0"/>
            </w:tcBorders>
            <w:vAlign w:val="center"/>
          </w:tcPr>
          <w:p w14:paraId="38A0CF1A">
            <w:pPr>
              <w:widowControl/>
              <w:jc w:val="left"/>
              <w:rPr>
                <w:rFonts w:ascii="宋体" w:hAnsi="宋体" w:cs="宋体"/>
                <w:color w:val="auto"/>
                <w:kern w:val="0"/>
                <w:sz w:val="18"/>
                <w:szCs w:val="18"/>
              </w:rPr>
            </w:pPr>
            <w:r>
              <w:rPr>
                <w:rFonts w:hint="eastAsia" w:ascii="宋体" w:hAnsi="宋体" w:cs="宋体"/>
                <w:color w:val="auto"/>
                <w:kern w:val="0"/>
                <w:sz w:val="18"/>
                <w:szCs w:val="18"/>
              </w:rPr>
              <w:t>100≤X＜200</w:t>
            </w:r>
          </w:p>
        </w:tc>
        <w:tc>
          <w:tcPr>
            <w:tcW w:w="1500" w:type="dxa"/>
            <w:tcBorders>
              <w:top w:val="nil"/>
              <w:left w:val="nil"/>
              <w:bottom w:val="single" w:color="auto" w:sz="4" w:space="0"/>
              <w:right w:val="single" w:color="auto" w:sz="4" w:space="0"/>
            </w:tcBorders>
            <w:vAlign w:val="center"/>
          </w:tcPr>
          <w:p w14:paraId="445D327D">
            <w:pPr>
              <w:widowControl/>
              <w:jc w:val="left"/>
              <w:rPr>
                <w:rFonts w:ascii="宋体" w:hAnsi="宋体" w:cs="宋体"/>
                <w:color w:val="auto"/>
                <w:kern w:val="0"/>
                <w:sz w:val="18"/>
                <w:szCs w:val="18"/>
              </w:rPr>
            </w:pPr>
            <w:r>
              <w:rPr>
                <w:rFonts w:hint="eastAsia" w:ascii="宋体" w:hAnsi="宋体" w:cs="宋体"/>
                <w:color w:val="auto"/>
                <w:kern w:val="0"/>
                <w:sz w:val="18"/>
                <w:szCs w:val="18"/>
              </w:rPr>
              <w:t>20≤X＜100</w:t>
            </w:r>
          </w:p>
        </w:tc>
        <w:tc>
          <w:tcPr>
            <w:tcW w:w="914" w:type="dxa"/>
            <w:tcBorders>
              <w:top w:val="nil"/>
              <w:left w:val="nil"/>
              <w:bottom w:val="single" w:color="auto" w:sz="4" w:space="0"/>
              <w:right w:val="single" w:color="auto" w:sz="4" w:space="0"/>
            </w:tcBorders>
            <w:vAlign w:val="center"/>
          </w:tcPr>
          <w:p w14:paraId="2433747F">
            <w:pPr>
              <w:widowControl/>
              <w:jc w:val="left"/>
              <w:rPr>
                <w:rFonts w:ascii="宋体" w:hAnsi="宋体" w:cs="宋体"/>
                <w:color w:val="auto"/>
                <w:kern w:val="0"/>
                <w:sz w:val="18"/>
                <w:szCs w:val="18"/>
              </w:rPr>
            </w:pPr>
            <w:r>
              <w:rPr>
                <w:rFonts w:hint="eastAsia" w:ascii="宋体" w:hAnsi="宋体" w:cs="宋体"/>
                <w:color w:val="auto"/>
                <w:kern w:val="0"/>
                <w:sz w:val="18"/>
                <w:szCs w:val="18"/>
              </w:rPr>
              <w:t>X＜20</w:t>
            </w:r>
          </w:p>
        </w:tc>
      </w:tr>
      <w:tr w14:paraId="4EDEB91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8878B85">
            <w:pPr>
              <w:widowControl/>
              <w:jc w:val="center"/>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7BEEB100">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272" w:type="dxa"/>
            <w:tcBorders>
              <w:top w:val="nil"/>
              <w:left w:val="nil"/>
              <w:bottom w:val="single" w:color="auto" w:sz="4" w:space="0"/>
              <w:right w:val="single" w:color="auto" w:sz="4" w:space="0"/>
            </w:tcBorders>
            <w:vAlign w:val="center"/>
          </w:tcPr>
          <w:p w14:paraId="583D1A5F">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356A8A7C">
            <w:pPr>
              <w:widowControl/>
              <w:jc w:val="left"/>
              <w:rPr>
                <w:rFonts w:ascii="宋体" w:hAnsi="宋体" w:cs="宋体"/>
                <w:color w:val="auto"/>
                <w:kern w:val="0"/>
                <w:sz w:val="18"/>
                <w:szCs w:val="18"/>
              </w:rPr>
            </w:pPr>
            <w:r>
              <w:rPr>
                <w:rFonts w:hint="eastAsia" w:ascii="宋体" w:hAnsi="宋体" w:cs="宋体"/>
                <w:color w:val="auto"/>
                <w:kern w:val="0"/>
                <w:sz w:val="18"/>
                <w:szCs w:val="18"/>
              </w:rPr>
              <w:t>1000≤Y＜30000</w:t>
            </w:r>
          </w:p>
        </w:tc>
        <w:tc>
          <w:tcPr>
            <w:tcW w:w="1500" w:type="dxa"/>
            <w:tcBorders>
              <w:top w:val="nil"/>
              <w:left w:val="nil"/>
              <w:bottom w:val="single" w:color="auto" w:sz="4" w:space="0"/>
              <w:right w:val="single" w:color="auto" w:sz="4" w:space="0"/>
            </w:tcBorders>
            <w:vAlign w:val="center"/>
          </w:tcPr>
          <w:p w14:paraId="5A36957B">
            <w:pPr>
              <w:widowControl/>
              <w:jc w:val="left"/>
              <w:rPr>
                <w:rFonts w:ascii="宋体" w:hAnsi="宋体" w:cs="宋体"/>
                <w:color w:val="auto"/>
                <w:kern w:val="0"/>
                <w:sz w:val="18"/>
                <w:szCs w:val="18"/>
              </w:rPr>
            </w:pPr>
            <w:r>
              <w:rPr>
                <w:rFonts w:hint="eastAsia" w:ascii="宋体" w:hAnsi="宋体" w:cs="宋体"/>
                <w:color w:val="auto"/>
                <w:kern w:val="0"/>
                <w:sz w:val="18"/>
                <w:szCs w:val="18"/>
              </w:rPr>
              <w:t>100≤Y＜1000</w:t>
            </w:r>
          </w:p>
        </w:tc>
        <w:tc>
          <w:tcPr>
            <w:tcW w:w="914" w:type="dxa"/>
            <w:tcBorders>
              <w:top w:val="nil"/>
              <w:left w:val="nil"/>
              <w:bottom w:val="single" w:color="auto" w:sz="4" w:space="0"/>
              <w:right w:val="single" w:color="auto" w:sz="4" w:space="0"/>
            </w:tcBorders>
            <w:vAlign w:val="center"/>
          </w:tcPr>
          <w:p w14:paraId="1CE3B973">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75860BC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09DA6279">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邮政业</w:t>
            </w:r>
          </w:p>
        </w:tc>
        <w:tc>
          <w:tcPr>
            <w:tcW w:w="1384" w:type="dxa"/>
            <w:tcBorders>
              <w:top w:val="nil"/>
              <w:left w:val="nil"/>
              <w:bottom w:val="single" w:color="auto" w:sz="4" w:space="0"/>
              <w:right w:val="single" w:color="auto" w:sz="4" w:space="0"/>
            </w:tcBorders>
            <w:vAlign w:val="center"/>
          </w:tcPr>
          <w:p w14:paraId="1CDC8175">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272" w:type="dxa"/>
            <w:tcBorders>
              <w:top w:val="nil"/>
              <w:left w:val="nil"/>
              <w:bottom w:val="single" w:color="auto" w:sz="4" w:space="0"/>
              <w:right w:val="single" w:color="auto" w:sz="4" w:space="0"/>
            </w:tcBorders>
            <w:vAlign w:val="center"/>
          </w:tcPr>
          <w:p w14:paraId="06A8619C">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609" w:type="dxa"/>
            <w:tcBorders>
              <w:top w:val="nil"/>
              <w:left w:val="nil"/>
              <w:bottom w:val="single" w:color="auto" w:sz="4" w:space="0"/>
              <w:right w:val="single" w:color="auto" w:sz="4" w:space="0"/>
            </w:tcBorders>
            <w:vAlign w:val="center"/>
          </w:tcPr>
          <w:p w14:paraId="0A8E8AE6">
            <w:pPr>
              <w:widowControl/>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500" w:type="dxa"/>
            <w:tcBorders>
              <w:top w:val="nil"/>
              <w:left w:val="nil"/>
              <w:bottom w:val="single" w:color="auto" w:sz="4" w:space="0"/>
              <w:right w:val="single" w:color="auto" w:sz="4" w:space="0"/>
            </w:tcBorders>
            <w:vAlign w:val="center"/>
          </w:tcPr>
          <w:p w14:paraId="198A195C">
            <w:pPr>
              <w:widowControl/>
              <w:jc w:val="left"/>
              <w:rPr>
                <w:rFonts w:ascii="宋体" w:hAnsi="宋体" w:cs="宋体"/>
                <w:color w:val="auto"/>
                <w:kern w:val="0"/>
                <w:sz w:val="18"/>
                <w:szCs w:val="18"/>
              </w:rPr>
            </w:pPr>
            <w:r>
              <w:rPr>
                <w:rFonts w:hint="eastAsia" w:ascii="宋体" w:hAnsi="宋体" w:cs="宋体"/>
                <w:color w:val="auto"/>
                <w:kern w:val="0"/>
                <w:sz w:val="18"/>
                <w:szCs w:val="18"/>
              </w:rPr>
              <w:t>20≤X＜300</w:t>
            </w:r>
          </w:p>
        </w:tc>
        <w:tc>
          <w:tcPr>
            <w:tcW w:w="914" w:type="dxa"/>
            <w:tcBorders>
              <w:top w:val="nil"/>
              <w:left w:val="nil"/>
              <w:bottom w:val="single" w:color="auto" w:sz="4" w:space="0"/>
              <w:right w:val="single" w:color="auto" w:sz="4" w:space="0"/>
            </w:tcBorders>
            <w:vAlign w:val="center"/>
          </w:tcPr>
          <w:p w14:paraId="7A8F48DD">
            <w:pPr>
              <w:widowControl/>
              <w:jc w:val="left"/>
              <w:rPr>
                <w:rFonts w:ascii="宋体" w:hAnsi="宋体" w:cs="宋体"/>
                <w:color w:val="auto"/>
                <w:kern w:val="0"/>
                <w:sz w:val="18"/>
                <w:szCs w:val="18"/>
              </w:rPr>
            </w:pPr>
            <w:r>
              <w:rPr>
                <w:rFonts w:hint="eastAsia" w:ascii="宋体" w:hAnsi="宋体" w:cs="宋体"/>
                <w:color w:val="auto"/>
                <w:kern w:val="0"/>
                <w:sz w:val="18"/>
                <w:szCs w:val="18"/>
              </w:rPr>
              <w:t>X＜20</w:t>
            </w:r>
          </w:p>
        </w:tc>
      </w:tr>
      <w:tr w14:paraId="4FB9CCA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F6409F2">
            <w:pPr>
              <w:widowControl/>
              <w:jc w:val="center"/>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2D78CDF8">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272" w:type="dxa"/>
            <w:tcBorders>
              <w:top w:val="nil"/>
              <w:left w:val="nil"/>
              <w:bottom w:val="single" w:color="auto" w:sz="4" w:space="0"/>
              <w:right w:val="single" w:color="auto" w:sz="4" w:space="0"/>
            </w:tcBorders>
            <w:vAlign w:val="center"/>
          </w:tcPr>
          <w:p w14:paraId="7B0F5CC7">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3C2A733F">
            <w:pPr>
              <w:widowControl/>
              <w:jc w:val="left"/>
              <w:rPr>
                <w:rFonts w:ascii="宋体" w:hAnsi="宋体" w:cs="宋体"/>
                <w:color w:val="auto"/>
                <w:kern w:val="0"/>
                <w:sz w:val="18"/>
                <w:szCs w:val="18"/>
              </w:rPr>
            </w:pPr>
            <w:r>
              <w:rPr>
                <w:rFonts w:hint="eastAsia" w:ascii="宋体" w:hAnsi="宋体" w:cs="宋体"/>
                <w:color w:val="auto"/>
                <w:kern w:val="0"/>
                <w:sz w:val="18"/>
                <w:szCs w:val="18"/>
              </w:rPr>
              <w:t>2000≤Y＜30000</w:t>
            </w:r>
          </w:p>
        </w:tc>
        <w:tc>
          <w:tcPr>
            <w:tcW w:w="1500" w:type="dxa"/>
            <w:tcBorders>
              <w:top w:val="nil"/>
              <w:left w:val="nil"/>
              <w:bottom w:val="single" w:color="auto" w:sz="4" w:space="0"/>
              <w:right w:val="single" w:color="auto" w:sz="4" w:space="0"/>
            </w:tcBorders>
            <w:vAlign w:val="center"/>
          </w:tcPr>
          <w:p w14:paraId="76724729">
            <w:pPr>
              <w:widowControl/>
              <w:jc w:val="left"/>
              <w:rPr>
                <w:rFonts w:ascii="宋体" w:hAnsi="宋体" w:cs="宋体"/>
                <w:color w:val="auto"/>
                <w:kern w:val="0"/>
                <w:sz w:val="18"/>
                <w:szCs w:val="18"/>
              </w:rPr>
            </w:pPr>
            <w:r>
              <w:rPr>
                <w:rFonts w:hint="eastAsia" w:ascii="宋体" w:hAnsi="宋体" w:cs="宋体"/>
                <w:color w:val="auto"/>
                <w:kern w:val="0"/>
                <w:sz w:val="18"/>
                <w:szCs w:val="18"/>
              </w:rPr>
              <w:t>100≤Y＜2000</w:t>
            </w:r>
          </w:p>
        </w:tc>
        <w:tc>
          <w:tcPr>
            <w:tcW w:w="914" w:type="dxa"/>
            <w:tcBorders>
              <w:top w:val="nil"/>
              <w:left w:val="nil"/>
              <w:bottom w:val="single" w:color="auto" w:sz="4" w:space="0"/>
              <w:right w:val="single" w:color="auto" w:sz="4" w:space="0"/>
            </w:tcBorders>
            <w:vAlign w:val="center"/>
          </w:tcPr>
          <w:p w14:paraId="77F8967D">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06E19E1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63EE5C8">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住宿业</w:t>
            </w:r>
          </w:p>
        </w:tc>
        <w:tc>
          <w:tcPr>
            <w:tcW w:w="1384" w:type="dxa"/>
            <w:tcBorders>
              <w:top w:val="nil"/>
              <w:left w:val="nil"/>
              <w:bottom w:val="single" w:color="auto" w:sz="4" w:space="0"/>
              <w:right w:val="single" w:color="auto" w:sz="4" w:space="0"/>
            </w:tcBorders>
            <w:vAlign w:val="center"/>
          </w:tcPr>
          <w:p w14:paraId="40E1690C">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272" w:type="dxa"/>
            <w:tcBorders>
              <w:top w:val="nil"/>
              <w:left w:val="nil"/>
              <w:bottom w:val="single" w:color="auto" w:sz="4" w:space="0"/>
              <w:right w:val="single" w:color="auto" w:sz="4" w:space="0"/>
            </w:tcBorders>
            <w:vAlign w:val="center"/>
          </w:tcPr>
          <w:p w14:paraId="2A8C8BEB">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609" w:type="dxa"/>
            <w:tcBorders>
              <w:top w:val="nil"/>
              <w:left w:val="nil"/>
              <w:bottom w:val="single" w:color="auto" w:sz="4" w:space="0"/>
              <w:right w:val="single" w:color="auto" w:sz="4" w:space="0"/>
            </w:tcBorders>
            <w:vAlign w:val="center"/>
          </w:tcPr>
          <w:p w14:paraId="76C65AF5">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500" w:type="dxa"/>
            <w:tcBorders>
              <w:top w:val="nil"/>
              <w:left w:val="nil"/>
              <w:bottom w:val="single" w:color="auto" w:sz="4" w:space="0"/>
              <w:right w:val="single" w:color="auto" w:sz="4" w:space="0"/>
            </w:tcBorders>
            <w:vAlign w:val="center"/>
          </w:tcPr>
          <w:p w14:paraId="10AD5307">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14" w:type="dxa"/>
            <w:tcBorders>
              <w:top w:val="nil"/>
              <w:left w:val="nil"/>
              <w:bottom w:val="single" w:color="auto" w:sz="4" w:space="0"/>
              <w:right w:val="single" w:color="auto" w:sz="4" w:space="0"/>
            </w:tcBorders>
            <w:vAlign w:val="center"/>
          </w:tcPr>
          <w:p w14:paraId="578503D2">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33C526F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8D16ADE">
            <w:pPr>
              <w:widowControl/>
              <w:jc w:val="center"/>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074FE920">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272" w:type="dxa"/>
            <w:tcBorders>
              <w:top w:val="nil"/>
              <w:left w:val="nil"/>
              <w:bottom w:val="single" w:color="auto" w:sz="4" w:space="0"/>
              <w:right w:val="single" w:color="auto" w:sz="4" w:space="0"/>
            </w:tcBorders>
            <w:vAlign w:val="center"/>
          </w:tcPr>
          <w:p w14:paraId="05B29968">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34F73E9A">
            <w:pPr>
              <w:widowControl/>
              <w:jc w:val="left"/>
              <w:rPr>
                <w:rFonts w:ascii="宋体" w:hAnsi="宋体" w:cs="宋体"/>
                <w:color w:val="auto"/>
                <w:kern w:val="0"/>
                <w:sz w:val="18"/>
                <w:szCs w:val="18"/>
              </w:rPr>
            </w:pPr>
            <w:r>
              <w:rPr>
                <w:rFonts w:hint="eastAsia" w:ascii="宋体" w:hAnsi="宋体" w:cs="宋体"/>
                <w:color w:val="auto"/>
                <w:kern w:val="0"/>
                <w:sz w:val="18"/>
                <w:szCs w:val="18"/>
              </w:rPr>
              <w:t>2000≤Y＜10000</w:t>
            </w:r>
          </w:p>
        </w:tc>
        <w:tc>
          <w:tcPr>
            <w:tcW w:w="1500" w:type="dxa"/>
            <w:tcBorders>
              <w:top w:val="nil"/>
              <w:left w:val="nil"/>
              <w:bottom w:val="single" w:color="auto" w:sz="4" w:space="0"/>
              <w:right w:val="single" w:color="auto" w:sz="4" w:space="0"/>
            </w:tcBorders>
            <w:vAlign w:val="center"/>
          </w:tcPr>
          <w:p w14:paraId="6E01DE7C">
            <w:pPr>
              <w:widowControl/>
              <w:jc w:val="left"/>
              <w:rPr>
                <w:rFonts w:ascii="宋体" w:hAnsi="宋体" w:cs="宋体"/>
                <w:color w:val="auto"/>
                <w:kern w:val="0"/>
                <w:sz w:val="18"/>
                <w:szCs w:val="18"/>
              </w:rPr>
            </w:pPr>
            <w:r>
              <w:rPr>
                <w:rFonts w:hint="eastAsia" w:ascii="宋体" w:hAnsi="宋体" w:cs="宋体"/>
                <w:color w:val="auto"/>
                <w:kern w:val="0"/>
                <w:sz w:val="18"/>
                <w:szCs w:val="18"/>
              </w:rPr>
              <w:t>100≤Y＜2000</w:t>
            </w:r>
          </w:p>
        </w:tc>
        <w:tc>
          <w:tcPr>
            <w:tcW w:w="914" w:type="dxa"/>
            <w:tcBorders>
              <w:top w:val="nil"/>
              <w:left w:val="nil"/>
              <w:bottom w:val="single" w:color="auto" w:sz="4" w:space="0"/>
              <w:right w:val="single" w:color="auto" w:sz="4" w:space="0"/>
            </w:tcBorders>
            <w:vAlign w:val="center"/>
          </w:tcPr>
          <w:p w14:paraId="73FD1863">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7AA2E14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ED3395A">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餐饮业</w:t>
            </w:r>
          </w:p>
        </w:tc>
        <w:tc>
          <w:tcPr>
            <w:tcW w:w="1384" w:type="dxa"/>
            <w:tcBorders>
              <w:top w:val="nil"/>
              <w:left w:val="nil"/>
              <w:bottom w:val="single" w:color="auto" w:sz="4" w:space="0"/>
              <w:right w:val="single" w:color="auto" w:sz="4" w:space="0"/>
            </w:tcBorders>
            <w:vAlign w:val="center"/>
          </w:tcPr>
          <w:p w14:paraId="3B47610C">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272" w:type="dxa"/>
            <w:tcBorders>
              <w:top w:val="nil"/>
              <w:left w:val="nil"/>
              <w:bottom w:val="single" w:color="auto" w:sz="4" w:space="0"/>
              <w:right w:val="single" w:color="auto" w:sz="4" w:space="0"/>
            </w:tcBorders>
            <w:vAlign w:val="center"/>
          </w:tcPr>
          <w:p w14:paraId="3BACA68A">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609" w:type="dxa"/>
            <w:tcBorders>
              <w:top w:val="nil"/>
              <w:left w:val="nil"/>
              <w:bottom w:val="single" w:color="auto" w:sz="4" w:space="0"/>
              <w:right w:val="single" w:color="auto" w:sz="4" w:space="0"/>
            </w:tcBorders>
            <w:vAlign w:val="center"/>
          </w:tcPr>
          <w:p w14:paraId="7BDF91CE">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500" w:type="dxa"/>
            <w:tcBorders>
              <w:top w:val="nil"/>
              <w:left w:val="nil"/>
              <w:bottom w:val="single" w:color="auto" w:sz="4" w:space="0"/>
              <w:right w:val="single" w:color="auto" w:sz="4" w:space="0"/>
            </w:tcBorders>
            <w:vAlign w:val="center"/>
          </w:tcPr>
          <w:p w14:paraId="580C4285">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14" w:type="dxa"/>
            <w:tcBorders>
              <w:top w:val="nil"/>
              <w:left w:val="nil"/>
              <w:bottom w:val="single" w:color="auto" w:sz="4" w:space="0"/>
              <w:right w:val="single" w:color="auto" w:sz="4" w:space="0"/>
            </w:tcBorders>
            <w:vAlign w:val="center"/>
          </w:tcPr>
          <w:p w14:paraId="3B2FB817">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247AEF8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DBA0834">
            <w:pPr>
              <w:widowControl/>
              <w:jc w:val="center"/>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696FA621">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272" w:type="dxa"/>
            <w:tcBorders>
              <w:top w:val="nil"/>
              <w:left w:val="nil"/>
              <w:bottom w:val="single" w:color="auto" w:sz="4" w:space="0"/>
              <w:right w:val="single" w:color="auto" w:sz="4" w:space="0"/>
            </w:tcBorders>
            <w:vAlign w:val="center"/>
          </w:tcPr>
          <w:p w14:paraId="0B88393A">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399FD39D">
            <w:pPr>
              <w:widowControl/>
              <w:jc w:val="left"/>
              <w:rPr>
                <w:rFonts w:ascii="宋体" w:hAnsi="宋体" w:cs="宋体"/>
                <w:color w:val="auto"/>
                <w:kern w:val="0"/>
                <w:sz w:val="18"/>
                <w:szCs w:val="18"/>
              </w:rPr>
            </w:pPr>
            <w:r>
              <w:rPr>
                <w:rFonts w:hint="eastAsia" w:ascii="宋体" w:hAnsi="宋体" w:cs="宋体"/>
                <w:color w:val="auto"/>
                <w:kern w:val="0"/>
                <w:sz w:val="18"/>
                <w:szCs w:val="18"/>
              </w:rPr>
              <w:t>2000≤Y＜10000</w:t>
            </w:r>
          </w:p>
        </w:tc>
        <w:tc>
          <w:tcPr>
            <w:tcW w:w="1500" w:type="dxa"/>
            <w:tcBorders>
              <w:top w:val="nil"/>
              <w:left w:val="nil"/>
              <w:bottom w:val="single" w:color="auto" w:sz="4" w:space="0"/>
              <w:right w:val="single" w:color="auto" w:sz="4" w:space="0"/>
            </w:tcBorders>
            <w:vAlign w:val="center"/>
          </w:tcPr>
          <w:p w14:paraId="3A94CF9C">
            <w:pPr>
              <w:widowControl/>
              <w:jc w:val="left"/>
              <w:rPr>
                <w:rFonts w:ascii="宋体" w:hAnsi="宋体" w:cs="宋体"/>
                <w:color w:val="auto"/>
                <w:kern w:val="0"/>
                <w:sz w:val="18"/>
                <w:szCs w:val="18"/>
              </w:rPr>
            </w:pPr>
            <w:r>
              <w:rPr>
                <w:rFonts w:hint="eastAsia" w:ascii="宋体" w:hAnsi="宋体" w:cs="宋体"/>
                <w:color w:val="auto"/>
                <w:kern w:val="0"/>
                <w:sz w:val="18"/>
                <w:szCs w:val="18"/>
              </w:rPr>
              <w:t>100≤Y＜2000</w:t>
            </w:r>
          </w:p>
        </w:tc>
        <w:tc>
          <w:tcPr>
            <w:tcW w:w="914" w:type="dxa"/>
            <w:tcBorders>
              <w:top w:val="nil"/>
              <w:left w:val="nil"/>
              <w:bottom w:val="single" w:color="auto" w:sz="4" w:space="0"/>
              <w:right w:val="single" w:color="auto" w:sz="4" w:space="0"/>
            </w:tcBorders>
            <w:vAlign w:val="center"/>
          </w:tcPr>
          <w:p w14:paraId="7690D894">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4125E7C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C0D0142">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信息传输业</w:t>
            </w:r>
          </w:p>
        </w:tc>
        <w:tc>
          <w:tcPr>
            <w:tcW w:w="1384" w:type="dxa"/>
            <w:tcBorders>
              <w:top w:val="nil"/>
              <w:left w:val="nil"/>
              <w:bottom w:val="single" w:color="auto" w:sz="4" w:space="0"/>
              <w:right w:val="single" w:color="auto" w:sz="4" w:space="0"/>
            </w:tcBorders>
            <w:vAlign w:val="center"/>
          </w:tcPr>
          <w:p w14:paraId="71A08267">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272" w:type="dxa"/>
            <w:tcBorders>
              <w:top w:val="nil"/>
              <w:left w:val="nil"/>
              <w:bottom w:val="single" w:color="auto" w:sz="4" w:space="0"/>
              <w:right w:val="single" w:color="auto" w:sz="4" w:space="0"/>
            </w:tcBorders>
            <w:vAlign w:val="center"/>
          </w:tcPr>
          <w:p w14:paraId="4EF4A44F">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609" w:type="dxa"/>
            <w:tcBorders>
              <w:top w:val="nil"/>
              <w:left w:val="nil"/>
              <w:bottom w:val="single" w:color="auto" w:sz="4" w:space="0"/>
              <w:right w:val="single" w:color="auto" w:sz="4" w:space="0"/>
            </w:tcBorders>
            <w:vAlign w:val="center"/>
          </w:tcPr>
          <w:p w14:paraId="2F6A0459">
            <w:pPr>
              <w:widowControl/>
              <w:jc w:val="left"/>
              <w:rPr>
                <w:rFonts w:ascii="宋体" w:hAnsi="宋体" w:cs="宋体"/>
                <w:color w:val="auto"/>
                <w:kern w:val="0"/>
                <w:sz w:val="18"/>
                <w:szCs w:val="18"/>
              </w:rPr>
            </w:pPr>
            <w:r>
              <w:rPr>
                <w:rFonts w:hint="eastAsia" w:ascii="宋体" w:hAnsi="宋体" w:cs="宋体"/>
                <w:color w:val="auto"/>
                <w:kern w:val="0"/>
                <w:sz w:val="18"/>
                <w:szCs w:val="18"/>
              </w:rPr>
              <w:t>100≤X＜2000</w:t>
            </w:r>
          </w:p>
        </w:tc>
        <w:tc>
          <w:tcPr>
            <w:tcW w:w="1500" w:type="dxa"/>
            <w:tcBorders>
              <w:top w:val="nil"/>
              <w:left w:val="nil"/>
              <w:bottom w:val="single" w:color="auto" w:sz="4" w:space="0"/>
              <w:right w:val="single" w:color="auto" w:sz="4" w:space="0"/>
            </w:tcBorders>
            <w:vAlign w:val="center"/>
          </w:tcPr>
          <w:p w14:paraId="39A50AEF">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14" w:type="dxa"/>
            <w:tcBorders>
              <w:top w:val="nil"/>
              <w:left w:val="nil"/>
              <w:bottom w:val="single" w:color="auto" w:sz="4" w:space="0"/>
              <w:right w:val="single" w:color="auto" w:sz="4" w:space="0"/>
            </w:tcBorders>
            <w:vAlign w:val="center"/>
          </w:tcPr>
          <w:p w14:paraId="219F5A00">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2136801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84D5EDC">
            <w:pPr>
              <w:widowControl/>
              <w:jc w:val="center"/>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0502B69A">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272" w:type="dxa"/>
            <w:tcBorders>
              <w:top w:val="nil"/>
              <w:left w:val="nil"/>
              <w:bottom w:val="single" w:color="auto" w:sz="4" w:space="0"/>
              <w:right w:val="single" w:color="auto" w:sz="4" w:space="0"/>
            </w:tcBorders>
            <w:vAlign w:val="center"/>
          </w:tcPr>
          <w:p w14:paraId="386AA138">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1B5AE128">
            <w:pPr>
              <w:widowControl/>
              <w:jc w:val="left"/>
              <w:rPr>
                <w:rFonts w:ascii="宋体" w:hAnsi="宋体" w:cs="宋体"/>
                <w:color w:val="auto"/>
                <w:kern w:val="0"/>
                <w:sz w:val="18"/>
                <w:szCs w:val="18"/>
              </w:rPr>
            </w:pPr>
            <w:r>
              <w:rPr>
                <w:rFonts w:hint="eastAsia" w:ascii="宋体" w:hAnsi="宋体" w:cs="宋体"/>
                <w:color w:val="auto"/>
                <w:kern w:val="0"/>
                <w:sz w:val="18"/>
                <w:szCs w:val="18"/>
              </w:rPr>
              <w:t>1000≤Y＜100000</w:t>
            </w:r>
          </w:p>
        </w:tc>
        <w:tc>
          <w:tcPr>
            <w:tcW w:w="1500" w:type="dxa"/>
            <w:tcBorders>
              <w:top w:val="nil"/>
              <w:left w:val="nil"/>
              <w:bottom w:val="single" w:color="auto" w:sz="4" w:space="0"/>
              <w:right w:val="single" w:color="auto" w:sz="4" w:space="0"/>
            </w:tcBorders>
            <w:vAlign w:val="center"/>
          </w:tcPr>
          <w:p w14:paraId="33FE9DF4">
            <w:pPr>
              <w:widowControl/>
              <w:jc w:val="left"/>
              <w:rPr>
                <w:rFonts w:ascii="宋体" w:hAnsi="宋体" w:cs="宋体"/>
                <w:color w:val="auto"/>
                <w:kern w:val="0"/>
                <w:sz w:val="18"/>
                <w:szCs w:val="18"/>
              </w:rPr>
            </w:pPr>
            <w:r>
              <w:rPr>
                <w:rFonts w:hint="eastAsia" w:ascii="宋体" w:hAnsi="宋体" w:cs="宋体"/>
                <w:color w:val="auto"/>
                <w:kern w:val="0"/>
                <w:sz w:val="18"/>
                <w:szCs w:val="18"/>
              </w:rPr>
              <w:t>100≤Y＜1000</w:t>
            </w:r>
          </w:p>
        </w:tc>
        <w:tc>
          <w:tcPr>
            <w:tcW w:w="914" w:type="dxa"/>
            <w:tcBorders>
              <w:top w:val="nil"/>
              <w:left w:val="nil"/>
              <w:bottom w:val="single" w:color="auto" w:sz="4" w:space="0"/>
              <w:right w:val="single" w:color="auto" w:sz="4" w:space="0"/>
            </w:tcBorders>
            <w:vAlign w:val="center"/>
          </w:tcPr>
          <w:p w14:paraId="60372D40">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675DFF7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5E89F3EB">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4504B910">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272" w:type="dxa"/>
            <w:tcBorders>
              <w:top w:val="nil"/>
              <w:left w:val="nil"/>
              <w:bottom w:val="single" w:color="auto" w:sz="4" w:space="0"/>
              <w:right w:val="single" w:color="auto" w:sz="4" w:space="0"/>
            </w:tcBorders>
            <w:vAlign w:val="center"/>
          </w:tcPr>
          <w:p w14:paraId="4CE5461B">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609" w:type="dxa"/>
            <w:tcBorders>
              <w:top w:val="nil"/>
              <w:left w:val="nil"/>
              <w:bottom w:val="single" w:color="auto" w:sz="4" w:space="0"/>
              <w:right w:val="single" w:color="auto" w:sz="4" w:space="0"/>
            </w:tcBorders>
            <w:vAlign w:val="center"/>
          </w:tcPr>
          <w:p w14:paraId="59222878">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500" w:type="dxa"/>
            <w:tcBorders>
              <w:top w:val="nil"/>
              <w:left w:val="nil"/>
              <w:bottom w:val="single" w:color="auto" w:sz="4" w:space="0"/>
              <w:right w:val="single" w:color="auto" w:sz="4" w:space="0"/>
            </w:tcBorders>
            <w:vAlign w:val="center"/>
          </w:tcPr>
          <w:p w14:paraId="69E47F2D">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14" w:type="dxa"/>
            <w:tcBorders>
              <w:top w:val="nil"/>
              <w:left w:val="nil"/>
              <w:bottom w:val="single" w:color="auto" w:sz="4" w:space="0"/>
              <w:right w:val="single" w:color="auto" w:sz="4" w:space="0"/>
            </w:tcBorders>
            <w:vAlign w:val="center"/>
          </w:tcPr>
          <w:p w14:paraId="4767CA86">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07B18F9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C08F885">
            <w:pPr>
              <w:widowControl/>
              <w:jc w:val="center"/>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A75D6E6">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272" w:type="dxa"/>
            <w:tcBorders>
              <w:top w:val="nil"/>
              <w:left w:val="nil"/>
              <w:bottom w:val="single" w:color="auto" w:sz="4" w:space="0"/>
              <w:right w:val="single" w:color="auto" w:sz="4" w:space="0"/>
            </w:tcBorders>
            <w:vAlign w:val="center"/>
          </w:tcPr>
          <w:p w14:paraId="0222247F">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378C2E5A">
            <w:pPr>
              <w:widowControl/>
              <w:jc w:val="left"/>
              <w:rPr>
                <w:rFonts w:ascii="宋体" w:hAnsi="宋体" w:cs="宋体"/>
                <w:color w:val="auto"/>
                <w:kern w:val="0"/>
                <w:sz w:val="18"/>
                <w:szCs w:val="18"/>
              </w:rPr>
            </w:pPr>
            <w:r>
              <w:rPr>
                <w:rFonts w:hint="eastAsia" w:ascii="宋体" w:hAnsi="宋体" w:cs="宋体"/>
                <w:color w:val="auto"/>
                <w:kern w:val="0"/>
                <w:sz w:val="18"/>
                <w:szCs w:val="18"/>
              </w:rPr>
              <w:t>1000≤Y＜10000</w:t>
            </w:r>
          </w:p>
        </w:tc>
        <w:tc>
          <w:tcPr>
            <w:tcW w:w="1500" w:type="dxa"/>
            <w:tcBorders>
              <w:top w:val="nil"/>
              <w:left w:val="nil"/>
              <w:bottom w:val="single" w:color="auto" w:sz="4" w:space="0"/>
              <w:right w:val="single" w:color="auto" w:sz="4" w:space="0"/>
            </w:tcBorders>
            <w:vAlign w:val="center"/>
          </w:tcPr>
          <w:p w14:paraId="4453DB6E">
            <w:pPr>
              <w:widowControl/>
              <w:jc w:val="left"/>
              <w:rPr>
                <w:rFonts w:ascii="宋体" w:hAnsi="宋体" w:cs="宋体"/>
                <w:color w:val="auto"/>
                <w:kern w:val="0"/>
                <w:sz w:val="18"/>
                <w:szCs w:val="18"/>
              </w:rPr>
            </w:pPr>
            <w:r>
              <w:rPr>
                <w:rFonts w:hint="eastAsia" w:ascii="宋体" w:hAnsi="宋体" w:cs="宋体"/>
                <w:color w:val="auto"/>
                <w:kern w:val="0"/>
                <w:sz w:val="18"/>
                <w:szCs w:val="18"/>
              </w:rPr>
              <w:t>50≤Y＜1000</w:t>
            </w:r>
          </w:p>
        </w:tc>
        <w:tc>
          <w:tcPr>
            <w:tcW w:w="914" w:type="dxa"/>
            <w:tcBorders>
              <w:top w:val="nil"/>
              <w:left w:val="nil"/>
              <w:bottom w:val="single" w:color="auto" w:sz="4" w:space="0"/>
              <w:right w:val="single" w:color="auto" w:sz="4" w:space="0"/>
            </w:tcBorders>
            <w:vAlign w:val="center"/>
          </w:tcPr>
          <w:p w14:paraId="2F8E4AD0">
            <w:pPr>
              <w:widowControl/>
              <w:jc w:val="left"/>
              <w:rPr>
                <w:rFonts w:ascii="宋体" w:hAnsi="宋体" w:cs="宋体"/>
                <w:color w:val="auto"/>
                <w:kern w:val="0"/>
                <w:sz w:val="18"/>
                <w:szCs w:val="18"/>
              </w:rPr>
            </w:pPr>
            <w:r>
              <w:rPr>
                <w:rFonts w:hint="eastAsia" w:ascii="宋体" w:hAnsi="宋体" w:cs="宋体"/>
                <w:color w:val="auto"/>
                <w:kern w:val="0"/>
                <w:sz w:val="18"/>
                <w:szCs w:val="18"/>
              </w:rPr>
              <w:t>Y＜50</w:t>
            </w:r>
          </w:p>
        </w:tc>
      </w:tr>
      <w:tr w14:paraId="2E4FCEA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64E9164">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29DE2527">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272" w:type="dxa"/>
            <w:tcBorders>
              <w:top w:val="nil"/>
              <w:left w:val="nil"/>
              <w:bottom w:val="single" w:color="auto" w:sz="4" w:space="0"/>
              <w:right w:val="single" w:color="auto" w:sz="4" w:space="0"/>
            </w:tcBorders>
            <w:vAlign w:val="center"/>
          </w:tcPr>
          <w:p w14:paraId="71239AB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3C968144">
            <w:pPr>
              <w:widowControl/>
              <w:jc w:val="left"/>
              <w:rPr>
                <w:rFonts w:ascii="宋体" w:hAnsi="宋体" w:cs="宋体"/>
                <w:color w:val="auto"/>
                <w:kern w:val="0"/>
                <w:sz w:val="18"/>
                <w:szCs w:val="18"/>
              </w:rPr>
            </w:pPr>
            <w:r>
              <w:rPr>
                <w:rFonts w:hint="eastAsia" w:ascii="宋体" w:hAnsi="宋体" w:cs="宋体"/>
                <w:color w:val="auto"/>
                <w:kern w:val="0"/>
                <w:sz w:val="18"/>
                <w:szCs w:val="18"/>
              </w:rPr>
              <w:t>1000≤Y＜200000</w:t>
            </w:r>
          </w:p>
        </w:tc>
        <w:tc>
          <w:tcPr>
            <w:tcW w:w="1500" w:type="dxa"/>
            <w:tcBorders>
              <w:top w:val="nil"/>
              <w:left w:val="nil"/>
              <w:bottom w:val="single" w:color="auto" w:sz="4" w:space="0"/>
              <w:right w:val="single" w:color="auto" w:sz="4" w:space="0"/>
            </w:tcBorders>
            <w:vAlign w:val="center"/>
          </w:tcPr>
          <w:p w14:paraId="71CFE57C">
            <w:pPr>
              <w:widowControl/>
              <w:jc w:val="left"/>
              <w:rPr>
                <w:rFonts w:ascii="宋体" w:hAnsi="宋体" w:cs="宋体"/>
                <w:color w:val="auto"/>
                <w:kern w:val="0"/>
                <w:sz w:val="18"/>
                <w:szCs w:val="18"/>
              </w:rPr>
            </w:pPr>
            <w:r>
              <w:rPr>
                <w:rFonts w:hint="eastAsia" w:ascii="宋体" w:hAnsi="宋体" w:cs="宋体"/>
                <w:color w:val="auto"/>
                <w:kern w:val="0"/>
                <w:sz w:val="18"/>
                <w:szCs w:val="18"/>
              </w:rPr>
              <w:t>100≤X＜1000</w:t>
            </w:r>
          </w:p>
        </w:tc>
        <w:tc>
          <w:tcPr>
            <w:tcW w:w="914" w:type="dxa"/>
            <w:tcBorders>
              <w:top w:val="nil"/>
              <w:left w:val="nil"/>
              <w:bottom w:val="single" w:color="auto" w:sz="4" w:space="0"/>
              <w:right w:val="single" w:color="auto" w:sz="4" w:space="0"/>
            </w:tcBorders>
            <w:vAlign w:val="center"/>
          </w:tcPr>
          <w:p w14:paraId="4DFA64B7">
            <w:pPr>
              <w:widowControl/>
              <w:jc w:val="left"/>
              <w:rPr>
                <w:rFonts w:ascii="宋体" w:hAnsi="宋体" w:cs="宋体"/>
                <w:color w:val="auto"/>
                <w:kern w:val="0"/>
                <w:sz w:val="18"/>
                <w:szCs w:val="18"/>
              </w:rPr>
            </w:pPr>
            <w:r>
              <w:rPr>
                <w:rFonts w:hint="eastAsia" w:ascii="宋体" w:hAnsi="宋体" w:cs="宋体"/>
                <w:color w:val="auto"/>
                <w:kern w:val="0"/>
                <w:sz w:val="18"/>
                <w:szCs w:val="18"/>
              </w:rPr>
              <w:t>X＜100</w:t>
            </w:r>
          </w:p>
        </w:tc>
      </w:tr>
      <w:tr w14:paraId="0C85DD5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0CF14BA">
            <w:pPr>
              <w:widowControl/>
              <w:jc w:val="center"/>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3357CB0E">
            <w:pPr>
              <w:widowControl/>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1272" w:type="dxa"/>
            <w:tcBorders>
              <w:top w:val="nil"/>
              <w:left w:val="nil"/>
              <w:bottom w:val="single" w:color="auto" w:sz="4" w:space="0"/>
              <w:right w:val="single" w:color="auto" w:sz="4" w:space="0"/>
            </w:tcBorders>
            <w:vAlign w:val="center"/>
          </w:tcPr>
          <w:p w14:paraId="09A16D76">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5C8246BC">
            <w:pPr>
              <w:widowControl/>
              <w:jc w:val="left"/>
              <w:rPr>
                <w:rFonts w:ascii="宋体" w:hAnsi="宋体" w:cs="宋体"/>
                <w:color w:val="auto"/>
                <w:kern w:val="0"/>
                <w:sz w:val="18"/>
                <w:szCs w:val="18"/>
              </w:rPr>
            </w:pPr>
            <w:r>
              <w:rPr>
                <w:rFonts w:hint="eastAsia" w:ascii="宋体" w:hAnsi="宋体" w:cs="宋体"/>
                <w:color w:val="auto"/>
                <w:kern w:val="0"/>
                <w:sz w:val="18"/>
                <w:szCs w:val="18"/>
              </w:rPr>
              <w:t>5000≤Z＜10000</w:t>
            </w:r>
          </w:p>
        </w:tc>
        <w:tc>
          <w:tcPr>
            <w:tcW w:w="1500" w:type="dxa"/>
            <w:tcBorders>
              <w:top w:val="nil"/>
              <w:left w:val="nil"/>
              <w:bottom w:val="single" w:color="auto" w:sz="4" w:space="0"/>
              <w:right w:val="single" w:color="auto" w:sz="4" w:space="0"/>
            </w:tcBorders>
            <w:vAlign w:val="center"/>
          </w:tcPr>
          <w:p w14:paraId="3AD575EC">
            <w:pPr>
              <w:widowControl/>
              <w:jc w:val="left"/>
              <w:rPr>
                <w:rFonts w:ascii="宋体" w:hAnsi="宋体" w:cs="宋体"/>
                <w:color w:val="auto"/>
                <w:kern w:val="0"/>
                <w:sz w:val="18"/>
                <w:szCs w:val="18"/>
              </w:rPr>
            </w:pPr>
            <w:r>
              <w:rPr>
                <w:rFonts w:hint="eastAsia" w:ascii="宋体" w:hAnsi="宋体" w:cs="宋体"/>
                <w:color w:val="auto"/>
                <w:kern w:val="0"/>
                <w:sz w:val="18"/>
                <w:szCs w:val="18"/>
              </w:rPr>
              <w:t>2000≤Y＜5000</w:t>
            </w:r>
          </w:p>
        </w:tc>
        <w:tc>
          <w:tcPr>
            <w:tcW w:w="914" w:type="dxa"/>
            <w:tcBorders>
              <w:top w:val="nil"/>
              <w:left w:val="nil"/>
              <w:bottom w:val="single" w:color="auto" w:sz="4" w:space="0"/>
              <w:right w:val="single" w:color="auto" w:sz="4" w:space="0"/>
            </w:tcBorders>
            <w:vAlign w:val="center"/>
          </w:tcPr>
          <w:p w14:paraId="611B9A43">
            <w:pPr>
              <w:widowControl/>
              <w:jc w:val="left"/>
              <w:rPr>
                <w:rFonts w:ascii="宋体" w:hAnsi="宋体" w:cs="宋体"/>
                <w:color w:val="auto"/>
                <w:kern w:val="0"/>
                <w:sz w:val="18"/>
                <w:szCs w:val="18"/>
              </w:rPr>
            </w:pPr>
            <w:r>
              <w:rPr>
                <w:rFonts w:hint="eastAsia" w:ascii="宋体" w:hAnsi="宋体" w:cs="宋体"/>
                <w:color w:val="auto"/>
                <w:kern w:val="0"/>
                <w:sz w:val="18"/>
                <w:szCs w:val="18"/>
              </w:rPr>
              <w:t>Y＜2000</w:t>
            </w:r>
          </w:p>
        </w:tc>
      </w:tr>
      <w:tr w14:paraId="29BFA13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B4348B7">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物业管理</w:t>
            </w:r>
          </w:p>
        </w:tc>
        <w:tc>
          <w:tcPr>
            <w:tcW w:w="1384" w:type="dxa"/>
            <w:tcBorders>
              <w:top w:val="nil"/>
              <w:left w:val="nil"/>
              <w:bottom w:val="single" w:color="auto" w:sz="4" w:space="0"/>
              <w:right w:val="single" w:color="auto" w:sz="4" w:space="0"/>
            </w:tcBorders>
            <w:vAlign w:val="center"/>
          </w:tcPr>
          <w:p w14:paraId="3D846732">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272" w:type="dxa"/>
            <w:tcBorders>
              <w:top w:val="nil"/>
              <w:left w:val="nil"/>
              <w:bottom w:val="single" w:color="auto" w:sz="4" w:space="0"/>
              <w:right w:val="single" w:color="auto" w:sz="4" w:space="0"/>
            </w:tcBorders>
            <w:vAlign w:val="center"/>
          </w:tcPr>
          <w:p w14:paraId="15701D73">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609" w:type="dxa"/>
            <w:tcBorders>
              <w:top w:val="nil"/>
              <w:left w:val="nil"/>
              <w:bottom w:val="single" w:color="auto" w:sz="4" w:space="0"/>
              <w:right w:val="single" w:color="auto" w:sz="4" w:space="0"/>
            </w:tcBorders>
            <w:vAlign w:val="center"/>
          </w:tcPr>
          <w:p w14:paraId="0B5FA1DF">
            <w:pPr>
              <w:widowControl/>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500" w:type="dxa"/>
            <w:tcBorders>
              <w:top w:val="nil"/>
              <w:left w:val="nil"/>
              <w:bottom w:val="single" w:color="auto" w:sz="4" w:space="0"/>
              <w:right w:val="single" w:color="auto" w:sz="4" w:space="0"/>
            </w:tcBorders>
            <w:vAlign w:val="center"/>
          </w:tcPr>
          <w:p w14:paraId="480FB8D1">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914" w:type="dxa"/>
            <w:tcBorders>
              <w:top w:val="nil"/>
              <w:left w:val="nil"/>
              <w:bottom w:val="single" w:color="auto" w:sz="4" w:space="0"/>
              <w:right w:val="single" w:color="auto" w:sz="4" w:space="0"/>
            </w:tcBorders>
            <w:vAlign w:val="center"/>
          </w:tcPr>
          <w:p w14:paraId="2A571739">
            <w:pPr>
              <w:widowControl/>
              <w:jc w:val="left"/>
              <w:rPr>
                <w:rFonts w:ascii="宋体" w:hAnsi="宋体" w:cs="宋体"/>
                <w:color w:val="auto"/>
                <w:kern w:val="0"/>
                <w:sz w:val="18"/>
                <w:szCs w:val="18"/>
              </w:rPr>
            </w:pPr>
            <w:r>
              <w:rPr>
                <w:rFonts w:hint="eastAsia" w:ascii="宋体" w:hAnsi="宋体" w:cs="宋体"/>
                <w:color w:val="auto"/>
                <w:kern w:val="0"/>
                <w:sz w:val="18"/>
                <w:szCs w:val="18"/>
              </w:rPr>
              <w:t>X＜100</w:t>
            </w:r>
          </w:p>
        </w:tc>
      </w:tr>
      <w:tr w14:paraId="7FF81BD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6F4EF98">
            <w:pPr>
              <w:widowControl/>
              <w:jc w:val="center"/>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74A956EC">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272" w:type="dxa"/>
            <w:tcBorders>
              <w:top w:val="nil"/>
              <w:left w:val="nil"/>
              <w:bottom w:val="single" w:color="auto" w:sz="4" w:space="0"/>
              <w:right w:val="single" w:color="auto" w:sz="4" w:space="0"/>
            </w:tcBorders>
            <w:vAlign w:val="center"/>
          </w:tcPr>
          <w:p w14:paraId="6D92890B">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3546A6DC">
            <w:pPr>
              <w:widowControl/>
              <w:jc w:val="left"/>
              <w:rPr>
                <w:rFonts w:ascii="宋体" w:hAnsi="宋体" w:cs="宋体"/>
                <w:color w:val="auto"/>
                <w:kern w:val="0"/>
                <w:sz w:val="18"/>
                <w:szCs w:val="18"/>
              </w:rPr>
            </w:pPr>
            <w:r>
              <w:rPr>
                <w:rFonts w:hint="eastAsia" w:ascii="宋体" w:hAnsi="宋体" w:cs="宋体"/>
                <w:color w:val="auto"/>
                <w:kern w:val="0"/>
                <w:sz w:val="18"/>
                <w:szCs w:val="18"/>
              </w:rPr>
              <w:t>1000≤Y＜5000</w:t>
            </w:r>
          </w:p>
        </w:tc>
        <w:tc>
          <w:tcPr>
            <w:tcW w:w="1500" w:type="dxa"/>
            <w:tcBorders>
              <w:top w:val="nil"/>
              <w:left w:val="nil"/>
              <w:bottom w:val="single" w:color="auto" w:sz="4" w:space="0"/>
              <w:right w:val="single" w:color="auto" w:sz="4" w:space="0"/>
            </w:tcBorders>
            <w:vAlign w:val="center"/>
          </w:tcPr>
          <w:p w14:paraId="570B4058">
            <w:pPr>
              <w:widowControl/>
              <w:jc w:val="left"/>
              <w:rPr>
                <w:rFonts w:ascii="宋体" w:hAnsi="宋体" w:cs="宋体"/>
                <w:color w:val="auto"/>
                <w:kern w:val="0"/>
                <w:sz w:val="18"/>
                <w:szCs w:val="18"/>
              </w:rPr>
            </w:pPr>
            <w:r>
              <w:rPr>
                <w:rFonts w:hint="eastAsia" w:ascii="宋体" w:hAnsi="宋体" w:cs="宋体"/>
                <w:color w:val="auto"/>
                <w:kern w:val="0"/>
                <w:sz w:val="18"/>
                <w:szCs w:val="18"/>
              </w:rPr>
              <w:t>500≤Y＜1000</w:t>
            </w:r>
          </w:p>
        </w:tc>
        <w:tc>
          <w:tcPr>
            <w:tcW w:w="914" w:type="dxa"/>
            <w:tcBorders>
              <w:top w:val="nil"/>
              <w:left w:val="nil"/>
              <w:bottom w:val="single" w:color="auto" w:sz="4" w:space="0"/>
              <w:right w:val="single" w:color="auto" w:sz="4" w:space="0"/>
            </w:tcBorders>
            <w:vAlign w:val="center"/>
          </w:tcPr>
          <w:p w14:paraId="490D10AE">
            <w:pPr>
              <w:widowControl/>
              <w:jc w:val="left"/>
              <w:rPr>
                <w:rFonts w:ascii="宋体" w:hAnsi="宋体" w:cs="宋体"/>
                <w:color w:val="auto"/>
                <w:kern w:val="0"/>
                <w:sz w:val="18"/>
                <w:szCs w:val="18"/>
              </w:rPr>
            </w:pPr>
            <w:r>
              <w:rPr>
                <w:rFonts w:hint="eastAsia" w:ascii="宋体" w:hAnsi="宋体" w:cs="宋体"/>
                <w:color w:val="auto"/>
                <w:kern w:val="0"/>
                <w:sz w:val="18"/>
                <w:szCs w:val="18"/>
              </w:rPr>
              <w:t>Y＜500</w:t>
            </w:r>
          </w:p>
        </w:tc>
      </w:tr>
      <w:tr w14:paraId="6BBB82C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BE5B9E2">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467B4BDF">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272" w:type="dxa"/>
            <w:tcBorders>
              <w:top w:val="nil"/>
              <w:left w:val="nil"/>
              <w:bottom w:val="single" w:color="auto" w:sz="4" w:space="0"/>
              <w:right w:val="single" w:color="auto" w:sz="4" w:space="0"/>
            </w:tcBorders>
            <w:vAlign w:val="center"/>
          </w:tcPr>
          <w:p w14:paraId="72DA7DBF">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609" w:type="dxa"/>
            <w:tcBorders>
              <w:top w:val="nil"/>
              <w:left w:val="nil"/>
              <w:bottom w:val="single" w:color="auto" w:sz="4" w:space="0"/>
              <w:right w:val="single" w:color="auto" w:sz="4" w:space="0"/>
            </w:tcBorders>
            <w:vAlign w:val="center"/>
          </w:tcPr>
          <w:p w14:paraId="71E68CFA">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500" w:type="dxa"/>
            <w:tcBorders>
              <w:top w:val="nil"/>
              <w:left w:val="nil"/>
              <w:bottom w:val="single" w:color="auto" w:sz="4" w:space="0"/>
              <w:right w:val="single" w:color="auto" w:sz="4" w:space="0"/>
            </w:tcBorders>
            <w:vAlign w:val="center"/>
          </w:tcPr>
          <w:p w14:paraId="7C8C1A58">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14" w:type="dxa"/>
            <w:tcBorders>
              <w:top w:val="nil"/>
              <w:left w:val="nil"/>
              <w:bottom w:val="single" w:color="auto" w:sz="4" w:space="0"/>
              <w:right w:val="single" w:color="auto" w:sz="4" w:space="0"/>
            </w:tcBorders>
            <w:vAlign w:val="center"/>
          </w:tcPr>
          <w:p w14:paraId="639A7484">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3837B33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4E05150">
            <w:pPr>
              <w:widowControl/>
              <w:jc w:val="center"/>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6C781C15">
            <w:pPr>
              <w:widowControl/>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1272" w:type="dxa"/>
            <w:tcBorders>
              <w:top w:val="nil"/>
              <w:left w:val="nil"/>
              <w:bottom w:val="single" w:color="auto" w:sz="4" w:space="0"/>
              <w:right w:val="single" w:color="auto" w:sz="4" w:space="0"/>
            </w:tcBorders>
            <w:vAlign w:val="center"/>
          </w:tcPr>
          <w:p w14:paraId="5D351F2F">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461146AD">
            <w:pPr>
              <w:widowControl/>
              <w:jc w:val="left"/>
              <w:rPr>
                <w:rFonts w:ascii="宋体" w:hAnsi="宋体" w:cs="宋体"/>
                <w:color w:val="auto"/>
                <w:kern w:val="0"/>
                <w:sz w:val="18"/>
                <w:szCs w:val="18"/>
              </w:rPr>
            </w:pPr>
            <w:r>
              <w:rPr>
                <w:rFonts w:hint="eastAsia" w:ascii="宋体" w:hAnsi="宋体" w:cs="宋体"/>
                <w:color w:val="auto"/>
                <w:kern w:val="0"/>
                <w:sz w:val="18"/>
                <w:szCs w:val="18"/>
              </w:rPr>
              <w:t>8000≤Z＜120000</w:t>
            </w:r>
          </w:p>
        </w:tc>
        <w:tc>
          <w:tcPr>
            <w:tcW w:w="1500" w:type="dxa"/>
            <w:tcBorders>
              <w:top w:val="nil"/>
              <w:left w:val="nil"/>
              <w:bottom w:val="single" w:color="auto" w:sz="4" w:space="0"/>
              <w:right w:val="single" w:color="auto" w:sz="4" w:space="0"/>
            </w:tcBorders>
            <w:vAlign w:val="center"/>
          </w:tcPr>
          <w:p w14:paraId="200CE8BE">
            <w:pPr>
              <w:widowControl/>
              <w:jc w:val="left"/>
              <w:rPr>
                <w:rFonts w:ascii="宋体" w:hAnsi="宋体" w:cs="宋体"/>
                <w:color w:val="auto"/>
                <w:kern w:val="0"/>
                <w:sz w:val="18"/>
                <w:szCs w:val="18"/>
              </w:rPr>
            </w:pPr>
            <w:r>
              <w:rPr>
                <w:rFonts w:hint="eastAsia" w:ascii="宋体" w:hAnsi="宋体" w:cs="宋体"/>
                <w:color w:val="auto"/>
                <w:kern w:val="0"/>
                <w:sz w:val="18"/>
                <w:szCs w:val="18"/>
              </w:rPr>
              <w:t>100≤Z＜8000</w:t>
            </w:r>
          </w:p>
        </w:tc>
        <w:tc>
          <w:tcPr>
            <w:tcW w:w="914" w:type="dxa"/>
            <w:tcBorders>
              <w:top w:val="nil"/>
              <w:left w:val="nil"/>
              <w:bottom w:val="single" w:color="auto" w:sz="4" w:space="0"/>
              <w:right w:val="single" w:color="auto" w:sz="4" w:space="0"/>
            </w:tcBorders>
            <w:vAlign w:val="center"/>
          </w:tcPr>
          <w:p w14:paraId="00017323">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2CBAF565">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1A8EAD28">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166782E3">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272" w:type="dxa"/>
            <w:tcBorders>
              <w:top w:val="nil"/>
              <w:left w:val="nil"/>
              <w:bottom w:val="single" w:color="auto" w:sz="4" w:space="0"/>
              <w:right w:val="single" w:color="auto" w:sz="4" w:space="0"/>
            </w:tcBorders>
            <w:vAlign w:val="center"/>
          </w:tcPr>
          <w:p w14:paraId="5AC13EA9">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609" w:type="dxa"/>
            <w:tcBorders>
              <w:top w:val="nil"/>
              <w:left w:val="nil"/>
              <w:bottom w:val="single" w:color="auto" w:sz="4" w:space="0"/>
              <w:right w:val="single" w:color="auto" w:sz="4" w:space="0"/>
            </w:tcBorders>
            <w:vAlign w:val="center"/>
          </w:tcPr>
          <w:p w14:paraId="5BECCF83">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500" w:type="dxa"/>
            <w:tcBorders>
              <w:top w:val="nil"/>
              <w:left w:val="nil"/>
              <w:bottom w:val="single" w:color="auto" w:sz="4" w:space="0"/>
              <w:right w:val="single" w:color="auto" w:sz="4" w:space="0"/>
            </w:tcBorders>
            <w:vAlign w:val="center"/>
          </w:tcPr>
          <w:p w14:paraId="334F3DE9">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14" w:type="dxa"/>
            <w:tcBorders>
              <w:top w:val="nil"/>
              <w:left w:val="nil"/>
              <w:bottom w:val="single" w:color="auto" w:sz="4" w:space="0"/>
              <w:right w:val="single" w:color="auto" w:sz="4" w:space="0"/>
            </w:tcBorders>
            <w:vAlign w:val="center"/>
          </w:tcPr>
          <w:p w14:paraId="7CD30D3C">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bl>
    <w:p w14:paraId="25E248E6">
      <w:pPr>
        <w:spacing w:line="360" w:lineRule="auto"/>
        <w:ind w:firstLine="525" w:firstLineChars="250"/>
        <w:rPr>
          <w:rFonts w:ascii="仿宋_GB2312" w:hAnsi="仿宋" w:eastAsia="仿宋_GB2312"/>
          <w:color w:val="auto"/>
          <w:szCs w:val="21"/>
        </w:rPr>
      </w:pPr>
      <w:r>
        <w:rPr>
          <w:rFonts w:hint="eastAsia" w:ascii="仿宋_GB2312" w:hAnsi="仿宋" w:eastAsia="仿宋_GB2312"/>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3FAFF117">
      <w:pPr>
        <w:pStyle w:val="17"/>
        <w:jc w:val="center"/>
        <w:outlineLvl w:val="0"/>
        <w:rPr>
          <w:rFonts w:hAnsi="宋体"/>
          <w:color w:val="auto"/>
        </w:rPr>
        <w:sectPr>
          <w:footerReference r:id="rId6" w:type="default"/>
          <w:pgSz w:w="11906" w:h="16838"/>
          <w:pgMar w:top="1134" w:right="1134" w:bottom="1134" w:left="1134" w:header="720" w:footer="720" w:gutter="0"/>
          <w:cols w:space="720" w:num="1"/>
          <w:docGrid w:type="lines" w:linePitch="331" w:charSpace="0"/>
        </w:sectPr>
      </w:pPr>
    </w:p>
    <w:p w14:paraId="7977B752">
      <w:pPr>
        <w:pStyle w:val="17"/>
        <w:jc w:val="center"/>
        <w:outlineLvl w:val="0"/>
        <w:rPr>
          <w:rFonts w:hAnsi="宋体"/>
          <w:b/>
          <w:color w:val="auto"/>
          <w:sz w:val="36"/>
          <w:szCs w:val="36"/>
        </w:rPr>
      </w:pPr>
      <w:bookmarkStart w:id="39" w:name="_Toc80092992"/>
      <w:bookmarkStart w:id="40" w:name="_Toc532545044"/>
      <w:r>
        <w:rPr>
          <w:rFonts w:hint="eastAsia" w:ascii="Times New Roman" w:hAnsi="Times New Roman"/>
          <w:b/>
          <w:color w:val="auto"/>
          <w:sz w:val="36"/>
        </w:rPr>
        <w:t>第三章</w:t>
      </w:r>
      <w:r>
        <w:rPr>
          <w:rFonts w:ascii="Times New Roman" w:hAnsi="Times New Roman"/>
          <w:b/>
          <w:color w:val="auto"/>
          <w:sz w:val="36"/>
        </w:rPr>
        <w:t xml:space="preserve">  </w:t>
      </w:r>
      <w:r>
        <w:rPr>
          <w:rFonts w:hint="eastAsia" w:ascii="Times New Roman" w:hAnsi="Times New Roman"/>
          <w:b/>
          <w:color w:val="auto"/>
          <w:sz w:val="36"/>
        </w:rPr>
        <w:t>投标人须知</w:t>
      </w:r>
      <w:bookmarkEnd w:id="39"/>
      <w:bookmarkEnd w:id="40"/>
    </w:p>
    <w:p w14:paraId="315F555B">
      <w:pPr>
        <w:pStyle w:val="17"/>
        <w:spacing w:line="720" w:lineRule="auto"/>
        <w:jc w:val="center"/>
        <w:outlineLvl w:val="1"/>
        <w:rPr>
          <w:rFonts w:ascii="Times New Roman" w:hAnsi="Times New Roman"/>
          <w:b/>
          <w:color w:val="auto"/>
          <w:sz w:val="30"/>
          <w:szCs w:val="30"/>
        </w:rPr>
      </w:pPr>
      <w:bookmarkStart w:id="41" w:name="_Toc80092993"/>
      <w:r>
        <w:rPr>
          <w:rFonts w:hint="eastAsia" w:ascii="Times New Roman" w:hAnsi="Times New Roman"/>
          <w:b/>
          <w:color w:val="auto"/>
          <w:sz w:val="30"/>
          <w:szCs w:val="30"/>
        </w:rPr>
        <w:t>第一节 投标人须知前附表</w:t>
      </w:r>
      <w:bookmarkEnd w:id="41"/>
    </w:p>
    <w:tbl>
      <w:tblPr>
        <w:tblStyle w:val="34"/>
        <w:tblW w:w="10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736"/>
        <w:gridCol w:w="7829"/>
      </w:tblGrid>
      <w:tr w14:paraId="19851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8A0D346">
            <w:pPr>
              <w:snapToGrid w:val="0"/>
              <w:spacing w:line="360" w:lineRule="auto"/>
              <w:jc w:val="center"/>
              <w:rPr>
                <w:rFonts w:ascii="宋体" w:hAnsi="宋体"/>
                <w:color w:val="auto"/>
                <w:szCs w:val="21"/>
              </w:rPr>
            </w:pPr>
            <w:r>
              <w:rPr>
                <w:rFonts w:hint="eastAsia" w:ascii="宋体" w:hAnsi="宋体"/>
                <w:color w:val="auto"/>
                <w:szCs w:val="21"/>
              </w:rPr>
              <w:t>条款号</w:t>
            </w:r>
          </w:p>
        </w:tc>
        <w:tc>
          <w:tcPr>
            <w:tcW w:w="1736" w:type="dxa"/>
            <w:tcBorders>
              <w:top w:val="single" w:color="auto" w:sz="4" w:space="0"/>
              <w:left w:val="single" w:color="auto" w:sz="4" w:space="0"/>
              <w:bottom w:val="single" w:color="auto" w:sz="4" w:space="0"/>
              <w:right w:val="single" w:color="auto" w:sz="4" w:space="0"/>
            </w:tcBorders>
            <w:vAlign w:val="center"/>
          </w:tcPr>
          <w:p w14:paraId="37A18699">
            <w:pPr>
              <w:snapToGrid w:val="0"/>
              <w:spacing w:line="360" w:lineRule="auto"/>
              <w:jc w:val="center"/>
              <w:rPr>
                <w:rFonts w:ascii="宋体" w:hAnsi="宋体"/>
                <w:color w:val="auto"/>
                <w:szCs w:val="21"/>
              </w:rPr>
            </w:pPr>
            <w:r>
              <w:rPr>
                <w:rFonts w:hint="eastAsia" w:ascii="宋体" w:hAnsi="宋体"/>
                <w:color w:val="auto"/>
                <w:szCs w:val="21"/>
              </w:rPr>
              <w:t>项目内容</w:t>
            </w:r>
          </w:p>
        </w:tc>
        <w:tc>
          <w:tcPr>
            <w:tcW w:w="7829" w:type="dxa"/>
            <w:tcBorders>
              <w:top w:val="single" w:color="auto" w:sz="4" w:space="0"/>
              <w:left w:val="single" w:color="auto" w:sz="4" w:space="0"/>
              <w:bottom w:val="single" w:color="auto" w:sz="4" w:space="0"/>
              <w:right w:val="single" w:color="auto" w:sz="4" w:space="0"/>
            </w:tcBorders>
            <w:vAlign w:val="center"/>
          </w:tcPr>
          <w:p w14:paraId="06ECE059">
            <w:pPr>
              <w:snapToGrid w:val="0"/>
              <w:spacing w:line="360" w:lineRule="auto"/>
              <w:jc w:val="center"/>
              <w:rPr>
                <w:rFonts w:ascii="宋体" w:hAnsi="宋体"/>
                <w:color w:val="auto"/>
                <w:szCs w:val="21"/>
              </w:rPr>
            </w:pPr>
            <w:r>
              <w:rPr>
                <w:rFonts w:hint="eastAsia" w:ascii="宋体" w:hAnsi="宋体"/>
                <w:color w:val="auto"/>
                <w:szCs w:val="21"/>
              </w:rPr>
              <w:t>编列内容</w:t>
            </w:r>
          </w:p>
        </w:tc>
      </w:tr>
      <w:tr w14:paraId="7B636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3DCCEDB">
            <w:pPr>
              <w:spacing w:line="380" w:lineRule="exact"/>
              <w:jc w:val="center"/>
              <w:rPr>
                <w:rFonts w:ascii="宋体" w:hAnsi="宋体"/>
                <w:color w:val="auto"/>
                <w:szCs w:val="21"/>
              </w:rPr>
            </w:pPr>
            <w:r>
              <w:rPr>
                <w:rFonts w:hint="eastAsia" w:ascii="宋体" w:hAnsi="宋体"/>
                <w:color w:val="auto"/>
                <w:szCs w:val="21"/>
              </w:rPr>
              <w:t>6.1</w:t>
            </w:r>
          </w:p>
        </w:tc>
        <w:tc>
          <w:tcPr>
            <w:tcW w:w="1736" w:type="dxa"/>
            <w:tcBorders>
              <w:top w:val="single" w:color="auto" w:sz="4" w:space="0"/>
              <w:left w:val="single" w:color="auto" w:sz="4" w:space="0"/>
              <w:bottom w:val="single" w:color="auto" w:sz="4" w:space="0"/>
              <w:right w:val="single" w:color="auto" w:sz="4" w:space="0"/>
            </w:tcBorders>
            <w:vAlign w:val="center"/>
          </w:tcPr>
          <w:p w14:paraId="015D2B0A">
            <w:pPr>
              <w:spacing w:line="380" w:lineRule="exact"/>
              <w:jc w:val="center"/>
              <w:rPr>
                <w:rFonts w:ascii="宋体" w:hAnsi="宋体"/>
                <w:color w:val="auto"/>
                <w:szCs w:val="21"/>
              </w:rPr>
            </w:pPr>
            <w:bookmarkStart w:id="42" w:name="_8.1"/>
            <w:bookmarkEnd w:id="42"/>
            <w:bookmarkStart w:id="43" w:name="_9.2"/>
            <w:bookmarkEnd w:id="43"/>
            <w:bookmarkStart w:id="44" w:name="_5"/>
            <w:bookmarkEnd w:id="44"/>
            <w:r>
              <w:rPr>
                <w:rFonts w:hint="eastAsia" w:ascii="宋体" w:hAnsi="宋体"/>
                <w:color w:val="auto"/>
                <w:szCs w:val="21"/>
              </w:rPr>
              <w:t>是否接受联合体投标</w:t>
            </w:r>
          </w:p>
        </w:tc>
        <w:tc>
          <w:tcPr>
            <w:tcW w:w="7829" w:type="dxa"/>
            <w:tcBorders>
              <w:top w:val="single" w:color="auto" w:sz="4" w:space="0"/>
              <w:left w:val="single" w:color="auto" w:sz="4" w:space="0"/>
              <w:bottom w:val="single" w:color="auto" w:sz="4" w:space="0"/>
              <w:right w:val="single" w:color="auto" w:sz="4" w:space="0"/>
            </w:tcBorders>
            <w:vAlign w:val="center"/>
          </w:tcPr>
          <w:p w14:paraId="32BC1A56">
            <w:pPr>
              <w:pStyle w:val="11"/>
              <w:spacing w:line="380" w:lineRule="exact"/>
              <w:rPr>
                <w:rFonts w:ascii="宋体" w:hAnsi="宋体"/>
                <w:color w:val="auto"/>
                <w:szCs w:val="21"/>
              </w:rPr>
            </w:pPr>
            <w:r>
              <w:rPr>
                <w:rFonts w:hint="eastAsia" w:ascii="宋体" w:hAnsi="宋体"/>
                <w:color w:val="auto"/>
                <w:szCs w:val="21"/>
              </w:rPr>
              <w:t>□是/☑否。</w:t>
            </w:r>
          </w:p>
        </w:tc>
      </w:tr>
      <w:tr w14:paraId="19068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35EA697">
            <w:pPr>
              <w:spacing w:line="380" w:lineRule="exact"/>
              <w:jc w:val="center"/>
              <w:rPr>
                <w:rFonts w:ascii="宋体" w:hAnsi="宋体"/>
                <w:color w:val="auto"/>
                <w:szCs w:val="21"/>
              </w:rPr>
            </w:pPr>
            <w:r>
              <w:rPr>
                <w:rFonts w:ascii="宋体" w:hAnsi="宋体"/>
                <w:color w:val="auto"/>
                <w:szCs w:val="21"/>
              </w:rPr>
              <w:t>6.2</w:t>
            </w:r>
          </w:p>
        </w:tc>
        <w:tc>
          <w:tcPr>
            <w:tcW w:w="1736" w:type="dxa"/>
            <w:tcBorders>
              <w:top w:val="single" w:color="auto" w:sz="4" w:space="0"/>
              <w:left w:val="single" w:color="auto" w:sz="4" w:space="0"/>
              <w:bottom w:val="single" w:color="auto" w:sz="4" w:space="0"/>
              <w:right w:val="single" w:color="auto" w:sz="4" w:space="0"/>
            </w:tcBorders>
            <w:vAlign w:val="center"/>
          </w:tcPr>
          <w:p w14:paraId="46422677">
            <w:pPr>
              <w:spacing w:line="380" w:lineRule="exact"/>
              <w:jc w:val="center"/>
              <w:rPr>
                <w:rFonts w:ascii="宋体" w:hAnsi="宋体"/>
                <w:color w:val="auto"/>
                <w:szCs w:val="21"/>
              </w:rPr>
            </w:pPr>
            <w:r>
              <w:rPr>
                <w:rFonts w:hint="eastAsia" w:ascii="宋体" w:hAnsi="宋体"/>
                <w:color w:val="auto"/>
                <w:szCs w:val="21"/>
              </w:rPr>
              <w:t>联合体投标要求</w:t>
            </w:r>
          </w:p>
        </w:tc>
        <w:tc>
          <w:tcPr>
            <w:tcW w:w="7829" w:type="dxa"/>
            <w:tcBorders>
              <w:top w:val="single" w:color="auto" w:sz="4" w:space="0"/>
              <w:left w:val="single" w:color="auto" w:sz="4" w:space="0"/>
              <w:bottom w:val="single" w:color="auto" w:sz="4" w:space="0"/>
              <w:right w:val="single" w:color="auto" w:sz="4" w:space="0"/>
            </w:tcBorders>
            <w:vAlign w:val="center"/>
          </w:tcPr>
          <w:p w14:paraId="4E3BE29E">
            <w:pPr>
              <w:pStyle w:val="11"/>
              <w:spacing w:line="380" w:lineRule="exact"/>
              <w:rPr>
                <w:rFonts w:ascii="宋体" w:hAnsi="宋体"/>
                <w:color w:val="auto"/>
                <w:szCs w:val="21"/>
              </w:rPr>
            </w:pPr>
            <w:r>
              <w:rPr>
                <w:rFonts w:hint="eastAsia" w:ascii="宋体" w:hAnsi="宋体"/>
                <w:color w:val="auto"/>
                <w:szCs w:val="21"/>
              </w:rPr>
              <w:t>无</w:t>
            </w:r>
          </w:p>
        </w:tc>
      </w:tr>
      <w:tr w14:paraId="1910F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A8F202C">
            <w:pPr>
              <w:spacing w:line="380" w:lineRule="exact"/>
              <w:jc w:val="center"/>
              <w:rPr>
                <w:rFonts w:ascii="宋体" w:hAnsi="宋体"/>
                <w:color w:val="auto"/>
                <w:szCs w:val="21"/>
              </w:rPr>
            </w:pPr>
            <w:r>
              <w:rPr>
                <w:rFonts w:hint="eastAsia" w:ascii="宋体" w:hAnsi="宋体"/>
                <w:color w:val="auto"/>
                <w:szCs w:val="21"/>
              </w:rPr>
              <w:t>7.2</w:t>
            </w:r>
          </w:p>
        </w:tc>
        <w:tc>
          <w:tcPr>
            <w:tcW w:w="1736" w:type="dxa"/>
            <w:tcBorders>
              <w:top w:val="single" w:color="auto" w:sz="4" w:space="0"/>
              <w:left w:val="single" w:color="auto" w:sz="4" w:space="0"/>
              <w:bottom w:val="single" w:color="auto" w:sz="4" w:space="0"/>
              <w:right w:val="single" w:color="auto" w:sz="4" w:space="0"/>
            </w:tcBorders>
            <w:vAlign w:val="center"/>
          </w:tcPr>
          <w:p w14:paraId="1A104B83">
            <w:pPr>
              <w:spacing w:line="380" w:lineRule="exact"/>
              <w:jc w:val="center"/>
              <w:rPr>
                <w:rFonts w:ascii="宋体" w:hAnsi="宋体"/>
                <w:color w:val="auto"/>
                <w:szCs w:val="21"/>
              </w:rPr>
            </w:pPr>
            <w:r>
              <w:rPr>
                <w:rFonts w:hint="eastAsia" w:ascii="宋体" w:hAnsi="宋体"/>
                <w:color w:val="auto"/>
                <w:szCs w:val="21"/>
              </w:rPr>
              <w:t>是否允许转包/分包</w:t>
            </w:r>
          </w:p>
        </w:tc>
        <w:tc>
          <w:tcPr>
            <w:tcW w:w="7829" w:type="dxa"/>
            <w:tcBorders>
              <w:top w:val="single" w:color="auto" w:sz="4" w:space="0"/>
              <w:left w:val="single" w:color="auto" w:sz="4" w:space="0"/>
              <w:bottom w:val="single" w:color="auto" w:sz="4" w:space="0"/>
              <w:right w:val="single" w:color="auto" w:sz="4" w:space="0"/>
            </w:tcBorders>
            <w:vAlign w:val="center"/>
          </w:tcPr>
          <w:p w14:paraId="0D27B1AA">
            <w:pPr>
              <w:pStyle w:val="11"/>
              <w:spacing w:line="380" w:lineRule="exact"/>
              <w:rPr>
                <w:rFonts w:ascii="宋体" w:hAnsi="宋体"/>
                <w:color w:val="auto"/>
                <w:szCs w:val="21"/>
              </w:rPr>
            </w:pPr>
            <w:r>
              <w:rPr>
                <w:rFonts w:hint="eastAsia" w:ascii="宋体" w:hAnsi="宋体"/>
                <w:color w:val="auto"/>
                <w:szCs w:val="21"/>
              </w:rPr>
              <w:t>☑不允许转包/分包</w:t>
            </w:r>
          </w:p>
          <w:p w14:paraId="0E6C08FB">
            <w:pPr>
              <w:pStyle w:val="11"/>
              <w:spacing w:line="380" w:lineRule="exact"/>
              <w:rPr>
                <w:rFonts w:ascii="宋体" w:hAnsi="宋体"/>
                <w:color w:val="auto"/>
                <w:szCs w:val="21"/>
              </w:rPr>
            </w:pPr>
            <w:r>
              <w:rPr>
                <w:rFonts w:hint="eastAsia" w:ascii="宋体" w:hAnsi="宋体"/>
                <w:color w:val="auto"/>
                <w:szCs w:val="21"/>
              </w:rPr>
              <w:t>□允许转包/分包</w:t>
            </w:r>
          </w:p>
        </w:tc>
      </w:tr>
      <w:tr w14:paraId="1211F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7D295AB">
            <w:pPr>
              <w:spacing w:line="380" w:lineRule="exact"/>
              <w:jc w:val="center"/>
              <w:rPr>
                <w:rFonts w:ascii="宋体" w:hAnsi="宋体"/>
                <w:color w:val="auto"/>
                <w:szCs w:val="21"/>
              </w:rPr>
            </w:pPr>
            <w:r>
              <w:rPr>
                <w:rFonts w:hint="eastAsia" w:ascii="宋体" w:hAnsi="宋体"/>
                <w:color w:val="auto"/>
                <w:szCs w:val="21"/>
              </w:rPr>
              <w:t>1</w:t>
            </w:r>
            <w:r>
              <w:rPr>
                <w:rFonts w:ascii="宋体" w:hAnsi="宋体"/>
                <w:color w:val="auto"/>
                <w:szCs w:val="21"/>
              </w:rPr>
              <w:t>1.</w:t>
            </w:r>
            <w:r>
              <w:rPr>
                <w:rFonts w:hint="eastAsia" w:ascii="宋体" w:hAnsi="宋体"/>
                <w:color w:val="auto"/>
                <w:szCs w:val="21"/>
              </w:rPr>
              <w:t>4</w:t>
            </w:r>
          </w:p>
        </w:tc>
        <w:tc>
          <w:tcPr>
            <w:tcW w:w="1736" w:type="dxa"/>
            <w:tcBorders>
              <w:top w:val="single" w:color="auto" w:sz="4" w:space="0"/>
              <w:left w:val="single" w:color="auto" w:sz="4" w:space="0"/>
              <w:bottom w:val="single" w:color="auto" w:sz="4" w:space="0"/>
              <w:right w:val="single" w:color="auto" w:sz="4" w:space="0"/>
            </w:tcBorders>
            <w:vAlign w:val="center"/>
          </w:tcPr>
          <w:p w14:paraId="6FFB5FA7">
            <w:pPr>
              <w:spacing w:line="380" w:lineRule="exact"/>
              <w:jc w:val="center"/>
              <w:rPr>
                <w:rFonts w:ascii="宋体" w:hAnsi="宋体"/>
                <w:color w:val="auto"/>
                <w:szCs w:val="21"/>
              </w:rPr>
            </w:pPr>
            <w:r>
              <w:rPr>
                <w:rFonts w:hint="eastAsia" w:ascii="宋体" w:hAnsi="宋体"/>
                <w:color w:val="auto"/>
                <w:szCs w:val="21"/>
              </w:rPr>
              <w:t>媒体发布渠道</w:t>
            </w:r>
          </w:p>
        </w:tc>
        <w:tc>
          <w:tcPr>
            <w:tcW w:w="7829" w:type="dxa"/>
            <w:tcBorders>
              <w:top w:val="single" w:color="auto" w:sz="4" w:space="0"/>
              <w:left w:val="single" w:color="auto" w:sz="4" w:space="0"/>
              <w:bottom w:val="single" w:color="auto" w:sz="4" w:space="0"/>
              <w:right w:val="single" w:color="auto" w:sz="4" w:space="0"/>
            </w:tcBorders>
            <w:vAlign w:val="center"/>
          </w:tcPr>
          <w:p w14:paraId="729E4176">
            <w:pPr>
              <w:rPr>
                <w:color w:val="auto"/>
                <w:sz w:val="28"/>
                <w:szCs w:val="18"/>
              </w:rPr>
            </w:pPr>
            <w:r>
              <w:rPr>
                <w:rFonts w:hint="eastAsia" w:ascii="宋体" w:hAnsi="宋体" w:cs="宋体"/>
                <w:color w:val="auto"/>
                <w:szCs w:val="21"/>
              </w:rPr>
              <w:t>与本项目相关的政府采购业务澄清、更正及与之相关的事项将在采购公告中“</w:t>
            </w:r>
            <w:r>
              <w:rPr>
                <w:rFonts w:hint="eastAsia" w:ascii="宋体" w:hAnsi="宋体"/>
                <w:color w:val="auto"/>
                <w:szCs w:val="21"/>
              </w:rPr>
              <w:t>六、其他补充事宜”中网上查询地址</w:t>
            </w:r>
            <w:r>
              <w:rPr>
                <w:rFonts w:hint="eastAsia" w:ascii="宋体" w:hAnsi="宋体" w:cs="宋体"/>
                <w:color w:val="auto"/>
                <w:szCs w:val="21"/>
              </w:rPr>
              <w:t>上发布</w:t>
            </w:r>
            <w:r>
              <w:rPr>
                <w:rFonts w:hint="eastAsia" w:ascii="宋体" w:hAnsi="宋体" w:cs="宋体"/>
                <w:color w:val="auto"/>
                <w:kern w:val="0"/>
                <w:szCs w:val="21"/>
              </w:rPr>
              <w:t>。</w:t>
            </w:r>
          </w:p>
        </w:tc>
      </w:tr>
      <w:tr w14:paraId="026FA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AAEDBDB">
            <w:pPr>
              <w:spacing w:line="380" w:lineRule="exact"/>
              <w:jc w:val="center"/>
              <w:rPr>
                <w:rFonts w:ascii="宋体" w:hAnsi="宋体"/>
                <w:color w:val="auto"/>
                <w:szCs w:val="21"/>
              </w:rPr>
            </w:pPr>
            <w:r>
              <w:rPr>
                <w:rFonts w:hint="eastAsia" w:ascii="宋体" w:hAnsi="宋体"/>
                <w:color w:val="auto"/>
                <w:szCs w:val="21"/>
              </w:rPr>
              <w:t>11.6</w:t>
            </w:r>
          </w:p>
        </w:tc>
        <w:tc>
          <w:tcPr>
            <w:tcW w:w="1736" w:type="dxa"/>
            <w:tcBorders>
              <w:top w:val="single" w:color="auto" w:sz="4" w:space="0"/>
              <w:left w:val="single" w:color="auto" w:sz="4" w:space="0"/>
              <w:bottom w:val="single" w:color="auto" w:sz="4" w:space="0"/>
              <w:right w:val="single" w:color="auto" w:sz="4" w:space="0"/>
            </w:tcBorders>
            <w:vAlign w:val="center"/>
          </w:tcPr>
          <w:p w14:paraId="1BFC6872">
            <w:pPr>
              <w:spacing w:line="380" w:lineRule="exact"/>
              <w:jc w:val="center"/>
              <w:rPr>
                <w:rFonts w:ascii="宋体" w:hAnsi="宋体"/>
                <w:color w:val="auto"/>
                <w:szCs w:val="21"/>
              </w:rPr>
            </w:pPr>
            <w:r>
              <w:rPr>
                <w:rFonts w:hint="eastAsia" w:ascii="宋体" w:hAnsi="宋体"/>
                <w:color w:val="auto"/>
                <w:szCs w:val="21"/>
              </w:rPr>
              <w:t>是否组织标前答疑会</w:t>
            </w:r>
          </w:p>
        </w:tc>
        <w:tc>
          <w:tcPr>
            <w:tcW w:w="7829" w:type="dxa"/>
            <w:tcBorders>
              <w:top w:val="single" w:color="auto" w:sz="4" w:space="0"/>
              <w:left w:val="single" w:color="auto" w:sz="4" w:space="0"/>
              <w:bottom w:val="single" w:color="auto" w:sz="4" w:space="0"/>
              <w:right w:val="single" w:color="auto" w:sz="4" w:space="0"/>
            </w:tcBorders>
            <w:vAlign w:val="center"/>
          </w:tcPr>
          <w:p w14:paraId="72E57C44">
            <w:pPr>
              <w:snapToGrid w:val="0"/>
              <w:spacing w:line="380" w:lineRule="exact"/>
              <w:rPr>
                <w:rFonts w:ascii="宋体" w:hAnsi="宋体"/>
                <w:color w:val="auto"/>
                <w:szCs w:val="21"/>
              </w:rPr>
            </w:pPr>
            <w:r>
              <w:rPr>
                <w:rFonts w:hint="eastAsia" w:ascii="宋体" w:hAnsi="宋体"/>
                <w:color w:val="auto"/>
                <w:szCs w:val="21"/>
              </w:rPr>
              <w:t>☑不组织召开开标前答疑会</w:t>
            </w:r>
          </w:p>
          <w:p w14:paraId="33A73435">
            <w:pPr>
              <w:snapToGrid w:val="0"/>
              <w:spacing w:line="380" w:lineRule="exact"/>
              <w:rPr>
                <w:rFonts w:ascii="宋体" w:hAnsi="宋体"/>
                <w:color w:val="auto"/>
                <w:szCs w:val="21"/>
                <w:u w:val="single"/>
              </w:rPr>
            </w:pPr>
            <w:r>
              <w:rPr>
                <w:rFonts w:hint="eastAsia" w:ascii="宋体" w:hAnsi="宋体"/>
                <w:color w:val="auto"/>
                <w:szCs w:val="21"/>
              </w:rPr>
              <w:t>□组织召开开标前答疑会</w:t>
            </w:r>
          </w:p>
        </w:tc>
      </w:tr>
      <w:tr w14:paraId="2DC9F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14:paraId="1414CFE1">
            <w:pPr>
              <w:spacing w:line="380" w:lineRule="exact"/>
              <w:jc w:val="center"/>
              <w:rPr>
                <w:rFonts w:ascii="宋体" w:hAnsi="宋体"/>
                <w:color w:val="auto"/>
                <w:szCs w:val="21"/>
              </w:rPr>
            </w:pPr>
            <w:r>
              <w:rPr>
                <w:rFonts w:hint="eastAsia" w:ascii="宋体" w:hAnsi="宋体"/>
                <w:color w:val="auto"/>
                <w:szCs w:val="21"/>
              </w:rPr>
              <w:t>13.1</w:t>
            </w:r>
          </w:p>
        </w:tc>
        <w:tc>
          <w:tcPr>
            <w:tcW w:w="1736" w:type="dxa"/>
            <w:tcBorders>
              <w:top w:val="single" w:color="auto" w:sz="4" w:space="0"/>
              <w:left w:val="single" w:color="auto" w:sz="4" w:space="0"/>
              <w:bottom w:val="single" w:color="auto" w:sz="4" w:space="0"/>
              <w:right w:val="single" w:color="auto" w:sz="4" w:space="0"/>
            </w:tcBorders>
            <w:vAlign w:val="center"/>
          </w:tcPr>
          <w:p w14:paraId="63F74CFF">
            <w:pPr>
              <w:snapToGrid w:val="0"/>
              <w:spacing w:line="380" w:lineRule="exact"/>
              <w:jc w:val="center"/>
              <w:rPr>
                <w:rFonts w:ascii="宋体" w:hAnsi="宋体" w:cs="Courier New"/>
                <w:color w:val="auto"/>
                <w:szCs w:val="21"/>
              </w:rPr>
            </w:pPr>
            <w:bookmarkStart w:id="45" w:name="_13.2"/>
            <w:bookmarkEnd w:id="45"/>
            <w:r>
              <w:rPr>
                <w:rFonts w:hint="eastAsia" w:ascii="宋体" w:hAnsi="宋体" w:cs="Courier New"/>
                <w:color w:val="auto"/>
                <w:szCs w:val="21"/>
              </w:rPr>
              <w:t>资格证明文件组成</w:t>
            </w:r>
          </w:p>
        </w:tc>
        <w:tc>
          <w:tcPr>
            <w:tcW w:w="7829" w:type="dxa"/>
            <w:tcBorders>
              <w:top w:val="single" w:color="auto" w:sz="4" w:space="0"/>
              <w:left w:val="single" w:color="auto" w:sz="4" w:space="0"/>
              <w:bottom w:val="single" w:color="auto" w:sz="4" w:space="0"/>
              <w:right w:val="single" w:color="auto" w:sz="4" w:space="0"/>
            </w:tcBorders>
            <w:vAlign w:val="center"/>
          </w:tcPr>
          <w:p w14:paraId="6AEE4B52">
            <w:pPr>
              <w:snapToGrid w:val="0"/>
              <w:spacing w:line="380" w:lineRule="exact"/>
              <w:jc w:val="left"/>
              <w:rPr>
                <w:rFonts w:ascii="宋体" w:hAnsi="宋体"/>
                <w:color w:val="auto"/>
                <w:szCs w:val="21"/>
              </w:rPr>
            </w:pPr>
            <w:r>
              <w:rPr>
                <w:rFonts w:hint="eastAsia" w:ascii="宋体" w:hAnsi="宋体"/>
                <w:color w:val="auto"/>
                <w:szCs w:val="21"/>
              </w:rPr>
              <w:t>1.投标人为法人或者其他组织的，提供营业执照等证明文件（如营业执照或者事业单位法人证书或者执业许可证等），投标人为自然人的，提供身份证</w:t>
            </w:r>
            <w:r>
              <w:rPr>
                <w:rFonts w:hint="eastAsia" w:ascii="宋体" w:hAnsi="宋体" w:cs="宋体"/>
                <w:color w:val="auto"/>
                <w:szCs w:val="21"/>
              </w:rPr>
              <w:t>复印件</w:t>
            </w:r>
            <w:r>
              <w:rPr>
                <w:rFonts w:hint="eastAsia" w:ascii="宋体" w:hAnsi="宋体"/>
                <w:color w:val="auto"/>
                <w:szCs w:val="21"/>
              </w:rPr>
              <w:t>；（</w:t>
            </w:r>
            <w:r>
              <w:rPr>
                <w:rFonts w:hint="eastAsia" w:ascii="宋体" w:hAnsi="宋体"/>
                <w:b/>
                <w:color w:val="auto"/>
                <w:szCs w:val="21"/>
              </w:rPr>
              <w:t>必须提供，否则作无效投标处理</w:t>
            </w:r>
            <w:r>
              <w:rPr>
                <w:rFonts w:hint="eastAsia" w:ascii="宋体" w:hAnsi="宋体"/>
                <w:color w:val="auto"/>
                <w:szCs w:val="21"/>
              </w:rPr>
              <w:t>）</w:t>
            </w:r>
          </w:p>
          <w:p w14:paraId="37446B00">
            <w:pPr>
              <w:snapToGrid w:val="0"/>
              <w:spacing w:line="380" w:lineRule="exact"/>
              <w:jc w:val="left"/>
              <w:rPr>
                <w:rFonts w:ascii="宋体" w:hAnsi="宋体"/>
                <w:color w:val="auto"/>
                <w:szCs w:val="21"/>
              </w:rPr>
            </w:pPr>
            <w:r>
              <w:rPr>
                <w:rFonts w:hint="eastAsia" w:ascii="宋体" w:hAnsi="宋体" w:cs="宋体"/>
                <w:color w:val="auto"/>
                <w:szCs w:val="21"/>
              </w:rPr>
              <w:t>2.投标人依法缴纳税收的相关材料[</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rPr>
              <w:t>5</w:t>
            </w:r>
            <w:r>
              <w:rPr>
                <w:rFonts w:hint="eastAsia" w:ascii="宋体" w:hAnsi="宋体" w:cs="宋体"/>
                <w:color w:val="auto"/>
                <w:szCs w:val="21"/>
              </w:rPr>
              <w:t>月至</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rPr>
              <w:t>10</w:t>
            </w:r>
            <w:r>
              <w:rPr>
                <w:rFonts w:hint="eastAsia" w:ascii="宋体" w:hAnsi="宋体" w:cs="宋体"/>
                <w:color w:val="auto"/>
                <w:szCs w:val="21"/>
              </w:rPr>
              <w:t>月连续</w:t>
            </w:r>
            <w:r>
              <w:rPr>
                <w:rFonts w:hint="eastAsia" w:ascii="宋体" w:hAnsi="宋体" w:cs="宋体"/>
                <w:color w:val="auto"/>
                <w:szCs w:val="21"/>
                <w:u w:val="single"/>
              </w:rPr>
              <w:t xml:space="preserve"> 三 </w:t>
            </w:r>
            <w:r>
              <w:rPr>
                <w:rFonts w:hint="eastAsia" w:ascii="宋体" w:hAnsi="宋体" w:cs="宋体"/>
                <w:color w:val="auto"/>
                <w:szCs w:val="21"/>
              </w:rPr>
              <w:t>个月的依法缴纳税收的凭据复印件；依</w:t>
            </w:r>
            <w:r>
              <w:rPr>
                <w:rFonts w:hint="eastAsia" w:ascii="宋体" w:hAnsi="宋体"/>
                <w:color w:val="auto"/>
                <w:szCs w:val="21"/>
              </w:rPr>
              <w:t>法免税的供应商，必须提供相应文件证明其依法免税。</w:t>
            </w:r>
            <w:r>
              <w:rPr>
                <w:rFonts w:hint="eastAsia" w:ascii="宋体" w:hAnsi="宋体" w:cs="宋体"/>
                <w:color w:val="auto"/>
                <w:szCs w:val="21"/>
              </w:rPr>
              <w:t>从取得营业执照时间起到投标文件提交截止时间为止不足要求月数的，只需提供从取得营业执照起的依法缴纳税收</w:t>
            </w:r>
            <w:r>
              <w:rPr>
                <w:rFonts w:hint="eastAsia" w:ascii="宋体" w:hAnsi="宋体"/>
                <w:color w:val="auto"/>
                <w:szCs w:val="21"/>
              </w:rPr>
              <w:t>相应证明文件</w:t>
            </w:r>
            <w:r>
              <w:rPr>
                <w:rFonts w:hint="eastAsia" w:ascii="宋体" w:hAnsi="宋体" w:cs="宋体"/>
                <w:color w:val="auto"/>
                <w:szCs w:val="21"/>
              </w:rPr>
              <w:t>）</w:t>
            </w:r>
            <w:r>
              <w:rPr>
                <w:rFonts w:hint="eastAsia" w:ascii="宋体" w:hAnsi="宋体"/>
                <w:color w:val="auto"/>
                <w:szCs w:val="21"/>
              </w:rPr>
              <w:t>；（</w:t>
            </w:r>
            <w:r>
              <w:rPr>
                <w:rFonts w:hint="eastAsia" w:ascii="宋体" w:hAnsi="宋体"/>
                <w:b/>
                <w:color w:val="auto"/>
                <w:szCs w:val="21"/>
              </w:rPr>
              <w:t>必须提供，否则作无效投标处理</w:t>
            </w:r>
            <w:r>
              <w:rPr>
                <w:rFonts w:hint="eastAsia" w:ascii="宋体" w:hAnsi="宋体"/>
                <w:color w:val="auto"/>
                <w:szCs w:val="21"/>
              </w:rPr>
              <w:t>）</w:t>
            </w:r>
          </w:p>
          <w:p w14:paraId="53712B15">
            <w:pPr>
              <w:snapToGrid w:val="0"/>
              <w:spacing w:line="380" w:lineRule="exact"/>
              <w:jc w:val="left"/>
              <w:rPr>
                <w:rFonts w:ascii="宋体" w:hAnsi="宋体"/>
                <w:color w:val="auto"/>
                <w:szCs w:val="21"/>
              </w:rPr>
            </w:pPr>
            <w:r>
              <w:rPr>
                <w:rFonts w:hint="eastAsia" w:ascii="宋体" w:hAnsi="宋体" w:cs="宋体"/>
                <w:color w:val="auto"/>
                <w:szCs w:val="21"/>
              </w:rPr>
              <w:t>3.投标人依法缴纳社会保障资金的相关材料[</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rPr>
              <w:t>5</w:t>
            </w:r>
            <w:r>
              <w:rPr>
                <w:rFonts w:hint="eastAsia" w:ascii="宋体" w:hAnsi="宋体" w:cs="宋体"/>
                <w:color w:val="auto"/>
                <w:szCs w:val="21"/>
              </w:rPr>
              <w:t>月至</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rPr>
              <w:t>10</w:t>
            </w:r>
            <w:r>
              <w:rPr>
                <w:rFonts w:hint="eastAsia" w:ascii="宋体" w:hAnsi="宋体" w:cs="宋体"/>
                <w:color w:val="auto"/>
                <w:szCs w:val="21"/>
              </w:rPr>
              <w:t>月连续</w:t>
            </w:r>
            <w:r>
              <w:rPr>
                <w:rFonts w:hint="eastAsia" w:ascii="宋体" w:hAnsi="宋体" w:cs="宋体"/>
                <w:color w:val="auto"/>
                <w:szCs w:val="21"/>
                <w:u w:val="single"/>
              </w:rPr>
              <w:t xml:space="preserve"> 三 </w:t>
            </w:r>
            <w:r>
              <w:rPr>
                <w:rFonts w:hint="eastAsia" w:ascii="宋体" w:hAnsi="宋体" w:cs="宋体"/>
                <w:color w:val="auto"/>
                <w:szCs w:val="21"/>
              </w:rPr>
              <w:t>个月的依法缴纳社会保障资金的缴费凭证（专用收据或者社会保险缴纳清单）复印件；</w:t>
            </w:r>
            <w:r>
              <w:rPr>
                <w:rFonts w:hint="eastAsia" w:ascii="宋体" w:hAnsi="宋体"/>
                <w:color w:val="auto"/>
                <w:szCs w:val="21"/>
              </w:rPr>
              <w:t>依法不需要缴纳社会保障资金的供应商，必须提供相应文件证明不需要缴纳社会保障资金。</w:t>
            </w:r>
            <w:r>
              <w:rPr>
                <w:rFonts w:hint="eastAsia" w:ascii="宋体" w:hAnsi="宋体" w:cs="宋体"/>
                <w:color w:val="auto"/>
                <w:szCs w:val="21"/>
              </w:rPr>
              <w:t>从取得营业执照时间起到投标文件提交截止时间为止不足要求月数的只需提供从取得营业执照起的依法缴纳社会保障资金的</w:t>
            </w:r>
            <w:r>
              <w:rPr>
                <w:rFonts w:hint="eastAsia" w:ascii="宋体" w:hAnsi="宋体"/>
                <w:color w:val="auto"/>
                <w:szCs w:val="21"/>
              </w:rPr>
              <w:t>相应证明文件</w:t>
            </w:r>
            <w:r>
              <w:rPr>
                <w:rFonts w:hint="eastAsia" w:ascii="宋体" w:hAnsi="宋体" w:cs="宋体"/>
                <w:color w:val="auto"/>
                <w:szCs w:val="21"/>
              </w:rPr>
              <w:t>]</w:t>
            </w:r>
            <w:r>
              <w:rPr>
                <w:rFonts w:hint="eastAsia" w:ascii="宋体" w:hAnsi="宋体"/>
                <w:color w:val="auto"/>
                <w:szCs w:val="21"/>
              </w:rPr>
              <w:t>；（</w:t>
            </w:r>
            <w:r>
              <w:rPr>
                <w:rFonts w:hint="eastAsia" w:ascii="宋体" w:hAnsi="宋体"/>
                <w:b/>
                <w:color w:val="auto"/>
                <w:szCs w:val="21"/>
              </w:rPr>
              <w:t>必须提供，否则作无效投标处理</w:t>
            </w:r>
            <w:r>
              <w:rPr>
                <w:rFonts w:hint="eastAsia" w:ascii="宋体" w:hAnsi="宋体"/>
                <w:color w:val="auto"/>
                <w:szCs w:val="21"/>
              </w:rPr>
              <w:t>）</w:t>
            </w:r>
          </w:p>
          <w:p w14:paraId="605102B5">
            <w:pPr>
              <w:snapToGrid w:val="0"/>
              <w:spacing w:line="380" w:lineRule="exact"/>
              <w:jc w:val="left"/>
              <w:rPr>
                <w:rFonts w:ascii="宋体" w:hAnsi="宋体"/>
                <w:color w:val="auto"/>
                <w:szCs w:val="21"/>
              </w:rPr>
            </w:pPr>
            <w:r>
              <w:rPr>
                <w:rFonts w:hint="eastAsia" w:ascii="宋体" w:hAnsi="宋体" w:cs="宋体"/>
                <w:color w:val="auto"/>
                <w:szCs w:val="21"/>
              </w:rPr>
              <w:t>4.投标人财务状况报告</w:t>
            </w:r>
            <w:r>
              <w:rPr>
                <w:rFonts w:hint="eastAsia" w:ascii="宋体" w:hAnsi="宋体"/>
                <w:color w:val="auto"/>
                <w:szCs w:val="21"/>
              </w:rPr>
              <w:t>[</w:t>
            </w:r>
            <w:r>
              <w:rPr>
                <w:rFonts w:hint="eastAsia" w:ascii="宋体" w:hAnsi="宋体"/>
                <w:color w:val="auto"/>
                <w:szCs w:val="21"/>
                <w:u w:val="single"/>
              </w:rPr>
              <w:t xml:space="preserve"> 2023 </w:t>
            </w:r>
            <w:r>
              <w:rPr>
                <w:rFonts w:hint="eastAsia" w:ascii="宋体" w:hAnsi="宋体"/>
                <w:color w:val="auto"/>
                <w:szCs w:val="21"/>
              </w:rPr>
              <w:t>年财务状况报告复印件，</w:t>
            </w:r>
            <w:r>
              <w:rPr>
                <w:rFonts w:hint="eastAsia" w:ascii="宋体" w:hAnsi="宋体" w:cs="宋体"/>
                <w:color w:val="auto"/>
                <w:szCs w:val="21"/>
              </w:rPr>
              <w:t>供应商</w:t>
            </w:r>
            <w:r>
              <w:rPr>
                <w:rFonts w:hint="eastAsia" w:ascii="宋体" w:hAnsi="宋体"/>
                <w:color w:val="auto"/>
                <w:szCs w:val="21"/>
              </w:rPr>
              <w:t>是法人的，应提供经审计的财务报告（含第三方审计机构评估的财务报告）（执行《企业会计准则》的，提供资产负债表、利润表、现金流量表、所有者权益变动表及其附注（以下称“四表一注”）；执行《小企业会计准则》的，提供资产负债表、利润表、现金流量表及其附注（以下称“三表一注”）)或者其基本开户银行出具的资信证明；</w:t>
            </w:r>
            <w:r>
              <w:rPr>
                <w:rFonts w:hint="eastAsia" w:ascii="宋体" w:hAnsi="宋体" w:cs="宋体"/>
                <w:color w:val="auto"/>
                <w:szCs w:val="21"/>
              </w:rPr>
              <w:t>供应商</w:t>
            </w:r>
            <w:r>
              <w:rPr>
                <w:rFonts w:hint="eastAsia" w:ascii="宋体" w:hAnsi="宋体"/>
                <w:color w:val="auto"/>
                <w:szCs w:val="21"/>
              </w:rPr>
              <w:t>是其他组织或者自然人的，应提供经审计的财务报告（含第三方审计机构评估的财务报告）（包括“四表一注”、“三表一注”)或者银行出具的资信证明]；（</w:t>
            </w:r>
            <w:r>
              <w:rPr>
                <w:rFonts w:hint="eastAsia" w:ascii="宋体" w:hAnsi="宋体"/>
                <w:b/>
                <w:color w:val="auto"/>
                <w:szCs w:val="21"/>
              </w:rPr>
              <w:t>必须提供，否则作无效投标处理</w:t>
            </w:r>
            <w:r>
              <w:rPr>
                <w:rFonts w:hint="eastAsia" w:ascii="宋体" w:hAnsi="宋体"/>
                <w:color w:val="auto"/>
                <w:szCs w:val="21"/>
              </w:rPr>
              <w:t>）</w:t>
            </w:r>
          </w:p>
          <w:p w14:paraId="7C7221F3">
            <w:pPr>
              <w:snapToGrid w:val="0"/>
              <w:spacing w:line="380" w:lineRule="exact"/>
              <w:jc w:val="left"/>
              <w:rPr>
                <w:rFonts w:ascii="宋体" w:hAnsi="宋体"/>
                <w:color w:val="auto"/>
                <w:szCs w:val="21"/>
              </w:rPr>
            </w:pPr>
            <w:r>
              <w:rPr>
                <w:rFonts w:hint="eastAsia" w:ascii="宋体" w:hAnsi="宋体"/>
                <w:color w:val="auto"/>
                <w:szCs w:val="21"/>
              </w:rPr>
              <w:t>5.投标人直接控股、管理关系信息表；（</w:t>
            </w:r>
            <w:r>
              <w:rPr>
                <w:rFonts w:hint="eastAsia" w:ascii="宋体" w:hAnsi="宋体"/>
                <w:b/>
                <w:color w:val="auto"/>
                <w:szCs w:val="21"/>
              </w:rPr>
              <w:t>必须提供，否则作无效投标处理</w:t>
            </w:r>
            <w:r>
              <w:rPr>
                <w:rFonts w:hint="eastAsia" w:ascii="宋体" w:hAnsi="宋体"/>
                <w:color w:val="auto"/>
                <w:szCs w:val="21"/>
              </w:rPr>
              <w:t>）</w:t>
            </w:r>
          </w:p>
          <w:p w14:paraId="0D0F201A">
            <w:pPr>
              <w:snapToGrid w:val="0"/>
              <w:spacing w:line="380" w:lineRule="exact"/>
              <w:jc w:val="left"/>
              <w:rPr>
                <w:rFonts w:ascii="宋体" w:hAnsi="宋体"/>
                <w:color w:val="auto"/>
                <w:szCs w:val="21"/>
              </w:rPr>
            </w:pPr>
            <w:r>
              <w:rPr>
                <w:rFonts w:hint="eastAsia" w:ascii="宋体" w:hAnsi="宋体"/>
                <w:color w:val="auto"/>
                <w:szCs w:val="21"/>
              </w:rPr>
              <w:t>6.投标资格声明；（</w:t>
            </w:r>
            <w:r>
              <w:rPr>
                <w:rFonts w:hint="eastAsia" w:ascii="宋体" w:hAnsi="宋体"/>
                <w:b/>
                <w:color w:val="auto"/>
                <w:szCs w:val="21"/>
              </w:rPr>
              <w:t>必须提供，否则</w:t>
            </w:r>
            <w:r>
              <w:rPr>
                <w:rFonts w:hint="eastAsia" w:ascii="宋体" w:hAnsi="宋体" w:eastAsia="宋体" w:cs="Times New Roman"/>
                <w:b/>
                <w:color w:val="auto"/>
                <w:szCs w:val="21"/>
              </w:rPr>
              <w:t>作无效投标处理</w:t>
            </w:r>
            <w:r>
              <w:rPr>
                <w:rFonts w:hint="eastAsia" w:ascii="宋体" w:hAnsi="宋体"/>
                <w:color w:val="auto"/>
                <w:szCs w:val="21"/>
              </w:rPr>
              <w:t>）</w:t>
            </w:r>
          </w:p>
          <w:p w14:paraId="1799AD31">
            <w:pPr>
              <w:snapToGrid w:val="0"/>
              <w:spacing w:line="380" w:lineRule="exact"/>
              <w:jc w:val="left"/>
              <w:rPr>
                <w:rFonts w:hint="eastAsia" w:ascii="宋体" w:hAnsi="宋体"/>
                <w:color w:val="auto"/>
                <w:szCs w:val="21"/>
              </w:rPr>
            </w:pPr>
            <w:r>
              <w:rPr>
                <w:rFonts w:hint="eastAsia" w:ascii="宋体" w:hAnsi="宋体"/>
                <w:color w:val="auto"/>
                <w:szCs w:val="21"/>
              </w:rPr>
              <w:t>7.联合体协议书；（</w:t>
            </w:r>
            <w:r>
              <w:rPr>
                <w:rFonts w:hint="eastAsia" w:ascii="宋体" w:hAnsi="宋体"/>
                <w:b/>
                <w:color w:val="auto"/>
                <w:szCs w:val="21"/>
              </w:rPr>
              <w:t>联合体投标时必须提供，否则作无效投标处理</w:t>
            </w:r>
            <w:r>
              <w:rPr>
                <w:rFonts w:hint="eastAsia" w:ascii="宋体" w:hAnsi="宋体"/>
                <w:color w:val="auto"/>
                <w:szCs w:val="21"/>
              </w:rPr>
              <w:t>）</w:t>
            </w:r>
          </w:p>
          <w:p w14:paraId="23F18BA7">
            <w:pPr>
              <w:snapToGrid w:val="0"/>
              <w:spacing w:line="380" w:lineRule="exact"/>
              <w:jc w:val="left"/>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8.</w:t>
            </w:r>
            <w:r>
              <w:rPr>
                <w:rFonts w:hint="eastAsia" w:ascii="宋体" w:hAnsi="宋体" w:eastAsia="宋体" w:cs="Times New Roman"/>
                <w:color w:val="auto"/>
                <w:szCs w:val="21"/>
              </w:rPr>
              <w:t>（采购人或采购代理机构根据招标公告对应的特定资格要求及特定条件设置投标人提供的资格证明材料）；</w:t>
            </w:r>
            <w:r>
              <w:rPr>
                <w:rFonts w:hint="eastAsia" w:ascii="宋体" w:hAnsi="宋体" w:eastAsia="宋体" w:cs="Times New Roman"/>
                <w:b/>
                <w:bCs/>
                <w:color w:val="auto"/>
                <w:szCs w:val="21"/>
              </w:rPr>
              <w:t>（</w:t>
            </w:r>
            <w:r>
              <w:rPr>
                <w:rFonts w:hint="eastAsia" w:ascii="宋体" w:hAnsi="宋体" w:eastAsia="宋体" w:cs="Times New Roman"/>
                <w:b/>
                <w:color w:val="auto"/>
                <w:szCs w:val="21"/>
              </w:rPr>
              <w:t>投标人</w:t>
            </w:r>
            <w:r>
              <w:rPr>
                <w:rFonts w:hint="eastAsia" w:ascii="宋体" w:hAnsi="宋体" w:eastAsia="宋体" w:cs="Times New Roman"/>
                <w:b/>
                <w:color w:val="auto"/>
                <w:szCs w:val="21"/>
                <w:lang w:val="en-US" w:eastAsia="zh-CN"/>
              </w:rPr>
              <w:t>须为</w:t>
            </w:r>
            <w:r>
              <w:rPr>
                <w:rFonts w:hint="eastAsia" w:ascii="宋体" w:hAnsi="宋体" w:eastAsia="宋体" w:cs="Times New Roman"/>
                <w:b/>
                <w:color w:val="auto"/>
                <w:szCs w:val="21"/>
              </w:rPr>
              <w:t>中小企业或残疾人福利性单位或监狱企业</w:t>
            </w:r>
            <w:r>
              <w:rPr>
                <w:rFonts w:hint="eastAsia" w:ascii="宋体" w:hAnsi="宋体" w:eastAsia="宋体" w:cs="Times New Roman"/>
                <w:b/>
                <w:bCs/>
                <w:color w:val="auto"/>
                <w:szCs w:val="21"/>
              </w:rPr>
              <w:t>，否则作无效投标处理）</w:t>
            </w:r>
          </w:p>
          <w:p w14:paraId="297BFD6E">
            <w:pPr>
              <w:snapToGrid w:val="0"/>
              <w:spacing w:line="380" w:lineRule="exact"/>
              <w:jc w:val="left"/>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9</w:t>
            </w:r>
            <w:r>
              <w:rPr>
                <w:rFonts w:hint="eastAsia" w:ascii="宋体" w:hAnsi="宋体" w:eastAsia="宋体" w:cs="Times New Roman"/>
                <w:color w:val="auto"/>
                <w:szCs w:val="21"/>
              </w:rPr>
              <w:t>.除招标文件规定必须提供以外，投标人认为需要提供的其他证明材料。</w:t>
            </w:r>
          </w:p>
          <w:p w14:paraId="57D1233D">
            <w:pPr>
              <w:snapToGrid w:val="0"/>
              <w:spacing w:line="380" w:lineRule="exact"/>
              <w:jc w:val="left"/>
              <w:rPr>
                <w:rFonts w:ascii="宋体" w:hAnsi="宋体" w:cs="Courier New"/>
                <w:b/>
                <w:color w:val="auto"/>
                <w:szCs w:val="21"/>
              </w:rPr>
            </w:pPr>
            <w:r>
              <w:rPr>
                <w:rFonts w:hint="eastAsia" w:ascii="宋体" w:hAnsi="宋体"/>
                <w:b/>
                <w:bCs/>
                <w:color w:val="auto"/>
                <w:szCs w:val="21"/>
              </w:rPr>
              <w:t>注：1.</w:t>
            </w:r>
            <w:r>
              <w:rPr>
                <w:rFonts w:hint="eastAsia" w:ascii="宋体" w:hAnsi="宋体"/>
                <w:color w:val="auto"/>
                <w:szCs w:val="21"/>
              </w:rPr>
              <w:t xml:space="preserve"> </w:t>
            </w:r>
            <w:r>
              <w:rPr>
                <w:rFonts w:hint="eastAsia" w:ascii="宋体" w:hAnsi="宋体"/>
                <w:b/>
                <w:bCs/>
                <w:color w:val="auto"/>
                <w:szCs w:val="21"/>
              </w:rPr>
              <w:t>以上标明“必须提供”的材料</w:t>
            </w:r>
            <w:r>
              <w:rPr>
                <w:rFonts w:hint="eastAsia" w:ascii="宋体" w:hAnsi="宋体" w:cs="宋体"/>
                <w:b/>
                <w:color w:val="auto"/>
                <w:szCs w:val="21"/>
              </w:rPr>
              <w:t>属于复印件的扫描件的</w:t>
            </w:r>
            <w:r>
              <w:rPr>
                <w:rFonts w:hint="eastAsia" w:ascii="宋体" w:hAnsi="宋体"/>
                <w:b/>
                <w:bCs/>
                <w:color w:val="auto"/>
                <w:szCs w:val="21"/>
              </w:rPr>
              <w:t>，必须加盖投标人电子公章，否则</w:t>
            </w:r>
            <w:r>
              <w:rPr>
                <w:rFonts w:hint="eastAsia" w:ascii="宋体" w:hAnsi="宋体" w:cs="Courier New"/>
                <w:b/>
                <w:color w:val="auto"/>
                <w:szCs w:val="21"/>
              </w:rPr>
              <w:t>作无效投标处理。</w:t>
            </w:r>
          </w:p>
          <w:p w14:paraId="07C3614B">
            <w:pPr>
              <w:snapToGrid w:val="0"/>
              <w:spacing w:line="380" w:lineRule="exact"/>
              <w:ind w:firstLine="422" w:firstLineChars="200"/>
              <w:jc w:val="left"/>
              <w:rPr>
                <w:rFonts w:ascii="宋体" w:hAnsi="宋体"/>
                <w:b/>
                <w:bCs/>
                <w:color w:val="auto"/>
                <w:szCs w:val="21"/>
              </w:rPr>
            </w:pPr>
            <w:r>
              <w:rPr>
                <w:rFonts w:hint="eastAsia" w:ascii="宋体" w:hAnsi="宋体" w:cs="Courier New"/>
                <w:b/>
                <w:color w:val="auto"/>
                <w:szCs w:val="21"/>
              </w:rPr>
              <w:t>2</w:t>
            </w:r>
            <w:r>
              <w:rPr>
                <w:rFonts w:hint="eastAsia" w:ascii="宋体" w:hAnsi="宋体"/>
                <w:b/>
                <w:bCs/>
                <w:color w:val="auto"/>
                <w:szCs w:val="21"/>
              </w:rPr>
              <w:t>.联合体投标时，第1-5项资格证明文件联合体各方均必须分别提供，联合体各方分别盖章和签字，否则投标文件按无效响应处理。</w:t>
            </w:r>
          </w:p>
        </w:tc>
      </w:tr>
      <w:tr w14:paraId="5F47E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14:paraId="2F251936">
            <w:pPr>
              <w:spacing w:line="380" w:lineRule="exact"/>
              <w:rPr>
                <w:rFonts w:ascii="宋体" w:hAnsi="宋体"/>
                <w:color w:val="auto"/>
                <w:szCs w:val="21"/>
              </w:rPr>
            </w:pPr>
          </w:p>
        </w:tc>
        <w:tc>
          <w:tcPr>
            <w:tcW w:w="1736" w:type="dxa"/>
            <w:tcBorders>
              <w:top w:val="single" w:color="auto" w:sz="4" w:space="0"/>
              <w:left w:val="single" w:color="auto" w:sz="4" w:space="0"/>
              <w:bottom w:val="single" w:color="auto" w:sz="4" w:space="0"/>
              <w:right w:val="single" w:color="auto" w:sz="4" w:space="0"/>
            </w:tcBorders>
            <w:vAlign w:val="center"/>
          </w:tcPr>
          <w:p w14:paraId="5EE0571D">
            <w:pPr>
              <w:snapToGrid w:val="0"/>
              <w:spacing w:line="380" w:lineRule="exact"/>
              <w:jc w:val="center"/>
              <w:rPr>
                <w:rFonts w:ascii="宋体" w:hAnsi="宋体"/>
                <w:color w:val="auto"/>
                <w:szCs w:val="21"/>
              </w:rPr>
            </w:pPr>
            <w:bookmarkStart w:id="46" w:name="_13.3"/>
            <w:bookmarkEnd w:id="46"/>
            <w:r>
              <w:rPr>
                <w:rFonts w:hint="eastAsia" w:ascii="宋体" w:hAnsi="宋体" w:cs="Courier New"/>
                <w:color w:val="auto"/>
                <w:szCs w:val="21"/>
              </w:rPr>
              <w:t>商务文件组成</w:t>
            </w:r>
          </w:p>
        </w:tc>
        <w:tc>
          <w:tcPr>
            <w:tcW w:w="7829" w:type="dxa"/>
            <w:tcBorders>
              <w:top w:val="single" w:color="auto" w:sz="4" w:space="0"/>
              <w:left w:val="single" w:color="auto" w:sz="4" w:space="0"/>
              <w:bottom w:val="single" w:color="auto" w:sz="4" w:space="0"/>
              <w:right w:val="single" w:color="auto" w:sz="4" w:space="0"/>
            </w:tcBorders>
            <w:vAlign w:val="center"/>
          </w:tcPr>
          <w:p w14:paraId="28F76431">
            <w:pPr>
              <w:snapToGrid w:val="0"/>
              <w:spacing w:line="380" w:lineRule="exact"/>
              <w:jc w:val="left"/>
              <w:rPr>
                <w:rFonts w:ascii="宋体" w:hAnsi="宋体"/>
                <w:color w:val="auto"/>
                <w:szCs w:val="21"/>
              </w:rPr>
            </w:pPr>
            <w:r>
              <w:rPr>
                <w:rFonts w:hint="eastAsia" w:ascii="宋体" w:hAnsi="宋体"/>
                <w:color w:val="auto"/>
                <w:szCs w:val="21"/>
              </w:rPr>
              <w:t>1.无串通投标行为的承诺函；（</w:t>
            </w:r>
            <w:r>
              <w:rPr>
                <w:rFonts w:hint="eastAsia" w:ascii="宋体" w:hAnsi="宋体"/>
                <w:b/>
                <w:color w:val="auto"/>
                <w:szCs w:val="21"/>
              </w:rPr>
              <w:t>必须提供，否则作无效投标处理</w:t>
            </w:r>
            <w:r>
              <w:rPr>
                <w:rFonts w:hint="eastAsia" w:ascii="宋体" w:hAnsi="宋体"/>
                <w:color w:val="auto"/>
                <w:szCs w:val="21"/>
              </w:rPr>
              <w:t>）</w:t>
            </w:r>
          </w:p>
          <w:p w14:paraId="4E0A53F6">
            <w:pPr>
              <w:snapToGrid w:val="0"/>
              <w:spacing w:line="380" w:lineRule="exact"/>
              <w:jc w:val="left"/>
              <w:rPr>
                <w:rFonts w:ascii="宋体" w:hAnsi="宋体"/>
                <w:color w:val="auto"/>
                <w:szCs w:val="21"/>
              </w:rPr>
            </w:pPr>
            <w:r>
              <w:rPr>
                <w:rFonts w:hint="eastAsia" w:ascii="宋体" w:hAnsi="宋体"/>
                <w:color w:val="auto"/>
                <w:szCs w:val="21"/>
              </w:rPr>
              <w:t>2.法定代表人身份证明及法定代表人有效身份证正反面复印件；（</w:t>
            </w:r>
            <w:r>
              <w:rPr>
                <w:rFonts w:hint="eastAsia" w:ascii="宋体" w:hAnsi="宋体" w:cs="宋体"/>
                <w:b/>
                <w:bCs/>
                <w:color w:val="auto"/>
                <w:szCs w:val="21"/>
              </w:rPr>
              <w:t>除自然人投标外</w:t>
            </w:r>
            <w:r>
              <w:rPr>
                <w:rFonts w:hint="eastAsia" w:ascii="宋体" w:hAnsi="宋体"/>
                <w:b/>
                <w:color w:val="auto"/>
                <w:szCs w:val="21"/>
              </w:rPr>
              <w:t>必须提供，否则作无效投标处理</w:t>
            </w:r>
            <w:r>
              <w:rPr>
                <w:rFonts w:hint="eastAsia" w:ascii="宋体" w:hAnsi="宋体"/>
                <w:color w:val="auto"/>
                <w:szCs w:val="21"/>
              </w:rPr>
              <w:t>）</w:t>
            </w:r>
          </w:p>
          <w:p w14:paraId="1782F432">
            <w:pPr>
              <w:snapToGrid w:val="0"/>
              <w:spacing w:line="380" w:lineRule="exact"/>
              <w:jc w:val="left"/>
              <w:rPr>
                <w:rFonts w:ascii="宋体" w:hAnsi="宋体"/>
                <w:color w:val="auto"/>
                <w:szCs w:val="21"/>
              </w:rPr>
            </w:pPr>
            <w:r>
              <w:rPr>
                <w:rFonts w:hint="eastAsia" w:ascii="宋体" w:hAnsi="宋体"/>
                <w:color w:val="auto"/>
                <w:szCs w:val="21"/>
              </w:rPr>
              <w:t>3.法定代表人授权委托书及委托代理人有效身份证正反面复印件；（</w:t>
            </w:r>
            <w:r>
              <w:rPr>
                <w:rFonts w:hint="eastAsia" w:ascii="宋体" w:hAnsi="宋体"/>
                <w:b/>
                <w:color w:val="auto"/>
                <w:szCs w:val="21"/>
              </w:rPr>
              <w:t>委托时必须提供，否则作无效投标处理</w:t>
            </w:r>
            <w:r>
              <w:rPr>
                <w:rFonts w:hint="eastAsia" w:ascii="宋体" w:hAnsi="宋体"/>
                <w:color w:val="auto"/>
                <w:szCs w:val="21"/>
              </w:rPr>
              <w:t>）</w:t>
            </w:r>
          </w:p>
          <w:p w14:paraId="1F7A424A">
            <w:pPr>
              <w:snapToGrid w:val="0"/>
              <w:spacing w:line="380" w:lineRule="exact"/>
              <w:jc w:val="left"/>
              <w:rPr>
                <w:rFonts w:ascii="宋体" w:hAnsi="宋体"/>
                <w:color w:val="auto"/>
                <w:szCs w:val="21"/>
              </w:rPr>
            </w:pPr>
            <w:r>
              <w:rPr>
                <w:rFonts w:hint="eastAsia" w:ascii="宋体" w:hAnsi="宋体"/>
                <w:color w:val="auto"/>
                <w:szCs w:val="21"/>
              </w:rPr>
              <w:t>4.商务条款偏离表；（</w:t>
            </w:r>
            <w:r>
              <w:rPr>
                <w:rFonts w:hint="eastAsia" w:ascii="宋体" w:hAnsi="宋体"/>
                <w:b/>
                <w:color w:val="auto"/>
                <w:szCs w:val="21"/>
              </w:rPr>
              <w:t>必须提供，否则作无效投标处理</w:t>
            </w:r>
            <w:r>
              <w:rPr>
                <w:rFonts w:hint="eastAsia" w:ascii="宋体" w:hAnsi="宋体"/>
                <w:color w:val="auto"/>
                <w:szCs w:val="21"/>
              </w:rPr>
              <w:t>）</w:t>
            </w:r>
          </w:p>
          <w:p w14:paraId="36D3A8C4">
            <w:pPr>
              <w:snapToGrid w:val="0"/>
              <w:spacing w:line="380" w:lineRule="exact"/>
              <w:jc w:val="left"/>
              <w:rPr>
                <w:rFonts w:ascii="宋体" w:hAnsi="宋体"/>
                <w:color w:val="auto"/>
                <w:szCs w:val="21"/>
              </w:rPr>
            </w:pPr>
            <w:r>
              <w:rPr>
                <w:rFonts w:hint="eastAsia" w:ascii="宋体" w:hAnsi="宋体"/>
                <w:color w:val="auto"/>
                <w:szCs w:val="21"/>
              </w:rPr>
              <w:t>5.售后服务方案；（</w:t>
            </w:r>
            <w:r>
              <w:rPr>
                <w:rFonts w:hint="eastAsia" w:ascii="宋体" w:hAnsi="宋体"/>
                <w:b/>
                <w:color w:val="auto"/>
                <w:szCs w:val="21"/>
              </w:rPr>
              <w:t>必须提供，否则作无效投标处理</w:t>
            </w:r>
            <w:r>
              <w:rPr>
                <w:rFonts w:hint="eastAsia" w:ascii="宋体" w:hAnsi="宋体"/>
                <w:color w:val="auto"/>
                <w:szCs w:val="21"/>
              </w:rPr>
              <w:t>）</w:t>
            </w:r>
          </w:p>
          <w:p w14:paraId="273AA674">
            <w:pPr>
              <w:snapToGrid w:val="0"/>
              <w:spacing w:line="380" w:lineRule="exact"/>
              <w:jc w:val="left"/>
              <w:rPr>
                <w:rFonts w:ascii="宋体" w:hAnsi="宋体"/>
                <w:color w:val="auto"/>
                <w:szCs w:val="21"/>
              </w:rPr>
            </w:pPr>
            <w:r>
              <w:rPr>
                <w:rFonts w:hint="eastAsia" w:ascii="宋体" w:hAnsi="宋体"/>
                <w:color w:val="auto"/>
                <w:szCs w:val="21"/>
              </w:rPr>
              <w:t>6.投标人情况介绍；</w:t>
            </w:r>
          </w:p>
          <w:p w14:paraId="34BAAB8E">
            <w:pPr>
              <w:snapToGrid w:val="0"/>
              <w:spacing w:line="380" w:lineRule="exact"/>
              <w:jc w:val="left"/>
              <w:rPr>
                <w:rFonts w:ascii="宋体" w:hAnsi="宋体"/>
                <w:color w:val="auto"/>
                <w:szCs w:val="21"/>
              </w:rPr>
            </w:pPr>
            <w:r>
              <w:rPr>
                <w:rFonts w:hint="eastAsia" w:ascii="宋体" w:hAnsi="宋体"/>
                <w:color w:val="auto"/>
                <w:szCs w:val="21"/>
              </w:rPr>
              <w:t>7.除招标文件规定必须提供以外，投标人认为需要提供的其他证明材料。（投标人根据“第二章 采购需求”及“第四章 评标方法及评标标准”提供有关证明材料）。</w:t>
            </w:r>
          </w:p>
          <w:p w14:paraId="3E86EADA">
            <w:pPr>
              <w:snapToGrid w:val="0"/>
              <w:spacing w:line="380" w:lineRule="exact"/>
              <w:jc w:val="left"/>
              <w:rPr>
                <w:rFonts w:ascii="宋体" w:hAnsi="宋体"/>
                <w:b/>
                <w:bCs/>
                <w:color w:val="auto"/>
                <w:szCs w:val="21"/>
              </w:rPr>
            </w:pPr>
            <w:r>
              <w:rPr>
                <w:rFonts w:hint="eastAsia" w:ascii="宋体" w:hAnsi="宋体"/>
                <w:b/>
                <w:bCs/>
                <w:color w:val="auto"/>
                <w:szCs w:val="21"/>
              </w:rPr>
              <w:t>注： 1.法定代表人授权委托书必须由法定代表人及委托代理人签字，并加盖投标人公章，否则作无效投标处理。</w:t>
            </w:r>
          </w:p>
          <w:p w14:paraId="2902E835">
            <w:pPr>
              <w:snapToGrid w:val="0"/>
              <w:spacing w:line="380" w:lineRule="exact"/>
              <w:ind w:firstLine="422" w:firstLineChars="200"/>
              <w:jc w:val="left"/>
              <w:rPr>
                <w:rFonts w:ascii="宋体" w:hAnsi="宋体" w:cs="Courier New"/>
                <w:b/>
                <w:color w:val="auto"/>
                <w:szCs w:val="21"/>
              </w:rPr>
            </w:pPr>
            <w:r>
              <w:rPr>
                <w:rFonts w:hint="eastAsia" w:ascii="宋体" w:hAnsi="宋体"/>
                <w:b/>
                <w:bCs/>
                <w:color w:val="auto"/>
                <w:szCs w:val="21"/>
              </w:rPr>
              <w:t>2.</w:t>
            </w:r>
            <w:r>
              <w:rPr>
                <w:rFonts w:hint="eastAsia" w:ascii="宋体" w:hAnsi="宋体"/>
                <w:color w:val="auto"/>
                <w:szCs w:val="21"/>
              </w:rPr>
              <w:t xml:space="preserve"> </w:t>
            </w:r>
            <w:r>
              <w:rPr>
                <w:rFonts w:hint="eastAsia" w:ascii="宋体" w:hAnsi="宋体"/>
                <w:b/>
                <w:bCs/>
                <w:color w:val="auto"/>
                <w:szCs w:val="21"/>
              </w:rPr>
              <w:t>以上标明“必须提供”的材料</w:t>
            </w:r>
            <w:r>
              <w:rPr>
                <w:rFonts w:hint="eastAsia" w:ascii="宋体" w:hAnsi="宋体" w:cs="宋体"/>
                <w:b/>
                <w:color w:val="auto"/>
                <w:szCs w:val="21"/>
              </w:rPr>
              <w:t>属于复印件的扫描件的</w:t>
            </w:r>
            <w:r>
              <w:rPr>
                <w:rFonts w:hint="eastAsia" w:ascii="宋体" w:hAnsi="宋体"/>
                <w:b/>
                <w:bCs/>
                <w:color w:val="auto"/>
                <w:szCs w:val="21"/>
              </w:rPr>
              <w:t>，必须加盖投标人电子公章，否则</w:t>
            </w:r>
            <w:r>
              <w:rPr>
                <w:rFonts w:hint="eastAsia" w:ascii="宋体" w:hAnsi="宋体" w:cs="Courier New"/>
                <w:b/>
                <w:color w:val="auto"/>
                <w:szCs w:val="21"/>
              </w:rPr>
              <w:t>作无效投标处理</w:t>
            </w:r>
            <w:r>
              <w:rPr>
                <w:rFonts w:hint="eastAsia" w:ascii="宋体" w:hAnsi="宋体"/>
                <w:b/>
                <w:bCs/>
                <w:color w:val="auto"/>
                <w:szCs w:val="21"/>
              </w:rPr>
              <w:t>。</w:t>
            </w:r>
          </w:p>
        </w:tc>
      </w:tr>
      <w:tr w14:paraId="365D0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vAlign w:val="center"/>
          </w:tcPr>
          <w:p w14:paraId="69316268">
            <w:pPr>
              <w:spacing w:line="380" w:lineRule="exact"/>
              <w:rPr>
                <w:rFonts w:ascii="宋体" w:hAnsi="宋体"/>
                <w:color w:val="auto"/>
                <w:szCs w:val="21"/>
              </w:rPr>
            </w:pPr>
          </w:p>
        </w:tc>
        <w:tc>
          <w:tcPr>
            <w:tcW w:w="1736" w:type="dxa"/>
            <w:tcBorders>
              <w:top w:val="single" w:color="auto" w:sz="4" w:space="0"/>
              <w:left w:val="single" w:color="auto" w:sz="4" w:space="0"/>
              <w:bottom w:val="single" w:color="auto" w:sz="4" w:space="0"/>
              <w:right w:val="single" w:color="auto" w:sz="4" w:space="0"/>
            </w:tcBorders>
            <w:vAlign w:val="center"/>
          </w:tcPr>
          <w:p w14:paraId="4A3E2A0F">
            <w:pPr>
              <w:snapToGrid w:val="0"/>
              <w:spacing w:line="380" w:lineRule="exact"/>
              <w:jc w:val="right"/>
              <w:rPr>
                <w:rFonts w:ascii="宋体" w:hAnsi="宋体" w:cs="Courier New"/>
                <w:color w:val="auto"/>
                <w:szCs w:val="21"/>
              </w:rPr>
            </w:pPr>
            <w:bookmarkStart w:id="47" w:name="_13.4"/>
            <w:bookmarkEnd w:id="47"/>
            <w:r>
              <w:rPr>
                <w:rFonts w:hint="eastAsia" w:ascii="宋体" w:hAnsi="宋体" w:cs="Courier New"/>
                <w:color w:val="auto"/>
                <w:szCs w:val="21"/>
              </w:rPr>
              <w:t>技术文件组成</w:t>
            </w:r>
          </w:p>
          <w:p w14:paraId="6E368EA9">
            <w:pPr>
              <w:spacing w:line="380" w:lineRule="exact"/>
              <w:jc w:val="right"/>
              <w:rPr>
                <w:rFonts w:ascii="宋体" w:hAnsi="宋体"/>
                <w:color w:val="auto"/>
                <w:szCs w:val="21"/>
              </w:rPr>
            </w:pPr>
          </w:p>
        </w:tc>
        <w:tc>
          <w:tcPr>
            <w:tcW w:w="7829" w:type="dxa"/>
            <w:tcBorders>
              <w:top w:val="single" w:color="auto" w:sz="4" w:space="0"/>
              <w:left w:val="single" w:color="auto" w:sz="4" w:space="0"/>
              <w:bottom w:val="single" w:color="auto" w:sz="4" w:space="0"/>
              <w:right w:val="single" w:color="auto" w:sz="4" w:space="0"/>
            </w:tcBorders>
            <w:vAlign w:val="center"/>
          </w:tcPr>
          <w:p w14:paraId="718C3070">
            <w:pPr>
              <w:snapToGrid w:val="0"/>
              <w:spacing w:line="380" w:lineRule="exact"/>
              <w:jc w:val="left"/>
              <w:rPr>
                <w:rFonts w:ascii="宋体" w:hAnsi="宋体"/>
                <w:color w:val="auto"/>
                <w:szCs w:val="21"/>
              </w:rPr>
            </w:pPr>
            <w:r>
              <w:rPr>
                <w:rFonts w:ascii="宋体" w:hAnsi="宋体"/>
                <w:color w:val="auto"/>
                <w:szCs w:val="21"/>
              </w:rPr>
              <w:t>1</w:t>
            </w:r>
            <w:r>
              <w:rPr>
                <w:rFonts w:hint="eastAsia" w:ascii="宋体" w:hAnsi="宋体"/>
                <w:color w:val="auto"/>
                <w:szCs w:val="21"/>
              </w:rPr>
              <w:t>.技术需求偏离表；（</w:t>
            </w:r>
            <w:r>
              <w:rPr>
                <w:rFonts w:hint="eastAsia" w:ascii="宋体" w:hAnsi="宋体"/>
                <w:b/>
                <w:color w:val="auto"/>
                <w:szCs w:val="21"/>
              </w:rPr>
              <w:t>必须提供，否则作无效投标处理</w:t>
            </w:r>
            <w:r>
              <w:rPr>
                <w:rFonts w:hint="eastAsia" w:ascii="宋体" w:hAnsi="宋体"/>
                <w:color w:val="auto"/>
                <w:szCs w:val="21"/>
              </w:rPr>
              <w:t>）</w:t>
            </w:r>
          </w:p>
          <w:p w14:paraId="66F4746C">
            <w:pPr>
              <w:snapToGrid w:val="0"/>
              <w:spacing w:line="380" w:lineRule="exact"/>
              <w:jc w:val="left"/>
              <w:rPr>
                <w:rFonts w:ascii="宋体" w:hAnsi="宋体"/>
                <w:color w:val="auto"/>
                <w:szCs w:val="21"/>
              </w:rPr>
            </w:pPr>
            <w:r>
              <w:rPr>
                <w:rFonts w:ascii="宋体" w:hAnsi="宋体"/>
                <w:color w:val="auto"/>
                <w:szCs w:val="21"/>
              </w:rPr>
              <w:t>2</w:t>
            </w:r>
            <w:r>
              <w:rPr>
                <w:rFonts w:hint="eastAsia" w:ascii="宋体" w:hAnsi="宋体"/>
                <w:color w:val="auto"/>
                <w:szCs w:val="21"/>
              </w:rPr>
              <w:t>.项目实施方案【项目前期准备、项目实施计划（项目实施人员一览表（格式后附）、技术服务、技术培训的内容和措施））】；（</w:t>
            </w:r>
            <w:r>
              <w:rPr>
                <w:rFonts w:hint="eastAsia" w:ascii="宋体" w:hAnsi="宋体"/>
                <w:b/>
                <w:color w:val="auto"/>
                <w:szCs w:val="21"/>
              </w:rPr>
              <w:t>必须提供，否则作无效投标处理</w:t>
            </w:r>
            <w:r>
              <w:rPr>
                <w:rFonts w:hint="eastAsia" w:ascii="宋体" w:hAnsi="宋体"/>
                <w:color w:val="auto"/>
                <w:szCs w:val="21"/>
              </w:rPr>
              <w:t>）</w:t>
            </w:r>
          </w:p>
          <w:p w14:paraId="48557762">
            <w:pPr>
              <w:snapToGrid w:val="0"/>
              <w:spacing w:line="380" w:lineRule="exact"/>
              <w:jc w:val="left"/>
              <w:rPr>
                <w:rFonts w:ascii="宋体" w:hAnsi="宋体"/>
                <w:color w:val="auto"/>
                <w:szCs w:val="21"/>
              </w:rPr>
            </w:pPr>
            <w:r>
              <w:rPr>
                <w:rFonts w:hint="eastAsia" w:ascii="宋体" w:hAnsi="宋体"/>
                <w:color w:val="auto"/>
                <w:szCs w:val="21"/>
              </w:rPr>
              <w:t>3.对本项目总体要求的理解。包括：功能说明、性能指标及设备选型说明（质量、性能、价格、外观、体积等方面进行比较和选择的理由及过程）；</w:t>
            </w:r>
          </w:p>
          <w:p w14:paraId="10358446">
            <w:pPr>
              <w:snapToGrid w:val="0"/>
              <w:spacing w:line="380" w:lineRule="exact"/>
              <w:jc w:val="left"/>
              <w:rPr>
                <w:rFonts w:ascii="宋体" w:hAnsi="宋体"/>
                <w:color w:val="auto"/>
                <w:szCs w:val="21"/>
              </w:rPr>
            </w:pPr>
            <w:r>
              <w:rPr>
                <w:rFonts w:hint="eastAsia" w:ascii="宋体" w:hAnsi="宋体"/>
                <w:color w:val="auto"/>
                <w:szCs w:val="21"/>
              </w:rPr>
              <w:t>4.产品出厂标准、质量检测报告【其中有精度要求的仪器设备类政府采购项目，应当要求投标人提供精度数据（第三方检测报告或者由采购人在投标前组织的实测获得）】</w:t>
            </w:r>
          </w:p>
          <w:p w14:paraId="7A3F3961">
            <w:pPr>
              <w:snapToGrid w:val="0"/>
              <w:spacing w:line="380" w:lineRule="exact"/>
              <w:jc w:val="left"/>
              <w:rPr>
                <w:rFonts w:ascii="宋体" w:hAnsi="宋体"/>
                <w:color w:val="auto"/>
                <w:szCs w:val="21"/>
              </w:rPr>
            </w:pPr>
            <w:r>
              <w:rPr>
                <w:rFonts w:hint="eastAsia" w:ascii="宋体" w:hAnsi="宋体"/>
                <w:color w:val="auto"/>
                <w:szCs w:val="21"/>
              </w:rPr>
              <w:t>5.优惠条件：投标人承诺给予招标人的各种优惠条件，包括售后服务、备品备件、专用耗材等方面的优惠；投标人不得给予赠品或者与采购无关的其他商品、服务；</w:t>
            </w:r>
          </w:p>
          <w:p w14:paraId="018DE4EA">
            <w:pPr>
              <w:snapToGrid w:val="0"/>
              <w:spacing w:line="380" w:lineRule="exact"/>
              <w:jc w:val="left"/>
              <w:rPr>
                <w:rFonts w:ascii="宋体" w:hAnsi="宋体"/>
                <w:color w:val="auto"/>
                <w:szCs w:val="21"/>
              </w:rPr>
            </w:pPr>
            <w:r>
              <w:rPr>
                <w:rFonts w:hint="eastAsia" w:ascii="宋体" w:hAnsi="宋体"/>
                <w:color w:val="auto"/>
                <w:szCs w:val="21"/>
              </w:rPr>
              <w:t>6.投标人对本项目的合理化建议和改进措施；</w:t>
            </w:r>
          </w:p>
          <w:p w14:paraId="44E46ED4">
            <w:pPr>
              <w:snapToGrid w:val="0"/>
              <w:spacing w:line="380" w:lineRule="exact"/>
              <w:jc w:val="left"/>
              <w:rPr>
                <w:rFonts w:ascii="宋体" w:hAnsi="宋体"/>
                <w:bCs/>
                <w:color w:val="auto"/>
                <w:szCs w:val="21"/>
              </w:rPr>
            </w:pPr>
            <w:r>
              <w:rPr>
                <w:rFonts w:hint="eastAsia" w:ascii="宋体" w:hAnsi="宋体"/>
                <w:color w:val="auto"/>
                <w:szCs w:val="21"/>
              </w:rPr>
              <w:t>7.除招标文件规定必须提供以外，投标人需要说明的其他文件和说明。</w:t>
            </w:r>
          </w:p>
          <w:p w14:paraId="291A1216">
            <w:pPr>
              <w:snapToGrid w:val="0"/>
              <w:spacing w:line="380" w:lineRule="exact"/>
              <w:jc w:val="left"/>
              <w:rPr>
                <w:rFonts w:ascii="宋体" w:hAnsi="宋体"/>
                <w:b/>
                <w:bCs/>
                <w:color w:val="auto"/>
                <w:szCs w:val="21"/>
              </w:rPr>
            </w:pPr>
            <w:r>
              <w:rPr>
                <w:rFonts w:hint="eastAsia" w:ascii="宋体" w:hAnsi="宋体"/>
                <w:b/>
                <w:bCs/>
                <w:color w:val="auto"/>
                <w:szCs w:val="21"/>
              </w:rPr>
              <w:t>注：以上标明“必须提供”的材料</w:t>
            </w:r>
            <w:r>
              <w:rPr>
                <w:rFonts w:hint="eastAsia" w:ascii="宋体" w:hAnsi="宋体" w:cs="宋体"/>
                <w:b/>
                <w:color w:val="auto"/>
                <w:szCs w:val="21"/>
              </w:rPr>
              <w:t>属于复印件的扫描件的</w:t>
            </w:r>
            <w:r>
              <w:rPr>
                <w:rFonts w:hint="eastAsia" w:ascii="宋体" w:hAnsi="宋体"/>
                <w:b/>
                <w:bCs/>
                <w:color w:val="auto"/>
                <w:szCs w:val="21"/>
              </w:rPr>
              <w:t>，必须加盖投标人电子公章，否则</w:t>
            </w:r>
            <w:r>
              <w:rPr>
                <w:rFonts w:hint="eastAsia" w:ascii="宋体" w:hAnsi="宋体" w:cs="Courier New"/>
                <w:b/>
                <w:color w:val="auto"/>
                <w:szCs w:val="21"/>
              </w:rPr>
              <w:t>作无效投标处理</w:t>
            </w:r>
            <w:r>
              <w:rPr>
                <w:rFonts w:hint="eastAsia" w:ascii="宋体" w:hAnsi="宋体"/>
                <w:b/>
                <w:bCs/>
                <w:color w:val="auto"/>
                <w:szCs w:val="21"/>
              </w:rPr>
              <w:t>。</w:t>
            </w:r>
          </w:p>
        </w:tc>
      </w:tr>
      <w:tr w14:paraId="4716C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14:paraId="0579FBF3">
            <w:pPr>
              <w:spacing w:line="380" w:lineRule="exact"/>
              <w:rPr>
                <w:rFonts w:ascii="宋体" w:hAnsi="宋体"/>
                <w:color w:val="auto"/>
                <w:szCs w:val="21"/>
              </w:rPr>
            </w:pPr>
          </w:p>
        </w:tc>
        <w:tc>
          <w:tcPr>
            <w:tcW w:w="1736" w:type="dxa"/>
            <w:tcBorders>
              <w:top w:val="single" w:color="auto" w:sz="4" w:space="0"/>
              <w:left w:val="single" w:color="auto" w:sz="4" w:space="0"/>
              <w:bottom w:val="single" w:color="auto" w:sz="4" w:space="0"/>
              <w:right w:val="single" w:color="auto" w:sz="4" w:space="0"/>
            </w:tcBorders>
            <w:vAlign w:val="center"/>
          </w:tcPr>
          <w:p w14:paraId="43F514A2">
            <w:pPr>
              <w:snapToGrid w:val="0"/>
              <w:spacing w:line="380" w:lineRule="exact"/>
              <w:jc w:val="right"/>
              <w:rPr>
                <w:rFonts w:ascii="宋体" w:hAnsi="宋体" w:cs="Courier New"/>
                <w:color w:val="auto"/>
                <w:szCs w:val="21"/>
              </w:rPr>
            </w:pPr>
            <w:r>
              <w:rPr>
                <w:rFonts w:hint="eastAsia" w:ascii="宋体" w:hAnsi="宋体" w:cs="Courier New"/>
                <w:color w:val="auto"/>
                <w:szCs w:val="21"/>
              </w:rPr>
              <w:t>报价文件</w:t>
            </w:r>
            <w:r>
              <w:rPr>
                <w:rFonts w:hint="eastAsia" w:ascii="宋体" w:hAnsi="宋体"/>
                <w:color w:val="auto"/>
                <w:szCs w:val="21"/>
              </w:rPr>
              <w:t>组成</w:t>
            </w:r>
          </w:p>
        </w:tc>
        <w:tc>
          <w:tcPr>
            <w:tcW w:w="7829" w:type="dxa"/>
            <w:tcBorders>
              <w:top w:val="single" w:color="auto" w:sz="4" w:space="0"/>
              <w:left w:val="single" w:color="auto" w:sz="4" w:space="0"/>
              <w:bottom w:val="single" w:color="auto" w:sz="4" w:space="0"/>
              <w:right w:val="single" w:color="auto" w:sz="4" w:space="0"/>
            </w:tcBorders>
            <w:vAlign w:val="center"/>
          </w:tcPr>
          <w:p w14:paraId="0FBC3738">
            <w:pPr>
              <w:tabs>
                <w:tab w:val="left" w:pos="459"/>
              </w:tabs>
              <w:snapToGrid w:val="0"/>
              <w:spacing w:line="380" w:lineRule="exact"/>
              <w:jc w:val="left"/>
              <w:rPr>
                <w:rFonts w:ascii="宋体" w:hAnsi="宋体"/>
                <w:color w:val="auto"/>
                <w:szCs w:val="21"/>
              </w:rPr>
            </w:pPr>
            <w:r>
              <w:rPr>
                <w:rFonts w:hint="eastAsia" w:ascii="宋体" w:hAnsi="宋体"/>
                <w:color w:val="auto"/>
                <w:szCs w:val="21"/>
              </w:rPr>
              <w:t>1.投标函；</w:t>
            </w:r>
            <w:r>
              <w:rPr>
                <w:rFonts w:hint="eastAsia" w:ascii="宋体" w:hAnsi="宋体"/>
                <w:b/>
                <w:color w:val="auto"/>
                <w:szCs w:val="21"/>
              </w:rPr>
              <w:t>（必须提供，否则作无效投标处理）</w:t>
            </w:r>
          </w:p>
          <w:p w14:paraId="461B652B">
            <w:pPr>
              <w:tabs>
                <w:tab w:val="left" w:pos="459"/>
              </w:tabs>
              <w:snapToGrid w:val="0"/>
              <w:spacing w:line="380" w:lineRule="exact"/>
              <w:jc w:val="left"/>
              <w:rPr>
                <w:rFonts w:ascii="宋体" w:hAnsi="宋体"/>
                <w:color w:val="auto"/>
                <w:szCs w:val="21"/>
              </w:rPr>
            </w:pPr>
            <w:r>
              <w:rPr>
                <w:rFonts w:hint="eastAsia" w:ascii="宋体" w:hAnsi="宋体"/>
                <w:color w:val="auto"/>
                <w:szCs w:val="21"/>
              </w:rPr>
              <w:t>2.开标一览表；（</w:t>
            </w:r>
            <w:r>
              <w:rPr>
                <w:rFonts w:hint="eastAsia" w:ascii="宋体" w:hAnsi="宋体"/>
                <w:b/>
                <w:color w:val="auto"/>
                <w:szCs w:val="21"/>
              </w:rPr>
              <w:t>必须提供，否则作无效投标处理</w:t>
            </w:r>
            <w:r>
              <w:rPr>
                <w:rFonts w:hint="eastAsia" w:ascii="宋体" w:hAnsi="宋体"/>
                <w:color w:val="auto"/>
                <w:szCs w:val="21"/>
              </w:rPr>
              <w:t>）</w:t>
            </w:r>
          </w:p>
          <w:p w14:paraId="4C51A613">
            <w:pPr>
              <w:tabs>
                <w:tab w:val="left" w:pos="459"/>
              </w:tabs>
              <w:snapToGrid w:val="0"/>
              <w:spacing w:line="380" w:lineRule="exact"/>
              <w:jc w:val="left"/>
              <w:rPr>
                <w:rFonts w:ascii="宋体" w:hAnsi="宋体"/>
                <w:color w:val="auto"/>
                <w:szCs w:val="21"/>
              </w:rPr>
            </w:pPr>
            <w:r>
              <w:rPr>
                <w:rFonts w:hint="eastAsia" w:ascii="宋体" w:hAnsi="宋体"/>
                <w:color w:val="auto"/>
                <w:szCs w:val="21"/>
              </w:rPr>
              <w:t>3.中小企业声明函（</w:t>
            </w:r>
            <w:r>
              <w:rPr>
                <w:rFonts w:hint="eastAsia" w:ascii="宋体" w:hAnsi="宋体"/>
                <w:b/>
                <w:color w:val="auto"/>
                <w:szCs w:val="21"/>
              </w:rPr>
              <w:t>必须提供，否则作无效投标处理</w:t>
            </w:r>
            <w:r>
              <w:rPr>
                <w:rFonts w:hint="eastAsia" w:ascii="宋体" w:hAnsi="宋体"/>
                <w:color w:val="auto"/>
                <w:szCs w:val="21"/>
              </w:rPr>
              <w:t>）；</w:t>
            </w:r>
          </w:p>
          <w:p w14:paraId="5519CF43">
            <w:pPr>
              <w:tabs>
                <w:tab w:val="left" w:pos="459"/>
              </w:tabs>
              <w:snapToGrid w:val="0"/>
              <w:spacing w:line="380" w:lineRule="exact"/>
              <w:jc w:val="left"/>
              <w:rPr>
                <w:rFonts w:ascii="宋体" w:hAnsi="宋体"/>
                <w:color w:val="auto"/>
                <w:szCs w:val="21"/>
              </w:rPr>
            </w:pPr>
            <w:r>
              <w:rPr>
                <w:rFonts w:hint="eastAsia" w:ascii="宋体" w:hAnsi="宋体"/>
                <w:color w:val="auto"/>
                <w:szCs w:val="21"/>
              </w:rPr>
              <w:t>4.投标人针对报价需要说明的其他文件和说明。</w:t>
            </w:r>
          </w:p>
        </w:tc>
      </w:tr>
      <w:tr w14:paraId="7F56A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62DE859">
            <w:pPr>
              <w:spacing w:line="380" w:lineRule="exact"/>
              <w:rPr>
                <w:rFonts w:ascii="宋体" w:hAnsi="宋体"/>
                <w:color w:val="auto"/>
                <w:szCs w:val="21"/>
              </w:rPr>
            </w:pPr>
            <w:r>
              <w:rPr>
                <w:rFonts w:hint="eastAsia" w:ascii="宋体" w:hAnsi="宋体"/>
                <w:color w:val="auto"/>
                <w:szCs w:val="21"/>
              </w:rPr>
              <w:t>16.2</w:t>
            </w:r>
          </w:p>
        </w:tc>
        <w:tc>
          <w:tcPr>
            <w:tcW w:w="1736" w:type="dxa"/>
            <w:tcBorders>
              <w:top w:val="single" w:color="auto" w:sz="4" w:space="0"/>
              <w:left w:val="single" w:color="auto" w:sz="4" w:space="0"/>
              <w:bottom w:val="single" w:color="auto" w:sz="4" w:space="0"/>
              <w:right w:val="single" w:color="auto" w:sz="4" w:space="0"/>
            </w:tcBorders>
            <w:vAlign w:val="center"/>
          </w:tcPr>
          <w:p w14:paraId="4AF518C0">
            <w:pPr>
              <w:spacing w:line="380" w:lineRule="exact"/>
              <w:jc w:val="center"/>
              <w:rPr>
                <w:rFonts w:ascii="宋体" w:hAnsi="宋体"/>
                <w:color w:val="auto"/>
                <w:szCs w:val="21"/>
              </w:rPr>
            </w:pPr>
            <w:bookmarkStart w:id="48" w:name="_16.2"/>
            <w:bookmarkEnd w:id="48"/>
            <w:r>
              <w:rPr>
                <w:rFonts w:hint="eastAsia" w:ascii="宋体" w:hAnsi="宋体"/>
                <w:color w:val="auto"/>
                <w:szCs w:val="21"/>
              </w:rPr>
              <w:t>投标报价要求</w:t>
            </w:r>
          </w:p>
        </w:tc>
        <w:tc>
          <w:tcPr>
            <w:tcW w:w="7829" w:type="dxa"/>
            <w:tcBorders>
              <w:top w:val="single" w:color="auto" w:sz="4" w:space="0"/>
              <w:left w:val="single" w:color="auto" w:sz="4" w:space="0"/>
              <w:bottom w:val="single" w:color="auto" w:sz="4" w:space="0"/>
              <w:right w:val="single" w:color="auto" w:sz="4" w:space="0"/>
            </w:tcBorders>
            <w:vAlign w:val="center"/>
          </w:tcPr>
          <w:p w14:paraId="667F3B60">
            <w:pPr>
              <w:snapToGrid w:val="0"/>
              <w:spacing w:line="380" w:lineRule="exact"/>
              <w:rPr>
                <w:rFonts w:ascii="宋体" w:hAnsi="宋体"/>
                <w:b/>
                <w:color w:val="auto"/>
                <w:szCs w:val="21"/>
              </w:rPr>
            </w:pPr>
            <w:r>
              <w:rPr>
                <w:rFonts w:hint="eastAsia" w:ascii="宋体" w:hAnsi="宋体"/>
                <w:color w:val="auto"/>
                <w:szCs w:val="21"/>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w:t>
            </w:r>
            <w:r>
              <w:rPr>
                <w:rFonts w:hint="eastAsia" w:ascii="宋体" w:hAnsi="宋体" w:cs="宋体"/>
                <w:color w:val="auto"/>
                <w:szCs w:val="21"/>
              </w:rPr>
              <w:t>（采购需求另有约定的，从其约定）</w:t>
            </w:r>
          </w:p>
        </w:tc>
      </w:tr>
      <w:tr w14:paraId="24290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D01B091">
            <w:pPr>
              <w:spacing w:line="380" w:lineRule="exact"/>
              <w:rPr>
                <w:rFonts w:ascii="宋体" w:hAnsi="宋体"/>
                <w:color w:val="auto"/>
                <w:szCs w:val="21"/>
              </w:rPr>
            </w:pPr>
            <w:r>
              <w:rPr>
                <w:rFonts w:hint="eastAsia" w:ascii="宋体" w:hAnsi="宋体"/>
                <w:color w:val="auto"/>
                <w:szCs w:val="21"/>
              </w:rPr>
              <w:t>17.</w:t>
            </w:r>
            <w:r>
              <w:rPr>
                <w:rFonts w:ascii="宋体" w:hAnsi="宋体"/>
                <w:color w:val="auto"/>
                <w:szCs w:val="21"/>
              </w:rPr>
              <w:t>2</w:t>
            </w:r>
          </w:p>
        </w:tc>
        <w:tc>
          <w:tcPr>
            <w:tcW w:w="1736" w:type="dxa"/>
            <w:tcBorders>
              <w:top w:val="single" w:color="auto" w:sz="4" w:space="0"/>
              <w:left w:val="single" w:color="auto" w:sz="4" w:space="0"/>
              <w:bottom w:val="single" w:color="auto" w:sz="4" w:space="0"/>
              <w:right w:val="single" w:color="auto" w:sz="4" w:space="0"/>
            </w:tcBorders>
            <w:vAlign w:val="center"/>
          </w:tcPr>
          <w:p w14:paraId="3FBE318A">
            <w:pPr>
              <w:spacing w:line="380" w:lineRule="exact"/>
              <w:jc w:val="center"/>
              <w:rPr>
                <w:rFonts w:ascii="宋体" w:hAnsi="宋体"/>
                <w:color w:val="auto"/>
                <w:szCs w:val="21"/>
              </w:rPr>
            </w:pPr>
            <w:bookmarkStart w:id="49" w:name="_17.1"/>
            <w:bookmarkEnd w:id="49"/>
            <w:r>
              <w:rPr>
                <w:rFonts w:hint="eastAsia" w:ascii="宋体" w:hAnsi="宋体"/>
                <w:color w:val="auto"/>
                <w:szCs w:val="21"/>
              </w:rPr>
              <w:t>投标有效期</w:t>
            </w:r>
          </w:p>
        </w:tc>
        <w:tc>
          <w:tcPr>
            <w:tcW w:w="7829" w:type="dxa"/>
            <w:tcBorders>
              <w:top w:val="single" w:color="auto" w:sz="4" w:space="0"/>
              <w:left w:val="single" w:color="auto" w:sz="4" w:space="0"/>
              <w:bottom w:val="single" w:color="auto" w:sz="4" w:space="0"/>
              <w:right w:val="single" w:color="auto" w:sz="4" w:space="0"/>
            </w:tcBorders>
            <w:vAlign w:val="center"/>
          </w:tcPr>
          <w:p w14:paraId="67D9601E">
            <w:pPr>
              <w:snapToGrid w:val="0"/>
              <w:spacing w:line="380" w:lineRule="exact"/>
              <w:rPr>
                <w:rFonts w:ascii="宋体" w:hAnsi="宋体"/>
                <w:color w:val="auto"/>
                <w:szCs w:val="21"/>
              </w:rPr>
            </w:pPr>
            <w:r>
              <w:rPr>
                <w:rFonts w:hint="eastAsia" w:ascii="宋体" w:hAnsi="宋体"/>
                <w:color w:val="auto"/>
                <w:szCs w:val="21"/>
              </w:rPr>
              <w:t>自投标截止之日起</w:t>
            </w:r>
            <w:r>
              <w:rPr>
                <w:rFonts w:ascii="宋体" w:hAnsi="宋体"/>
                <w:color w:val="auto"/>
                <w:szCs w:val="21"/>
                <w:u w:val="single"/>
              </w:rPr>
              <w:t xml:space="preserve"> </w:t>
            </w:r>
            <w:r>
              <w:rPr>
                <w:rFonts w:hint="eastAsia" w:ascii="宋体" w:hAnsi="宋体"/>
                <w:color w:val="auto"/>
                <w:szCs w:val="21"/>
                <w:u w:val="single"/>
              </w:rPr>
              <w:t>90</w:t>
            </w:r>
            <w:r>
              <w:rPr>
                <w:rFonts w:ascii="宋体" w:hAnsi="宋体"/>
                <w:color w:val="auto"/>
                <w:szCs w:val="21"/>
                <w:u w:val="single"/>
              </w:rPr>
              <w:t xml:space="preserve"> </w:t>
            </w:r>
            <w:r>
              <w:rPr>
                <w:rFonts w:hint="eastAsia" w:ascii="宋体" w:hAnsi="宋体"/>
                <w:color w:val="auto"/>
                <w:szCs w:val="21"/>
              </w:rPr>
              <w:t>日。</w:t>
            </w:r>
          </w:p>
        </w:tc>
      </w:tr>
      <w:tr w14:paraId="36CE4C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B4DF466">
            <w:pPr>
              <w:spacing w:line="380" w:lineRule="exact"/>
              <w:rPr>
                <w:rFonts w:ascii="宋体" w:hAnsi="宋体"/>
                <w:color w:val="auto"/>
                <w:szCs w:val="21"/>
              </w:rPr>
            </w:pPr>
            <w:r>
              <w:rPr>
                <w:rFonts w:hint="eastAsia" w:ascii="宋体" w:hAnsi="宋体"/>
                <w:color w:val="auto"/>
                <w:szCs w:val="21"/>
              </w:rPr>
              <w:t>18</w:t>
            </w:r>
            <w:r>
              <w:rPr>
                <w:rFonts w:ascii="宋体" w:hAnsi="宋体"/>
                <w:color w:val="auto"/>
                <w:szCs w:val="21"/>
              </w:rPr>
              <w:t>.1</w:t>
            </w:r>
          </w:p>
        </w:tc>
        <w:tc>
          <w:tcPr>
            <w:tcW w:w="1736" w:type="dxa"/>
            <w:tcBorders>
              <w:top w:val="single" w:color="auto" w:sz="4" w:space="0"/>
              <w:left w:val="single" w:color="auto" w:sz="4" w:space="0"/>
              <w:bottom w:val="single" w:color="auto" w:sz="4" w:space="0"/>
              <w:right w:val="single" w:color="auto" w:sz="4" w:space="0"/>
            </w:tcBorders>
            <w:vAlign w:val="center"/>
          </w:tcPr>
          <w:p w14:paraId="347BE504">
            <w:pPr>
              <w:spacing w:line="380" w:lineRule="exact"/>
              <w:jc w:val="center"/>
              <w:rPr>
                <w:rFonts w:ascii="宋体" w:hAnsi="宋体"/>
                <w:color w:val="auto"/>
                <w:szCs w:val="21"/>
              </w:rPr>
            </w:pPr>
            <w:bookmarkStart w:id="50" w:name="_18"/>
            <w:bookmarkEnd w:id="50"/>
            <w:r>
              <w:rPr>
                <w:rFonts w:hint="eastAsia" w:ascii="宋体" w:hAnsi="宋体"/>
                <w:color w:val="auto"/>
                <w:szCs w:val="21"/>
              </w:rPr>
              <w:t>投标保证金金额</w:t>
            </w:r>
          </w:p>
        </w:tc>
        <w:tc>
          <w:tcPr>
            <w:tcW w:w="7829" w:type="dxa"/>
            <w:tcBorders>
              <w:top w:val="single" w:color="auto" w:sz="4" w:space="0"/>
              <w:left w:val="single" w:color="auto" w:sz="4" w:space="0"/>
              <w:bottom w:val="single" w:color="auto" w:sz="4" w:space="0"/>
              <w:right w:val="single" w:color="auto" w:sz="4" w:space="0"/>
            </w:tcBorders>
            <w:vAlign w:val="center"/>
          </w:tcPr>
          <w:p w14:paraId="67EAC088">
            <w:pPr>
              <w:autoSpaceDE w:val="0"/>
              <w:autoSpaceDN w:val="0"/>
              <w:snapToGrid w:val="0"/>
              <w:spacing w:line="380" w:lineRule="exact"/>
              <w:textAlignment w:val="bottom"/>
              <w:rPr>
                <w:rFonts w:ascii="宋体" w:hAnsi="宋体"/>
                <w:color w:val="auto"/>
                <w:szCs w:val="21"/>
              </w:rPr>
            </w:pPr>
            <w:r>
              <w:rPr>
                <w:rFonts w:hint="eastAsia" w:ascii="宋体" w:hAnsi="宋体"/>
                <w:color w:val="auto"/>
                <w:szCs w:val="21"/>
              </w:rPr>
              <w:t>本项目不收取投标保证金。</w:t>
            </w:r>
          </w:p>
        </w:tc>
      </w:tr>
      <w:tr w14:paraId="16F0F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8804409">
            <w:pPr>
              <w:spacing w:line="380" w:lineRule="exact"/>
              <w:rPr>
                <w:rFonts w:ascii="宋体" w:hAnsi="宋体"/>
                <w:color w:val="auto"/>
                <w:szCs w:val="21"/>
              </w:rPr>
            </w:pPr>
            <w:r>
              <w:rPr>
                <w:rFonts w:hint="eastAsia" w:ascii="宋体" w:hAnsi="宋体"/>
                <w:color w:val="auto"/>
                <w:szCs w:val="21"/>
              </w:rPr>
              <w:t>19.1</w:t>
            </w:r>
          </w:p>
        </w:tc>
        <w:tc>
          <w:tcPr>
            <w:tcW w:w="1736" w:type="dxa"/>
            <w:tcBorders>
              <w:top w:val="single" w:color="auto" w:sz="4" w:space="0"/>
              <w:left w:val="single" w:color="auto" w:sz="4" w:space="0"/>
              <w:bottom w:val="single" w:color="auto" w:sz="4" w:space="0"/>
              <w:right w:val="single" w:color="auto" w:sz="4" w:space="0"/>
            </w:tcBorders>
            <w:vAlign w:val="center"/>
          </w:tcPr>
          <w:p w14:paraId="33276C90">
            <w:pPr>
              <w:spacing w:line="380" w:lineRule="exact"/>
              <w:jc w:val="center"/>
              <w:rPr>
                <w:rFonts w:ascii="宋体" w:hAnsi="宋体"/>
                <w:color w:val="auto"/>
                <w:szCs w:val="21"/>
              </w:rPr>
            </w:pPr>
            <w:r>
              <w:rPr>
                <w:rFonts w:hint="eastAsia" w:ascii="宋体" w:hAnsi="宋体"/>
                <w:color w:val="auto"/>
                <w:szCs w:val="21"/>
              </w:rPr>
              <w:t>投标文件编制要求</w:t>
            </w:r>
          </w:p>
        </w:tc>
        <w:tc>
          <w:tcPr>
            <w:tcW w:w="7829" w:type="dxa"/>
            <w:tcBorders>
              <w:top w:val="single" w:color="auto" w:sz="4" w:space="0"/>
              <w:left w:val="single" w:color="auto" w:sz="4" w:space="0"/>
              <w:bottom w:val="single" w:color="auto" w:sz="4" w:space="0"/>
              <w:right w:val="single" w:color="auto" w:sz="4" w:space="0"/>
            </w:tcBorders>
            <w:vAlign w:val="center"/>
          </w:tcPr>
          <w:p w14:paraId="0D89850D">
            <w:pPr>
              <w:spacing w:line="360" w:lineRule="auto"/>
              <w:rPr>
                <w:rFonts w:ascii="宋体" w:hAnsi="宋体"/>
                <w:b/>
                <w:color w:val="auto"/>
                <w:szCs w:val="21"/>
                <w:u w:val="single"/>
              </w:rPr>
            </w:pPr>
            <w:r>
              <w:rPr>
                <w:rFonts w:hint="eastAsia" w:hAnsi="宋体"/>
                <w:color w:val="auto"/>
                <w:szCs w:val="21"/>
              </w:rPr>
              <w:t>投标文件应按报价文件、资格证明文件、商务文件、技术文件分别编制，报价文件、资格证明文件分别生产电子文件，商务文件和技术文件按顺序合并生成电子文件。</w:t>
            </w:r>
            <w:r>
              <w:rPr>
                <w:rFonts w:hint="eastAsia" w:ascii="宋体" w:hAnsi="宋体"/>
                <w:b/>
                <w:color w:val="auto"/>
                <w:szCs w:val="21"/>
                <w:u w:val="single"/>
              </w:rPr>
              <w:t>电子版投标文件制作方式见招标公告附件。</w:t>
            </w:r>
          </w:p>
        </w:tc>
      </w:tr>
      <w:tr w14:paraId="7B2B7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C121A2D">
            <w:pPr>
              <w:spacing w:line="380" w:lineRule="exact"/>
              <w:rPr>
                <w:rFonts w:ascii="宋体" w:hAnsi="宋体"/>
                <w:color w:val="auto"/>
                <w:szCs w:val="21"/>
              </w:rPr>
            </w:pPr>
            <w:r>
              <w:rPr>
                <w:rFonts w:hint="eastAsia" w:ascii="宋体" w:hAnsi="宋体"/>
                <w:color w:val="auto"/>
                <w:szCs w:val="21"/>
              </w:rPr>
              <w:t>2</w:t>
            </w:r>
            <w:r>
              <w:rPr>
                <w:rFonts w:ascii="宋体" w:hAnsi="宋体"/>
                <w:color w:val="auto"/>
                <w:szCs w:val="21"/>
              </w:rPr>
              <w:t>0</w:t>
            </w:r>
          </w:p>
        </w:tc>
        <w:tc>
          <w:tcPr>
            <w:tcW w:w="1736" w:type="dxa"/>
            <w:tcBorders>
              <w:top w:val="single" w:color="auto" w:sz="4" w:space="0"/>
              <w:left w:val="single" w:color="auto" w:sz="4" w:space="0"/>
              <w:bottom w:val="single" w:color="auto" w:sz="4" w:space="0"/>
              <w:right w:val="single" w:color="auto" w:sz="4" w:space="0"/>
            </w:tcBorders>
            <w:vAlign w:val="center"/>
          </w:tcPr>
          <w:p w14:paraId="61D05410">
            <w:pPr>
              <w:spacing w:line="380" w:lineRule="exact"/>
              <w:jc w:val="center"/>
              <w:rPr>
                <w:rFonts w:ascii="宋体" w:hAnsi="宋体"/>
                <w:color w:val="auto"/>
                <w:szCs w:val="21"/>
              </w:rPr>
            </w:pPr>
            <w:r>
              <w:rPr>
                <w:rFonts w:hint="eastAsia" w:ascii="宋体" w:hAnsi="宋体"/>
                <w:color w:val="auto"/>
                <w:szCs w:val="21"/>
              </w:rPr>
              <w:t>备份投标文件</w:t>
            </w:r>
          </w:p>
        </w:tc>
        <w:tc>
          <w:tcPr>
            <w:tcW w:w="7829" w:type="dxa"/>
            <w:tcBorders>
              <w:top w:val="single" w:color="auto" w:sz="4" w:space="0"/>
              <w:left w:val="single" w:color="auto" w:sz="4" w:space="0"/>
              <w:bottom w:val="single" w:color="auto" w:sz="4" w:space="0"/>
              <w:right w:val="single" w:color="auto" w:sz="4" w:space="0"/>
            </w:tcBorders>
            <w:vAlign w:val="center"/>
          </w:tcPr>
          <w:p w14:paraId="05B59287">
            <w:pPr>
              <w:autoSpaceDE w:val="0"/>
              <w:autoSpaceDN w:val="0"/>
              <w:snapToGrid w:val="0"/>
              <w:spacing w:line="380" w:lineRule="exact"/>
              <w:textAlignment w:val="bottom"/>
              <w:rPr>
                <w:rFonts w:ascii="宋体" w:hAnsi="宋体"/>
                <w:color w:val="auto"/>
                <w:szCs w:val="21"/>
              </w:rPr>
            </w:pPr>
            <w:r>
              <w:rPr>
                <w:rFonts w:hint="eastAsia" w:ascii="宋体" w:hAnsi="宋体"/>
                <w:color w:val="auto"/>
                <w:szCs w:val="21"/>
              </w:rPr>
              <w:t>本项目不接受备份投标文件。</w:t>
            </w:r>
          </w:p>
        </w:tc>
      </w:tr>
      <w:tr w14:paraId="55DC6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right w:val="single" w:color="auto" w:sz="4" w:space="0"/>
            </w:tcBorders>
            <w:vAlign w:val="center"/>
          </w:tcPr>
          <w:p w14:paraId="785D1273">
            <w:pPr>
              <w:spacing w:line="380" w:lineRule="exact"/>
              <w:rPr>
                <w:rFonts w:ascii="宋体" w:hAnsi="宋体"/>
                <w:color w:val="auto"/>
                <w:szCs w:val="21"/>
              </w:rPr>
            </w:pPr>
            <w:r>
              <w:rPr>
                <w:rFonts w:hint="eastAsia" w:ascii="宋体" w:hAnsi="宋体"/>
                <w:color w:val="auto"/>
                <w:szCs w:val="21"/>
              </w:rPr>
              <w:t>21.1</w:t>
            </w:r>
          </w:p>
        </w:tc>
        <w:tc>
          <w:tcPr>
            <w:tcW w:w="1736" w:type="dxa"/>
            <w:tcBorders>
              <w:top w:val="single" w:color="auto" w:sz="4" w:space="0"/>
              <w:left w:val="single" w:color="auto" w:sz="4" w:space="0"/>
              <w:bottom w:val="single" w:color="auto" w:sz="4" w:space="0"/>
              <w:right w:val="single" w:color="auto" w:sz="4" w:space="0"/>
            </w:tcBorders>
            <w:vAlign w:val="center"/>
          </w:tcPr>
          <w:p w14:paraId="7605812D">
            <w:pPr>
              <w:spacing w:line="380" w:lineRule="exact"/>
              <w:jc w:val="center"/>
              <w:rPr>
                <w:rFonts w:ascii="宋体" w:hAnsi="宋体"/>
                <w:color w:val="auto"/>
                <w:szCs w:val="21"/>
              </w:rPr>
            </w:pPr>
            <w:bookmarkStart w:id="51" w:name="_21.1"/>
            <w:bookmarkEnd w:id="51"/>
            <w:r>
              <w:rPr>
                <w:rFonts w:hint="eastAsia" w:ascii="宋体" w:hAnsi="宋体"/>
                <w:color w:val="auto"/>
                <w:szCs w:val="21"/>
              </w:rPr>
              <w:t>投标截止时间</w:t>
            </w:r>
          </w:p>
        </w:tc>
        <w:tc>
          <w:tcPr>
            <w:tcW w:w="7829" w:type="dxa"/>
            <w:tcBorders>
              <w:top w:val="single" w:color="auto" w:sz="4" w:space="0"/>
              <w:left w:val="single" w:color="auto" w:sz="4" w:space="0"/>
              <w:bottom w:val="single" w:color="auto" w:sz="4" w:space="0"/>
              <w:right w:val="single" w:color="auto" w:sz="4" w:space="0"/>
            </w:tcBorders>
            <w:vAlign w:val="center"/>
          </w:tcPr>
          <w:p w14:paraId="5EDDE6F1">
            <w:pPr>
              <w:snapToGrid w:val="0"/>
              <w:spacing w:line="380" w:lineRule="exact"/>
              <w:rPr>
                <w:rFonts w:ascii="宋体" w:hAnsi="宋体"/>
                <w:color w:val="auto"/>
                <w:szCs w:val="21"/>
                <w:u w:val="single"/>
              </w:rPr>
            </w:pPr>
            <w:r>
              <w:rPr>
                <w:rFonts w:hint="eastAsia" w:ascii="宋体" w:hAnsi="宋体"/>
                <w:color w:val="auto"/>
                <w:szCs w:val="21"/>
              </w:rPr>
              <w:t>详见招标公告</w:t>
            </w:r>
          </w:p>
        </w:tc>
      </w:tr>
      <w:tr w14:paraId="5ABF9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14:paraId="7C305BD4">
            <w:pPr>
              <w:spacing w:line="380" w:lineRule="exact"/>
              <w:rPr>
                <w:rFonts w:ascii="宋体" w:hAnsi="宋体"/>
                <w:color w:val="auto"/>
                <w:szCs w:val="21"/>
              </w:rPr>
            </w:pPr>
          </w:p>
        </w:tc>
        <w:tc>
          <w:tcPr>
            <w:tcW w:w="1736" w:type="dxa"/>
            <w:tcBorders>
              <w:top w:val="single" w:color="auto" w:sz="4" w:space="0"/>
              <w:left w:val="single" w:color="auto" w:sz="4" w:space="0"/>
              <w:bottom w:val="single" w:color="auto" w:sz="4" w:space="0"/>
              <w:right w:val="single" w:color="auto" w:sz="4" w:space="0"/>
            </w:tcBorders>
            <w:vAlign w:val="center"/>
          </w:tcPr>
          <w:p w14:paraId="13B40A29">
            <w:pPr>
              <w:spacing w:line="380" w:lineRule="exact"/>
              <w:jc w:val="center"/>
              <w:rPr>
                <w:rFonts w:ascii="宋体" w:hAnsi="宋体"/>
                <w:color w:val="auto"/>
                <w:szCs w:val="21"/>
              </w:rPr>
            </w:pPr>
            <w:r>
              <w:rPr>
                <w:rFonts w:hint="eastAsia" w:ascii="宋体" w:hAnsi="宋体"/>
                <w:color w:val="auto"/>
                <w:szCs w:val="21"/>
              </w:rPr>
              <w:t>投标文件提交起止时间</w:t>
            </w:r>
          </w:p>
        </w:tc>
        <w:tc>
          <w:tcPr>
            <w:tcW w:w="7829" w:type="dxa"/>
            <w:tcBorders>
              <w:top w:val="single" w:color="auto" w:sz="4" w:space="0"/>
              <w:left w:val="single" w:color="auto" w:sz="4" w:space="0"/>
              <w:bottom w:val="single" w:color="auto" w:sz="4" w:space="0"/>
              <w:right w:val="single" w:color="auto" w:sz="4" w:space="0"/>
            </w:tcBorders>
            <w:vAlign w:val="center"/>
          </w:tcPr>
          <w:p w14:paraId="021A58F8">
            <w:pPr>
              <w:snapToGrid w:val="0"/>
              <w:spacing w:line="380" w:lineRule="exact"/>
              <w:rPr>
                <w:rFonts w:ascii="宋体" w:hAnsi="宋体"/>
                <w:color w:val="auto"/>
                <w:szCs w:val="21"/>
              </w:rPr>
            </w:pPr>
            <w:r>
              <w:rPr>
                <w:rFonts w:hint="eastAsia" w:ascii="宋体" w:hAnsi="宋体"/>
                <w:color w:val="auto"/>
                <w:szCs w:val="21"/>
              </w:rPr>
              <w:t>详见招标公告</w:t>
            </w:r>
          </w:p>
        </w:tc>
      </w:tr>
      <w:tr w14:paraId="74CFA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14:paraId="5D03A3FA">
            <w:pPr>
              <w:spacing w:line="380" w:lineRule="exact"/>
              <w:rPr>
                <w:rFonts w:ascii="宋体" w:hAnsi="宋体"/>
                <w:color w:val="auto"/>
                <w:szCs w:val="21"/>
              </w:rPr>
            </w:pPr>
          </w:p>
        </w:tc>
        <w:tc>
          <w:tcPr>
            <w:tcW w:w="1736" w:type="dxa"/>
            <w:tcBorders>
              <w:top w:val="single" w:color="auto" w:sz="4" w:space="0"/>
              <w:left w:val="single" w:color="auto" w:sz="4" w:space="0"/>
              <w:bottom w:val="single" w:color="auto" w:sz="4" w:space="0"/>
              <w:right w:val="single" w:color="auto" w:sz="4" w:space="0"/>
            </w:tcBorders>
            <w:vAlign w:val="center"/>
          </w:tcPr>
          <w:p w14:paraId="0B5A566F">
            <w:pPr>
              <w:spacing w:line="380" w:lineRule="exact"/>
              <w:jc w:val="center"/>
              <w:rPr>
                <w:rFonts w:ascii="宋体" w:hAnsi="宋体"/>
                <w:color w:val="auto"/>
                <w:szCs w:val="21"/>
              </w:rPr>
            </w:pPr>
            <w:r>
              <w:rPr>
                <w:rFonts w:hint="eastAsia" w:ascii="宋体" w:hAnsi="宋体"/>
                <w:color w:val="auto"/>
                <w:szCs w:val="21"/>
              </w:rPr>
              <w:t>投标地点</w:t>
            </w:r>
          </w:p>
        </w:tc>
        <w:tc>
          <w:tcPr>
            <w:tcW w:w="7829" w:type="dxa"/>
            <w:tcBorders>
              <w:top w:val="single" w:color="auto" w:sz="4" w:space="0"/>
              <w:left w:val="single" w:color="auto" w:sz="4" w:space="0"/>
              <w:bottom w:val="single" w:color="auto" w:sz="4" w:space="0"/>
              <w:right w:val="single" w:color="auto" w:sz="4" w:space="0"/>
            </w:tcBorders>
            <w:vAlign w:val="center"/>
          </w:tcPr>
          <w:p w14:paraId="3473DBC3">
            <w:pPr>
              <w:snapToGrid w:val="0"/>
              <w:spacing w:line="380" w:lineRule="exact"/>
              <w:rPr>
                <w:rFonts w:ascii="宋体" w:hAnsi="宋体"/>
                <w:color w:val="auto"/>
                <w:szCs w:val="21"/>
              </w:rPr>
            </w:pPr>
            <w:r>
              <w:rPr>
                <w:rFonts w:hint="eastAsia" w:ascii="宋体" w:hAnsi="宋体"/>
                <w:color w:val="auto"/>
                <w:szCs w:val="21"/>
              </w:rPr>
              <w:t>详见招标公告</w:t>
            </w:r>
          </w:p>
        </w:tc>
      </w:tr>
      <w:tr w14:paraId="475FF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14:paraId="315AE3A7">
            <w:pPr>
              <w:spacing w:line="380" w:lineRule="exact"/>
              <w:rPr>
                <w:rFonts w:ascii="宋体" w:hAnsi="宋体"/>
                <w:color w:val="auto"/>
                <w:szCs w:val="21"/>
              </w:rPr>
            </w:pPr>
          </w:p>
        </w:tc>
        <w:tc>
          <w:tcPr>
            <w:tcW w:w="1736" w:type="dxa"/>
            <w:tcBorders>
              <w:top w:val="single" w:color="auto" w:sz="4" w:space="0"/>
              <w:left w:val="single" w:color="auto" w:sz="4" w:space="0"/>
              <w:bottom w:val="single" w:color="auto" w:sz="4" w:space="0"/>
              <w:right w:val="single" w:color="auto" w:sz="4" w:space="0"/>
            </w:tcBorders>
            <w:vAlign w:val="center"/>
          </w:tcPr>
          <w:p w14:paraId="4727A1C3">
            <w:pPr>
              <w:spacing w:line="380" w:lineRule="exact"/>
              <w:jc w:val="center"/>
              <w:rPr>
                <w:rFonts w:ascii="宋体" w:hAnsi="宋体"/>
                <w:color w:val="auto"/>
                <w:szCs w:val="21"/>
              </w:rPr>
            </w:pPr>
            <w:r>
              <w:rPr>
                <w:rFonts w:hint="eastAsia" w:ascii="宋体" w:hAnsi="宋体"/>
                <w:color w:val="auto"/>
                <w:szCs w:val="21"/>
              </w:rPr>
              <w:t>投标人递交投标样品截止时间及地点</w:t>
            </w:r>
          </w:p>
        </w:tc>
        <w:tc>
          <w:tcPr>
            <w:tcW w:w="7829" w:type="dxa"/>
            <w:tcBorders>
              <w:top w:val="single" w:color="auto" w:sz="4" w:space="0"/>
              <w:left w:val="single" w:color="auto" w:sz="4" w:space="0"/>
              <w:bottom w:val="single" w:color="auto" w:sz="4" w:space="0"/>
              <w:right w:val="single" w:color="auto" w:sz="4" w:space="0"/>
            </w:tcBorders>
            <w:vAlign w:val="center"/>
          </w:tcPr>
          <w:p w14:paraId="2B297842">
            <w:pPr>
              <w:snapToGrid w:val="0"/>
              <w:spacing w:line="380" w:lineRule="exact"/>
              <w:rPr>
                <w:rFonts w:ascii="宋体" w:hAnsi="宋体"/>
                <w:color w:val="auto"/>
                <w:szCs w:val="21"/>
              </w:rPr>
            </w:pPr>
            <w:r>
              <w:rPr>
                <w:rFonts w:hint="eastAsia" w:ascii="宋体" w:hAnsi="宋体"/>
                <w:color w:val="auto"/>
                <w:szCs w:val="21"/>
              </w:rPr>
              <w:t>无</w:t>
            </w:r>
          </w:p>
        </w:tc>
      </w:tr>
      <w:tr w14:paraId="6ED1C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DB712CA">
            <w:pPr>
              <w:spacing w:line="380" w:lineRule="exact"/>
              <w:rPr>
                <w:rFonts w:ascii="宋体" w:hAnsi="宋体"/>
                <w:color w:val="auto"/>
                <w:szCs w:val="21"/>
              </w:rPr>
            </w:pPr>
            <w:r>
              <w:rPr>
                <w:rFonts w:hint="eastAsia" w:ascii="宋体" w:hAnsi="宋体"/>
                <w:color w:val="auto"/>
                <w:szCs w:val="21"/>
              </w:rPr>
              <w:t>23</w:t>
            </w:r>
          </w:p>
        </w:tc>
        <w:tc>
          <w:tcPr>
            <w:tcW w:w="1736" w:type="dxa"/>
            <w:tcBorders>
              <w:top w:val="single" w:color="auto" w:sz="4" w:space="0"/>
              <w:left w:val="single" w:color="auto" w:sz="4" w:space="0"/>
              <w:bottom w:val="single" w:color="auto" w:sz="4" w:space="0"/>
              <w:right w:val="single" w:color="auto" w:sz="4" w:space="0"/>
            </w:tcBorders>
            <w:vAlign w:val="center"/>
          </w:tcPr>
          <w:p w14:paraId="565D19C8">
            <w:pPr>
              <w:spacing w:line="380" w:lineRule="exact"/>
              <w:jc w:val="center"/>
              <w:rPr>
                <w:rFonts w:ascii="宋体" w:hAnsi="宋体"/>
                <w:color w:val="auto"/>
                <w:szCs w:val="21"/>
              </w:rPr>
            </w:pPr>
            <w:bookmarkStart w:id="52" w:name="_23"/>
            <w:bookmarkEnd w:id="52"/>
            <w:r>
              <w:rPr>
                <w:rFonts w:hint="eastAsia" w:ascii="宋体" w:hAnsi="宋体"/>
                <w:color w:val="auto"/>
                <w:szCs w:val="21"/>
              </w:rPr>
              <w:t>开标时间、地点</w:t>
            </w:r>
          </w:p>
        </w:tc>
        <w:tc>
          <w:tcPr>
            <w:tcW w:w="7829" w:type="dxa"/>
            <w:tcBorders>
              <w:top w:val="single" w:color="auto" w:sz="4" w:space="0"/>
              <w:left w:val="single" w:color="auto" w:sz="4" w:space="0"/>
              <w:bottom w:val="single" w:color="auto" w:sz="4" w:space="0"/>
              <w:right w:val="single" w:color="auto" w:sz="4" w:space="0"/>
            </w:tcBorders>
            <w:vAlign w:val="center"/>
          </w:tcPr>
          <w:p w14:paraId="4BAC59DE">
            <w:pPr>
              <w:snapToGrid w:val="0"/>
              <w:spacing w:line="380" w:lineRule="exact"/>
              <w:rPr>
                <w:rFonts w:ascii="宋体" w:hAnsi="宋体"/>
                <w:color w:val="auto"/>
                <w:szCs w:val="21"/>
              </w:rPr>
            </w:pPr>
            <w:r>
              <w:rPr>
                <w:rFonts w:hint="eastAsia" w:ascii="宋体" w:hAnsi="宋体"/>
                <w:color w:val="auto"/>
                <w:szCs w:val="21"/>
              </w:rPr>
              <w:t xml:space="preserve">详见招标公告 </w:t>
            </w:r>
          </w:p>
        </w:tc>
      </w:tr>
      <w:tr w14:paraId="1603E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right w:val="single" w:color="auto" w:sz="4" w:space="0"/>
            </w:tcBorders>
            <w:vAlign w:val="center"/>
          </w:tcPr>
          <w:p w14:paraId="1C0836FD">
            <w:pPr>
              <w:spacing w:line="380" w:lineRule="exact"/>
              <w:rPr>
                <w:rFonts w:ascii="宋体" w:hAnsi="宋体"/>
                <w:color w:val="auto"/>
                <w:szCs w:val="21"/>
              </w:rPr>
            </w:pPr>
            <w:r>
              <w:rPr>
                <w:rFonts w:hint="eastAsia" w:ascii="宋体" w:hAnsi="宋体"/>
                <w:color w:val="auto"/>
                <w:szCs w:val="21"/>
              </w:rPr>
              <w:t>25.3（2）</w:t>
            </w:r>
          </w:p>
        </w:tc>
        <w:tc>
          <w:tcPr>
            <w:tcW w:w="1736" w:type="dxa"/>
            <w:tcBorders>
              <w:top w:val="single" w:color="auto" w:sz="4" w:space="0"/>
              <w:left w:val="single" w:color="auto" w:sz="4" w:space="0"/>
              <w:bottom w:val="single" w:color="auto" w:sz="4" w:space="0"/>
              <w:right w:val="single" w:color="auto" w:sz="4" w:space="0"/>
            </w:tcBorders>
            <w:vAlign w:val="center"/>
          </w:tcPr>
          <w:p w14:paraId="2BBD7F8A">
            <w:pPr>
              <w:spacing w:line="380" w:lineRule="exact"/>
              <w:jc w:val="center"/>
              <w:rPr>
                <w:rFonts w:ascii="宋体" w:hAnsi="宋体"/>
                <w:color w:val="auto"/>
                <w:szCs w:val="21"/>
              </w:rPr>
            </w:pPr>
            <w:bookmarkStart w:id="53" w:name="_25.3"/>
            <w:bookmarkEnd w:id="53"/>
            <w:r>
              <w:rPr>
                <w:rFonts w:hint="eastAsia" w:ascii="宋体" w:hAnsi="宋体"/>
                <w:color w:val="auto"/>
                <w:szCs w:val="21"/>
              </w:rPr>
              <w:t>投标人信用查询渠道</w:t>
            </w:r>
          </w:p>
        </w:tc>
        <w:tc>
          <w:tcPr>
            <w:tcW w:w="7829" w:type="dxa"/>
            <w:tcBorders>
              <w:top w:val="single" w:color="auto" w:sz="4" w:space="0"/>
              <w:left w:val="single" w:color="auto" w:sz="4" w:space="0"/>
              <w:bottom w:val="single" w:color="auto" w:sz="4" w:space="0"/>
              <w:right w:val="single" w:color="auto" w:sz="4" w:space="0"/>
            </w:tcBorders>
            <w:vAlign w:val="center"/>
          </w:tcPr>
          <w:p w14:paraId="6FA186E5">
            <w:pPr>
              <w:snapToGrid w:val="0"/>
              <w:spacing w:line="380" w:lineRule="exact"/>
              <w:rPr>
                <w:rFonts w:ascii="宋体" w:hAnsi="宋体"/>
                <w:color w:val="auto"/>
                <w:szCs w:val="21"/>
              </w:rPr>
            </w:pPr>
            <w:r>
              <w:rPr>
                <w:rFonts w:hint="eastAsia" w:ascii="宋体" w:hAnsi="宋体"/>
                <w:color w:val="auto"/>
                <w:szCs w:val="21"/>
              </w:rPr>
              <w:t>采购人或者采购代理机构在资格审查结束前，对投标人进行信用查询。</w:t>
            </w:r>
          </w:p>
          <w:p w14:paraId="1C0C51EE">
            <w:pPr>
              <w:snapToGrid w:val="0"/>
              <w:spacing w:line="380" w:lineRule="exact"/>
              <w:rPr>
                <w:rFonts w:ascii="宋体" w:hAnsi="宋体"/>
                <w:color w:val="auto"/>
                <w:szCs w:val="21"/>
              </w:rPr>
            </w:pPr>
            <w:r>
              <w:rPr>
                <w:rFonts w:hint="eastAsia" w:ascii="宋体" w:hAnsi="宋体"/>
                <w:color w:val="auto"/>
                <w:szCs w:val="21"/>
              </w:rPr>
              <w:t>查询渠道：“信用中国”网站(www.creditchina.gov.cn) 、中国政府采购网(www.ccgp.gov.cn)。</w:t>
            </w:r>
          </w:p>
        </w:tc>
      </w:tr>
      <w:tr w14:paraId="0B534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left w:val="single" w:color="auto" w:sz="4" w:space="0"/>
              <w:right w:val="single" w:color="auto" w:sz="4" w:space="0"/>
            </w:tcBorders>
            <w:vAlign w:val="center"/>
          </w:tcPr>
          <w:p w14:paraId="4A8AC4D7">
            <w:pPr>
              <w:spacing w:line="380" w:lineRule="exact"/>
              <w:rPr>
                <w:rFonts w:ascii="宋体" w:hAnsi="宋体"/>
                <w:color w:val="auto"/>
                <w:szCs w:val="21"/>
              </w:rPr>
            </w:pPr>
          </w:p>
        </w:tc>
        <w:tc>
          <w:tcPr>
            <w:tcW w:w="1736" w:type="dxa"/>
            <w:tcBorders>
              <w:top w:val="single" w:color="auto" w:sz="4" w:space="0"/>
              <w:left w:val="single" w:color="auto" w:sz="4" w:space="0"/>
              <w:bottom w:val="single" w:color="auto" w:sz="4" w:space="0"/>
              <w:right w:val="single" w:color="auto" w:sz="4" w:space="0"/>
            </w:tcBorders>
            <w:vAlign w:val="center"/>
          </w:tcPr>
          <w:p w14:paraId="27464DA7">
            <w:pPr>
              <w:spacing w:line="380" w:lineRule="exact"/>
              <w:jc w:val="center"/>
              <w:rPr>
                <w:rFonts w:ascii="宋体" w:hAnsi="宋体"/>
                <w:color w:val="auto"/>
                <w:szCs w:val="21"/>
              </w:rPr>
            </w:pPr>
            <w:r>
              <w:rPr>
                <w:rFonts w:hint="eastAsia" w:ascii="宋体" w:hAnsi="宋体"/>
                <w:color w:val="auto"/>
                <w:szCs w:val="21"/>
              </w:rPr>
              <w:t>信用查询截止时点</w:t>
            </w:r>
          </w:p>
        </w:tc>
        <w:tc>
          <w:tcPr>
            <w:tcW w:w="7829" w:type="dxa"/>
            <w:tcBorders>
              <w:top w:val="single" w:color="auto" w:sz="4" w:space="0"/>
              <w:left w:val="single" w:color="auto" w:sz="4" w:space="0"/>
              <w:bottom w:val="single" w:color="auto" w:sz="4" w:space="0"/>
              <w:right w:val="single" w:color="auto" w:sz="4" w:space="0"/>
            </w:tcBorders>
            <w:vAlign w:val="center"/>
          </w:tcPr>
          <w:p w14:paraId="57EBB7A7">
            <w:pPr>
              <w:snapToGrid w:val="0"/>
              <w:spacing w:line="380" w:lineRule="exact"/>
              <w:rPr>
                <w:rFonts w:ascii="宋体" w:hAnsi="宋体"/>
                <w:color w:val="auto"/>
                <w:szCs w:val="21"/>
              </w:rPr>
            </w:pPr>
            <w:r>
              <w:rPr>
                <w:rFonts w:hint="eastAsia" w:ascii="宋体" w:hAnsi="宋体"/>
                <w:color w:val="auto"/>
                <w:szCs w:val="21"/>
              </w:rPr>
              <w:t>资格审查结束前</w:t>
            </w:r>
          </w:p>
        </w:tc>
      </w:tr>
      <w:tr w14:paraId="7D2DC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left w:val="single" w:color="auto" w:sz="4" w:space="0"/>
              <w:right w:val="single" w:color="auto" w:sz="4" w:space="0"/>
            </w:tcBorders>
            <w:vAlign w:val="center"/>
          </w:tcPr>
          <w:p w14:paraId="3187D042">
            <w:pPr>
              <w:spacing w:line="380" w:lineRule="exact"/>
              <w:rPr>
                <w:rFonts w:ascii="宋体" w:hAnsi="宋体"/>
                <w:color w:val="auto"/>
                <w:szCs w:val="21"/>
              </w:rPr>
            </w:pPr>
          </w:p>
        </w:tc>
        <w:tc>
          <w:tcPr>
            <w:tcW w:w="1736" w:type="dxa"/>
            <w:tcBorders>
              <w:top w:val="single" w:color="auto" w:sz="4" w:space="0"/>
              <w:left w:val="single" w:color="auto" w:sz="4" w:space="0"/>
              <w:bottom w:val="single" w:color="auto" w:sz="4" w:space="0"/>
              <w:right w:val="single" w:color="auto" w:sz="4" w:space="0"/>
            </w:tcBorders>
            <w:vAlign w:val="center"/>
          </w:tcPr>
          <w:p w14:paraId="3D1D6462">
            <w:pPr>
              <w:spacing w:line="380" w:lineRule="exact"/>
              <w:jc w:val="center"/>
              <w:rPr>
                <w:rFonts w:ascii="宋体" w:hAnsi="宋体"/>
                <w:color w:val="auto"/>
                <w:szCs w:val="21"/>
              </w:rPr>
            </w:pPr>
            <w:r>
              <w:rPr>
                <w:rFonts w:hint="eastAsia" w:ascii="宋体" w:hAnsi="宋体"/>
                <w:color w:val="auto"/>
                <w:szCs w:val="21"/>
              </w:rPr>
              <w:t>查询记录和证据留存方式</w:t>
            </w:r>
          </w:p>
        </w:tc>
        <w:tc>
          <w:tcPr>
            <w:tcW w:w="7829" w:type="dxa"/>
            <w:tcBorders>
              <w:top w:val="single" w:color="auto" w:sz="4" w:space="0"/>
              <w:left w:val="single" w:color="auto" w:sz="4" w:space="0"/>
              <w:bottom w:val="single" w:color="auto" w:sz="4" w:space="0"/>
              <w:right w:val="single" w:color="auto" w:sz="4" w:space="0"/>
            </w:tcBorders>
            <w:vAlign w:val="center"/>
          </w:tcPr>
          <w:p w14:paraId="725E3C5C">
            <w:pPr>
              <w:snapToGrid w:val="0"/>
              <w:spacing w:line="380" w:lineRule="exact"/>
              <w:rPr>
                <w:rFonts w:ascii="宋体" w:hAnsi="宋体"/>
                <w:color w:val="auto"/>
                <w:szCs w:val="21"/>
              </w:rPr>
            </w:pPr>
            <w:r>
              <w:rPr>
                <w:rFonts w:hint="eastAsia" w:ascii="宋体" w:hAnsi="宋体"/>
                <w:color w:val="auto"/>
                <w:szCs w:val="21"/>
              </w:rPr>
              <w:t>在查询网站中直接截图查询记录，截图作为在</w:t>
            </w:r>
            <w:r>
              <w:rPr>
                <w:rFonts w:hint="eastAsia" w:ascii="宋体" w:hAnsi="宋体"/>
                <w:color w:val="auto"/>
                <w:szCs w:val="21"/>
                <w:lang w:eastAsia="zh-CN"/>
              </w:rPr>
              <w:t>广西政府采购云平台</w:t>
            </w:r>
            <w:r>
              <w:rPr>
                <w:rFonts w:hint="eastAsia" w:ascii="宋体" w:hAnsi="宋体"/>
                <w:color w:val="auto"/>
                <w:szCs w:val="21"/>
              </w:rPr>
              <w:t>作为附件上传保存。</w:t>
            </w:r>
          </w:p>
        </w:tc>
      </w:tr>
      <w:tr w14:paraId="1FFA9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left w:val="single" w:color="auto" w:sz="4" w:space="0"/>
              <w:bottom w:val="single" w:color="auto" w:sz="4" w:space="0"/>
              <w:right w:val="single" w:color="auto" w:sz="4" w:space="0"/>
            </w:tcBorders>
            <w:vAlign w:val="center"/>
          </w:tcPr>
          <w:p w14:paraId="27D5D138">
            <w:pPr>
              <w:spacing w:line="380" w:lineRule="exact"/>
              <w:rPr>
                <w:rFonts w:ascii="宋体" w:hAnsi="宋体"/>
                <w:color w:val="auto"/>
                <w:szCs w:val="21"/>
              </w:rPr>
            </w:pPr>
          </w:p>
        </w:tc>
        <w:tc>
          <w:tcPr>
            <w:tcW w:w="1736" w:type="dxa"/>
            <w:tcBorders>
              <w:top w:val="single" w:color="auto" w:sz="4" w:space="0"/>
              <w:left w:val="single" w:color="auto" w:sz="4" w:space="0"/>
              <w:bottom w:val="single" w:color="auto" w:sz="4" w:space="0"/>
              <w:right w:val="single" w:color="auto" w:sz="4" w:space="0"/>
            </w:tcBorders>
            <w:vAlign w:val="center"/>
          </w:tcPr>
          <w:p w14:paraId="5D8AA3C2">
            <w:pPr>
              <w:spacing w:line="380" w:lineRule="exact"/>
              <w:jc w:val="center"/>
              <w:rPr>
                <w:rFonts w:ascii="宋体" w:hAnsi="宋体"/>
                <w:color w:val="auto"/>
                <w:szCs w:val="21"/>
              </w:rPr>
            </w:pPr>
            <w:r>
              <w:rPr>
                <w:rFonts w:hint="eastAsia" w:ascii="宋体" w:hAnsi="宋体"/>
                <w:color w:val="auto"/>
                <w:szCs w:val="21"/>
              </w:rPr>
              <w:t>信用信息使用规则</w:t>
            </w:r>
          </w:p>
        </w:tc>
        <w:tc>
          <w:tcPr>
            <w:tcW w:w="7829" w:type="dxa"/>
            <w:tcBorders>
              <w:top w:val="single" w:color="auto" w:sz="4" w:space="0"/>
              <w:left w:val="single" w:color="auto" w:sz="4" w:space="0"/>
              <w:bottom w:val="single" w:color="auto" w:sz="4" w:space="0"/>
              <w:right w:val="single" w:color="auto" w:sz="4" w:space="0"/>
            </w:tcBorders>
            <w:vAlign w:val="center"/>
          </w:tcPr>
          <w:p w14:paraId="3CEBE7BF">
            <w:pPr>
              <w:snapToGrid w:val="0"/>
              <w:spacing w:line="380" w:lineRule="exact"/>
              <w:rPr>
                <w:rFonts w:ascii="宋体" w:hAnsi="宋体"/>
                <w:color w:val="auto"/>
                <w:szCs w:val="21"/>
              </w:rPr>
            </w:pPr>
            <w:r>
              <w:rPr>
                <w:rFonts w:hint="eastAsia" w:ascii="宋体" w:hAnsi="宋体"/>
                <w:color w:val="auto"/>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color w:val="auto"/>
                <w:sz w:val="22"/>
                <w:szCs w:val="22"/>
              </w:rPr>
              <w:t>应当拒绝其参与政府采购活动</w:t>
            </w:r>
            <w:r>
              <w:rPr>
                <w:rFonts w:hint="eastAsia" w:ascii="宋体" w:hAnsi="宋体"/>
                <w:color w:val="auto"/>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7C8C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CA7F9CF">
            <w:pPr>
              <w:spacing w:line="380" w:lineRule="exact"/>
              <w:rPr>
                <w:rFonts w:ascii="宋体" w:hAnsi="宋体"/>
                <w:color w:val="auto"/>
                <w:szCs w:val="21"/>
              </w:rPr>
            </w:pPr>
            <w:r>
              <w:rPr>
                <w:rFonts w:ascii="宋体" w:hAnsi="宋体"/>
                <w:color w:val="auto"/>
                <w:szCs w:val="21"/>
              </w:rPr>
              <w:t>29.1</w:t>
            </w:r>
          </w:p>
        </w:tc>
        <w:tc>
          <w:tcPr>
            <w:tcW w:w="1736" w:type="dxa"/>
            <w:tcBorders>
              <w:top w:val="single" w:color="auto" w:sz="4" w:space="0"/>
              <w:left w:val="single" w:color="auto" w:sz="4" w:space="0"/>
              <w:bottom w:val="single" w:color="auto" w:sz="4" w:space="0"/>
              <w:right w:val="single" w:color="auto" w:sz="4" w:space="0"/>
            </w:tcBorders>
            <w:vAlign w:val="center"/>
          </w:tcPr>
          <w:p w14:paraId="640DD265">
            <w:pPr>
              <w:spacing w:line="380" w:lineRule="exact"/>
              <w:jc w:val="center"/>
              <w:rPr>
                <w:rFonts w:ascii="宋体" w:hAnsi="宋体"/>
                <w:color w:val="auto"/>
                <w:szCs w:val="21"/>
              </w:rPr>
            </w:pPr>
            <w:bookmarkStart w:id="54" w:name="_28.3"/>
            <w:bookmarkEnd w:id="54"/>
            <w:bookmarkStart w:id="55" w:name="_26"/>
            <w:bookmarkEnd w:id="55"/>
            <w:r>
              <w:rPr>
                <w:rFonts w:hint="eastAsia" w:ascii="宋体" w:hAnsi="宋体"/>
                <w:color w:val="auto"/>
                <w:szCs w:val="21"/>
              </w:rPr>
              <w:t>评标方法</w:t>
            </w:r>
          </w:p>
        </w:tc>
        <w:tc>
          <w:tcPr>
            <w:tcW w:w="7829" w:type="dxa"/>
            <w:tcBorders>
              <w:top w:val="single" w:color="auto" w:sz="4" w:space="0"/>
              <w:left w:val="single" w:color="auto" w:sz="4" w:space="0"/>
              <w:bottom w:val="single" w:color="auto" w:sz="4" w:space="0"/>
              <w:right w:val="single" w:color="auto" w:sz="4" w:space="0"/>
            </w:tcBorders>
            <w:vAlign w:val="center"/>
          </w:tcPr>
          <w:p w14:paraId="325BB654">
            <w:pPr>
              <w:autoSpaceDE w:val="0"/>
              <w:autoSpaceDN w:val="0"/>
              <w:snapToGrid w:val="0"/>
              <w:spacing w:line="380" w:lineRule="exact"/>
              <w:textAlignment w:val="bottom"/>
              <w:rPr>
                <w:rFonts w:ascii="宋体" w:hAnsi="宋体"/>
                <w:color w:val="auto"/>
                <w:szCs w:val="21"/>
              </w:rPr>
            </w:pPr>
            <w:r>
              <w:rPr>
                <w:rFonts w:hint="eastAsia" w:ascii="宋体" w:hAnsi="宋体"/>
                <w:color w:val="auto"/>
                <w:szCs w:val="21"/>
              </w:rPr>
              <w:t>☑综合评分法</w:t>
            </w:r>
          </w:p>
          <w:p w14:paraId="0930397B">
            <w:pPr>
              <w:autoSpaceDE w:val="0"/>
              <w:autoSpaceDN w:val="0"/>
              <w:snapToGrid w:val="0"/>
              <w:spacing w:line="380" w:lineRule="exact"/>
              <w:textAlignment w:val="bottom"/>
              <w:rPr>
                <w:rFonts w:ascii="宋体" w:hAnsi="宋体"/>
                <w:color w:val="auto"/>
                <w:szCs w:val="21"/>
              </w:rPr>
            </w:pPr>
            <w:r>
              <w:rPr>
                <w:rFonts w:hint="eastAsia" w:ascii="宋体" w:hAnsi="宋体"/>
                <w:color w:val="auto"/>
                <w:szCs w:val="21"/>
              </w:rPr>
              <w:t>□最低评标价法</w:t>
            </w:r>
          </w:p>
        </w:tc>
      </w:tr>
      <w:tr w14:paraId="21ADD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right w:val="single" w:color="auto" w:sz="4" w:space="0"/>
            </w:tcBorders>
            <w:vAlign w:val="center"/>
          </w:tcPr>
          <w:p w14:paraId="62994F0C">
            <w:pPr>
              <w:spacing w:line="380" w:lineRule="exact"/>
              <w:rPr>
                <w:rFonts w:ascii="宋体" w:hAnsi="宋体"/>
                <w:color w:val="auto"/>
                <w:szCs w:val="21"/>
              </w:rPr>
            </w:pPr>
            <w:r>
              <w:rPr>
                <w:rFonts w:hint="eastAsia" w:ascii="宋体" w:hAnsi="宋体"/>
                <w:color w:val="auto"/>
                <w:szCs w:val="21"/>
              </w:rPr>
              <w:t>29</w:t>
            </w:r>
            <w:r>
              <w:rPr>
                <w:rFonts w:ascii="宋体" w:hAnsi="宋体"/>
                <w:color w:val="auto"/>
                <w:szCs w:val="21"/>
              </w:rPr>
              <w:t>.2</w:t>
            </w:r>
          </w:p>
        </w:tc>
        <w:tc>
          <w:tcPr>
            <w:tcW w:w="1736" w:type="dxa"/>
            <w:tcBorders>
              <w:top w:val="single" w:color="auto" w:sz="4" w:space="0"/>
              <w:left w:val="single" w:color="auto" w:sz="4" w:space="0"/>
              <w:right w:val="single" w:color="auto" w:sz="4" w:space="0"/>
            </w:tcBorders>
            <w:vAlign w:val="center"/>
          </w:tcPr>
          <w:p w14:paraId="65F21687">
            <w:pPr>
              <w:spacing w:line="380" w:lineRule="exact"/>
              <w:jc w:val="center"/>
              <w:rPr>
                <w:rFonts w:ascii="宋体" w:hAnsi="宋体"/>
                <w:color w:val="auto"/>
                <w:szCs w:val="21"/>
              </w:rPr>
            </w:pPr>
            <w:bookmarkStart w:id="56" w:name="_29.2.2（2）"/>
            <w:bookmarkEnd w:id="56"/>
            <w:r>
              <w:rPr>
                <w:rFonts w:hint="eastAsia" w:ascii="宋体" w:hAnsi="宋体"/>
                <w:color w:val="auto"/>
                <w:szCs w:val="21"/>
              </w:rPr>
              <w:t>允许负偏离项</w:t>
            </w:r>
          </w:p>
        </w:tc>
        <w:tc>
          <w:tcPr>
            <w:tcW w:w="7829" w:type="dxa"/>
            <w:tcBorders>
              <w:top w:val="single" w:color="auto" w:sz="4" w:space="0"/>
              <w:left w:val="single" w:color="auto" w:sz="4" w:space="0"/>
              <w:right w:val="single" w:color="auto" w:sz="4" w:space="0"/>
            </w:tcBorders>
            <w:vAlign w:val="center"/>
          </w:tcPr>
          <w:p w14:paraId="16F93E9D">
            <w:pPr>
              <w:shd w:val="clea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1分标：</w:t>
            </w:r>
          </w:p>
          <w:p w14:paraId="1587BE72">
            <w:pPr>
              <w:shd w:val="clea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 0 项。</w:t>
            </w:r>
          </w:p>
          <w:p w14:paraId="69DC136F">
            <w:pPr>
              <w:shd w:val="clea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 12 项。</w:t>
            </w:r>
          </w:p>
          <w:p w14:paraId="39556F77">
            <w:pPr>
              <w:shd w:val="clea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2分标：</w:t>
            </w:r>
          </w:p>
          <w:p w14:paraId="2C668695">
            <w:pPr>
              <w:shd w:val="clea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商务条款评审中允许负偏离的条款数为 </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项。</w:t>
            </w:r>
          </w:p>
          <w:p w14:paraId="7CFC8452">
            <w:pPr>
              <w:shd w:val="clea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 15 项。</w:t>
            </w:r>
          </w:p>
          <w:p w14:paraId="58F21755">
            <w:pPr>
              <w:shd w:val="clea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3分标：</w:t>
            </w:r>
          </w:p>
          <w:p w14:paraId="627532B0">
            <w:pPr>
              <w:shd w:val="clea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 1 项。</w:t>
            </w:r>
          </w:p>
          <w:p w14:paraId="78CF826E">
            <w:pPr>
              <w:shd w:val="clear"/>
              <w:snapToGrid w:val="0"/>
              <w:spacing w:line="380" w:lineRule="exact"/>
              <w:rPr>
                <w:color w:val="auto"/>
              </w:rPr>
            </w:pPr>
            <w:r>
              <w:rPr>
                <w:rFonts w:hint="eastAsia" w:ascii="宋体" w:hAnsi="宋体" w:cs="宋体"/>
                <w:color w:val="auto"/>
                <w:szCs w:val="21"/>
                <w:highlight w:val="none"/>
              </w:rPr>
              <w:t>技术需求评审中允许负偏离的条款数为 5 项。</w:t>
            </w:r>
          </w:p>
        </w:tc>
      </w:tr>
      <w:tr w14:paraId="554F8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D6257D2">
            <w:pPr>
              <w:spacing w:line="380" w:lineRule="exact"/>
              <w:rPr>
                <w:rFonts w:ascii="宋体" w:hAnsi="宋体"/>
                <w:color w:val="auto"/>
                <w:szCs w:val="21"/>
              </w:rPr>
            </w:pPr>
            <w:r>
              <w:rPr>
                <w:rFonts w:hint="eastAsia" w:ascii="宋体" w:hAnsi="宋体"/>
                <w:color w:val="auto"/>
                <w:szCs w:val="21"/>
              </w:rPr>
              <w:t>30</w:t>
            </w:r>
            <w:r>
              <w:rPr>
                <w:rFonts w:ascii="宋体" w:hAnsi="宋体"/>
                <w:color w:val="auto"/>
                <w:szCs w:val="21"/>
              </w:rPr>
              <w:t>.1</w:t>
            </w:r>
          </w:p>
        </w:tc>
        <w:tc>
          <w:tcPr>
            <w:tcW w:w="1736" w:type="dxa"/>
            <w:tcBorders>
              <w:top w:val="single" w:color="auto" w:sz="4" w:space="0"/>
              <w:left w:val="single" w:color="auto" w:sz="4" w:space="0"/>
              <w:bottom w:val="single" w:color="auto" w:sz="4" w:space="0"/>
              <w:right w:val="single" w:color="auto" w:sz="4" w:space="0"/>
            </w:tcBorders>
            <w:vAlign w:val="center"/>
          </w:tcPr>
          <w:p w14:paraId="440D6F3B">
            <w:pPr>
              <w:autoSpaceDE w:val="0"/>
              <w:autoSpaceDN w:val="0"/>
              <w:snapToGrid w:val="0"/>
              <w:spacing w:line="380" w:lineRule="exact"/>
              <w:jc w:val="center"/>
              <w:textAlignment w:val="bottom"/>
              <w:rPr>
                <w:rFonts w:ascii="宋体" w:hAnsi="宋体"/>
                <w:color w:val="auto"/>
                <w:szCs w:val="21"/>
              </w:rPr>
            </w:pPr>
            <w:r>
              <w:rPr>
                <w:rFonts w:hint="eastAsia" w:ascii="宋体" w:hAnsi="宋体"/>
                <w:color w:val="auto"/>
                <w:szCs w:val="21"/>
              </w:rPr>
              <w:t>确定中标人时，出现中标候选人分数并列的情形，确定中标人方式</w:t>
            </w:r>
          </w:p>
        </w:tc>
        <w:tc>
          <w:tcPr>
            <w:tcW w:w="7829" w:type="dxa"/>
            <w:tcBorders>
              <w:top w:val="single" w:color="auto" w:sz="4" w:space="0"/>
              <w:left w:val="single" w:color="auto" w:sz="4" w:space="0"/>
              <w:bottom w:val="single" w:color="auto" w:sz="4" w:space="0"/>
              <w:right w:val="single" w:color="auto" w:sz="4" w:space="0"/>
            </w:tcBorders>
            <w:vAlign w:val="center"/>
          </w:tcPr>
          <w:p w14:paraId="50D37A7E">
            <w:pPr>
              <w:autoSpaceDE w:val="0"/>
              <w:autoSpaceDN w:val="0"/>
              <w:snapToGrid w:val="0"/>
              <w:spacing w:line="380" w:lineRule="exact"/>
              <w:textAlignment w:val="bottom"/>
              <w:rPr>
                <w:rFonts w:ascii="宋体" w:hAnsi="宋体"/>
                <w:color w:val="auto"/>
                <w:szCs w:val="21"/>
              </w:rPr>
            </w:pPr>
            <w:r>
              <w:rPr>
                <w:rFonts w:hint="eastAsia" w:ascii="宋体" w:hAnsi="宋体"/>
                <w:color w:val="auto"/>
                <w:szCs w:val="21"/>
              </w:rPr>
              <w:t xml:space="preserve">□采用最低评标价法的，投标文件满足招标文件全部实质性要求且投标报价最低的投标人为排名第一的中标候选人； </w:t>
            </w:r>
          </w:p>
          <w:p w14:paraId="35D4D2DA">
            <w:pPr>
              <w:autoSpaceDE w:val="0"/>
              <w:autoSpaceDN w:val="0"/>
              <w:snapToGrid w:val="0"/>
              <w:spacing w:line="380" w:lineRule="exact"/>
              <w:textAlignment w:val="bottom"/>
              <w:rPr>
                <w:rFonts w:ascii="宋体" w:hAnsi="宋体"/>
                <w:b/>
                <w:color w:val="auto"/>
                <w:szCs w:val="21"/>
              </w:rPr>
            </w:pPr>
            <w:r>
              <w:rPr>
                <w:rFonts w:hint="eastAsia" w:ascii="宋体" w:hAnsi="宋体"/>
                <w:color w:val="auto"/>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64D22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4FD29B6C">
            <w:pPr>
              <w:spacing w:line="380" w:lineRule="exact"/>
              <w:rPr>
                <w:rFonts w:ascii="宋体" w:hAnsi="宋体"/>
                <w:color w:val="auto"/>
                <w:szCs w:val="21"/>
              </w:rPr>
            </w:pPr>
            <w:r>
              <w:rPr>
                <w:rFonts w:hint="eastAsia" w:ascii="宋体" w:hAnsi="宋体"/>
                <w:color w:val="auto"/>
                <w:szCs w:val="21"/>
              </w:rPr>
              <w:t>35</w:t>
            </w:r>
            <w:r>
              <w:rPr>
                <w:rFonts w:ascii="宋体" w:hAnsi="宋体"/>
                <w:color w:val="auto"/>
                <w:szCs w:val="21"/>
              </w:rPr>
              <w:t>.1</w:t>
            </w:r>
          </w:p>
        </w:tc>
        <w:tc>
          <w:tcPr>
            <w:tcW w:w="1736" w:type="dxa"/>
            <w:tcBorders>
              <w:top w:val="single" w:color="auto" w:sz="4" w:space="0"/>
              <w:left w:val="single" w:color="auto" w:sz="4" w:space="0"/>
              <w:bottom w:val="single" w:color="auto" w:sz="4" w:space="0"/>
              <w:right w:val="single" w:color="auto" w:sz="4" w:space="0"/>
            </w:tcBorders>
            <w:vAlign w:val="center"/>
          </w:tcPr>
          <w:p w14:paraId="00D0487B">
            <w:pPr>
              <w:spacing w:line="380" w:lineRule="exact"/>
              <w:jc w:val="center"/>
              <w:rPr>
                <w:rFonts w:ascii="宋体" w:hAnsi="宋体"/>
                <w:color w:val="auto"/>
                <w:szCs w:val="21"/>
              </w:rPr>
            </w:pPr>
            <w:bookmarkStart w:id="57" w:name="_39.1"/>
            <w:bookmarkEnd w:id="57"/>
            <w:r>
              <w:rPr>
                <w:rFonts w:hint="eastAsia" w:ascii="宋体" w:hAnsi="宋体"/>
                <w:color w:val="auto"/>
                <w:szCs w:val="21"/>
              </w:rPr>
              <w:t>履约保证金金额</w:t>
            </w:r>
          </w:p>
        </w:tc>
        <w:tc>
          <w:tcPr>
            <w:tcW w:w="7829" w:type="dxa"/>
            <w:tcBorders>
              <w:top w:val="single" w:color="auto" w:sz="4" w:space="0"/>
              <w:left w:val="single" w:color="auto" w:sz="4" w:space="0"/>
              <w:bottom w:val="single" w:color="auto" w:sz="4" w:space="0"/>
              <w:right w:val="single" w:color="auto" w:sz="4" w:space="0"/>
            </w:tcBorders>
            <w:vAlign w:val="bottom"/>
          </w:tcPr>
          <w:p w14:paraId="1B88786A">
            <w:pPr>
              <w:autoSpaceDE w:val="0"/>
              <w:autoSpaceDN w:val="0"/>
              <w:snapToGrid w:val="0"/>
              <w:spacing w:line="380" w:lineRule="exact"/>
              <w:jc w:val="left"/>
              <w:textAlignment w:val="bottom"/>
              <w:rPr>
                <w:rFonts w:ascii="宋体" w:hAnsi="宋体"/>
                <w:color w:val="auto"/>
                <w:szCs w:val="21"/>
              </w:rPr>
            </w:pPr>
            <w:r>
              <w:rPr>
                <w:rFonts w:hint="eastAsia" w:ascii="宋体" w:hAnsi="宋体"/>
                <w:color w:val="auto"/>
                <w:szCs w:val="21"/>
              </w:rPr>
              <w:t>本项目不收取履约保证金。</w:t>
            </w:r>
          </w:p>
        </w:tc>
      </w:tr>
      <w:tr w14:paraId="03374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98CF56F">
            <w:pPr>
              <w:spacing w:line="380" w:lineRule="exact"/>
              <w:rPr>
                <w:rFonts w:ascii="宋体" w:hAnsi="宋体"/>
                <w:color w:val="auto"/>
                <w:szCs w:val="21"/>
              </w:rPr>
            </w:pPr>
            <w:r>
              <w:rPr>
                <w:rFonts w:hint="eastAsia" w:ascii="宋体" w:hAnsi="宋体"/>
                <w:color w:val="auto"/>
                <w:szCs w:val="21"/>
              </w:rPr>
              <w:t>36.1</w:t>
            </w:r>
          </w:p>
        </w:tc>
        <w:tc>
          <w:tcPr>
            <w:tcW w:w="1736" w:type="dxa"/>
            <w:tcBorders>
              <w:top w:val="single" w:color="auto" w:sz="4" w:space="0"/>
              <w:left w:val="single" w:color="auto" w:sz="4" w:space="0"/>
              <w:bottom w:val="single" w:color="auto" w:sz="4" w:space="0"/>
              <w:right w:val="single" w:color="auto" w:sz="4" w:space="0"/>
            </w:tcBorders>
            <w:vAlign w:val="center"/>
          </w:tcPr>
          <w:p w14:paraId="6467FE7C">
            <w:pPr>
              <w:spacing w:line="380" w:lineRule="exact"/>
              <w:jc w:val="center"/>
              <w:rPr>
                <w:rFonts w:ascii="宋体" w:hAnsi="宋体"/>
                <w:color w:val="auto"/>
                <w:szCs w:val="21"/>
              </w:rPr>
            </w:pPr>
            <w:bookmarkStart w:id="58" w:name="_40.1"/>
            <w:bookmarkEnd w:id="58"/>
            <w:r>
              <w:rPr>
                <w:rFonts w:hint="eastAsia" w:ascii="宋体" w:hAnsi="宋体"/>
                <w:color w:val="auto"/>
                <w:szCs w:val="21"/>
              </w:rPr>
              <w:t>签订电子合同携带的材料</w:t>
            </w:r>
          </w:p>
        </w:tc>
        <w:tc>
          <w:tcPr>
            <w:tcW w:w="7829" w:type="dxa"/>
            <w:tcBorders>
              <w:top w:val="single" w:color="auto" w:sz="4" w:space="0"/>
              <w:left w:val="single" w:color="auto" w:sz="4" w:space="0"/>
              <w:bottom w:val="single" w:color="auto" w:sz="4" w:space="0"/>
              <w:right w:val="single" w:color="auto" w:sz="4" w:space="0"/>
            </w:tcBorders>
            <w:vAlign w:val="center"/>
          </w:tcPr>
          <w:p w14:paraId="5DB0B51E">
            <w:pPr>
              <w:autoSpaceDE w:val="0"/>
              <w:autoSpaceDN w:val="0"/>
              <w:snapToGrid w:val="0"/>
              <w:spacing w:line="380" w:lineRule="exact"/>
              <w:textAlignment w:val="bottom"/>
              <w:rPr>
                <w:rFonts w:ascii="宋体" w:hAnsi="宋体"/>
                <w:color w:val="auto"/>
                <w:szCs w:val="21"/>
              </w:rPr>
            </w:pPr>
            <w:r>
              <w:rPr>
                <w:rFonts w:hint="eastAsia" w:ascii="宋体" w:hAnsi="宋体"/>
                <w:color w:val="auto"/>
                <w:szCs w:val="21"/>
              </w:rPr>
              <w:t>电子采购合同需要供应商通过有效CA证书进行电子签名与签章</w:t>
            </w:r>
          </w:p>
        </w:tc>
      </w:tr>
      <w:tr w14:paraId="37AB0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right w:val="single" w:color="auto" w:sz="4" w:space="0"/>
            </w:tcBorders>
            <w:vAlign w:val="center"/>
          </w:tcPr>
          <w:p w14:paraId="7A955695">
            <w:pPr>
              <w:spacing w:line="380" w:lineRule="exact"/>
              <w:rPr>
                <w:rFonts w:ascii="宋体" w:hAnsi="宋体"/>
                <w:color w:val="auto"/>
                <w:szCs w:val="21"/>
              </w:rPr>
            </w:pPr>
            <w:r>
              <w:rPr>
                <w:rFonts w:hint="eastAsia" w:ascii="宋体" w:hAnsi="宋体"/>
                <w:color w:val="auto"/>
                <w:szCs w:val="21"/>
              </w:rPr>
              <w:t>3</w:t>
            </w:r>
            <w:r>
              <w:rPr>
                <w:rFonts w:ascii="宋体" w:hAnsi="宋体"/>
                <w:color w:val="auto"/>
                <w:szCs w:val="21"/>
              </w:rPr>
              <w:t>8.2</w:t>
            </w:r>
            <w:r>
              <w:rPr>
                <w:rFonts w:hint="eastAsia" w:ascii="宋体" w:hAnsi="宋体"/>
                <w:color w:val="auto"/>
                <w:szCs w:val="21"/>
              </w:rPr>
              <w:t>.1</w:t>
            </w:r>
          </w:p>
        </w:tc>
        <w:tc>
          <w:tcPr>
            <w:tcW w:w="1736" w:type="dxa"/>
            <w:tcBorders>
              <w:top w:val="single" w:color="auto" w:sz="4" w:space="0"/>
              <w:left w:val="single" w:color="auto" w:sz="4" w:space="0"/>
              <w:bottom w:val="single" w:color="auto" w:sz="4" w:space="0"/>
              <w:right w:val="single" w:color="auto" w:sz="4" w:space="0"/>
            </w:tcBorders>
            <w:vAlign w:val="center"/>
          </w:tcPr>
          <w:p w14:paraId="15749C96">
            <w:pPr>
              <w:spacing w:line="380" w:lineRule="exact"/>
              <w:jc w:val="center"/>
              <w:rPr>
                <w:rFonts w:ascii="宋体" w:hAnsi="宋体"/>
                <w:color w:val="auto"/>
                <w:szCs w:val="21"/>
              </w:rPr>
            </w:pPr>
            <w:r>
              <w:rPr>
                <w:rFonts w:hint="eastAsia" w:ascii="宋体" w:hAnsi="宋体"/>
                <w:color w:val="auto"/>
                <w:szCs w:val="21"/>
              </w:rPr>
              <w:t>接收质疑函方式</w:t>
            </w:r>
          </w:p>
        </w:tc>
        <w:tc>
          <w:tcPr>
            <w:tcW w:w="7829" w:type="dxa"/>
            <w:tcBorders>
              <w:top w:val="single" w:color="auto" w:sz="4" w:space="0"/>
              <w:left w:val="single" w:color="auto" w:sz="4" w:space="0"/>
              <w:bottom w:val="single" w:color="auto" w:sz="4" w:space="0"/>
              <w:right w:val="single" w:color="auto" w:sz="4" w:space="0"/>
            </w:tcBorders>
            <w:vAlign w:val="center"/>
          </w:tcPr>
          <w:p w14:paraId="03E85D12">
            <w:pPr>
              <w:snapToGrid w:val="0"/>
              <w:spacing w:line="380" w:lineRule="exact"/>
              <w:rPr>
                <w:rFonts w:ascii="宋体" w:hAnsi="宋体"/>
                <w:color w:val="auto"/>
                <w:szCs w:val="21"/>
              </w:rPr>
            </w:pPr>
            <w:r>
              <w:rPr>
                <w:rFonts w:hint="eastAsia" w:ascii="宋体" w:hAnsi="宋体"/>
                <w:color w:val="auto"/>
                <w:szCs w:val="21"/>
              </w:rPr>
              <w:t>以书面形式</w:t>
            </w:r>
          </w:p>
        </w:tc>
      </w:tr>
      <w:tr w14:paraId="4891B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right w:val="single" w:color="auto" w:sz="4" w:space="0"/>
            </w:tcBorders>
            <w:vAlign w:val="center"/>
          </w:tcPr>
          <w:p w14:paraId="58A358C8">
            <w:pPr>
              <w:spacing w:line="380" w:lineRule="exact"/>
              <w:rPr>
                <w:rFonts w:ascii="宋体" w:hAnsi="宋体"/>
                <w:color w:val="auto"/>
                <w:szCs w:val="21"/>
              </w:rPr>
            </w:pPr>
          </w:p>
        </w:tc>
        <w:tc>
          <w:tcPr>
            <w:tcW w:w="1736" w:type="dxa"/>
            <w:tcBorders>
              <w:top w:val="single" w:color="auto" w:sz="4" w:space="0"/>
              <w:left w:val="single" w:color="auto" w:sz="4" w:space="0"/>
              <w:bottom w:val="single" w:color="auto" w:sz="4" w:space="0"/>
              <w:right w:val="single" w:color="auto" w:sz="4" w:space="0"/>
            </w:tcBorders>
            <w:vAlign w:val="center"/>
          </w:tcPr>
          <w:p w14:paraId="4FB5727D">
            <w:pPr>
              <w:spacing w:line="380" w:lineRule="exact"/>
              <w:jc w:val="center"/>
              <w:rPr>
                <w:rFonts w:ascii="宋体" w:hAnsi="宋体"/>
                <w:color w:val="auto"/>
                <w:szCs w:val="21"/>
              </w:rPr>
            </w:pPr>
            <w:r>
              <w:rPr>
                <w:rFonts w:hint="eastAsia" w:ascii="宋体" w:hAnsi="宋体"/>
                <w:color w:val="auto"/>
                <w:szCs w:val="21"/>
              </w:rPr>
              <w:t>质疑联系部门及联系方式</w:t>
            </w:r>
          </w:p>
        </w:tc>
        <w:tc>
          <w:tcPr>
            <w:tcW w:w="7829" w:type="dxa"/>
            <w:tcBorders>
              <w:top w:val="single" w:color="auto" w:sz="4" w:space="0"/>
              <w:left w:val="single" w:color="auto" w:sz="4" w:space="0"/>
              <w:bottom w:val="single" w:color="auto" w:sz="4" w:space="0"/>
              <w:right w:val="single" w:color="auto" w:sz="4" w:space="0"/>
            </w:tcBorders>
            <w:vAlign w:val="center"/>
          </w:tcPr>
          <w:p w14:paraId="16659EF6">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（1）广西同泽工程项目管理股份有限公司众创中心</w:t>
            </w:r>
          </w:p>
          <w:p w14:paraId="057EE0C2">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联系电话：0771-4305766</w:t>
            </w:r>
          </w:p>
          <w:p w14:paraId="05ADDC41">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通讯地址：南宁市良庆区凯旋路16号裕达国际中心广东大厦十八层众创中心</w:t>
            </w:r>
          </w:p>
          <w:p w14:paraId="116BBA5A">
            <w:pPr>
              <w:adjustRightInd w:val="0"/>
              <w:snapToGrid w:val="0"/>
              <w:spacing w:line="400" w:lineRule="atLeast"/>
              <w:jc w:val="left"/>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eastAsia="zh-CN"/>
              </w:rPr>
              <w:t>南宁职业技术大学</w:t>
            </w:r>
          </w:p>
          <w:p w14:paraId="7FCD4716">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联系电话：0771-2029355</w:t>
            </w:r>
          </w:p>
          <w:p w14:paraId="4690B834">
            <w:pPr>
              <w:snapToGrid w:val="0"/>
              <w:spacing w:line="380" w:lineRule="exact"/>
              <w:rPr>
                <w:rFonts w:ascii="宋体" w:hAnsi="宋体"/>
                <w:color w:val="auto"/>
                <w:szCs w:val="21"/>
              </w:rPr>
            </w:pPr>
            <w:r>
              <w:rPr>
                <w:rFonts w:hint="eastAsia" w:ascii="宋体" w:hAnsi="宋体" w:cs="宋体"/>
                <w:color w:val="auto"/>
                <w:szCs w:val="21"/>
              </w:rPr>
              <w:t>通讯地址：广西南宁市大学西路169号</w:t>
            </w:r>
          </w:p>
        </w:tc>
      </w:tr>
      <w:tr w14:paraId="38192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bottom w:val="single" w:color="auto" w:sz="4" w:space="0"/>
              <w:right w:val="single" w:color="auto" w:sz="4" w:space="0"/>
            </w:tcBorders>
            <w:vAlign w:val="center"/>
          </w:tcPr>
          <w:p w14:paraId="0E4A8ECE">
            <w:pPr>
              <w:spacing w:line="380" w:lineRule="exact"/>
              <w:rPr>
                <w:rFonts w:ascii="宋体" w:hAnsi="宋体"/>
                <w:color w:val="auto"/>
                <w:szCs w:val="21"/>
              </w:rPr>
            </w:pPr>
          </w:p>
        </w:tc>
        <w:tc>
          <w:tcPr>
            <w:tcW w:w="1736" w:type="dxa"/>
            <w:tcBorders>
              <w:top w:val="single" w:color="auto" w:sz="4" w:space="0"/>
              <w:left w:val="single" w:color="auto" w:sz="4" w:space="0"/>
              <w:bottom w:val="single" w:color="auto" w:sz="4" w:space="0"/>
              <w:right w:val="single" w:color="auto" w:sz="4" w:space="0"/>
            </w:tcBorders>
            <w:vAlign w:val="center"/>
          </w:tcPr>
          <w:p w14:paraId="7414EB82">
            <w:pPr>
              <w:spacing w:line="380" w:lineRule="exact"/>
              <w:jc w:val="center"/>
              <w:rPr>
                <w:rFonts w:ascii="宋体" w:hAnsi="宋体"/>
                <w:color w:val="auto"/>
                <w:szCs w:val="21"/>
              </w:rPr>
            </w:pPr>
            <w:r>
              <w:rPr>
                <w:rFonts w:hint="eastAsia" w:hAnsi="宋体"/>
                <w:color w:val="auto"/>
              </w:rPr>
              <w:t>现场提交质疑办理业务时间</w:t>
            </w:r>
          </w:p>
        </w:tc>
        <w:tc>
          <w:tcPr>
            <w:tcW w:w="7829" w:type="dxa"/>
            <w:tcBorders>
              <w:top w:val="single" w:color="auto" w:sz="4" w:space="0"/>
              <w:left w:val="single" w:color="auto" w:sz="4" w:space="0"/>
              <w:bottom w:val="single" w:color="auto" w:sz="4" w:space="0"/>
              <w:right w:val="single" w:color="auto" w:sz="4" w:space="0"/>
            </w:tcBorders>
            <w:vAlign w:val="center"/>
          </w:tcPr>
          <w:p w14:paraId="1F8B5269">
            <w:pPr>
              <w:snapToGrid w:val="0"/>
              <w:spacing w:line="380" w:lineRule="exact"/>
              <w:rPr>
                <w:rFonts w:ascii="宋体" w:hAnsi="宋体"/>
                <w:color w:val="auto"/>
                <w:szCs w:val="21"/>
              </w:rPr>
            </w:pPr>
            <w:r>
              <w:rPr>
                <w:rFonts w:hint="eastAsia" w:ascii="宋体" w:hAnsi="宋体" w:cs="宋体"/>
                <w:color w:val="auto"/>
              </w:rPr>
              <w:t>质疑期内每个工作日：上午8时30分到12时00分，下午14时30分到17时30分，业务时间以外、双休日和法定节假日不办理业务。</w:t>
            </w:r>
          </w:p>
        </w:tc>
      </w:tr>
      <w:tr w14:paraId="5C668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left w:val="single" w:color="auto" w:sz="4" w:space="0"/>
              <w:bottom w:val="single" w:color="auto" w:sz="4" w:space="0"/>
              <w:right w:val="single" w:color="auto" w:sz="4" w:space="0"/>
            </w:tcBorders>
            <w:vAlign w:val="center"/>
          </w:tcPr>
          <w:p w14:paraId="68C5574B">
            <w:pPr>
              <w:spacing w:line="380" w:lineRule="exact"/>
              <w:rPr>
                <w:rFonts w:ascii="宋体" w:hAnsi="宋体"/>
                <w:color w:val="auto"/>
                <w:szCs w:val="21"/>
              </w:rPr>
            </w:pPr>
            <w:r>
              <w:rPr>
                <w:rFonts w:hint="eastAsia" w:ascii="宋体" w:hAnsi="宋体"/>
                <w:color w:val="auto"/>
                <w:szCs w:val="21"/>
              </w:rPr>
              <w:t>38.3.1</w:t>
            </w:r>
          </w:p>
        </w:tc>
        <w:tc>
          <w:tcPr>
            <w:tcW w:w="1736" w:type="dxa"/>
            <w:tcBorders>
              <w:top w:val="single" w:color="auto" w:sz="4" w:space="0"/>
              <w:left w:val="single" w:color="auto" w:sz="4" w:space="0"/>
              <w:bottom w:val="single" w:color="auto" w:sz="4" w:space="0"/>
              <w:right w:val="single" w:color="auto" w:sz="4" w:space="0"/>
            </w:tcBorders>
            <w:vAlign w:val="center"/>
          </w:tcPr>
          <w:p w14:paraId="470B9477">
            <w:pPr>
              <w:spacing w:line="380" w:lineRule="exact"/>
              <w:jc w:val="center"/>
              <w:rPr>
                <w:rFonts w:hAnsi="宋体"/>
                <w:color w:val="auto"/>
              </w:rPr>
            </w:pPr>
            <w:r>
              <w:rPr>
                <w:rFonts w:hint="eastAsia" w:hAnsi="宋体"/>
                <w:color w:val="auto"/>
              </w:rPr>
              <w:t>投诉受理方式</w:t>
            </w:r>
          </w:p>
        </w:tc>
        <w:tc>
          <w:tcPr>
            <w:tcW w:w="7829" w:type="dxa"/>
            <w:tcBorders>
              <w:top w:val="single" w:color="auto" w:sz="4" w:space="0"/>
              <w:left w:val="single" w:color="auto" w:sz="4" w:space="0"/>
              <w:bottom w:val="single" w:color="auto" w:sz="4" w:space="0"/>
              <w:right w:val="single" w:color="auto" w:sz="4" w:space="0"/>
            </w:tcBorders>
            <w:vAlign w:val="center"/>
          </w:tcPr>
          <w:p w14:paraId="13EF3C78">
            <w:pPr>
              <w:snapToGrid w:val="0"/>
              <w:spacing w:line="380" w:lineRule="exact"/>
              <w:rPr>
                <w:rFonts w:hAnsi="宋体"/>
                <w:color w:val="auto"/>
              </w:rPr>
            </w:pPr>
            <w:r>
              <w:rPr>
                <w:rFonts w:hint="eastAsia" w:hAnsi="宋体"/>
                <w:color w:val="auto"/>
              </w:rPr>
              <w:t>1.受理方式：纸质方式受理，投诉书正、副本（经过质疑的事项才可投诉）。</w:t>
            </w:r>
          </w:p>
          <w:p w14:paraId="31B3015D">
            <w:pPr>
              <w:snapToGrid w:val="0"/>
              <w:spacing w:line="380" w:lineRule="exact"/>
              <w:rPr>
                <w:rFonts w:hAnsi="宋体"/>
                <w:color w:val="auto"/>
              </w:rPr>
            </w:pPr>
            <w:r>
              <w:rPr>
                <w:rFonts w:hint="eastAsia" w:hAnsi="宋体"/>
                <w:color w:val="auto"/>
              </w:rPr>
              <w:t>2.邮寄地址：</w:t>
            </w:r>
          </w:p>
          <w:p w14:paraId="7E3B0AB5">
            <w:pPr>
              <w:snapToGrid w:val="0"/>
              <w:spacing w:line="380" w:lineRule="exact"/>
              <w:rPr>
                <w:rFonts w:hAnsi="宋体"/>
                <w:color w:val="auto"/>
              </w:rPr>
            </w:pPr>
            <w:r>
              <w:rPr>
                <w:rFonts w:hint="eastAsia" w:hAnsi="宋体"/>
                <w:color w:val="auto"/>
              </w:rPr>
              <w:t>名称：南宁市财政局政府采购监督管理科</w:t>
            </w:r>
          </w:p>
          <w:p w14:paraId="5333FE66">
            <w:pPr>
              <w:snapToGrid w:val="0"/>
              <w:spacing w:line="380" w:lineRule="exact"/>
              <w:rPr>
                <w:rFonts w:hAnsi="宋体"/>
                <w:color w:val="auto"/>
              </w:rPr>
            </w:pPr>
            <w:r>
              <w:rPr>
                <w:rFonts w:hint="eastAsia" w:hAnsi="宋体"/>
                <w:color w:val="auto"/>
              </w:rPr>
              <w:t>地址：南宁市青秀区东葛路129号</w:t>
            </w:r>
          </w:p>
          <w:p w14:paraId="718A8ADB">
            <w:pPr>
              <w:snapToGrid w:val="0"/>
              <w:spacing w:line="380" w:lineRule="exact"/>
              <w:rPr>
                <w:rFonts w:hAnsi="宋体"/>
                <w:color w:val="auto"/>
              </w:rPr>
            </w:pPr>
            <w:r>
              <w:rPr>
                <w:rFonts w:hint="eastAsia" w:hAnsi="宋体"/>
                <w:color w:val="auto"/>
              </w:rPr>
              <w:t>联系电话：0771-2189091</w:t>
            </w:r>
          </w:p>
        </w:tc>
      </w:tr>
      <w:tr w14:paraId="75F3F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right w:val="single" w:color="auto" w:sz="4" w:space="0"/>
            </w:tcBorders>
            <w:vAlign w:val="center"/>
          </w:tcPr>
          <w:p w14:paraId="355EFD90">
            <w:pPr>
              <w:spacing w:line="380" w:lineRule="exact"/>
              <w:rPr>
                <w:rFonts w:ascii="宋体" w:hAnsi="宋体"/>
                <w:color w:val="auto"/>
                <w:szCs w:val="21"/>
              </w:rPr>
            </w:pPr>
            <w:r>
              <w:rPr>
                <w:rFonts w:hint="eastAsia" w:ascii="宋体" w:hAnsi="宋体"/>
                <w:color w:val="auto"/>
                <w:szCs w:val="21"/>
              </w:rPr>
              <w:t>40</w:t>
            </w:r>
          </w:p>
        </w:tc>
        <w:tc>
          <w:tcPr>
            <w:tcW w:w="1736" w:type="dxa"/>
            <w:tcBorders>
              <w:top w:val="single" w:color="auto" w:sz="4" w:space="0"/>
              <w:left w:val="single" w:color="auto" w:sz="4" w:space="0"/>
              <w:bottom w:val="single" w:color="auto" w:sz="4" w:space="0"/>
              <w:right w:val="single" w:color="auto" w:sz="4" w:space="0"/>
            </w:tcBorders>
            <w:vAlign w:val="center"/>
          </w:tcPr>
          <w:p w14:paraId="567A3C5A">
            <w:pPr>
              <w:spacing w:line="380" w:lineRule="exact"/>
              <w:jc w:val="center"/>
              <w:rPr>
                <w:rFonts w:ascii="宋体" w:hAnsi="宋体"/>
                <w:color w:val="auto"/>
                <w:szCs w:val="21"/>
              </w:rPr>
            </w:pPr>
            <w:bookmarkStart w:id="59" w:name="_41"/>
            <w:bookmarkEnd w:id="59"/>
            <w:bookmarkStart w:id="60" w:name="_42"/>
            <w:bookmarkEnd w:id="60"/>
            <w:r>
              <w:rPr>
                <w:rFonts w:hint="eastAsia" w:hAnsi="宋体" w:cs="宋体"/>
                <w:color w:val="auto"/>
              </w:rPr>
              <w:t>采购代理费支付方式</w:t>
            </w:r>
          </w:p>
        </w:tc>
        <w:tc>
          <w:tcPr>
            <w:tcW w:w="7829" w:type="dxa"/>
            <w:tcBorders>
              <w:top w:val="single" w:color="auto" w:sz="4" w:space="0"/>
              <w:left w:val="single" w:color="auto" w:sz="4" w:space="0"/>
              <w:bottom w:val="single" w:color="auto" w:sz="4" w:space="0"/>
              <w:right w:val="single" w:color="auto" w:sz="4" w:space="0"/>
            </w:tcBorders>
            <w:vAlign w:val="center"/>
          </w:tcPr>
          <w:p w14:paraId="63CDA6DF">
            <w:pPr>
              <w:pStyle w:val="17"/>
              <w:snapToGrid w:val="0"/>
              <w:spacing w:line="380" w:lineRule="exact"/>
              <w:rPr>
                <w:rFonts w:hAnsi="宋体" w:cs="宋体"/>
                <w:color w:val="auto"/>
              </w:rPr>
            </w:pPr>
            <w:r>
              <w:rPr>
                <w:rFonts w:hint="eastAsia" w:hAnsi="宋体" w:cs="宋体"/>
                <w:color w:val="auto"/>
              </w:rPr>
              <w:t>☑本项目代理货物费由</w:t>
            </w:r>
            <w:r>
              <w:rPr>
                <w:rFonts w:hint="eastAsia" w:hAnsi="宋体" w:cs="宋体"/>
                <w:color w:val="auto"/>
                <w:u w:val="single"/>
              </w:rPr>
              <w:t>中标人</w:t>
            </w:r>
            <w:r>
              <w:rPr>
                <w:rFonts w:hint="eastAsia" w:hAnsi="宋体" w:cs="宋体"/>
                <w:color w:val="auto"/>
              </w:rPr>
              <w:t>在领取中标通知书前，一次性向采购代理机构支付。</w:t>
            </w:r>
          </w:p>
          <w:p w14:paraId="003CFFEF">
            <w:pPr>
              <w:pStyle w:val="17"/>
              <w:snapToGrid w:val="0"/>
              <w:spacing w:line="380" w:lineRule="exact"/>
              <w:rPr>
                <w:rFonts w:hAnsi="宋体" w:cs="宋体"/>
                <w:color w:val="auto"/>
              </w:rPr>
            </w:pPr>
            <w:r>
              <w:rPr>
                <w:rFonts w:hint="eastAsia" w:hAnsi="宋体" w:cs="宋体"/>
                <w:color w:val="auto"/>
              </w:rPr>
              <w:t>□采购人支付。</w:t>
            </w:r>
          </w:p>
          <w:p w14:paraId="3A719494">
            <w:pPr>
              <w:pStyle w:val="17"/>
              <w:snapToGrid w:val="0"/>
              <w:spacing w:line="380" w:lineRule="exact"/>
              <w:rPr>
                <w:rFonts w:hAnsi="宋体" w:cs="宋体"/>
                <w:color w:val="auto"/>
              </w:rPr>
            </w:pPr>
            <w:r>
              <w:rPr>
                <w:rFonts w:hint="eastAsia" w:hAnsi="宋体" w:cs="宋体"/>
                <w:color w:val="auto"/>
              </w:rPr>
              <w:t>□本项目不收取代理货物费。</w:t>
            </w:r>
          </w:p>
        </w:tc>
      </w:tr>
      <w:tr w14:paraId="34B03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1" w:hRule="atLeast"/>
        </w:trPr>
        <w:tc>
          <w:tcPr>
            <w:tcW w:w="675" w:type="dxa"/>
            <w:vMerge w:val="continue"/>
            <w:tcBorders>
              <w:left w:val="single" w:color="auto" w:sz="4" w:space="0"/>
              <w:right w:val="single" w:color="auto" w:sz="4" w:space="0"/>
            </w:tcBorders>
            <w:vAlign w:val="center"/>
          </w:tcPr>
          <w:p w14:paraId="035C48BB">
            <w:pPr>
              <w:spacing w:line="380" w:lineRule="exact"/>
              <w:rPr>
                <w:rFonts w:ascii="宋体" w:hAnsi="宋体"/>
                <w:color w:val="auto"/>
                <w:szCs w:val="21"/>
              </w:rPr>
            </w:pPr>
          </w:p>
        </w:tc>
        <w:tc>
          <w:tcPr>
            <w:tcW w:w="1736" w:type="dxa"/>
            <w:tcBorders>
              <w:top w:val="single" w:color="auto" w:sz="4" w:space="0"/>
              <w:left w:val="single" w:color="auto" w:sz="4" w:space="0"/>
              <w:bottom w:val="single" w:color="auto" w:sz="4" w:space="0"/>
              <w:right w:val="single" w:color="auto" w:sz="4" w:space="0"/>
            </w:tcBorders>
            <w:vAlign w:val="center"/>
          </w:tcPr>
          <w:p w14:paraId="54B3E7B3">
            <w:pPr>
              <w:spacing w:line="380" w:lineRule="exact"/>
              <w:jc w:val="center"/>
              <w:rPr>
                <w:rFonts w:ascii="宋体" w:hAnsi="宋体"/>
                <w:color w:val="auto"/>
                <w:szCs w:val="21"/>
              </w:rPr>
            </w:pPr>
            <w:r>
              <w:rPr>
                <w:rFonts w:hint="eastAsia" w:hAnsi="宋体" w:cs="宋体"/>
                <w:color w:val="auto"/>
              </w:rPr>
              <w:t>采购代理费收取标准</w:t>
            </w:r>
          </w:p>
        </w:tc>
        <w:tc>
          <w:tcPr>
            <w:tcW w:w="7829" w:type="dxa"/>
            <w:tcBorders>
              <w:top w:val="single" w:color="auto" w:sz="4" w:space="0"/>
              <w:left w:val="single" w:color="auto" w:sz="4" w:space="0"/>
              <w:bottom w:val="single" w:color="auto" w:sz="4" w:space="0"/>
              <w:right w:val="single" w:color="auto" w:sz="4" w:space="0"/>
            </w:tcBorders>
            <w:vAlign w:val="center"/>
          </w:tcPr>
          <w:p w14:paraId="4A8BB052">
            <w:pPr>
              <w:pStyle w:val="17"/>
              <w:snapToGrid w:val="0"/>
              <w:spacing w:line="380" w:lineRule="exact"/>
              <w:rPr>
                <w:rFonts w:hAnsi="宋体" w:cs="宋体"/>
                <w:color w:val="auto"/>
              </w:rPr>
            </w:pPr>
            <w:r>
              <w:rPr>
                <w:rFonts w:hint="eastAsia" w:hAnsi="宋体" w:cs="宋体"/>
                <w:color w:val="auto"/>
              </w:rPr>
              <w:t>☑以分标（☑中标金额/□采购预算/□暂定中标金额/□其他</w:t>
            </w:r>
            <w:r>
              <w:rPr>
                <w:rFonts w:hint="eastAsia" w:hAnsi="宋体" w:cs="宋体"/>
                <w:color w:val="auto"/>
                <w:u w:val="single"/>
              </w:rPr>
              <w:t xml:space="preserve"> </w:t>
            </w:r>
            <w:r>
              <w:rPr>
                <w:rFonts w:hAnsi="宋体" w:cs="宋体"/>
                <w:color w:val="auto"/>
                <w:u w:val="single"/>
              </w:rPr>
              <w:t xml:space="preserve">  </w:t>
            </w:r>
            <w:r>
              <w:rPr>
                <w:rFonts w:hint="eastAsia" w:hAnsi="宋体" w:cs="宋体"/>
                <w:color w:val="auto"/>
              </w:rPr>
              <w:t>）为计费额，按货物招标采用差额定率累进法计算出收费基准价格，采购代理收费以（□收费基准价格/☑收费基准价格下浮</w:t>
            </w:r>
            <w:r>
              <w:rPr>
                <w:rFonts w:hint="eastAsia" w:hAnsi="宋体" w:cs="宋体"/>
                <w:color w:val="auto"/>
                <w:u w:val="single"/>
              </w:rPr>
              <w:t xml:space="preserve"> 20</w:t>
            </w:r>
            <w:r>
              <w:rPr>
                <w:rFonts w:hAnsi="宋体" w:cs="宋体"/>
                <w:color w:val="auto"/>
                <w:u w:val="single"/>
              </w:rPr>
              <w:t xml:space="preserve"> </w:t>
            </w:r>
            <w:r>
              <w:rPr>
                <w:rFonts w:hint="eastAsia" w:hAnsi="宋体" w:cs="宋体"/>
                <w:color w:val="auto"/>
                <w:u w:val="single"/>
              </w:rPr>
              <w:t>%</w:t>
            </w:r>
            <w:r>
              <w:rPr>
                <w:rFonts w:hAnsi="宋体" w:cs="宋体"/>
                <w:color w:val="auto"/>
              </w:rPr>
              <w:t>/</w:t>
            </w:r>
            <w:r>
              <w:rPr>
                <w:rFonts w:hint="eastAsia" w:hAnsi="宋体" w:cs="宋体"/>
                <w:color w:val="auto"/>
              </w:rPr>
              <w:t>□收费基准价格上浮</w:t>
            </w:r>
            <w:r>
              <w:rPr>
                <w:rFonts w:hint="eastAsia" w:hAnsi="宋体" w:cs="宋体"/>
                <w:color w:val="auto"/>
                <w:u w:val="single"/>
              </w:rPr>
              <w:t xml:space="preserve"> </w:t>
            </w:r>
            <w:r>
              <w:rPr>
                <w:rFonts w:hAnsi="宋体" w:cs="宋体"/>
                <w:color w:val="auto"/>
                <w:u w:val="single"/>
              </w:rPr>
              <w:t xml:space="preserve">  </w:t>
            </w:r>
            <w:r>
              <w:rPr>
                <w:rFonts w:hint="eastAsia" w:hAnsi="宋体" w:cs="宋体"/>
                <w:color w:val="auto"/>
                <w:u w:val="single"/>
              </w:rPr>
              <w:t>%</w:t>
            </w:r>
            <w:r>
              <w:rPr>
                <w:rFonts w:hint="eastAsia" w:hAnsi="宋体" w:cs="宋体"/>
                <w:color w:val="auto"/>
              </w:rPr>
              <w:t>）收取。</w:t>
            </w:r>
          </w:p>
          <w:p w14:paraId="0A236241">
            <w:pPr>
              <w:pStyle w:val="17"/>
              <w:snapToGrid w:val="0"/>
              <w:spacing w:line="380" w:lineRule="exact"/>
              <w:rPr>
                <w:rFonts w:hAnsi="宋体" w:cs="宋体"/>
                <w:color w:val="auto"/>
                <w:u w:val="single"/>
              </w:rPr>
            </w:pPr>
            <w:r>
              <w:rPr>
                <w:rFonts w:hint="eastAsia" w:hAnsi="宋体" w:cs="宋体"/>
                <w:color w:val="auto"/>
              </w:rPr>
              <w:t>□固定采购代理收费</w:t>
            </w:r>
            <w:r>
              <w:rPr>
                <w:rFonts w:hint="eastAsia" w:hAnsi="宋体" w:cs="宋体"/>
                <w:color w:val="auto"/>
                <w:u w:val="single"/>
              </w:rPr>
              <w:t xml:space="preserve">              。</w:t>
            </w:r>
          </w:p>
        </w:tc>
      </w:tr>
      <w:tr w14:paraId="61855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left w:val="single" w:color="auto" w:sz="4" w:space="0"/>
              <w:bottom w:val="single" w:color="auto" w:sz="4" w:space="0"/>
              <w:right w:val="single" w:color="auto" w:sz="4" w:space="0"/>
            </w:tcBorders>
            <w:vAlign w:val="center"/>
          </w:tcPr>
          <w:p w14:paraId="7D363F08">
            <w:pPr>
              <w:spacing w:line="380" w:lineRule="exact"/>
              <w:rPr>
                <w:rFonts w:ascii="宋体" w:hAnsi="宋体"/>
                <w:color w:val="auto"/>
                <w:szCs w:val="21"/>
              </w:rPr>
            </w:pPr>
          </w:p>
        </w:tc>
        <w:tc>
          <w:tcPr>
            <w:tcW w:w="1736" w:type="dxa"/>
            <w:tcBorders>
              <w:top w:val="single" w:color="auto" w:sz="4" w:space="0"/>
              <w:left w:val="single" w:color="auto" w:sz="4" w:space="0"/>
              <w:bottom w:val="single" w:color="auto" w:sz="4" w:space="0"/>
              <w:right w:val="single" w:color="auto" w:sz="4" w:space="0"/>
            </w:tcBorders>
            <w:vAlign w:val="center"/>
          </w:tcPr>
          <w:p w14:paraId="22893134">
            <w:pPr>
              <w:spacing w:line="380" w:lineRule="exact"/>
              <w:jc w:val="center"/>
              <w:rPr>
                <w:rFonts w:ascii="宋体" w:hAnsi="宋体"/>
                <w:color w:val="auto"/>
                <w:szCs w:val="21"/>
              </w:rPr>
            </w:pPr>
            <w:r>
              <w:rPr>
                <w:rFonts w:hint="eastAsia" w:hAnsi="宋体" w:cs="宋体"/>
                <w:color w:val="auto"/>
              </w:rPr>
              <w:t>代理服务费收款账户信息</w:t>
            </w:r>
          </w:p>
        </w:tc>
        <w:tc>
          <w:tcPr>
            <w:tcW w:w="7829" w:type="dxa"/>
            <w:tcBorders>
              <w:top w:val="single" w:color="auto" w:sz="4" w:space="0"/>
              <w:left w:val="single" w:color="auto" w:sz="4" w:space="0"/>
              <w:bottom w:val="single" w:color="auto" w:sz="4" w:space="0"/>
              <w:right w:val="single" w:color="auto" w:sz="4" w:space="0"/>
            </w:tcBorders>
            <w:vAlign w:val="center"/>
          </w:tcPr>
          <w:p w14:paraId="4FDD9AE7">
            <w:pPr>
              <w:pStyle w:val="17"/>
              <w:snapToGrid w:val="0"/>
              <w:spacing w:line="380" w:lineRule="exact"/>
              <w:rPr>
                <w:rFonts w:hAnsi="宋体" w:cs="宋体"/>
                <w:b/>
                <w:bCs/>
                <w:color w:val="auto"/>
              </w:rPr>
            </w:pPr>
            <w:r>
              <w:rPr>
                <w:rFonts w:hint="eastAsia" w:hAnsi="宋体" w:cs="宋体"/>
                <w:b/>
                <w:bCs/>
                <w:color w:val="auto"/>
              </w:rPr>
              <w:t>开户名称：广西同泽工程项目管理股份有限公司南宁第二分公司</w:t>
            </w:r>
          </w:p>
          <w:p w14:paraId="3AAD0FA3">
            <w:pPr>
              <w:pStyle w:val="17"/>
              <w:snapToGrid w:val="0"/>
              <w:spacing w:line="380" w:lineRule="exact"/>
              <w:rPr>
                <w:rFonts w:hAnsi="宋体" w:cs="宋体"/>
                <w:b/>
                <w:bCs/>
                <w:color w:val="auto"/>
              </w:rPr>
            </w:pPr>
            <w:r>
              <w:rPr>
                <w:rFonts w:hint="eastAsia" w:hAnsi="宋体" w:cs="宋体"/>
                <w:b/>
                <w:bCs/>
                <w:color w:val="auto"/>
              </w:rPr>
              <w:t>开户银行：工商银行南宁五象支行</w:t>
            </w:r>
          </w:p>
          <w:p w14:paraId="1A53DC4E">
            <w:pPr>
              <w:pStyle w:val="17"/>
              <w:snapToGrid w:val="0"/>
              <w:spacing w:line="380" w:lineRule="exact"/>
              <w:rPr>
                <w:rFonts w:hAnsi="宋体" w:cs="宋体"/>
                <w:b/>
                <w:bCs/>
                <w:color w:val="auto"/>
              </w:rPr>
            </w:pPr>
            <w:r>
              <w:rPr>
                <w:rFonts w:hint="eastAsia" w:hAnsi="宋体" w:cs="宋体"/>
                <w:b/>
                <w:bCs/>
                <w:color w:val="auto"/>
              </w:rPr>
              <w:t>银行账号：2102 1160 1930 0170 843</w:t>
            </w:r>
          </w:p>
          <w:p w14:paraId="28E6A714">
            <w:pPr>
              <w:pStyle w:val="17"/>
              <w:snapToGrid w:val="0"/>
              <w:spacing w:line="380" w:lineRule="exact"/>
              <w:rPr>
                <w:rFonts w:hAnsi="宋体" w:cs="宋体"/>
                <w:color w:val="auto"/>
              </w:rPr>
            </w:pPr>
            <w:r>
              <w:rPr>
                <w:rFonts w:hint="eastAsia" w:hAnsi="宋体" w:cs="宋体"/>
                <w:b/>
                <w:bCs/>
                <w:color w:val="auto"/>
              </w:rPr>
              <w:t>开户行行号：102611011600</w:t>
            </w:r>
          </w:p>
        </w:tc>
      </w:tr>
      <w:tr w14:paraId="663D6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734CFF1">
            <w:pPr>
              <w:snapToGrid w:val="0"/>
              <w:spacing w:line="380" w:lineRule="exact"/>
              <w:jc w:val="center"/>
              <w:rPr>
                <w:rFonts w:ascii="宋体" w:hAnsi="宋体"/>
                <w:color w:val="auto"/>
                <w:szCs w:val="21"/>
              </w:rPr>
            </w:pPr>
            <w:r>
              <w:rPr>
                <w:rFonts w:ascii="宋体" w:hAnsi="宋体"/>
                <w:color w:val="auto"/>
                <w:szCs w:val="21"/>
              </w:rPr>
              <w:t>4</w:t>
            </w:r>
            <w:r>
              <w:rPr>
                <w:rFonts w:hint="eastAsia" w:ascii="宋体" w:hAnsi="宋体"/>
                <w:color w:val="auto"/>
                <w:szCs w:val="21"/>
              </w:rPr>
              <w:t>1</w:t>
            </w:r>
            <w:r>
              <w:rPr>
                <w:rFonts w:ascii="宋体" w:hAnsi="宋体"/>
                <w:color w:val="auto"/>
                <w:szCs w:val="21"/>
              </w:rPr>
              <w:t>.1</w:t>
            </w:r>
          </w:p>
        </w:tc>
        <w:tc>
          <w:tcPr>
            <w:tcW w:w="1736" w:type="dxa"/>
            <w:tcBorders>
              <w:top w:val="single" w:color="auto" w:sz="4" w:space="0"/>
              <w:left w:val="single" w:color="auto" w:sz="4" w:space="0"/>
              <w:bottom w:val="single" w:color="auto" w:sz="4" w:space="0"/>
              <w:right w:val="single" w:color="auto" w:sz="4" w:space="0"/>
            </w:tcBorders>
            <w:vAlign w:val="center"/>
          </w:tcPr>
          <w:p w14:paraId="137F1DDA">
            <w:pPr>
              <w:snapToGrid w:val="0"/>
              <w:spacing w:line="380" w:lineRule="exact"/>
              <w:jc w:val="center"/>
              <w:rPr>
                <w:rFonts w:ascii="宋体" w:hAnsi="宋体"/>
                <w:color w:val="auto"/>
                <w:szCs w:val="21"/>
              </w:rPr>
            </w:pPr>
            <w:r>
              <w:rPr>
                <w:rFonts w:hint="eastAsia" w:ascii="宋体" w:hAnsi="宋体"/>
                <w:color w:val="auto"/>
                <w:szCs w:val="21"/>
              </w:rPr>
              <w:t>解释</w:t>
            </w:r>
          </w:p>
        </w:tc>
        <w:tc>
          <w:tcPr>
            <w:tcW w:w="7829" w:type="dxa"/>
            <w:tcBorders>
              <w:top w:val="single" w:color="auto" w:sz="4" w:space="0"/>
              <w:left w:val="single" w:color="auto" w:sz="4" w:space="0"/>
              <w:bottom w:val="single" w:color="auto" w:sz="4" w:space="0"/>
              <w:right w:val="single" w:color="auto" w:sz="4" w:space="0"/>
            </w:tcBorders>
            <w:vAlign w:val="center"/>
          </w:tcPr>
          <w:p w14:paraId="6C055EBB">
            <w:pPr>
              <w:snapToGrid w:val="0"/>
              <w:spacing w:line="380" w:lineRule="exact"/>
              <w:rPr>
                <w:rFonts w:ascii="宋体" w:hAnsi="宋体"/>
                <w:b/>
                <w:color w:val="auto"/>
                <w:szCs w:val="21"/>
              </w:rPr>
            </w:pPr>
            <w:r>
              <w:rPr>
                <w:rFonts w:hint="eastAsia" w:ascii="宋体" w:hAnsi="宋体"/>
                <w:b/>
                <w:color w:val="auto"/>
                <w:szCs w:val="21"/>
              </w:rPr>
              <w:t>解释权：</w:t>
            </w:r>
            <w:r>
              <w:rPr>
                <w:rFonts w:ascii="宋体" w:hAnsi="宋体"/>
                <w:color w:val="auto"/>
                <w:szCs w:val="21"/>
              </w:rPr>
              <w:t>构成本招标文件的各个组成文件应互为解释，互为说明；除招标文件中有特别规定外，仅适用于招标投标阶段的规定，按</w:t>
            </w:r>
            <w:r>
              <w:rPr>
                <w:rFonts w:hint="eastAsia" w:ascii="宋体" w:hAnsi="宋体"/>
                <w:color w:val="auto"/>
                <w:szCs w:val="21"/>
              </w:rPr>
              <w:t>更正公告（澄清公告）</w:t>
            </w:r>
            <w:r>
              <w:rPr>
                <w:rFonts w:ascii="宋体" w:hAnsi="宋体"/>
                <w:color w:val="auto"/>
                <w:szCs w:val="21"/>
              </w:rPr>
              <w:t>、招标公告、</w:t>
            </w:r>
            <w:r>
              <w:rPr>
                <w:rFonts w:hint="eastAsia" w:ascii="宋体" w:hAnsi="宋体"/>
                <w:color w:val="auto"/>
                <w:szCs w:val="21"/>
              </w:rPr>
              <w:t>采购需求、</w:t>
            </w:r>
            <w:r>
              <w:rPr>
                <w:rFonts w:ascii="宋体" w:hAnsi="宋体"/>
                <w:color w:val="auto"/>
                <w:szCs w:val="21"/>
              </w:rPr>
              <w:t>投标人须知、</w:t>
            </w:r>
            <w:r>
              <w:rPr>
                <w:rFonts w:hint="eastAsia" w:ascii="宋体" w:hAnsi="宋体"/>
                <w:color w:val="auto"/>
                <w:szCs w:val="21"/>
              </w:rPr>
              <w:t>评标方法及评标标准</w:t>
            </w:r>
            <w:r>
              <w:rPr>
                <w:rFonts w:ascii="宋体" w:hAnsi="宋体"/>
                <w:color w:val="auto"/>
                <w:szCs w:val="21"/>
              </w:rPr>
              <w:t>、</w:t>
            </w:r>
            <w:r>
              <w:rPr>
                <w:rFonts w:hint="eastAsia" w:ascii="宋体" w:hAnsi="宋体"/>
                <w:color w:val="auto"/>
                <w:szCs w:val="21"/>
              </w:rPr>
              <w:t>拟签订的合同文本、</w:t>
            </w:r>
            <w:r>
              <w:rPr>
                <w:rFonts w:ascii="宋体" w:hAnsi="宋体"/>
                <w:color w:val="auto"/>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rPr>
              <w:t>更正公告（澄清公告）</w:t>
            </w:r>
            <w:r>
              <w:rPr>
                <w:rFonts w:ascii="宋体" w:hAnsi="宋体"/>
                <w:color w:val="auto"/>
                <w:szCs w:val="21"/>
              </w:rPr>
              <w:t>与同步更新的招标文件不一致时以</w:t>
            </w:r>
            <w:r>
              <w:rPr>
                <w:rFonts w:hint="eastAsia" w:ascii="宋体" w:hAnsi="宋体"/>
                <w:color w:val="auto"/>
                <w:szCs w:val="21"/>
              </w:rPr>
              <w:t>更正公告（澄清公告）</w:t>
            </w:r>
            <w:r>
              <w:rPr>
                <w:rFonts w:ascii="宋体" w:hAnsi="宋体"/>
                <w:color w:val="auto"/>
                <w:szCs w:val="21"/>
              </w:rPr>
              <w:t>为准。按本款前述规定仍不能形成结论的</w:t>
            </w:r>
            <w:r>
              <w:rPr>
                <w:rFonts w:ascii="宋体" w:hAnsi="宋体"/>
                <w:b/>
                <w:color w:val="auto"/>
                <w:szCs w:val="21"/>
              </w:rPr>
              <w:t>，由</w:t>
            </w:r>
            <w:r>
              <w:rPr>
                <w:rFonts w:hint="eastAsia" w:ascii="宋体" w:hAnsi="宋体"/>
                <w:b/>
                <w:color w:val="auto"/>
                <w:szCs w:val="21"/>
              </w:rPr>
              <w:t>采购</w:t>
            </w:r>
            <w:r>
              <w:rPr>
                <w:rFonts w:ascii="宋体" w:hAnsi="宋体"/>
                <w:b/>
                <w:color w:val="auto"/>
                <w:szCs w:val="21"/>
              </w:rPr>
              <w:t>人</w:t>
            </w:r>
            <w:r>
              <w:rPr>
                <w:rFonts w:hint="eastAsia" w:ascii="宋体" w:hAnsi="宋体"/>
                <w:b/>
                <w:color w:val="auto"/>
                <w:szCs w:val="21"/>
              </w:rPr>
              <w:t>或者采购代理机构</w:t>
            </w:r>
            <w:r>
              <w:rPr>
                <w:rFonts w:ascii="宋体" w:hAnsi="宋体"/>
                <w:b/>
                <w:color w:val="auto"/>
                <w:szCs w:val="21"/>
              </w:rPr>
              <w:t>负责解释。</w:t>
            </w:r>
          </w:p>
          <w:p w14:paraId="2CA827A1">
            <w:pPr>
              <w:snapToGrid w:val="0"/>
              <w:spacing w:line="380" w:lineRule="exact"/>
              <w:rPr>
                <w:rFonts w:ascii="宋体" w:hAnsi="宋体"/>
                <w:color w:val="auto"/>
                <w:szCs w:val="21"/>
              </w:rPr>
            </w:pPr>
            <w:r>
              <w:rPr>
                <w:rFonts w:hint="eastAsia" w:ascii="宋体" w:hAnsi="宋体"/>
                <w:b/>
                <w:color w:val="auto"/>
                <w:szCs w:val="21"/>
              </w:rPr>
              <w:t>法律责任：</w:t>
            </w:r>
            <w:r>
              <w:rPr>
                <w:rFonts w:hint="eastAsia" w:ascii="宋体" w:hAnsi="宋体"/>
                <w:color w:val="auto"/>
                <w:szCs w:val="21"/>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22830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70B508E">
            <w:pPr>
              <w:snapToGrid w:val="0"/>
              <w:spacing w:line="380" w:lineRule="exact"/>
              <w:jc w:val="center"/>
              <w:rPr>
                <w:rFonts w:ascii="宋体" w:hAnsi="宋体"/>
                <w:color w:val="auto"/>
                <w:szCs w:val="21"/>
              </w:rPr>
            </w:pPr>
            <w:r>
              <w:rPr>
                <w:rFonts w:ascii="宋体" w:hAnsi="宋体"/>
                <w:color w:val="auto"/>
                <w:szCs w:val="21"/>
              </w:rPr>
              <w:t>4</w:t>
            </w:r>
            <w:r>
              <w:rPr>
                <w:rFonts w:hint="eastAsia" w:ascii="宋体" w:hAnsi="宋体"/>
                <w:color w:val="auto"/>
                <w:szCs w:val="21"/>
              </w:rPr>
              <w:t>1</w:t>
            </w:r>
            <w:r>
              <w:rPr>
                <w:rFonts w:ascii="宋体" w:hAnsi="宋体"/>
                <w:color w:val="auto"/>
                <w:szCs w:val="21"/>
              </w:rPr>
              <w:t>.2</w:t>
            </w:r>
          </w:p>
        </w:tc>
        <w:tc>
          <w:tcPr>
            <w:tcW w:w="1736" w:type="dxa"/>
            <w:tcBorders>
              <w:top w:val="single" w:color="auto" w:sz="4" w:space="0"/>
              <w:left w:val="single" w:color="auto" w:sz="4" w:space="0"/>
              <w:bottom w:val="single" w:color="auto" w:sz="4" w:space="0"/>
              <w:right w:val="single" w:color="auto" w:sz="4" w:space="0"/>
            </w:tcBorders>
            <w:vAlign w:val="center"/>
          </w:tcPr>
          <w:p w14:paraId="66816B45">
            <w:pPr>
              <w:snapToGrid w:val="0"/>
              <w:spacing w:line="380" w:lineRule="exact"/>
              <w:jc w:val="center"/>
              <w:rPr>
                <w:rFonts w:ascii="宋体" w:hAnsi="宋体"/>
                <w:color w:val="auto"/>
                <w:szCs w:val="21"/>
              </w:rPr>
            </w:pPr>
            <w:r>
              <w:rPr>
                <w:rFonts w:hint="eastAsia" w:ascii="宋体" w:hAnsi="宋体"/>
                <w:color w:val="auto"/>
                <w:szCs w:val="21"/>
              </w:rPr>
              <w:t>其他释义</w:t>
            </w:r>
          </w:p>
        </w:tc>
        <w:tc>
          <w:tcPr>
            <w:tcW w:w="7829" w:type="dxa"/>
            <w:tcBorders>
              <w:top w:val="single" w:color="auto" w:sz="4" w:space="0"/>
              <w:left w:val="single" w:color="auto" w:sz="4" w:space="0"/>
              <w:bottom w:val="single" w:color="auto" w:sz="4" w:space="0"/>
              <w:right w:val="single" w:color="auto" w:sz="4" w:space="0"/>
            </w:tcBorders>
            <w:vAlign w:val="center"/>
          </w:tcPr>
          <w:p w14:paraId="09E56084">
            <w:pPr>
              <w:pStyle w:val="17"/>
              <w:snapToGrid w:val="0"/>
              <w:spacing w:line="380" w:lineRule="exact"/>
              <w:rPr>
                <w:rFonts w:hAnsi="宋体" w:cs="宋体"/>
                <w:b/>
                <w:bCs/>
                <w:color w:val="auto"/>
              </w:rPr>
            </w:pPr>
            <w:r>
              <w:rPr>
                <w:rFonts w:hint="eastAsia" w:hAnsi="宋体" w:cs="宋体"/>
                <w:b/>
                <w:bCs/>
                <w:color w:val="auto"/>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236E9C0D">
            <w:pPr>
              <w:pStyle w:val="17"/>
              <w:snapToGrid w:val="0"/>
              <w:spacing w:line="380" w:lineRule="exact"/>
              <w:rPr>
                <w:rFonts w:hAnsi="宋体" w:cs="宋体"/>
                <w:b/>
                <w:bCs/>
                <w:color w:val="auto"/>
              </w:rPr>
            </w:pPr>
            <w:r>
              <w:rPr>
                <w:rFonts w:hint="eastAsia" w:hAnsi="宋体" w:cs="宋体"/>
                <w:b/>
                <w:bCs/>
                <w:color w:val="auto"/>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29D0FBB8">
            <w:pPr>
              <w:pStyle w:val="17"/>
              <w:snapToGrid w:val="0"/>
              <w:spacing w:line="380" w:lineRule="exact"/>
              <w:rPr>
                <w:rFonts w:hAnsi="宋体" w:cs="宋体"/>
                <w:b/>
                <w:bCs/>
                <w:color w:val="auto"/>
              </w:rPr>
            </w:pPr>
            <w:r>
              <w:rPr>
                <w:rFonts w:hint="eastAsia" w:hAnsi="宋体" w:cs="宋体"/>
                <w:b/>
                <w:bCs/>
                <w:color w:val="auto"/>
              </w:rPr>
              <w:t>3.本招标文件中描述投标人的“签字”是指投标人的法定代表人或者委托代理人亲自在文件规定签署处亲笔写上个人的名字的行为，私章、签字章、印鉴、影印等其他形式均不能代替亲笔签字。</w:t>
            </w:r>
          </w:p>
          <w:p w14:paraId="7B8EBEF2">
            <w:pPr>
              <w:pStyle w:val="17"/>
              <w:snapToGrid w:val="0"/>
              <w:spacing w:line="380" w:lineRule="exact"/>
              <w:rPr>
                <w:rFonts w:hAnsi="宋体" w:cs="宋体"/>
                <w:b/>
                <w:bCs/>
                <w:color w:val="auto"/>
              </w:rPr>
            </w:pPr>
            <w:r>
              <w:rPr>
                <w:rFonts w:hint="eastAsia" w:hAnsi="宋体" w:cs="宋体"/>
                <w:b/>
                <w:bCs/>
                <w:color w:val="auto"/>
              </w:rPr>
              <w:t>4.自然人投标的，招标文件规定盖公章处由自然人摁手指指印。</w:t>
            </w:r>
          </w:p>
          <w:p w14:paraId="6C966593">
            <w:pPr>
              <w:spacing w:line="380" w:lineRule="exact"/>
              <w:jc w:val="left"/>
              <w:rPr>
                <w:rFonts w:ascii="宋体" w:hAnsi="宋体"/>
                <w:color w:val="auto"/>
                <w:szCs w:val="21"/>
              </w:rPr>
            </w:pPr>
            <w:r>
              <w:rPr>
                <w:rFonts w:hint="eastAsia" w:ascii="宋体" w:hAnsi="宋体" w:cs="宋体"/>
                <w:b/>
                <w:bCs/>
                <w:color w:val="auto"/>
                <w:szCs w:val="21"/>
              </w:rPr>
              <w:t>5.本招标文件所称的“以上”“以下”“以内”“届满”，包括本数；所称的“不满”“超过”“以外”，不包括本数。</w:t>
            </w:r>
          </w:p>
        </w:tc>
      </w:tr>
    </w:tbl>
    <w:p w14:paraId="347DB11B">
      <w:pPr>
        <w:pStyle w:val="3"/>
        <w:rPr>
          <w:color w:val="auto"/>
        </w:rPr>
        <w:sectPr>
          <w:pgSz w:w="11906" w:h="16838"/>
          <w:pgMar w:top="1134" w:right="1134" w:bottom="1134" w:left="1134" w:header="720" w:footer="720" w:gutter="0"/>
          <w:cols w:space="720" w:num="1"/>
          <w:docGrid w:type="lines" w:linePitch="331" w:charSpace="0"/>
        </w:sectPr>
      </w:pPr>
    </w:p>
    <w:p w14:paraId="12E35A90">
      <w:pPr>
        <w:rPr>
          <w:color w:val="auto"/>
        </w:rPr>
      </w:pPr>
    </w:p>
    <w:p w14:paraId="2B8209D5">
      <w:pPr>
        <w:pStyle w:val="3"/>
        <w:jc w:val="center"/>
        <w:rPr>
          <w:color w:val="auto"/>
        </w:rPr>
      </w:pPr>
      <w:bookmarkStart w:id="61" w:name="_Toc80092994"/>
      <w:r>
        <w:rPr>
          <w:rFonts w:hint="eastAsia"/>
          <w:color w:val="auto"/>
        </w:rPr>
        <w:t>第二节 投标人须知正文</w:t>
      </w:r>
      <w:bookmarkEnd w:id="61"/>
    </w:p>
    <w:p w14:paraId="7B97BA3C">
      <w:pPr>
        <w:pStyle w:val="4"/>
        <w:keepNext w:val="0"/>
        <w:keepLines w:val="0"/>
        <w:spacing w:line="400" w:lineRule="exact"/>
        <w:jc w:val="center"/>
        <w:rPr>
          <w:color w:val="auto"/>
        </w:rPr>
      </w:pPr>
      <w:bookmarkStart w:id="62" w:name="_Toc80092995"/>
      <w:r>
        <w:rPr>
          <w:rFonts w:hint="eastAsia"/>
          <w:color w:val="auto"/>
        </w:rPr>
        <w:t>一、总  则</w:t>
      </w:r>
      <w:bookmarkEnd w:id="62"/>
    </w:p>
    <w:p w14:paraId="6E4A52DB">
      <w:pPr>
        <w:spacing w:line="360" w:lineRule="auto"/>
        <w:ind w:firstLine="480" w:firstLineChars="200"/>
        <w:rPr>
          <w:rFonts w:ascii="黑体" w:hAnsi="黑体" w:eastAsia="黑体"/>
          <w:color w:val="auto"/>
          <w:sz w:val="24"/>
        </w:rPr>
      </w:pPr>
      <w:bookmarkStart w:id="63" w:name="_Toc254970527"/>
      <w:bookmarkStart w:id="64" w:name="_Toc254970668"/>
      <w:r>
        <w:rPr>
          <w:rFonts w:hint="eastAsia" w:ascii="黑体" w:hAnsi="黑体" w:eastAsia="黑体"/>
          <w:color w:val="auto"/>
          <w:sz w:val="24"/>
        </w:rPr>
        <w:t>1.适用范围</w:t>
      </w:r>
      <w:bookmarkEnd w:id="63"/>
      <w:bookmarkEnd w:id="64"/>
    </w:p>
    <w:p w14:paraId="1E1BA55D">
      <w:pPr>
        <w:spacing w:line="360" w:lineRule="auto"/>
        <w:ind w:firstLine="420" w:firstLineChars="200"/>
        <w:rPr>
          <w:rFonts w:ascii="宋体" w:hAnsi="宋体"/>
          <w:color w:val="auto"/>
          <w:szCs w:val="21"/>
        </w:rPr>
      </w:pPr>
      <w:r>
        <w:rPr>
          <w:rFonts w:hint="eastAsia" w:ascii="宋体" w:hAnsi="宋体"/>
          <w:color w:val="auto"/>
          <w:szCs w:val="21"/>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14:paraId="6E7D6A72">
      <w:pPr>
        <w:spacing w:line="360" w:lineRule="auto"/>
        <w:ind w:firstLine="420" w:firstLineChars="200"/>
        <w:rPr>
          <w:rFonts w:ascii="宋体" w:hAnsi="宋体"/>
          <w:color w:val="auto"/>
          <w:szCs w:val="21"/>
        </w:rPr>
      </w:pPr>
      <w:r>
        <w:rPr>
          <w:rFonts w:hint="eastAsia" w:ascii="宋体" w:hAnsi="宋体"/>
          <w:color w:val="auto"/>
          <w:szCs w:val="21"/>
        </w:rPr>
        <w:t>1.2本招标文件</w:t>
      </w:r>
      <w:r>
        <w:rPr>
          <w:rFonts w:hint="eastAsia" w:ascii="宋体" w:hAnsi="宋体" w:cs="宋体"/>
          <w:color w:val="auto"/>
          <w:spacing w:val="-6"/>
          <w:szCs w:val="21"/>
        </w:rPr>
        <w:t>适用于本项目的所有采购程序和环节（法律、法规另有规定的，从其规定）。</w:t>
      </w:r>
    </w:p>
    <w:p w14:paraId="26D51343">
      <w:pPr>
        <w:spacing w:line="360" w:lineRule="auto"/>
        <w:ind w:firstLine="480" w:firstLineChars="200"/>
        <w:rPr>
          <w:rFonts w:ascii="黑体" w:hAnsi="黑体" w:eastAsia="黑体"/>
          <w:color w:val="auto"/>
          <w:sz w:val="24"/>
        </w:rPr>
      </w:pPr>
      <w:bookmarkStart w:id="65" w:name="_Toc254970528"/>
      <w:bookmarkStart w:id="66" w:name="_Toc254970669"/>
      <w:r>
        <w:rPr>
          <w:rFonts w:hint="eastAsia" w:ascii="黑体" w:hAnsi="黑体" w:eastAsia="黑体"/>
          <w:color w:val="auto"/>
          <w:sz w:val="24"/>
        </w:rPr>
        <w:t>2.定义</w:t>
      </w:r>
      <w:bookmarkEnd w:id="65"/>
      <w:bookmarkEnd w:id="66"/>
    </w:p>
    <w:p w14:paraId="09BC75B8">
      <w:pPr>
        <w:spacing w:line="360" w:lineRule="auto"/>
        <w:ind w:firstLine="422" w:firstLineChars="200"/>
        <w:rPr>
          <w:rFonts w:ascii="宋体" w:hAnsi="宋体"/>
          <w:b/>
          <w:color w:val="auto"/>
          <w:szCs w:val="21"/>
        </w:rPr>
      </w:pPr>
      <w:r>
        <w:rPr>
          <w:rFonts w:hint="eastAsia" w:ascii="宋体" w:hAnsi="宋体"/>
          <w:b/>
          <w:color w:val="auto"/>
          <w:szCs w:val="21"/>
        </w:rPr>
        <w:t>2.1“采购人”是指依法进行政府采购的国家机关、事业单位、团体组织。</w:t>
      </w:r>
    </w:p>
    <w:p w14:paraId="1771C361">
      <w:pPr>
        <w:spacing w:line="360" w:lineRule="auto"/>
        <w:ind w:firstLine="422" w:firstLineChars="200"/>
        <w:rPr>
          <w:rFonts w:ascii="宋体" w:hAnsi="宋体"/>
          <w:b/>
          <w:color w:val="auto"/>
          <w:szCs w:val="21"/>
        </w:rPr>
      </w:pPr>
      <w:r>
        <w:rPr>
          <w:rFonts w:hint="eastAsia" w:ascii="宋体" w:hAnsi="宋体"/>
          <w:b/>
          <w:color w:val="auto"/>
          <w:szCs w:val="21"/>
        </w:rPr>
        <w:t>2.2“采购代理机构” 指政府采购集中采购机构和集中采购机构以外的采购代理机构。</w:t>
      </w:r>
    </w:p>
    <w:p w14:paraId="646554BE">
      <w:pPr>
        <w:spacing w:line="360" w:lineRule="auto"/>
        <w:ind w:firstLine="422" w:firstLineChars="200"/>
        <w:rPr>
          <w:rFonts w:ascii="宋体" w:hAnsi="宋体"/>
          <w:b/>
          <w:color w:val="auto"/>
          <w:szCs w:val="21"/>
        </w:rPr>
      </w:pPr>
      <w:r>
        <w:rPr>
          <w:rFonts w:hint="eastAsia" w:ascii="宋体" w:hAnsi="宋体"/>
          <w:b/>
          <w:color w:val="auto"/>
          <w:szCs w:val="21"/>
        </w:rPr>
        <w:t>2.3“供应商”是指向采购人提供货物、工程或者货物的法人、其他组织或者自然人。</w:t>
      </w:r>
    </w:p>
    <w:p w14:paraId="1E0F79DA">
      <w:pPr>
        <w:spacing w:line="360" w:lineRule="auto"/>
        <w:ind w:firstLine="420" w:firstLineChars="200"/>
        <w:rPr>
          <w:rFonts w:ascii="宋体" w:hAnsi="宋体"/>
          <w:color w:val="auto"/>
          <w:szCs w:val="21"/>
        </w:rPr>
      </w:pPr>
      <w:r>
        <w:rPr>
          <w:rFonts w:hint="eastAsia" w:ascii="宋体" w:hAnsi="宋体"/>
          <w:color w:val="auto"/>
          <w:szCs w:val="21"/>
        </w:rPr>
        <w:t>2.4“投标人”是指响应招标、参加投标竞争的法人、非法人组织或者自然人。</w:t>
      </w:r>
    </w:p>
    <w:p w14:paraId="4C2CEDE8">
      <w:pPr>
        <w:spacing w:line="360" w:lineRule="auto"/>
        <w:ind w:firstLine="422" w:firstLineChars="200"/>
        <w:rPr>
          <w:rFonts w:ascii="宋体" w:hAnsi="宋体"/>
          <w:b/>
          <w:color w:val="auto"/>
          <w:szCs w:val="21"/>
        </w:rPr>
      </w:pPr>
      <w:r>
        <w:rPr>
          <w:rFonts w:hint="eastAsia" w:ascii="宋体" w:hAnsi="宋体"/>
          <w:b/>
          <w:color w:val="auto"/>
          <w:szCs w:val="21"/>
        </w:rPr>
        <w:t>2.5“货物”是指各种形态和种类的物品，包括原材料、燃料、设备、产品等。</w:t>
      </w:r>
    </w:p>
    <w:p w14:paraId="4BD004B3">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2.6“售后服务” 是指商品出售以后所提供的各种服务，包含但不限于投标人须承担的备品备件、包装、运输、装卸、保险、货到就位以及安装、调试、培训、保修以及其他各种服务。</w:t>
      </w:r>
    </w:p>
    <w:p w14:paraId="46F007E9">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2.7“书面形式”是指合同书、信件和数据电文（包括电报、电传、传真、电子数据交换和电子邮件）等可以有形地表现所载内容的形式。</w:t>
      </w:r>
    </w:p>
    <w:p w14:paraId="28E3CBC0">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2.8“实质性要求”是指招标文件中已经指明不满足则投标无效的条款，或者不能负偏离的条款，或者采购需求中带“▲”的条款。</w:t>
      </w:r>
    </w:p>
    <w:p w14:paraId="7E20AC44">
      <w:pPr>
        <w:snapToGrid w:val="0"/>
        <w:spacing w:line="360" w:lineRule="auto"/>
        <w:ind w:firstLine="420" w:firstLineChars="200"/>
        <w:jc w:val="left"/>
        <w:rPr>
          <w:rFonts w:ascii="宋体" w:hAnsi="宋体" w:cs="宋体"/>
          <w:color w:val="auto"/>
          <w:szCs w:val="21"/>
        </w:rPr>
      </w:pPr>
      <w:r>
        <w:rPr>
          <w:rFonts w:hint="eastAsia" w:ascii="宋体" w:hAnsi="宋体"/>
          <w:color w:val="auto"/>
          <w:szCs w:val="21"/>
        </w:rPr>
        <w:t>2.9</w:t>
      </w:r>
      <w:r>
        <w:rPr>
          <w:rFonts w:hint="eastAsia" w:ascii="宋体" w:hAnsi="宋体" w:cs="宋体"/>
          <w:color w:val="auto"/>
          <w:szCs w:val="21"/>
        </w:rPr>
        <w:t>“正偏离”，是指投标文件对招标文件“采购需求”中有关条款作出的响应优于条款要求并有利于采购人的情形。</w:t>
      </w:r>
    </w:p>
    <w:p w14:paraId="28B517E5">
      <w:pPr>
        <w:snapToGrid w:val="0"/>
        <w:spacing w:line="360" w:lineRule="auto"/>
        <w:ind w:firstLine="420" w:firstLineChars="200"/>
        <w:jc w:val="left"/>
        <w:rPr>
          <w:rFonts w:ascii="宋体" w:hAnsi="宋体" w:cs="宋体"/>
          <w:color w:val="auto"/>
          <w:szCs w:val="21"/>
        </w:rPr>
      </w:pPr>
      <w:r>
        <w:rPr>
          <w:rFonts w:ascii="宋体" w:hAnsi="宋体" w:cs="宋体"/>
          <w:color w:val="auto"/>
          <w:szCs w:val="21"/>
        </w:rPr>
        <w:t>2.10</w:t>
      </w:r>
      <w:r>
        <w:rPr>
          <w:rFonts w:hint="eastAsia" w:ascii="宋体" w:hAnsi="宋体" w:cs="宋体"/>
          <w:color w:val="auto"/>
          <w:szCs w:val="21"/>
        </w:rPr>
        <w:t>“负偏离”，是指投标文件对招标文件“采购需求”中有关条款作出的响应不满足条款要求，导致采购人要求不能得到满足的情形。</w:t>
      </w:r>
    </w:p>
    <w:p w14:paraId="4332BD00">
      <w:pPr>
        <w:snapToGrid w:val="0"/>
        <w:spacing w:line="360" w:lineRule="auto"/>
        <w:ind w:firstLine="420" w:firstLineChars="200"/>
        <w:jc w:val="left"/>
        <w:rPr>
          <w:rFonts w:ascii="宋体" w:hAnsi="宋体" w:cs="宋体"/>
          <w:color w:val="auto"/>
          <w:szCs w:val="21"/>
        </w:rPr>
      </w:pPr>
      <w:r>
        <w:rPr>
          <w:rFonts w:hint="eastAsia" w:ascii="宋体" w:hAnsi="宋体"/>
          <w:color w:val="auto"/>
          <w:szCs w:val="21"/>
        </w:rPr>
        <w:t>2.1</w:t>
      </w:r>
      <w:r>
        <w:rPr>
          <w:rFonts w:ascii="宋体" w:hAnsi="宋体"/>
          <w:color w:val="auto"/>
          <w:szCs w:val="21"/>
        </w:rPr>
        <w:t>1</w:t>
      </w:r>
      <w:r>
        <w:rPr>
          <w:rFonts w:hint="eastAsia" w:ascii="宋体" w:hAnsi="宋体" w:cs="宋体"/>
          <w:color w:val="auto"/>
          <w:szCs w:val="21"/>
        </w:rPr>
        <w:t>“允许负偏离的条款”是指采购需求中的不属于“实质性要求”的条款。</w:t>
      </w:r>
    </w:p>
    <w:p w14:paraId="64056E64">
      <w:pPr>
        <w:spacing w:line="360" w:lineRule="auto"/>
        <w:ind w:firstLine="480" w:firstLineChars="200"/>
        <w:rPr>
          <w:rFonts w:ascii="黑体" w:hAnsi="黑体" w:eastAsia="黑体"/>
          <w:color w:val="auto"/>
          <w:sz w:val="24"/>
        </w:rPr>
      </w:pPr>
      <w:bookmarkStart w:id="67" w:name="_Toc254970529"/>
      <w:bookmarkStart w:id="68" w:name="_Toc254970670"/>
      <w:r>
        <w:rPr>
          <w:rFonts w:hint="eastAsia" w:ascii="黑体" w:hAnsi="黑体" w:eastAsia="黑体"/>
          <w:color w:val="auto"/>
          <w:sz w:val="24"/>
        </w:rPr>
        <w:t>3.</w:t>
      </w:r>
      <w:bookmarkEnd w:id="67"/>
      <w:bookmarkEnd w:id="68"/>
      <w:r>
        <w:rPr>
          <w:rFonts w:hint="eastAsia" w:ascii="黑体" w:hAnsi="黑体" w:eastAsia="黑体"/>
          <w:color w:val="auto"/>
          <w:sz w:val="24"/>
        </w:rPr>
        <w:t>投标人的资格要求</w:t>
      </w:r>
    </w:p>
    <w:p w14:paraId="40D000D6">
      <w:pPr>
        <w:spacing w:line="360" w:lineRule="auto"/>
        <w:ind w:firstLine="420" w:firstLineChars="200"/>
        <w:rPr>
          <w:rFonts w:ascii="宋体" w:hAnsi="宋体"/>
          <w:color w:val="auto"/>
          <w:szCs w:val="21"/>
        </w:rPr>
      </w:pPr>
      <w:r>
        <w:rPr>
          <w:rFonts w:hint="eastAsia" w:ascii="宋体" w:hAnsi="宋体"/>
          <w:color w:val="auto"/>
          <w:szCs w:val="21"/>
        </w:rPr>
        <w:t>投标人的资格要求详见“招标公告”。</w:t>
      </w:r>
    </w:p>
    <w:p w14:paraId="3892E804">
      <w:pPr>
        <w:spacing w:line="360" w:lineRule="auto"/>
        <w:ind w:firstLine="480" w:firstLineChars="200"/>
        <w:rPr>
          <w:rFonts w:ascii="黑体" w:hAnsi="黑体" w:eastAsia="黑体"/>
          <w:color w:val="auto"/>
          <w:sz w:val="24"/>
        </w:rPr>
      </w:pPr>
      <w:bookmarkStart w:id="69" w:name="_Toc254970530"/>
      <w:bookmarkStart w:id="70" w:name="_Toc254970671"/>
      <w:r>
        <w:rPr>
          <w:rFonts w:hint="eastAsia" w:ascii="黑体" w:hAnsi="黑体" w:eastAsia="黑体"/>
          <w:color w:val="auto"/>
          <w:sz w:val="24"/>
        </w:rPr>
        <w:t>4.投标委托</w:t>
      </w:r>
      <w:bookmarkEnd w:id="69"/>
      <w:bookmarkEnd w:id="70"/>
    </w:p>
    <w:p w14:paraId="43AEFA9B">
      <w:pPr>
        <w:spacing w:line="360" w:lineRule="auto"/>
        <w:ind w:firstLine="420" w:firstLineChars="200"/>
        <w:rPr>
          <w:rFonts w:ascii="宋体" w:hAnsi="宋体"/>
          <w:color w:val="auto"/>
          <w:szCs w:val="21"/>
        </w:rPr>
      </w:pPr>
      <w:r>
        <w:rPr>
          <w:rFonts w:hint="eastAsia" w:ascii="宋体" w:hAnsi="宋体"/>
          <w:color w:val="auto"/>
          <w:szCs w:val="21"/>
        </w:rPr>
        <w:t>投标人代表参加投标活动过程中必须携带个人有效身份证件。如投标人代表不是法定代表人，须持有法定代表人授权委托书（正本用原件，副本用复印件，按第六章要求格式填写）。</w:t>
      </w:r>
    </w:p>
    <w:p w14:paraId="63B7D6F3">
      <w:pPr>
        <w:spacing w:line="360" w:lineRule="auto"/>
        <w:ind w:firstLine="480" w:firstLineChars="200"/>
        <w:rPr>
          <w:rFonts w:ascii="黑体" w:hAnsi="黑体" w:eastAsia="黑体"/>
          <w:color w:val="auto"/>
          <w:sz w:val="24"/>
        </w:rPr>
      </w:pPr>
      <w:bookmarkStart w:id="71" w:name="_5.投标费用"/>
      <w:bookmarkEnd w:id="71"/>
      <w:bookmarkStart w:id="72" w:name="_Toc254970531"/>
      <w:bookmarkStart w:id="73" w:name="_Toc254970672"/>
      <w:r>
        <w:rPr>
          <w:rFonts w:hint="eastAsia" w:ascii="黑体" w:hAnsi="黑体" w:eastAsia="黑体"/>
          <w:color w:val="auto"/>
          <w:sz w:val="24"/>
        </w:rPr>
        <w:t>5.投标费用</w:t>
      </w:r>
      <w:bookmarkEnd w:id="72"/>
      <w:bookmarkEnd w:id="73"/>
    </w:p>
    <w:p w14:paraId="1F6F5689">
      <w:pPr>
        <w:spacing w:line="360" w:lineRule="auto"/>
        <w:ind w:firstLine="420" w:firstLineChars="200"/>
        <w:rPr>
          <w:rFonts w:ascii="宋体" w:hAnsi="宋体"/>
          <w:color w:val="auto"/>
          <w:szCs w:val="21"/>
        </w:rPr>
      </w:pPr>
      <w:r>
        <w:rPr>
          <w:rFonts w:hint="eastAsia" w:ascii="宋体" w:hAnsi="宋体" w:cs="宋体"/>
          <w:color w:val="auto"/>
          <w:szCs w:val="21"/>
        </w:rPr>
        <w:t>投标费用：投标人应承担参与本次采购活动有关的所有费用，包括但不限于勘查现场、编制投标文件、参加澄清说明、签订合同等，不论投标结果如何，均应自行承担。</w:t>
      </w:r>
    </w:p>
    <w:p w14:paraId="47996045">
      <w:pPr>
        <w:spacing w:line="360" w:lineRule="auto"/>
        <w:ind w:firstLine="480" w:firstLineChars="200"/>
        <w:rPr>
          <w:rFonts w:ascii="黑体" w:hAnsi="黑体" w:eastAsia="黑体"/>
          <w:color w:val="auto"/>
          <w:sz w:val="24"/>
        </w:rPr>
      </w:pPr>
      <w:r>
        <w:rPr>
          <w:rFonts w:hint="eastAsia" w:ascii="黑体" w:hAnsi="黑体" w:eastAsia="黑体"/>
          <w:color w:val="auto"/>
          <w:sz w:val="24"/>
        </w:rPr>
        <w:t>6.联合体投标</w:t>
      </w:r>
    </w:p>
    <w:p w14:paraId="0C8E6EA4">
      <w:pPr>
        <w:spacing w:line="360" w:lineRule="auto"/>
        <w:ind w:firstLine="420" w:firstLineChars="200"/>
        <w:rPr>
          <w:rFonts w:ascii="宋体" w:hAnsi="宋体"/>
          <w:color w:val="auto"/>
          <w:szCs w:val="21"/>
        </w:rPr>
      </w:pPr>
      <w:r>
        <w:rPr>
          <w:rFonts w:hint="eastAsia" w:ascii="宋体" w:hAnsi="宋体"/>
          <w:color w:val="auto"/>
          <w:szCs w:val="21"/>
        </w:rPr>
        <w:t>6.1本项目是否接受联合体投标，详见“投标人须知前附表”。</w:t>
      </w:r>
    </w:p>
    <w:p w14:paraId="5A3FF038">
      <w:pPr>
        <w:spacing w:line="360" w:lineRule="auto"/>
        <w:ind w:firstLine="420" w:firstLineChars="200"/>
        <w:rPr>
          <w:rFonts w:ascii="宋体" w:hAnsi="宋体"/>
          <w:bCs/>
          <w:color w:val="auto"/>
          <w:szCs w:val="21"/>
        </w:rPr>
      </w:pPr>
      <w:r>
        <w:rPr>
          <w:rFonts w:hint="eastAsia" w:ascii="宋体" w:hAnsi="宋体"/>
          <w:bCs/>
          <w:color w:val="auto"/>
          <w:szCs w:val="21"/>
        </w:rPr>
        <w:t>6.2如接受联合体投标，联合体投标要求详见“投标人须知前附表”。</w:t>
      </w:r>
    </w:p>
    <w:p w14:paraId="4A67FF00">
      <w:pPr>
        <w:spacing w:line="360" w:lineRule="auto"/>
        <w:ind w:firstLine="420" w:firstLineChars="200"/>
        <w:rPr>
          <w:rFonts w:ascii="Helvetica Neue"/>
          <w:color w:val="auto"/>
          <w:sz w:val="24"/>
          <w:shd w:val="clear" w:color="auto" w:fill="FFFFFF"/>
        </w:rPr>
      </w:pPr>
      <w:r>
        <w:rPr>
          <w:rFonts w:hint="eastAsia" w:ascii="宋体" w:hAnsi="宋体"/>
          <w:bCs/>
          <w:color w:val="auto"/>
          <w:szCs w:val="21"/>
        </w:rPr>
        <w:t>6.3根据《政府采购促进中小企业发展管理办法》（财库[2020]46号）</w:t>
      </w:r>
      <w:r>
        <w:rPr>
          <w:rFonts w:ascii="宋体" w:hAnsi="宋体"/>
          <w:bCs/>
          <w:color w:val="auto"/>
          <w:szCs w:val="21"/>
        </w:rPr>
        <w:t>第九条</w:t>
      </w:r>
      <w:r>
        <w:rPr>
          <w:rFonts w:hint="eastAsia" w:ascii="宋体" w:hAnsi="宋体"/>
          <w:bCs/>
          <w:color w:val="auto"/>
          <w:szCs w:val="21"/>
        </w:rPr>
        <w:t>规定，</w:t>
      </w:r>
      <w:r>
        <w:rPr>
          <w:rFonts w:ascii="宋体" w:hAnsi="宋体"/>
          <w:bCs/>
          <w:color w:val="auto"/>
          <w:szCs w:val="21"/>
        </w:rPr>
        <w:t>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741BB763">
      <w:pPr>
        <w:spacing w:line="360" w:lineRule="auto"/>
        <w:ind w:firstLine="480" w:firstLineChars="200"/>
        <w:rPr>
          <w:rFonts w:ascii="黑体" w:hAnsi="黑体" w:eastAsia="黑体"/>
          <w:color w:val="auto"/>
          <w:sz w:val="24"/>
        </w:rPr>
      </w:pPr>
      <w:r>
        <w:rPr>
          <w:rFonts w:hint="eastAsia" w:ascii="黑体" w:hAnsi="黑体" w:eastAsia="黑体"/>
          <w:color w:val="auto"/>
          <w:sz w:val="24"/>
        </w:rPr>
        <w:t>7.转包与分包</w:t>
      </w:r>
    </w:p>
    <w:p w14:paraId="287FE316">
      <w:pPr>
        <w:spacing w:line="360" w:lineRule="auto"/>
        <w:ind w:firstLine="422" w:firstLineChars="200"/>
        <w:rPr>
          <w:rFonts w:ascii="宋体" w:hAnsi="宋体"/>
          <w:b/>
          <w:color w:val="auto"/>
          <w:szCs w:val="21"/>
        </w:rPr>
      </w:pPr>
      <w:r>
        <w:rPr>
          <w:rFonts w:hint="eastAsia" w:ascii="宋体" w:hAnsi="宋体"/>
          <w:b/>
          <w:color w:val="auto"/>
          <w:szCs w:val="21"/>
        </w:rPr>
        <w:t>7.</w:t>
      </w:r>
      <w:r>
        <w:rPr>
          <w:rFonts w:ascii="宋体" w:hAnsi="宋体"/>
          <w:b/>
          <w:color w:val="auto"/>
          <w:szCs w:val="21"/>
        </w:rPr>
        <w:t>1</w:t>
      </w:r>
      <w:r>
        <w:rPr>
          <w:rFonts w:hint="eastAsia" w:ascii="宋体" w:hAnsi="宋体"/>
          <w:b/>
          <w:color w:val="auto"/>
          <w:szCs w:val="21"/>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368151B4">
      <w:pPr>
        <w:spacing w:line="360" w:lineRule="auto"/>
        <w:ind w:firstLine="420" w:firstLineChars="200"/>
        <w:rPr>
          <w:rFonts w:ascii="宋体" w:hAnsi="宋体"/>
          <w:bCs/>
          <w:color w:val="auto"/>
          <w:szCs w:val="21"/>
        </w:rPr>
      </w:pPr>
      <w:r>
        <w:rPr>
          <w:rFonts w:hint="eastAsia" w:ascii="宋体" w:hAnsi="宋体"/>
          <w:bCs/>
          <w:color w:val="auto"/>
          <w:szCs w:val="21"/>
        </w:rPr>
        <w:t>7.</w:t>
      </w:r>
      <w:r>
        <w:rPr>
          <w:rFonts w:ascii="宋体" w:hAnsi="宋体"/>
          <w:bCs/>
          <w:color w:val="auto"/>
          <w:szCs w:val="21"/>
        </w:rPr>
        <w:t>2</w:t>
      </w:r>
      <w:r>
        <w:rPr>
          <w:rFonts w:hint="eastAsia" w:ascii="宋体" w:hAnsi="宋体"/>
          <w:bCs/>
          <w:color w:val="auto"/>
          <w:szCs w:val="21"/>
        </w:rPr>
        <w:t>根据《政府采购促进中小企业发展管理办法》（财库[2020]46号）</w:t>
      </w:r>
      <w:r>
        <w:rPr>
          <w:rFonts w:ascii="宋体" w:hAnsi="宋体"/>
          <w:bCs/>
          <w:color w:val="auto"/>
          <w:szCs w:val="21"/>
        </w:rPr>
        <w:t>第九条</w:t>
      </w:r>
      <w:r>
        <w:rPr>
          <w:rFonts w:hint="eastAsia" w:ascii="宋体" w:hAnsi="宋体"/>
          <w:bCs/>
          <w:color w:val="auto"/>
          <w:szCs w:val="21"/>
        </w:rPr>
        <w:t>规定，</w:t>
      </w:r>
      <w:r>
        <w:rPr>
          <w:rFonts w:ascii="宋体" w:hAnsi="宋体"/>
          <w:bCs/>
          <w:color w:val="auto"/>
          <w:szCs w:val="21"/>
        </w:rPr>
        <w:t>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4589ACE8">
      <w:pPr>
        <w:spacing w:line="360" w:lineRule="auto"/>
        <w:ind w:firstLine="480" w:firstLineChars="200"/>
        <w:rPr>
          <w:rFonts w:ascii="黑体" w:hAnsi="黑体" w:eastAsia="黑体"/>
          <w:color w:val="auto"/>
          <w:sz w:val="24"/>
        </w:rPr>
      </w:pPr>
      <w:bookmarkStart w:id="74" w:name="_Toc254970532"/>
      <w:bookmarkStart w:id="75" w:name="_Toc254970673"/>
      <w:r>
        <w:rPr>
          <w:rFonts w:hint="eastAsia" w:ascii="黑体" w:hAnsi="黑体" w:eastAsia="黑体"/>
          <w:color w:val="auto"/>
          <w:sz w:val="24"/>
        </w:rPr>
        <w:t>8.特别说明：</w:t>
      </w:r>
      <w:bookmarkEnd w:id="74"/>
      <w:bookmarkEnd w:id="75"/>
      <w:bookmarkStart w:id="76" w:name="_8.1提供相同品牌产品且通过资格审查、符合性审查的不同投标人参加同一合"/>
      <w:bookmarkEnd w:id="76"/>
    </w:p>
    <w:p w14:paraId="4454BC62">
      <w:pPr>
        <w:spacing w:line="360" w:lineRule="auto"/>
        <w:ind w:firstLine="422" w:firstLineChars="200"/>
        <w:rPr>
          <w:rFonts w:ascii="宋体" w:hAnsi="宋体"/>
          <w:b/>
          <w:color w:val="auto"/>
          <w:szCs w:val="21"/>
        </w:rPr>
      </w:pPr>
      <w:r>
        <w:rPr>
          <w:rFonts w:hint="eastAsia" w:ascii="宋体" w:hAnsi="宋体"/>
          <w:b/>
          <w:color w:val="auto"/>
          <w:szCs w:val="21"/>
        </w:rPr>
        <w:t>8.</w:t>
      </w:r>
      <w:r>
        <w:rPr>
          <w:rFonts w:ascii="宋体" w:hAnsi="宋体"/>
          <w:b/>
          <w:color w:val="auto"/>
          <w:szCs w:val="21"/>
        </w:rPr>
        <w:t>1</w:t>
      </w:r>
      <w:r>
        <w:rPr>
          <w:rFonts w:hint="eastAsia" w:ascii="宋体" w:hAnsi="宋体"/>
          <w:b/>
          <w:color w:val="auto"/>
          <w:szCs w:val="21"/>
        </w:rPr>
        <w:t>如果本招标文件要求投标人提供资格、信誉、荣誉、业绩与企业认证等材料的，则投标人所提供的以上材料必须为投标人所拥有。</w:t>
      </w:r>
    </w:p>
    <w:p w14:paraId="7D1AB6FC">
      <w:pPr>
        <w:spacing w:line="360" w:lineRule="auto"/>
        <w:ind w:firstLine="422" w:firstLineChars="200"/>
        <w:rPr>
          <w:rFonts w:ascii="宋体" w:hAnsi="宋体"/>
          <w:b/>
          <w:color w:val="auto"/>
          <w:szCs w:val="21"/>
        </w:rPr>
      </w:pPr>
      <w:r>
        <w:rPr>
          <w:rFonts w:hint="eastAsia" w:ascii="宋体" w:hAnsi="宋体"/>
          <w:b/>
          <w:color w:val="auto"/>
          <w:szCs w:val="21"/>
        </w:rPr>
        <w:t>8.</w:t>
      </w:r>
      <w:r>
        <w:rPr>
          <w:rFonts w:ascii="宋体" w:hAnsi="宋体"/>
          <w:b/>
          <w:color w:val="auto"/>
          <w:szCs w:val="21"/>
        </w:rPr>
        <w:t>2</w:t>
      </w:r>
      <w:r>
        <w:rPr>
          <w:rFonts w:hint="eastAsia" w:ascii="宋体" w:hAnsi="宋体"/>
          <w:b/>
          <w:color w:val="auto"/>
          <w:szCs w:val="21"/>
        </w:rPr>
        <w:t>投标人应仔细阅读招标文件的所有内容，按照招标文件的要求提交投标文件，并对所提供的全部资料的真实性承担法律责任。</w:t>
      </w:r>
    </w:p>
    <w:p w14:paraId="49DB487E">
      <w:pPr>
        <w:spacing w:line="360" w:lineRule="auto"/>
        <w:ind w:firstLine="422" w:firstLineChars="200"/>
        <w:rPr>
          <w:rFonts w:ascii="宋体" w:hAnsi="宋体"/>
          <w:b/>
          <w:color w:val="auto"/>
          <w:szCs w:val="21"/>
        </w:rPr>
      </w:pPr>
      <w:r>
        <w:rPr>
          <w:rFonts w:hint="eastAsia" w:ascii="宋体" w:hAnsi="宋体"/>
          <w:b/>
          <w:color w:val="auto"/>
          <w:szCs w:val="21"/>
        </w:rPr>
        <w:t>8.</w:t>
      </w:r>
      <w:r>
        <w:rPr>
          <w:rFonts w:ascii="宋体" w:hAnsi="宋体"/>
          <w:b/>
          <w:color w:val="auto"/>
          <w:szCs w:val="21"/>
        </w:rPr>
        <w:t>3</w:t>
      </w:r>
      <w:r>
        <w:rPr>
          <w:rFonts w:hint="eastAsia" w:ascii="宋体" w:hAnsi="宋体"/>
          <w:b/>
          <w:color w:val="auto"/>
          <w:szCs w:val="21"/>
        </w:rPr>
        <w:t>投标人在投标活动中提供任何虚假材料，将报监管部门查处；中标后发现的，中标人须依照《中华人民共和国消费者权益保护法》规定赔偿采购人，且民事赔偿并不免除违法投标人的行政与刑事责任。</w:t>
      </w:r>
    </w:p>
    <w:p w14:paraId="61E9BBC2">
      <w:pPr>
        <w:spacing w:line="360" w:lineRule="auto"/>
        <w:ind w:firstLine="480" w:firstLineChars="200"/>
        <w:rPr>
          <w:rFonts w:ascii="黑体" w:hAnsi="黑体" w:eastAsia="黑体"/>
          <w:color w:val="auto"/>
          <w:sz w:val="24"/>
        </w:rPr>
      </w:pPr>
      <w:r>
        <w:rPr>
          <w:rFonts w:ascii="黑体" w:hAnsi="黑体" w:eastAsia="黑体"/>
          <w:color w:val="auto"/>
          <w:sz w:val="24"/>
        </w:rPr>
        <w:t>9.</w:t>
      </w:r>
      <w:r>
        <w:rPr>
          <w:rFonts w:hint="eastAsia" w:ascii="黑体" w:hAnsi="黑体" w:eastAsia="黑体"/>
          <w:color w:val="auto"/>
          <w:sz w:val="24"/>
        </w:rPr>
        <w:t>回避与串通投标</w:t>
      </w:r>
    </w:p>
    <w:p w14:paraId="22BEC38C">
      <w:pPr>
        <w:spacing w:line="360" w:lineRule="auto"/>
        <w:ind w:firstLine="422" w:firstLineChars="200"/>
        <w:rPr>
          <w:rFonts w:ascii="宋体" w:hAnsi="宋体"/>
          <w:b/>
          <w:color w:val="auto"/>
          <w:szCs w:val="21"/>
        </w:rPr>
      </w:pPr>
      <w:r>
        <w:rPr>
          <w:rFonts w:hint="eastAsia" w:ascii="宋体" w:hAnsi="宋体"/>
          <w:b/>
          <w:color w:val="auto"/>
          <w:szCs w:val="21"/>
        </w:rPr>
        <w:t>9</w:t>
      </w:r>
      <w:r>
        <w:rPr>
          <w:rFonts w:ascii="宋体" w:hAnsi="宋体"/>
          <w:b/>
          <w:color w:val="auto"/>
          <w:szCs w:val="21"/>
        </w:rPr>
        <w:t>.1在政府采购活动中，采购人员及相关人员与</w:t>
      </w:r>
      <w:r>
        <w:rPr>
          <w:rFonts w:hint="eastAsia" w:ascii="宋体" w:hAnsi="宋体"/>
          <w:b/>
          <w:color w:val="auto"/>
          <w:szCs w:val="21"/>
        </w:rPr>
        <w:t>供应商</w:t>
      </w:r>
      <w:r>
        <w:rPr>
          <w:rFonts w:ascii="宋体" w:hAnsi="宋体"/>
          <w:b/>
          <w:color w:val="auto"/>
          <w:szCs w:val="21"/>
        </w:rPr>
        <w:t>有下列利害关系之一的，应当回避：</w:t>
      </w:r>
    </w:p>
    <w:p w14:paraId="7A7050A3">
      <w:pPr>
        <w:spacing w:line="360" w:lineRule="auto"/>
        <w:ind w:firstLine="420" w:firstLineChars="200"/>
        <w:rPr>
          <w:rFonts w:hAnsi="宋体"/>
          <w:color w:val="auto"/>
        </w:rPr>
      </w:pPr>
      <w:r>
        <w:rPr>
          <w:rFonts w:hAnsi="宋体"/>
          <w:color w:val="auto"/>
        </w:rPr>
        <w:t>（</w:t>
      </w:r>
      <w:r>
        <w:rPr>
          <w:rFonts w:hint="eastAsia" w:hAnsi="宋体"/>
          <w:color w:val="auto"/>
        </w:rPr>
        <w:t>1</w:t>
      </w:r>
      <w:r>
        <w:rPr>
          <w:rFonts w:hAnsi="宋体"/>
          <w:color w:val="auto"/>
        </w:rPr>
        <w:t>）参加采购活动前3年内与</w:t>
      </w:r>
      <w:r>
        <w:rPr>
          <w:rFonts w:hint="eastAsia" w:hAnsi="宋体"/>
          <w:color w:val="auto"/>
        </w:rPr>
        <w:t>供应商</w:t>
      </w:r>
      <w:r>
        <w:rPr>
          <w:rFonts w:hAnsi="宋体"/>
          <w:color w:val="auto"/>
        </w:rPr>
        <w:t>存在劳动关系；</w:t>
      </w:r>
    </w:p>
    <w:p w14:paraId="4C4B6A98">
      <w:pPr>
        <w:spacing w:line="360" w:lineRule="auto"/>
        <w:ind w:firstLine="420" w:firstLineChars="200"/>
        <w:rPr>
          <w:rFonts w:hAnsi="宋体"/>
          <w:color w:val="auto"/>
        </w:rPr>
      </w:pPr>
      <w:r>
        <w:rPr>
          <w:rFonts w:hAnsi="宋体"/>
          <w:color w:val="auto"/>
        </w:rPr>
        <w:t>（</w:t>
      </w:r>
      <w:r>
        <w:rPr>
          <w:rFonts w:hint="eastAsia" w:hAnsi="宋体"/>
          <w:color w:val="auto"/>
        </w:rPr>
        <w:t>2</w:t>
      </w:r>
      <w:r>
        <w:rPr>
          <w:rFonts w:hAnsi="宋体"/>
          <w:color w:val="auto"/>
        </w:rPr>
        <w:t>）参加采购活动前3年内担任</w:t>
      </w:r>
      <w:r>
        <w:rPr>
          <w:rFonts w:hint="eastAsia" w:hAnsi="宋体"/>
          <w:color w:val="auto"/>
        </w:rPr>
        <w:t>供应商</w:t>
      </w:r>
      <w:r>
        <w:rPr>
          <w:rFonts w:hAnsi="宋体"/>
          <w:color w:val="auto"/>
        </w:rPr>
        <w:t>的董事、监事；</w:t>
      </w:r>
    </w:p>
    <w:p w14:paraId="08234190">
      <w:pPr>
        <w:spacing w:line="360" w:lineRule="auto"/>
        <w:ind w:firstLine="420" w:firstLineChars="200"/>
        <w:rPr>
          <w:rFonts w:hAnsi="宋体"/>
          <w:color w:val="auto"/>
        </w:rPr>
      </w:pPr>
      <w:r>
        <w:rPr>
          <w:rFonts w:hAnsi="宋体"/>
          <w:color w:val="auto"/>
        </w:rPr>
        <w:t>（</w:t>
      </w:r>
      <w:r>
        <w:rPr>
          <w:rFonts w:hint="eastAsia" w:hAnsi="宋体"/>
          <w:color w:val="auto"/>
        </w:rPr>
        <w:t>3</w:t>
      </w:r>
      <w:r>
        <w:rPr>
          <w:rFonts w:hAnsi="宋体"/>
          <w:color w:val="auto"/>
        </w:rPr>
        <w:t>）参加采购活动前3年内是</w:t>
      </w:r>
      <w:r>
        <w:rPr>
          <w:rFonts w:hint="eastAsia" w:hAnsi="宋体"/>
          <w:color w:val="auto"/>
        </w:rPr>
        <w:t>供应商</w:t>
      </w:r>
      <w:r>
        <w:rPr>
          <w:rFonts w:hAnsi="宋体"/>
          <w:color w:val="auto"/>
        </w:rPr>
        <w:t>的控股股东或者实际控制人；</w:t>
      </w:r>
    </w:p>
    <w:p w14:paraId="329B3228">
      <w:pPr>
        <w:spacing w:line="360" w:lineRule="auto"/>
        <w:ind w:firstLine="420" w:firstLineChars="200"/>
        <w:rPr>
          <w:rFonts w:hAnsi="宋体"/>
          <w:color w:val="auto"/>
        </w:rPr>
      </w:pPr>
      <w:r>
        <w:rPr>
          <w:rFonts w:hAnsi="宋体"/>
          <w:color w:val="auto"/>
        </w:rPr>
        <w:t>（</w:t>
      </w:r>
      <w:r>
        <w:rPr>
          <w:rFonts w:hint="eastAsia" w:hAnsi="宋体"/>
          <w:color w:val="auto"/>
        </w:rPr>
        <w:t>4</w:t>
      </w:r>
      <w:r>
        <w:rPr>
          <w:rFonts w:hAnsi="宋体"/>
          <w:color w:val="auto"/>
        </w:rPr>
        <w:t>）与</w:t>
      </w:r>
      <w:r>
        <w:rPr>
          <w:rFonts w:hint="eastAsia" w:hAnsi="宋体"/>
          <w:color w:val="auto"/>
        </w:rPr>
        <w:t>供应商</w:t>
      </w:r>
      <w:r>
        <w:rPr>
          <w:rFonts w:hAnsi="宋体"/>
          <w:color w:val="auto"/>
        </w:rPr>
        <w:t>的法定代表人或者负责人有夫妻、直系血亲、三代以内旁系血亲或者近姻亲关系；</w:t>
      </w:r>
    </w:p>
    <w:p w14:paraId="60A4D3BA">
      <w:pPr>
        <w:spacing w:line="360" w:lineRule="auto"/>
        <w:ind w:firstLine="420" w:firstLineChars="200"/>
        <w:rPr>
          <w:rFonts w:hAnsi="宋体"/>
          <w:color w:val="auto"/>
        </w:rPr>
      </w:pPr>
      <w:r>
        <w:rPr>
          <w:rFonts w:hAnsi="宋体"/>
          <w:color w:val="auto"/>
        </w:rPr>
        <w:t>（</w:t>
      </w:r>
      <w:r>
        <w:rPr>
          <w:rFonts w:hint="eastAsia" w:hAnsi="宋体"/>
          <w:color w:val="auto"/>
        </w:rPr>
        <w:t>5</w:t>
      </w:r>
      <w:r>
        <w:rPr>
          <w:rFonts w:hAnsi="宋体"/>
          <w:color w:val="auto"/>
        </w:rPr>
        <w:t>）与</w:t>
      </w:r>
      <w:r>
        <w:rPr>
          <w:rFonts w:hint="eastAsia" w:hAnsi="宋体"/>
          <w:color w:val="auto"/>
        </w:rPr>
        <w:t>供应商</w:t>
      </w:r>
      <w:r>
        <w:rPr>
          <w:rFonts w:hAnsi="宋体"/>
          <w:color w:val="auto"/>
        </w:rPr>
        <w:t>有其他可能影响政府采购活动公平、公正进行的关系。</w:t>
      </w:r>
    </w:p>
    <w:p w14:paraId="0A9EE663">
      <w:pPr>
        <w:spacing w:line="360" w:lineRule="auto"/>
        <w:ind w:firstLine="420" w:firstLineChars="200"/>
        <w:rPr>
          <w:rFonts w:hAnsi="宋体"/>
          <w:color w:val="auto"/>
        </w:rPr>
      </w:pPr>
      <w:r>
        <w:rPr>
          <w:rFonts w:hint="eastAsia" w:hAnsi="宋体"/>
          <w:color w:val="auto"/>
        </w:rPr>
        <w:t>供应商</w:t>
      </w:r>
      <w:r>
        <w:rPr>
          <w:rFonts w:hAnsi="宋体"/>
          <w:color w:val="auto"/>
        </w:rPr>
        <w:t>认为采购人员及相关人员与其他</w:t>
      </w:r>
      <w:r>
        <w:rPr>
          <w:rFonts w:hint="eastAsia" w:hAnsi="宋体"/>
          <w:color w:val="auto"/>
        </w:rPr>
        <w:t>供应商</w:t>
      </w:r>
      <w:r>
        <w:rPr>
          <w:rFonts w:hAnsi="宋体"/>
          <w:color w:val="auto"/>
        </w:rPr>
        <w:t>有利害关系的，可以向采购人或者采购代理机构书面提出回避申请，并说明理由。采购人或者采购代理机构应当及时询问被申请回避人员，有利害关系的被申请回避人员应当回避。</w:t>
      </w:r>
    </w:p>
    <w:p w14:paraId="209D9186">
      <w:pPr>
        <w:spacing w:line="360" w:lineRule="auto"/>
        <w:ind w:firstLine="420" w:firstLineChars="200"/>
        <w:rPr>
          <w:rFonts w:ascii="宋体" w:hAnsi="宋体"/>
          <w:color w:val="auto"/>
          <w:szCs w:val="21"/>
        </w:rPr>
      </w:pPr>
      <w:r>
        <w:rPr>
          <w:rFonts w:ascii="宋体" w:hAnsi="宋体"/>
          <w:color w:val="auto"/>
          <w:szCs w:val="21"/>
        </w:rPr>
        <w:t>9.2</w:t>
      </w:r>
      <w:r>
        <w:rPr>
          <w:rFonts w:hint="eastAsia" w:ascii="宋体" w:hAnsi="宋体"/>
          <w:color w:val="auto"/>
          <w:szCs w:val="21"/>
        </w:rPr>
        <w:t>有下列情形之一的视为投标人相互串通投标，投标文件将被视为无效：</w:t>
      </w:r>
    </w:p>
    <w:p w14:paraId="702EAF8E">
      <w:pPr>
        <w:spacing w:line="360" w:lineRule="auto"/>
        <w:ind w:firstLine="422" w:firstLineChars="200"/>
        <w:rPr>
          <w:rFonts w:hAnsi="宋体"/>
          <w:b/>
          <w:color w:val="auto"/>
        </w:rPr>
      </w:pPr>
      <w:r>
        <w:rPr>
          <w:rFonts w:hint="eastAsia" w:hAnsi="宋体"/>
          <w:b/>
          <w:color w:val="auto"/>
        </w:rPr>
        <w:t>（1）不同投标人的投标文件由同一单位或者个人编制；或者不同投标人报名的IP地址一致的；</w:t>
      </w:r>
    </w:p>
    <w:p w14:paraId="0CC849AB">
      <w:pPr>
        <w:spacing w:line="360" w:lineRule="auto"/>
        <w:ind w:firstLine="422" w:firstLineChars="200"/>
        <w:rPr>
          <w:rFonts w:hAnsi="宋体"/>
          <w:b/>
          <w:color w:val="auto"/>
        </w:rPr>
      </w:pPr>
      <w:r>
        <w:rPr>
          <w:rFonts w:hint="eastAsia" w:hAnsi="宋体"/>
          <w:b/>
          <w:color w:val="auto"/>
        </w:rPr>
        <w:t>（2）不同投标人委托同一单位或者个人办理投标事宜；</w:t>
      </w:r>
    </w:p>
    <w:p w14:paraId="2F5B7704">
      <w:pPr>
        <w:spacing w:line="360" w:lineRule="auto"/>
        <w:ind w:firstLine="422" w:firstLineChars="200"/>
        <w:rPr>
          <w:rFonts w:hAnsi="宋体"/>
          <w:b/>
          <w:color w:val="auto"/>
        </w:rPr>
      </w:pPr>
      <w:r>
        <w:rPr>
          <w:rFonts w:hint="eastAsia" w:hAnsi="宋体"/>
          <w:b/>
          <w:color w:val="auto"/>
        </w:rPr>
        <w:t>（3）不同的投标人的投标文件载明的项目管理员为同一个人；</w:t>
      </w:r>
    </w:p>
    <w:p w14:paraId="11EBB4B5">
      <w:pPr>
        <w:spacing w:line="360" w:lineRule="auto"/>
        <w:ind w:firstLine="422" w:firstLineChars="200"/>
        <w:rPr>
          <w:rFonts w:hAnsi="宋体"/>
          <w:b/>
          <w:color w:val="auto"/>
        </w:rPr>
      </w:pPr>
      <w:r>
        <w:rPr>
          <w:rFonts w:hint="eastAsia" w:hAnsi="宋体"/>
          <w:b/>
          <w:color w:val="auto"/>
        </w:rPr>
        <w:t>（4）不同投标人的电子或纸质投标文件异常一致或者投标报价呈规律性差异；</w:t>
      </w:r>
    </w:p>
    <w:p w14:paraId="67C7A646">
      <w:pPr>
        <w:spacing w:line="360" w:lineRule="auto"/>
        <w:ind w:firstLine="422" w:firstLineChars="200"/>
        <w:rPr>
          <w:rFonts w:hAnsi="宋体"/>
          <w:b/>
          <w:color w:val="auto"/>
        </w:rPr>
      </w:pPr>
      <w:r>
        <w:rPr>
          <w:rFonts w:hint="eastAsia" w:hAnsi="宋体"/>
          <w:b/>
          <w:color w:val="auto"/>
        </w:rPr>
        <w:t>（5）不同投标人的纸质投标文件相互混装；</w:t>
      </w:r>
    </w:p>
    <w:p w14:paraId="299C3D83">
      <w:pPr>
        <w:spacing w:line="360" w:lineRule="auto"/>
        <w:ind w:firstLine="420" w:firstLineChars="200"/>
        <w:rPr>
          <w:rFonts w:ascii="宋体" w:hAnsi="宋体"/>
          <w:color w:val="auto"/>
          <w:szCs w:val="21"/>
        </w:rPr>
      </w:pPr>
      <w:r>
        <w:rPr>
          <w:rFonts w:ascii="宋体" w:hAnsi="宋体"/>
          <w:color w:val="auto"/>
          <w:szCs w:val="21"/>
        </w:rPr>
        <w:t>9.3</w:t>
      </w:r>
      <w:r>
        <w:rPr>
          <w:rFonts w:hint="eastAsia" w:ascii="宋体" w:hAnsi="宋体"/>
          <w:color w:val="auto"/>
          <w:szCs w:val="21"/>
        </w:rPr>
        <w:t>供应商有下列情形之一的，属于恶意串通行为，将报同级监督管理部门：</w:t>
      </w:r>
    </w:p>
    <w:p w14:paraId="2DF8B24F">
      <w:pPr>
        <w:spacing w:line="360" w:lineRule="auto"/>
        <w:ind w:firstLine="420" w:firstLineChars="200"/>
        <w:rPr>
          <w:rFonts w:hAnsi="宋体"/>
          <w:color w:val="auto"/>
        </w:rPr>
      </w:pPr>
      <w:r>
        <w:rPr>
          <w:rFonts w:hint="eastAsia" w:hAnsi="宋体"/>
          <w:color w:val="auto"/>
        </w:rPr>
        <w:t>（1）供应商直接或者间接从采购人或者采购代理机构处获得其他供应商的相关信息并修改其投标文件或者投标文件；</w:t>
      </w:r>
    </w:p>
    <w:p w14:paraId="5EB09182">
      <w:pPr>
        <w:spacing w:line="360" w:lineRule="auto"/>
        <w:ind w:firstLine="420" w:firstLineChars="200"/>
        <w:rPr>
          <w:rFonts w:hAnsi="宋体"/>
          <w:color w:val="auto"/>
        </w:rPr>
      </w:pPr>
      <w:r>
        <w:rPr>
          <w:rFonts w:hint="eastAsia" w:hAnsi="宋体"/>
          <w:color w:val="auto"/>
        </w:rPr>
        <w:t>（2）供应商按照采购人或者采购代理机构的授意撤换、修改投标文件或者投标文件；</w:t>
      </w:r>
    </w:p>
    <w:p w14:paraId="12386F7C">
      <w:pPr>
        <w:spacing w:line="360" w:lineRule="auto"/>
        <w:ind w:firstLine="420" w:firstLineChars="200"/>
        <w:rPr>
          <w:rFonts w:hAnsi="宋体"/>
          <w:color w:val="auto"/>
        </w:rPr>
      </w:pPr>
      <w:r>
        <w:rPr>
          <w:rFonts w:hint="eastAsia" w:hAnsi="宋体"/>
          <w:color w:val="auto"/>
        </w:rPr>
        <w:t>（3）供应商之间协商报价、技术方案等投标文件或者投标文件的实质性内容；</w:t>
      </w:r>
    </w:p>
    <w:p w14:paraId="72B00B44">
      <w:pPr>
        <w:spacing w:line="360" w:lineRule="auto"/>
        <w:ind w:firstLine="420" w:firstLineChars="200"/>
        <w:rPr>
          <w:rFonts w:hAnsi="宋体"/>
          <w:color w:val="auto"/>
        </w:rPr>
      </w:pPr>
      <w:r>
        <w:rPr>
          <w:rFonts w:hint="eastAsia" w:hAnsi="宋体"/>
          <w:color w:val="auto"/>
        </w:rPr>
        <w:t>（4）属于同一集团、协会、商会等组织成员的供应商按照该组织要求协同参加政府采购活动；</w:t>
      </w:r>
    </w:p>
    <w:p w14:paraId="70093A8B">
      <w:pPr>
        <w:spacing w:line="360" w:lineRule="auto"/>
        <w:ind w:firstLine="420" w:firstLineChars="200"/>
        <w:rPr>
          <w:rFonts w:hAnsi="宋体"/>
          <w:color w:val="auto"/>
        </w:rPr>
      </w:pPr>
      <w:r>
        <w:rPr>
          <w:rFonts w:hint="eastAsia" w:hAnsi="宋体"/>
          <w:color w:val="auto"/>
        </w:rPr>
        <w:t>（5）供应商之间事先约定一致抬高或者压低投标报价，或者在招标项目中事先约定轮流以高价位或者低价位中标，或者事先约定由某一特定供应商中标，然后再参加投标；</w:t>
      </w:r>
    </w:p>
    <w:p w14:paraId="7BC7B371">
      <w:pPr>
        <w:spacing w:line="360" w:lineRule="auto"/>
        <w:ind w:firstLine="420" w:firstLineChars="200"/>
        <w:rPr>
          <w:rFonts w:hAnsi="宋体"/>
          <w:color w:val="auto"/>
        </w:rPr>
      </w:pPr>
      <w:r>
        <w:rPr>
          <w:rFonts w:hint="eastAsia" w:hAnsi="宋体"/>
          <w:color w:val="auto"/>
        </w:rPr>
        <w:t>（6）供应商之间商定部分供应商放弃参加政府采购活动或者放弃中标；</w:t>
      </w:r>
    </w:p>
    <w:p w14:paraId="17CC4D10">
      <w:pPr>
        <w:spacing w:line="360" w:lineRule="auto"/>
        <w:ind w:firstLine="420" w:firstLineChars="200"/>
        <w:rPr>
          <w:rFonts w:hAnsi="宋体"/>
          <w:color w:val="auto"/>
        </w:rPr>
      </w:pPr>
      <w:r>
        <w:rPr>
          <w:rFonts w:hint="eastAsia" w:hAnsi="宋体"/>
          <w:color w:val="auto"/>
        </w:rPr>
        <w:t>（7）供应商与采购人或者采购代理机构之间、供应商相互之间，为谋求特定供应商中标或者排斥其他供应商的其他串通行为。</w:t>
      </w:r>
    </w:p>
    <w:p w14:paraId="48551FE9">
      <w:pPr>
        <w:pStyle w:val="17"/>
        <w:snapToGrid w:val="0"/>
        <w:spacing w:line="360" w:lineRule="auto"/>
        <w:ind w:left="2" w:leftChars="1" w:firstLine="422" w:firstLineChars="200"/>
        <w:rPr>
          <w:rFonts w:hAnsi="宋体"/>
          <w:b/>
          <w:color w:val="auto"/>
        </w:rPr>
      </w:pPr>
    </w:p>
    <w:p w14:paraId="12782A5C">
      <w:pPr>
        <w:pStyle w:val="4"/>
        <w:keepNext w:val="0"/>
        <w:keepLines w:val="0"/>
        <w:spacing w:line="400" w:lineRule="exact"/>
        <w:jc w:val="center"/>
        <w:rPr>
          <w:color w:val="auto"/>
        </w:rPr>
      </w:pPr>
      <w:bookmarkStart w:id="77" w:name="_Toc254970675"/>
      <w:bookmarkStart w:id="78" w:name="_Toc80092996"/>
      <w:bookmarkStart w:id="79" w:name="_Toc254970534"/>
      <w:r>
        <w:rPr>
          <w:rFonts w:hint="eastAsia"/>
          <w:color w:val="auto"/>
        </w:rPr>
        <w:t>二、招标文件</w:t>
      </w:r>
      <w:bookmarkEnd w:id="77"/>
      <w:bookmarkEnd w:id="78"/>
      <w:bookmarkEnd w:id="79"/>
    </w:p>
    <w:p w14:paraId="2EC7CBA9">
      <w:pPr>
        <w:spacing w:line="360" w:lineRule="auto"/>
        <w:ind w:firstLine="480" w:firstLineChars="200"/>
        <w:rPr>
          <w:rFonts w:ascii="黑体" w:hAnsi="黑体" w:eastAsia="黑体"/>
          <w:color w:val="auto"/>
          <w:sz w:val="24"/>
        </w:rPr>
      </w:pPr>
      <w:r>
        <w:rPr>
          <w:rFonts w:hint="eastAsia" w:ascii="黑体" w:hAnsi="黑体" w:eastAsia="黑体"/>
          <w:color w:val="auto"/>
          <w:sz w:val="24"/>
        </w:rPr>
        <w:t>10.招标文件的组成</w:t>
      </w:r>
    </w:p>
    <w:p w14:paraId="17A3CC6A">
      <w:pPr>
        <w:spacing w:line="360" w:lineRule="auto"/>
        <w:ind w:firstLine="420" w:firstLineChars="200"/>
        <w:rPr>
          <w:rFonts w:ascii="宋体" w:hAnsi="宋体"/>
          <w:color w:val="auto"/>
          <w:szCs w:val="21"/>
        </w:rPr>
      </w:pPr>
      <w:r>
        <w:rPr>
          <w:rFonts w:hint="eastAsia" w:ascii="宋体" w:hAnsi="宋体"/>
          <w:color w:val="auto"/>
          <w:szCs w:val="21"/>
        </w:rPr>
        <w:t>第一章 招标公告；</w:t>
      </w:r>
    </w:p>
    <w:p w14:paraId="6FF7D2DC">
      <w:pPr>
        <w:spacing w:line="360" w:lineRule="auto"/>
        <w:ind w:firstLine="420" w:firstLineChars="200"/>
        <w:rPr>
          <w:rFonts w:ascii="宋体" w:hAnsi="宋体"/>
          <w:color w:val="auto"/>
          <w:szCs w:val="21"/>
        </w:rPr>
      </w:pPr>
      <w:r>
        <w:rPr>
          <w:rFonts w:hint="eastAsia" w:ascii="宋体" w:hAnsi="宋体"/>
          <w:color w:val="auto"/>
          <w:szCs w:val="21"/>
        </w:rPr>
        <w:t xml:space="preserve">第二章 采购需求； </w:t>
      </w:r>
    </w:p>
    <w:p w14:paraId="378B546E">
      <w:pPr>
        <w:spacing w:line="360" w:lineRule="auto"/>
        <w:ind w:firstLine="420" w:firstLineChars="200"/>
        <w:rPr>
          <w:rFonts w:ascii="宋体" w:hAnsi="宋体"/>
          <w:color w:val="auto"/>
          <w:szCs w:val="21"/>
        </w:rPr>
      </w:pPr>
      <w:r>
        <w:rPr>
          <w:rFonts w:hint="eastAsia" w:ascii="宋体" w:hAnsi="宋体"/>
          <w:color w:val="auto"/>
          <w:szCs w:val="21"/>
        </w:rPr>
        <w:t>第三章 投标人须知；</w:t>
      </w:r>
    </w:p>
    <w:p w14:paraId="2A1EF036">
      <w:pPr>
        <w:spacing w:line="360" w:lineRule="auto"/>
        <w:ind w:firstLine="420" w:firstLineChars="200"/>
        <w:rPr>
          <w:rFonts w:ascii="宋体" w:hAnsi="宋体"/>
          <w:color w:val="auto"/>
          <w:szCs w:val="21"/>
        </w:rPr>
      </w:pPr>
      <w:r>
        <w:rPr>
          <w:rFonts w:hint="eastAsia" w:ascii="宋体" w:hAnsi="宋体"/>
          <w:color w:val="auto"/>
          <w:szCs w:val="21"/>
        </w:rPr>
        <w:t>第四章 评标方法及评标标准；</w:t>
      </w:r>
    </w:p>
    <w:p w14:paraId="1AE7DAF0">
      <w:pPr>
        <w:spacing w:line="360" w:lineRule="auto"/>
        <w:ind w:firstLine="420" w:firstLineChars="200"/>
        <w:rPr>
          <w:rFonts w:ascii="宋体" w:hAnsi="宋体"/>
          <w:color w:val="auto"/>
          <w:szCs w:val="21"/>
        </w:rPr>
      </w:pPr>
      <w:r>
        <w:rPr>
          <w:rFonts w:hint="eastAsia" w:ascii="宋体" w:hAnsi="宋体"/>
          <w:color w:val="auto"/>
          <w:szCs w:val="21"/>
        </w:rPr>
        <w:t>第五章 拟签订的合同文本；</w:t>
      </w:r>
    </w:p>
    <w:p w14:paraId="4B8F99AC">
      <w:pPr>
        <w:spacing w:line="360" w:lineRule="auto"/>
        <w:ind w:firstLine="420" w:firstLineChars="200"/>
        <w:rPr>
          <w:rFonts w:ascii="宋体" w:hAnsi="宋体"/>
          <w:color w:val="auto"/>
          <w:szCs w:val="21"/>
        </w:rPr>
      </w:pPr>
      <w:r>
        <w:rPr>
          <w:rFonts w:hint="eastAsia" w:ascii="宋体" w:hAnsi="宋体"/>
          <w:color w:val="auto"/>
          <w:szCs w:val="21"/>
        </w:rPr>
        <w:t>第六章 投标文件格式；</w:t>
      </w:r>
    </w:p>
    <w:p w14:paraId="2742B6CE">
      <w:pPr>
        <w:spacing w:line="360" w:lineRule="auto"/>
        <w:ind w:firstLine="420" w:firstLineChars="200"/>
        <w:rPr>
          <w:rFonts w:ascii="宋体" w:hAnsi="宋体"/>
          <w:color w:val="auto"/>
          <w:szCs w:val="21"/>
        </w:rPr>
      </w:pPr>
      <w:r>
        <w:rPr>
          <w:rFonts w:hint="eastAsia" w:ascii="宋体" w:hAnsi="宋体"/>
          <w:color w:val="auto"/>
          <w:szCs w:val="21"/>
        </w:rPr>
        <w:t>第七章 质疑、投诉材料格式</w:t>
      </w:r>
    </w:p>
    <w:p w14:paraId="1520F25C">
      <w:pPr>
        <w:spacing w:line="360" w:lineRule="auto"/>
        <w:ind w:firstLine="420" w:firstLineChars="200"/>
        <w:rPr>
          <w:rFonts w:hAnsi="宋体"/>
          <w:color w:val="auto"/>
        </w:rPr>
      </w:pPr>
      <w:r>
        <w:rPr>
          <w:rFonts w:hint="eastAsia" w:hAnsi="宋体"/>
          <w:color w:val="auto"/>
        </w:rPr>
        <w:t>根据本章第11.1项的规定对公开招标文件所做的澄清、修改，构成招标文件的组成部分。当公开招标文件与招标文件的澄清和修改就同一内容的表述不一致时，</w:t>
      </w:r>
      <w:r>
        <w:rPr>
          <w:rFonts w:hint="eastAsia"/>
          <w:color w:val="auto"/>
        </w:rPr>
        <w:t>以最后澄清或修改公告为准。</w:t>
      </w:r>
    </w:p>
    <w:p w14:paraId="29B087AB">
      <w:pPr>
        <w:spacing w:line="360" w:lineRule="auto"/>
        <w:ind w:firstLine="480" w:firstLineChars="200"/>
        <w:rPr>
          <w:rFonts w:ascii="黑体" w:hAnsi="黑体" w:eastAsia="黑体"/>
          <w:color w:val="auto"/>
          <w:sz w:val="24"/>
        </w:rPr>
      </w:pPr>
      <w:r>
        <w:rPr>
          <w:rFonts w:hint="eastAsia" w:ascii="黑体" w:hAnsi="黑体" w:eastAsia="黑体"/>
          <w:color w:val="auto"/>
          <w:sz w:val="24"/>
        </w:rPr>
        <w:t>11.招标文件的澄清、修改 、现场考察和答疑会</w:t>
      </w:r>
    </w:p>
    <w:p w14:paraId="299B4637">
      <w:pPr>
        <w:spacing w:line="360" w:lineRule="auto"/>
        <w:ind w:firstLine="422" w:firstLineChars="200"/>
        <w:rPr>
          <w:rFonts w:ascii="宋体" w:hAnsi="宋体"/>
          <w:b/>
          <w:color w:val="auto"/>
          <w:szCs w:val="21"/>
        </w:rPr>
      </w:pPr>
      <w:r>
        <w:rPr>
          <w:rFonts w:hint="eastAsia" w:ascii="宋体" w:hAnsi="宋体"/>
          <w:b/>
          <w:color w:val="auto"/>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26CF0C6">
      <w:pPr>
        <w:spacing w:line="360" w:lineRule="auto"/>
        <w:ind w:firstLine="420" w:firstLineChars="200"/>
        <w:rPr>
          <w:rFonts w:hAnsi="宋体"/>
          <w:color w:val="auto"/>
        </w:rPr>
      </w:pPr>
      <w:r>
        <w:rPr>
          <w:rFonts w:hint="eastAsia" w:hAnsi="宋体"/>
          <w:color w:val="auto"/>
        </w:rPr>
        <w:t>11.2 投标人应认真审阅本公开招标文件，如有疑问，或发现其中有误或有要求不合理的，应在投标人须知前附表规定的</w:t>
      </w:r>
      <w:r>
        <w:rPr>
          <w:rFonts w:hint="eastAsia" w:cs="宋体"/>
          <w:color w:val="auto"/>
          <w:kern w:val="0"/>
          <w:szCs w:val="21"/>
        </w:rPr>
        <w:t>投标截止时间</w:t>
      </w:r>
      <w:r>
        <w:rPr>
          <w:rFonts w:hint="eastAsia" w:hAnsi="宋体"/>
          <w:color w:val="auto"/>
        </w:rPr>
        <w:t>前以书面形式要求采购人或采购代理机构对招标文件予以澄清；否则，由此产生的后果由投标人自行负责。</w:t>
      </w:r>
    </w:p>
    <w:p w14:paraId="1A590AAE">
      <w:pPr>
        <w:spacing w:line="360" w:lineRule="auto"/>
        <w:ind w:firstLine="420" w:firstLineChars="200"/>
        <w:rPr>
          <w:color w:val="auto"/>
        </w:rPr>
      </w:pPr>
      <w:r>
        <w:rPr>
          <w:rFonts w:hint="eastAsia" w:hAnsi="宋体"/>
          <w:color w:val="auto"/>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Ansi="宋体"/>
          <w:color w:val="auto"/>
          <w:szCs w:val="21"/>
        </w:rPr>
        <w:t>投标人须知前附表”</w:t>
      </w:r>
      <w:r>
        <w:rPr>
          <w:rFonts w:hint="eastAsia" w:hAnsi="宋体"/>
          <w:color w:val="auto"/>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44507B71">
      <w:pPr>
        <w:spacing w:line="360" w:lineRule="auto"/>
        <w:ind w:firstLine="420" w:firstLineChars="200"/>
        <w:rPr>
          <w:color w:val="auto"/>
        </w:rPr>
      </w:pPr>
      <w:r>
        <w:rPr>
          <w:rFonts w:hint="eastAsia" w:hAnsi="宋体"/>
          <w:color w:val="auto"/>
        </w:rPr>
        <w:t xml:space="preserve">11.4 </w:t>
      </w:r>
      <w:r>
        <w:rPr>
          <w:rFonts w:hint="eastAsia"/>
          <w:color w:val="auto"/>
        </w:rPr>
        <w:t>采购人和采购代理机构可以视采购具体情况，变更投标截止时间和开标时间，将变更时间将在</w:t>
      </w:r>
      <w:r>
        <w:rPr>
          <w:rFonts w:hint="eastAsia" w:hAnsi="宋体"/>
          <w:color w:val="auto"/>
        </w:rPr>
        <w:t>“</w:t>
      </w:r>
      <w:r>
        <w:rPr>
          <w:rFonts w:hAnsi="宋体"/>
          <w:color w:val="auto"/>
          <w:szCs w:val="21"/>
        </w:rPr>
        <w:t>投标人须知前附表”</w:t>
      </w:r>
      <w:r>
        <w:rPr>
          <w:rFonts w:hint="eastAsia" w:cs="宋体"/>
          <w:color w:val="auto"/>
          <w:kern w:val="0"/>
          <w:szCs w:val="21"/>
        </w:rPr>
        <w:t>规定的政府采购信息发布媒体上</w:t>
      </w:r>
      <w:r>
        <w:rPr>
          <w:rFonts w:hint="eastAsia"/>
          <w:color w:val="auto"/>
        </w:rPr>
        <w:t>发布更正公告。</w:t>
      </w:r>
    </w:p>
    <w:p w14:paraId="40F1D29D">
      <w:pPr>
        <w:spacing w:line="360" w:lineRule="auto"/>
        <w:ind w:firstLine="420" w:firstLineChars="200"/>
        <w:rPr>
          <w:rFonts w:hAnsi="宋体"/>
          <w:color w:val="auto"/>
        </w:rPr>
      </w:pPr>
      <w:r>
        <w:rPr>
          <w:rFonts w:hint="eastAsia" w:hAnsi="宋体"/>
          <w:color w:val="auto"/>
        </w:rPr>
        <w:t>1</w:t>
      </w:r>
      <w:r>
        <w:rPr>
          <w:rFonts w:hAnsi="宋体"/>
          <w:color w:val="auto"/>
        </w:rPr>
        <w:t>1.</w:t>
      </w:r>
      <w:bookmarkStart w:id="80" w:name="_Hlk53134511"/>
      <w:r>
        <w:rPr>
          <w:rFonts w:hint="eastAsia" w:hAnsi="宋体"/>
          <w:color w:val="auto"/>
        </w:rPr>
        <w:t>5采购人或者采购代理机构可以在招标文件提供期限截止后，组织已获取招标文件的潜在投标人现场考察或者召开开标前答疑会，具体详见“投标人须知前附表”。</w:t>
      </w:r>
    </w:p>
    <w:bookmarkEnd w:id="80"/>
    <w:p w14:paraId="022477B8">
      <w:pPr>
        <w:pStyle w:val="4"/>
        <w:keepNext w:val="0"/>
        <w:keepLines w:val="0"/>
        <w:spacing w:line="400" w:lineRule="exact"/>
        <w:jc w:val="center"/>
        <w:rPr>
          <w:color w:val="auto"/>
        </w:rPr>
      </w:pPr>
      <w:bookmarkStart w:id="81" w:name="_Toc254970676"/>
      <w:bookmarkStart w:id="82" w:name="_Toc254970535"/>
      <w:bookmarkStart w:id="83" w:name="_Toc80092997"/>
      <w:r>
        <w:rPr>
          <w:rFonts w:hint="eastAsia"/>
          <w:color w:val="auto"/>
        </w:rPr>
        <w:t>三、投标文件的编制</w:t>
      </w:r>
      <w:bookmarkEnd w:id="81"/>
      <w:bookmarkEnd w:id="82"/>
      <w:bookmarkEnd w:id="83"/>
    </w:p>
    <w:p w14:paraId="11E5497B">
      <w:pPr>
        <w:spacing w:line="360" w:lineRule="auto"/>
        <w:ind w:firstLine="480" w:firstLineChars="200"/>
        <w:rPr>
          <w:rFonts w:ascii="黑体" w:hAnsi="黑体" w:eastAsia="黑体"/>
          <w:color w:val="auto"/>
          <w:sz w:val="24"/>
        </w:rPr>
      </w:pPr>
      <w:bookmarkStart w:id="84" w:name="_Toc254970677"/>
      <w:bookmarkStart w:id="85" w:name="_Toc254970536"/>
      <w:r>
        <w:rPr>
          <w:rFonts w:hint="eastAsia" w:ascii="黑体" w:hAnsi="黑体" w:eastAsia="黑体"/>
          <w:color w:val="auto"/>
          <w:sz w:val="24"/>
        </w:rPr>
        <w:t>12.投标文件的编制原则</w:t>
      </w:r>
    </w:p>
    <w:p w14:paraId="52BF494A">
      <w:pPr>
        <w:spacing w:line="360" w:lineRule="auto"/>
        <w:ind w:firstLine="420" w:firstLineChars="200"/>
        <w:rPr>
          <w:rFonts w:ascii="宋体" w:hAnsi="宋体"/>
          <w:color w:val="auto"/>
          <w:szCs w:val="21"/>
        </w:rPr>
      </w:pPr>
      <w:r>
        <w:rPr>
          <w:rFonts w:hint="eastAsia" w:ascii="宋体" w:hAnsi="宋体"/>
          <w:color w:val="auto"/>
          <w:szCs w:val="21"/>
        </w:rPr>
        <w:t>12.1</w:t>
      </w:r>
      <w:r>
        <w:rPr>
          <w:rFonts w:ascii="宋体" w:hAnsi="宋体"/>
          <w:color w:val="auto"/>
          <w:szCs w:val="21"/>
        </w:rPr>
        <w:t>投标人必须按照招标文件的要求编制投标文件。投标文件必须对招标文件提出的要求和条件作出明确响应。</w:t>
      </w:r>
    </w:p>
    <w:p w14:paraId="4D7C2F40">
      <w:pPr>
        <w:spacing w:line="360" w:lineRule="auto"/>
        <w:ind w:firstLine="420" w:firstLineChars="200"/>
        <w:rPr>
          <w:rFonts w:ascii="宋体" w:hAnsi="宋体"/>
          <w:color w:val="auto"/>
          <w:szCs w:val="21"/>
        </w:rPr>
      </w:pPr>
      <w:r>
        <w:rPr>
          <w:rFonts w:hint="eastAsia" w:ascii="宋体" w:hAnsi="宋体"/>
          <w:color w:val="auto"/>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54E88DD7">
      <w:pPr>
        <w:spacing w:line="360" w:lineRule="auto"/>
        <w:ind w:firstLine="480" w:firstLineChars="200"/>
        <w:rPr>
          <w:rFonts w:ascii="黑体" w:hAnsi="黑体" w:eastAsia="黑体"/>
          <w:color w:val="auto"/>
          <w:sz w:val="24"/>
        </w:rPr>
      </w:pPr>
      <w:r>
        <w:rPr>
          <w:rFonts w:hint="eastAsia" w:ascii="黑体" w:hAnsi="黑体" w:eastAsia="黑体"/>
          <w:color w:val="auto"/>
          <w:sz w:val="24"/>
        </w:rPr>
        <w:t>13.投标文件的组成</w:t>
      </w:r>
      <w:bookmarkEnd w:id="84"/>
      <w:bookmarkEnd w:id="85"/>
    </w:p>
    <w:p w14:paraId="3152CE89">
      <w:pPr>
        <w:spacing w:line="360" w:lineRule="auto"/>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3.1</w:t>
      </w:r>
      <w:r>
        <w:rPr>
          <w:rFonts w:hint="eastAsia" w:ascii="宋体" w:hAnsi="宋体"/>
          <w:color w:val="auto"/>
          <w:szCs w:val="21"/>
        </w:rPr>
        <w:t>投标文件由报价文件、资格证明文件、商务文件、技术文件四部分组成。</w:t>
      </w:r>
    </w:p>
    <w:p w14:paraId="4F1CF59D">
      <w:pPr>
        <w:spacing w:line="360" w:lineRule="auto"/>
        <w:ind w:firstLine="420" w:firstLineChars="200"/>
        <w:rPr>
          <w:rFonts w:ascii="宋体" w:hAnsi="宋体"/>
          <w:bCs/>
          <w:color w:val="auto"/>
          <w:szCs w:val="21"/>
        </w:rPr>
      </w:pPr>
      <w:bookmarkStart w:id="86" w:name="_13.1报价文件:_具体材料见“投标人须知前附表”。"/>
      <w:bookmarkEnd w:id="86"/>
      <w:bookmarkStart w:id="87" w:name="_13.2资格证明文件：具体材料见“投标人须知前附表”。"/>
      <w:bookmarkEnd w:id="87"/>
      <w:r>
        <w:rPr>
          <w:rFonts w:hint="eastAsia" w:ascii="宋体" w:hAnsi="宋体"/>
          <w:bCs/>
          <w:color w:val="auto"/>
          <w:szCs w:val="21"/>
        </w:rPr>
        <w:t>（1）资格证明文件：</w:t>
      </w:r>
      <w:r>
        <w:rPr>
          <w:rFonts w:ascii="宋体" w:hAnsi="宋体"/>
          <w:bCs/>
          <w:color w:val="auto"/>
          <w:szCs w:val="21"/>
        </w:rPr>
        <w:t>具体材料见“投标人须知前附表”</w:t>
      </w:r>
      <w:r>
        <w:rPr>
          <w:rFonts w:hint="eastAsia" w:ascii="宋体" w:hAnsi="宋体"/>
          <w:bCs/>
          <w:color w:val="auto"/>
          <w:szCs w:val="21"/>
        </w:rPr>
        <w:t>。</w:t>
      </w:r>
    </w:p>
    <w:p w14:paraId="1D338415">
      <w:pPr>
        <w:spacing w:line="360" w:lineRule="auto"/>
        <w:ind w:firstLine="420" w:firstLineChars="200"/>
        <w:rPr>
          <w:rFonts w:ascii="宋体" w:hAnsi="宋体"/>
          <w:bCs/>
          <w:color w:val="auto"/>
          <w:szCs w:val="21"/>
        </w:rPr>
      </w:pPr>
      <w:bookmarkStart w:id="88" w:name="_13.3商务文件:_具体材料见“投标人须知前附表”。"/>
      <w:bookmarkEnd w:id="88"/>
      <w:r>
        <w:rPr>
          <w:rFonts w:hint="eastAsia" w:ascii="宋体" w:hAnsi="宋体"/>
          <w:bCs/>
          <w:color w:val="auto"/>
          <w:szCs w:val="21"/>
        </w:rPr>
        <w:t>（2）商务文件：</w:t>
      </w:r>
      <w:r>
        <w:rPr>
          <w:rFonts w:ascii="宋体" w:hAnsi="宋体"/>
          <w:bCs/>
          <w:color w:val="auto"/>
          <w:szCs w:val="21"/>
        </w:rPr>
        <w:t>具体材料见“投标人须知前附表”</w:t>
      </w:r>
      <w:r>
        <w:rPr>
          <w:rFonts w:hint="eastAsia" w:ascii="宋体" w:hAnsi="宋体"/>
          <w:bCs/>
          <w:color w:val="auto"/>
          <w:szCs w:val="21"/>
        </w:rPr>
        <w:t>。</w:t>
      </w:r>
    </w:p>
    <w:p w14:paraId="137B12DE">
      <w:pPr>
        <w:spacing w:line="360" w:lineRule="auto"/>
        <w:ind w:firstLine="420" w:firstLineChars="200"/>
        <w:rPr>
          <w:rFonts w:ascii="宋体" w:hAnsi="宋体"/>
          <w:bCs/>
          <w:color w:val="auto"/>
          <w:szCs w:val="21"/>
        </w:rPr>
      </w:pPr>
      <w:bookmarkStart w:id="89" w:name="_13.4技术文件：具体材料见“投标人须知前附表”。"/>
      <w:bookmarkEnd w:id="89"/>
      <w:r>
        <w:rPr>
          <w:rFonts w:hint="eastAsia" w:ascii="宋体" w:hAnsi="宋体"/>
          <w:bCs/>
          <w:color w:val="auto"/>
          <w:szCs w:val="21"/>
        </w:rPr>
        <w:t>（3）技术文件：</w:t>
      </w:r>
      <w:r>
        <w:rPr>
          <w:rFonts w:ascii="宋体" w:hAnsi="宋体"/>
          <w:bCs/>
          <w:color w:val="auto"/>
          <w:szCs w:val="21"/>
        </w:rPr>
        <w:t>具体材料见“投标人须知前附表”</w:t>
      </w:r>
      <w:r>
        <w:rPr>
          <w:rFonts w:hint="eastAsia" w:ascii="宋体" w:hAnsi="宋体"/>
          <w:bCs/>
          <w:color w:val="auto"/>
          <w:szCs w:val="21"/>
        </w:rPr>
        <w:t xml:space="preserve">。 </w:t>
      </w:r>
    </w:p>
    <w:p w14:paraId="4250F18D">
      <w:pPr>
        <w:spacing w:line="360" w:lineRule="auto"/>
        <w:ind w:firstLine="420" w:firstLineChars="200"/>
        <w:rPr>
          <w:rFonts w:ascii="宋体" w:hAnsi="宋体"/>
          <w:bCs/>
          <w:color w:val="auto"/>
          <w:szCs w:val="21"/>
        </w:rPr>
      </w:pPr>
      <w:r>
        <w:rPr>
          <w:rFonts w:hint="eastAsia" w:ascii="宋体" w:hAnsi="宋体"/>
          <w:bCs/>
          <w:color w:val="auto"/>
          <w:szCs w:val="21"/>
        </w:rPr>
        <w:t>（4）报价文件：</w:t>
      </w:r>
      <w:r>
        <w:rPr>
          <w:rFonts w:ascii="宋体" w:hAnsi="宋体"/>
          <w:bCs/>
          <w:color w:val="auto"/>
          <w:szCs w:val="21"/>
        </w:rPr>
        <w:t>具体材料见“投标人须知前附表”</w:t>
      </w:r>
      <w:r>
        <w:rPr>
          <w:rFonts w:hint="eastAsia" w:ascii="宋体" w:hAnsi="宋体"/>
          <w:bCs/>
          <w:color w:val="auto"/>
          <w:szCs w:val="21"/>
        </w:rPr>
        <w:t>。</w:t>
      </w:r>
    </w:p>
    <w:p w14:paraId="4DB7CCF7">
      <w:pPr>
        <w:spacing w:line="360" w:lineRule="auto"/>
        <w:ind w:firstLine="420" w:firstLineChars="200"/>
        <w:rPr>
          <w:rFonts w:ascii="宋体" w:hAnsi="宋体"/>
          <w:bCs/>
          <w:color w:val="auto"/>
          <w:szCs w:val="21"/>
        </w:rPr>
      </w:pPr>
      <w:bookmarkStart w:id="90" w:name="_13.5投标文件电子版：具体材料见“投标人须知前附表”。"/>
      <w:bookmarkEnd w:id="90"/>
      <w:r>
        <w:rPr>
          <w:rFonts w:hint="eastAsia" w:ascii="宋体" w:hAnsi="宋体"/>
          <w:bCs/>
          <w:color w:val="auto"/>
          <w:szCs w:val="21"/>
        </w:rPr>
        <w:t>13.</w:t>
      </w:r>
      <w:r>
        <w:rPr>
          <w:rFonts w:ascii="宋体" w:hAnsi="宋体"/>
          <w:bCs/>
          <w:color w:val="auto"/>
          <w:szCs w:val="21"/>
        </w:rPr>
        <w:t>2</w:t>
      </w:r>
      <w:r>
        <w:rPr>
          <w:rFonts w:hint="eastAsia" w:ascii="宋体" w:hAnsi="宋体"/>
          <w:bCs/>
          <w:color w:val="auto"/>
          <w:szCs w:val="21"/>
        </w:rPr>
        <w:t>投标文件电子版：</w:t>
      </w:r>
      <w:r>
        <w:rPr>
          <w:rFonts w:ascii="宋体" w:hAnsi="宋体"/>
          <w:bCs/>
          <w:color w:val="auto"/>
          <w:szCs w:val="21"/>
        </w:rPr>
        <w:t>具体</w:t>
      </w:r>
      <w:r>
        <w:rPr>
          <w:rFonts w:hint="eastAsia" w:ascii="宋体" w:hAnsi="宋体"/>
          <w:bCs/>
          <w:color w:val="auto"/>
          <w:szCs w:val="21"/>
        </w:rPr>
        <w:t>要求</w:t>
      </w:r>
      <w:r>
        <w:rPr>
          <w:rFonts w:ascii="宋体" w:hAnsi="宋体"/>
          <w:bCs/>
          <w:color w:val="auto"/>
          <w:szCs w:val="21"/>
        </w:rPr>
        <w:t>见</w:t>
      </w:r>
      <w:r>
        <w:rPr>
          <w:rFonts w:hint="eastAsia" w:ascii="宋体" w:hAnsi="宋体"/>
          <w:bCs/>
          <w:color w:val="auto"/>
          <w:szCs w:val="21"/>
        </w:rPr>
        <w:t>本节19.投标文件编制。</w:t>
      </w:r>
    </w:p>
    <w:p w14:paraId="4FEB880E">
      <w:pPr>
        <w:spacing w:line="360" w:lineRule="auto"/>
        <w:ind w:firstLine="480" w:firstLineChars="200"/>
        <w:rPr>
          <w:rFonts w:ascii="黑体" w:hAnsi="黑体" w:eastAsia="黑体"/>
          <w:color w:val="auto"/>
          <w:sz w:val="24"/>
        </w:rPr>
      </w:pPr>
      <w:bookmarkStart w:id="91" w:name="_Toc254970678"/>
      <w:bookmarkStart w:id="92" w:name="_Toc254970537"/>
      <w:r>
        <w:rPr>
          <w:rFonts w:hint="eastAsia" w:ascii="黑体" w:hAnsi="黑体" w:eastAsia="黑体"/>
          <w:color w:val="auto"/>
          <w:sz w:val="24"/>
        </w:rPr>
        <w:t>14.投标文件的语言及计量</w:t>
      </w:r>
      <w:bookmarkEnd w:id="91"/>
      <w:bookmarkEnd w:id="92"/>
    </w:p>
    <w:p w14:paraId="2A919B51">
      <w:pPr>
        <w:spacing w:line="360" w:lineRule="auto"/>
        <w:ind w:firstLine="420" w:firstLineChars="200"/>
        <w:rPr>
          <w:rFonts w:ascii="宋体" w:hAnsi="宋体"/>
          <w:bCs/>
          <w:color w:val="auto"/>
          <w:szCs w:val="21"/>
        </w:rPr>
      </w:pPr>
      <w:r>
        <w:rPr>
          <w:rFonts w:hint="eastAsia" w:ascii="宋体" w:hAnsi="宋体"/>
          <w:bCs/>
          <w:color w:val="auto"/>
          <w:szCs w:val="21"/>
        </w:rPr>
        <w:t>14.1语言文字</w:t>
      </w:r>
    </w:p>
    <w:p w14:paraId="6DCD18CB">
      <w:pPr>
        <w:spacing w:line="360" w:lineRule="auto"/>
        <w:ind w:firstLine="420" w:firstLineChars="200"/>
        <w:rPr>
          <w:rFonts w:ascii="宋体" w:hAnsi="宋体"/>
          <w:bCs/>
          <w:color w:val="auto"/>
          <w:szCs w:val="21"/>
        </w:rPr>
      </w:pPr>
      <w:r>
        <w:rPr>
          <w:rFonts w:hint="eastAsia" w:ascii="宋体" w:hAnsi="宋体"/>
          <w:bCs/>
          <w:color w:val="auto"/>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B70CF23">
      <w:pPr>
        <w:spacing w:line="360" w:lineRule="auto"/>
        <w:ind w:firstLine="420" w:firstLineChars="200"/>
        <w:rPr>
          <w:rFonts w:ascii="宋体" w:hAnsi="宋体"/>
          <w:bCs/>
          <w:color w:val="auto"/>
          <w:szCs w:val="21"/>
        </w:rPr>
      </w:pPr>
      <w:r>
        <w:rPr>
          <w:rFonts w:hint="eastAsia" w:ascii="宋体" w:hAnsi="宋体"/>
          <w:bCs/>
          <w:color w:val="auto"/>
          <w:szCs w:val="21"/>
        </w:rPr>
        <w:t>14.2投标计量单位</w:t>
      </w:r>
    </w:p>
    <w:p w14:paraId="5CCB4204">
      <w:pPr>
        <w:spacing w:line="360" w:lineRule="auto"/>
        <w:ind w:firstLine="420" w:firstLineChars="200"/>
        <w:rPr>
          <w:rFonts w:ascii="宋体" w:hAnsi="宋体"/>
          <w:bCs/>
          <w:color w:val="auto"/>
          <w:szCs w:val="21"/>
        </w:rPr>
      </w:pPr>
      <w:r>
        <w:rPr>
          <w:rFonts w:hint="eastAsia" w:ascii="宋体" w:hAnsi="宋体"/>
          <w:bCs/>
          <w:color w:val="auto"/>
          <w:szCs w:val="21"/>
        </w:rPr>
        <w:t>招标文件已有明确规定的，使用招标文件规定的计量单位；招标文件没有规定的，应采用中华人民共和国法定计量单位，货币种类为人民币，否则视同未响应。</w:t>
      </w:r>
    </w:p>
    <w:p w14:paraId="7B149CB8">
      <w:pPr>
        <w:spacing w:line="360" w:lineRule="auto"/>
        <w:ind w:firstLine="480" w:firstLineChars="200"/>
        <w:rPr>
          <w:rFonts w:ascii="黑体" w:hAnsi="黑体" w:eastAsia="黑体"/>
          <w:color w:val="auto"/>
          <w:sz w:val="24"/>
        </w:rPr>
      </w:pPr>
      <w:r>
        <w:rPr>
          <w:rFonts w:hint="eastAsia" w:ascii="黑体" w:hAnsi="黑体" w:eastAsia="黑体"/>
          <w:color w:val="auto"/>
          <w:sz w:val="24"/>
        </w:rPr>
        <w:t>15.投标的风险</w:t>
      </w:r>
    </w:p>
    <w:p w14:paraId="55927ABB">
      <w:pPr>
        <w:spacing w:line="360" w:lineRule="auto"/>
        <w:ind w:firstLine="420" w:firstLineChars="200"/>
        <w:rPr>
          <w:rFonts w:hAnsi="宋体"/>
          <w:b/>
          <w:bCs/>
          <w:color w:val="auto"/>
        </w:rPr>
      </w:pPr>
      <w:r>
        <w:rPr>
          <w:rFonts w:hint="eastAsia" w:hAnsi="宋体"/>
          <w:color w:val="auto"/>
        </w:rPr>
        <w:t>投标文件分为资格文件、商务和技术文件、报价文件三部分。各投标人在编制投标文件时请按照招标文件规定的格式进行，混乱的编排导致投标文件被误读或评标委员会查找不到有效文件是投标人的风险。▲</w:t>
      </w:r>
      <w:r>
        <w:rPr>
          <w:rFonts w:hint="eastAsia" w:hAnsi="宋体"/>
          <w:b/>
          <w:bCs/>
          <w:color w:val="auto"/>
        </w:rPr>
        <w:t>投标文件未按规定的格式编制的、没有按照招标文件要求提供全部资料、没有对招标文件作出实质性响应，投标无效；</w:t>
      </w:r>
    </w:p>
    <w:p w14:paraId="38AB08E8">
      <w:pPr>
        <w:spacing w:line="360" w:lineRule="auto"/>
        <w:ind w:firstLine="480" w:firstLineChars="200"/>
        <w:rPr>
          <w:rFonts w:ascii="黑体" w:hAnsi="黑体" w:eastAsia="黑体"/>
          <w:color w:val="auto"/>
          <w:sz w:val="24"/>
        </w:rPr>
      </w:pPr>
      <w:bookmarkStart w:id="93" w:name="_Toc254970679"/>
      <w:bookmarkStart w:id="94" w:name="_Toc254970538"/>
      <w:r>
        <w:rPr>
          <w:rFonts w:hint="eastAsia" w:ascii="黑体" w:hAnsi="黑体" w:eastAsia="黑体"/>
          <w:color w:val="auto"/>
          <w:sz w:val="24"/>
        </w:rPr>
        <w:t>16.投标报价</w:t>
      </w:r>
      <w:bookmarkEnd w:id="93"/>
      <w:bookmarkEnd w:id="94"/>
    </w:p>
    <w:p w14:paraId="19EA6CC5">
      <w:pPr>
        <w:spacing w:line="360" w:lineRule="auto"/>
        <w:ind w:firstLine="420" w:firstLineChars="200"/>
        <w:rPr>
          <w:rFonts w:ascii="宋体" w:hAnsi="宋体"/>
          <w:bCs/>
          <w:color w:val="auto"/>
          <w:szCs w:val="21"/>
        </w:rPr>
      </w:pPr>
      <w:r>
        <w:rPr>
          <w:rFonts w:hint="eastAsia" w:ascii="宋体" w:hAnsi="宋体"/>
          <w:bCs/>
          <w:color w:val="auto"/>
          <w:szCs w:val="21"/>
        </w:rPr>
        <w:t>16.1投标报价应</w:t>
      </w:r>
      <w:r>
        <w:rPr>
          <w:rFonts w:hint="eastAsia" w:ascii="宋体" w:hAnsi="宋体"/>
          <w:bCs/>
          <w:color w:val="auto"/>
          <w:szCs w:val="20"/>
        </w:rPr>
        <w:t>按“第六章　投标文件格式”中“开标一览表”格式填写。</w:t>
      </w:r>
    </w:p>
    <w:p w14:paraId="449E1DDA">
      <w:pPr>
        <w:spacing w:line="360" w:lineRule="auto"/>
        <w:ind w:firstLine="420" w:firstLineChars="200"/>
        <w:rPr>
          <w:rFonts w:ascii="宋体" w:hAnsi="宋体"/>
          <w:bCs/>
          <w:color w:val="auto"/>
          <w:szCs w:val="21"/>
        </w:rPr>
      </w:pPr>
      <w:bookmarkStart w:id="95" w:name="_16.2投标报价具体定义见投标人须知前附表。"/>
      <w:bookmarkEnd w:id="95"/>
      <w:r>
        <w:rPr>
          <w:rFonts w:hint="eastAsia" w:ascii="宋体" w:hAnsi="宋体"/>
          <w:bCs/>
          <w:color w:val="auto"/>
          <w:szCs w:val="21"/>
        </w:rPr>
        <w:t>16.2投标报价具体包括内容详见“投标人须知前附表”。</w:t>
      </w:r>
    </w:p>
    <w:p w14:paraId="40598DD4">
      <w:pPr>
        <w:spacing w:line="360" w:lineRule="auto"/>
        <w:ind w:firstLine="420" w:firstLineChars="200"/>
        <w:rPr>
          <w:rFonts w:ascii="宋体" w:hAnsi="宋体"/>
          <w:bCs/>
          <w:color w:val="auto"/>
          <w:szCs w:val="21"/>
        </w:rPr>
      </w:pPr>
      <w:r>
        <w:rPr>
          <w:rFonts w:hint="eastAsia" w:ascii="宋体" w:hAnsi="宋体"/>
          <w:bCs/>
          <w:color w:val="auto"/>
          <w:szCs w:val="21"/>
        </w:rPr>
        <w:t>16.3投标人必须就所投每个分标的全部内容分别作完整唯一总价报价，不得存在漏项报价；投标人必须就所投分标的单项内容作唯一报价。</w:t>
      </w:r>
    </w:p>
    <w:p w14:paraId="00D0B361">
      <w:pPr>
        <w:spacing w:line="360" w:lineRule="auto"/>
        <w:ind w:firstLine="480" w:firstLineChars="200"/>
        <w:rPr>
          <w:rFonts w:ascii="黑体" w:hAnsi="黑体" w:eastAsia="黑体"/>
          <w:color w:val="auto"/>
          <w:sz w:val="24"/>
        </w:rPr>
      </w:pPr>
      <w:r>
        <w:rPr>
          <w:rFonts w:hint="eastAsia" w:ascii="黑体" w:hAnsi="黑体" w:eastAsia="黑体"/>
          <w:color w:val="auto"/>
          <w:sz w:val="24"/>
        </w:rPr>
        <w:t>17.投标有效期</w:t>
      </w:r>
    </w:p>
    <w:p w14:paraId="338B7CC0">
      <w:pPr>
        <w:spacing w:line="360" w:lineRule="auto"/>
        <w:ind w:firstLine="420" w:firstLineChars="200"/>
        <w:rPr>
          <w:rFonts w:ascii="宋体" w:hAnsi="宋体"/>
          <w:bCs/>
          <w:color w:val="auto"/>
          <w:szCs w:val="21"/>
        </w:rPr>
      </w:pPr>
      <w:bookmarkStart w:id="96" w:name="_17.1投标有效期应按“投标人须知中的前附表”规定的期限。"/>
      <w:bookmarkEnd w:id="96"/>
      <w:r>
        <w:rPr>
          <w:rFonts w:hint="eastAsia" w:ascii="宋体" w:hAnsi="宋体"/>
          <w:bCs/>
          <w:color w:val="auto"/>
          <w:szCs w:val="21"/>
        </w:rPr>
        <w:t>17.1投标有效期是指为保证采购人有足够的时间在开标后完成评标、定标、合同签订等工作而要求投标人提交的投标文件在一定时间内保持有效的期限。</w:t>
      </w:r>
    </w:p>
    <w:p w14:paraId="30CF166E">
      <w:pPr>
        <w:spacing w:line="360" w:lineRule="auto"/>
        <w:ind w:firstLine="420" w:firstLineChars="200"/>
        <w:rPr>
          <w:rFonts w:ascii="宋体" w:hAnsi="宋体"/>
          <w:bCs/>
          <w:color w:val="auto"/>
          <w:szCs w:val="21"/>
        </w:rPr>
      </w:pPr>
      <w:r>
        <w:rPr>
          <w:rFonts w:hint="eastAsia" w:ascii="宋体" w:hAnsi="宋体"/>
          <w:bCs/>
          <w:color w:val="auto"/>
          <w:szCs w:val="21"/>
        </w:rPr>
        <w:t>17.2</w:t>
      </w:r>
      <w:bookmarkStart w:id="97" w:name="_Toc254970681"/>
      <w:bookmarkStart w:id="98" w:name="_Toc254970540"/>
      <w:r>
        <w:rPr>
          <w:rFonts w:hint="eastAsia" w:ascii="宋体" w:hAnsi="宋体"/>
          <w:bCs/>
          <w:color w:val="auto"/>
          <w:szCs w:val="21"/>
        </w:rPr>
        <w:t>投标有效期应按规定的期限作出承诺，具体详见“投标人须知前附表”。</w:t>
      </w:r>
    </w:p>
    <w:p w14:paraId="2D95F581">
      <w:pPr>
        <w:spacing w:line="360" w:lineRule="auto"/>
        <w:ind w:firstLine="420" w:firstLineChars="200"/>
        <w:rPr>
          <w:rFonts w:ascii="宋体" w:hAnsi="宋体"/>
          <w:bCs/>
          <w:color w:val="auto"/>
          <w:szCs w:val="21"/>
        </w:rPr>
      </w:pPr>
      <w:r>
        <w:rPr>
          <w:rFonts w:hint="eastAsia" w:ascii="宋体" w:hAnsi="宋体"/>
          <w:bCs/>
          <w:color w:val="auto"/>
          <w:szCs w:val="21"/>
        </w:rPr>
        <w:t>17.3投标人的投标文件在投标有效期内均保持有效。</w:t>
      </w:r>
      <w:bookmarkEnd w:id="97"/>
      <w:bookmarkEnd w:id="98"/>
    </w:p>
    <w:p w14:paraId="4EE36274">
      <w:pPr>
        <w:spacing w:line="360" w:lineRule="auto"/>
        <w:ind w:firstLine="480" w:firstLineChars="200"/>
        <w:rPr>
          <w:rFonts w:ascii="黑体" w:hAnsi="黑体" w:eastAsia="黑体"/>
          <w:color w:val="auto"/>
          <w:sz w:val="24"/>
        </w:rPr>
      </w:pPr>
      <w:bookmarkStart w:id="99" w:name="_18.投标保证金"/>
      <w:bookmarkEnd w:id="99"/>
      <w:bookmarkStart w:id="100" w:name="_Toc254970541"/>
      <w:bookmarkStart w:id="101" w:name="_Toc254970682"/>
      <w:r>
        <w:rPr>
          <w:rFonts w:hint="eastAsia" w:ascii="黑体" w:hAnsi="黑体" w:eastAsia="黑体"/>
          <w:color w:val="auto"/>
          <w:sz w:val="24"/>
        </w:rPr>
        <w:t>18.投标保证金</w:t>
      </w:r>
      <w:bookmarkEnd w:id="100"/>
      <w:bookmarkEnd w:id="101"/>
    </w:p>
    <w:p w14:paraId="634279BD">
      <w:pPr>
        <w:spacing w:line="360" w:lineRule="auto"/>
        <w:ind w:firstLine="422" w:firstLineChars="200"/>
        <w:rPr>
          <w:rFonts w:ascii="宋体" w:hAnsi="宋体"/>
          <w:b/>
          <w:color w:val="auto"/>
          <w:szCs w:val="21"/>
        </w:rPr>
      </w:pPr>
      <w:bookmarkStart w:id="102" w:name="_Toc254970683"/>
      <w:bookmarkStart w:id="103" w:name="_Toc254970542"/>
      <w:r>
        <w:rPr>
          <w:rFonts w:hint="eastAsia" w:ascii="宋体" w:hAnsi="宋体"/>
          <w:b/>
          <w:color w:val="auto"/>
          <w:szCs w:val="21"/>
        </w:rPr>
        <w:t>本项目不收取投标保证金</w:t>
      </w:r>
    </w:p>
    <w:p w14:paraId="3458F2C8">
      <w:pPr>
        <w:spacing w:line="360" w:lineRule="auto"/>
        <w:ind w:firstLine="480" w:firstLineChars="200"/>
        <w:rPr>
          <w:rFonts w:ascii="黑体" w:hAnsi="黑体" w:eastAsia="黑体"/>
          <w:color w:val="auto"/>
          <w:sz w:val="24"/>
        </w:rPr>
      </w:pPr>
      <w:r>
        <w:rPr>
          <w:rFonts w:hint="eastAsia" w:ascii="黑体" w:hAnsi="黑体" w:eastAsia="黑体"/>
          <w:color w:val="auto"/>
          <w:sz w:val="24"/>
        </w:rPr>
        <w:t>19.投标文件的</w:t>
      </w:r>
      <w:bookmarkEnd w:id="102"/>
      <w:bookmarkEnd w:id="103"/>
      <w:r>
        <w:rPr>
          <w:rFonts w:hint="eastAsia" w:ascii="黑体" w:hAnsi="黑体" w:eastAsia="黑体"/>
          <w:color w:val="auto"/>
          <w:sz w:val="24"/>
        </w:rPr>
        <w:t>编制</w:t>
      </w:r>
    </w:p>
    <w:p w14:paraId="3F395F7B">
      <w:pPr>
        <w:spacing w:line="360" w:lineRule="auto"/>
        <w:ind w:firstLine="420" w:firstLineChars="200"/>
        <w:rPr>
          <w:rFonts w:hAnsi="宋体"/>
          <w:color w:val="auto"/>
          <w:szCs w:val="21"/>
        </w:rPr>
      </w:pPr>
      <w:r>
        <w:rPr>
          <w:rFonts w:hint="eastAsia" w:hAnsi="宋体"/>
          <w:color w:val="auto"/>
          <w:szCs w:val="21"/>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04" w:name="_19.2投标文件应按报价文件、资格证明文件、商务文件、技术文件分别编制"/>
      <w:bookmarkEnd w:id="104"/>
      <w:r>
        <w:rPr>
          <w:rFonts w:hint="eastAsia" w:hAnsi="宋体"/>
          <w:color w:val="auto"/>
          <w:szCs w:val="21"/>
        </w:rPr>
        <w:t xml:space="preserve"> </w:t>
      </w:r>
    </w:p>
    <w:p w14:paraId="52B97F56">
      <w:pPr>
        <w:pStyle w:val="91"/>
        <w:snapToGrid w:val="0"/>
        <w:spacing w:before="0"/>
        <w:ind w:firstLine="420"/>
        <w:rPr>
          <w:rFonts w:hAnsi="宋体"/>
          <w:color w:val="auto"/>
          <w:sz w:val="21"/>
          <w:szCs w:val="21"/>
        </w:rPr>
      </w:pPr>
      <w:r>
        <w:rPr>
          <w:rFonts w:hAnsi="宋体"/>
          <w:color w:val="auto"/>
          <w:sz w:val="21"/>
          <w:szCs w:val="21"/>
        </w:rPr>
        <w:t>19</w:t>
      </w:r>
      <w:r>
        <w:rPr>
          <w:rFonts w:hint="eastAsia" w:hAnsi="宋体"/>
          <w:color w:val="auto"/>
          <w:sz w:val="21"/>
          <w:szCs w:val="21"/>
        </w:rPr>
        <w:t>.2投标文件按照招标文件第六章格式要求在规定位置进行签署、盖章。投标人的投标文件未按照招标文件要求签署、盖章的，</w:t>
      </w:r>
      <w:r>
        <w:rPr>
          <w:rFonts w:hint="eastAsia" w:hAnsi="宋体"/>
          <w:b/>
          <w:color w:val="auto"/>
          <w:sz w:val="21"/>
          <w:szCs w:val="21"/>
        </w:rPr>
        <w:t>其投标无效。</w:t>
      </w:r>
      <w:r>
        <w:rPr>
          <w:rFonts w:hint="eastAsia" w:hAnsi="宋体"/>
          <w:color w:val="auto"/>
          <w:sz w:val="21"/>
          <w:szCs w:val="21"/>
        </w:rPr>
        <w:t>骑缝盖公章不视为在规定位置盖章。</w:t>
      </w:r>
    </w:p>
    <w:p w14:paraId="600A149B">
      <w:pPr>
        <w:pStyle w:val="91"/>
        <w:snapToGrid w:val="0"/>
        <w:spacing w:before="0"/>
        <w:ind w:firstLine="420"/>
        <w:rPr>
          <w:rFonts w:hAnsi="宋体"/>
          <w:color w:val="auto"/>
          <w:sz w:val="21"/>
          <w:szCs w:val="21"/>
        </w:rPr>
      </w:pPr>
      <w:r>
        <w:rPr>
          <w:rFonts w:hAnsi="宋体"/>
          <w:color w:val="auto"/>
          <w:sz w:val="21"/>
          <w:szCs w:val="21"/>
        </w:rPr>
        <w:t>19.</w:t>
      </w:r>
      <w:r>
        <w:rPr>
          <w:rFonts w:hint="eastAsia" w:hAnsi="宋体"/>
          <w:color w:val="auto"/>
          <w:sz w:val="21"/>
          <w:szCs w:val="21"/>
        </w:rPr>
        <w:t>3为确保网上操作合法、有效和安全，投标人应当在投标截止时间前完成在</w:t>
      </w:r>
      <w:r>
        <w:rPr>
          <w:rFonts w:hint="eastAsia" w:hAnsi="宋体"/>
          <w:color w:val="auto"/>
          <w:sz w:val="21"/>
          <w:szCs w:val="21"/>
          <w:lang w:eastAsia="zh-CN"/>
        </w:rPr>
        <w:t>广西政府采购云平台</w:t>
      </w:r>
      <w:r>
        <w:rPr>
          <w:rFonts w:hint="eastAsia" w:hAnsi="宋体"/>
          <w:color w:val="auto"/>
          <w:sz w:val="21"/>
          <w:szCs w:val="21"/>
        </w:rPr>
        <w:t>的身份认证，确保在电子投标过程中能够对相关数据电文进行加密和使用电子签名。</w:t>
      </w:r>
    </w:p>
    <w:p w14:paraId="37570292">
      <w:pPr>
        <w:spacing w:line="360" w:lineRule="auto"/>
        <w:ind w:firstLine="422" w:firstLineChars="200"/>
        <w:rPr>
          <w:rFonts w:ascii="宋体" w:hAnsi="宋体"/>
          <w:b/>
          <w:color w:val="auto"/>
          <w:szCs w:val="21"/>
        </w:rPr>
      </w:pPr>
      <w:r>
        <w:rPr>
          <w:rFonts w:hint="eastAsia" w:ascii="宋体" w:hAnsi="宋体"/>
          <w:b/>
          <w:color w:val="auto"/>
          <w:szCs w:val="21"/>
        </w:rPr>
        <w:t>19.4投标文件中标注的投标人名称应与主体资格证明（如营业执照、事业单位法人证书、执业许可证、自然人身份证等）及公章一致，</w:t>
      </w:r>
      <w:r>
        <w:rPr>
          <w:rFonts w:hint="eastAsia" w:ascii="宋体" w:hAnsi="宋体"/>
          <w:color w:val="auto"/>
          <w:szCs w:val="21"/>
        </w:rPr>
        <w:t>否则作无效投标处理</w:t>
      </w:r>
      <w:r>
        <w:rPr>
          <w:rFonts w:hint="eastAsia" w:ascii="宋体" w:hAnsi="宋体"/>
          <w:b/>
          <w:color w:val="auto"/>
          <w:szCs w:val="21"/>
        </w:rPr>
        <w:t>。</w:t>
      </w:r>
    </w:p>
    <w:p w14:paraId="5AD2C235">
      <w:pPr>
        <w:spacing w:line="360" w:lineRule="auto"/>
        <w:ind w:firstLine="420" w:firstLineChars="200"/>
        <w:rPr>
          <w:rFonts w:ascii="宋体" w:hAnsi="宋体" w:cs="宋体"/>
          <w:b/>
          <w:color w:val="auto"/>
          <w:szCs w:val="21"/>
        </w:rPr>
      </w:pPr>
      <w:r>
        <w:rPr>
          <w:rFonts w:hint="eastAsia" w:hAnsi="宋体"/>
          <w:color w:val="auto"/>
          <w:szCs w:val="21"/>
        </w:rPr>
        <w:t>19.5投标文件应避免涂改、行间插字或者删除，</w:t>
      </w:r>
      <w:r>
        <w:rPr>
          <w:rFonts w:hint="eastAsia" w:ascii="宋体" w:hAnsi="宋体" w:cs="宋体"/>
          <w:b/>
          <w:color w:val="auto"/>
          <w:szCs w:val="21"/>
        </w:rPr>
        <w:t>否则其投标无效。</w:t>
      </w:r>
    </w:p>
    <w:p w14:paraId="61E93B79">
      <w:pPr>
        <w:spacing w:line="360" w:lineRule="auto"/>
        <w:ind w:firstLine="420" w:firstLineChars="200"/>
        <w:rPr>
          <w:rFonts w:hAnsi="宋体"/>
          <w:color w:val="auto"/>
        </w:rPr>
      </w:pPr>
      <w:r>
        <w:rPr>
          <w:rFonts w:hint="eastAsia" w:hAnsi="宋体"/>
          <w:color w:val="auto"/>
          <w:szCs w:val="21"/>
        </w:rPr>
        <w:t>19.6</w:t>
      </w:r>
      <w:r>
        <w:rPr>
          <w:rFonts w:hint="eastAsia" w:hAnsi="宋体"/>
          <w:color w:val="auto"/>
        </w:rPr>
        <w:t>对招标文件的实质性要求和条件作出响应是指投标人必须对招标文件中标注为实质性要求和条件的</w:t>
      </w:r>
      <w:r>
        <w:rPr>
          <w:rFonts w:hint="eastAsia"/>
          <w:color w:val="auto"/>
          <w:szCs w:val="21"/>
        </w:rPr>
        <w:t>货物内容及要求</w:t>
      </w:r>
      <w:r>
        <w:rPr>
          <w:rFonts w:hint="eastAsia" w:hAnsi="宋体"/>
          <w:color w:val="auto"/>
        </w:rPr>
        <w:t>、商务条款及其它内容</w:t>
      </w:r>
      <w:r>
        <w:rPr>
          <w:rFonts w:hint="eastAsia"/>
          <w:b/>
          <w:color w:val="auto"/>
        </w:rPr>
        <w:t>作出满足或者优于原要求和条件的承诺</w:t>
      </w:r>
      <w:r>
        <w:rPr>
          <w:rFonts w:hint="eastAsia"/>
          <w:color w:val="auto"/>
        </w:rPr>
        <w:t>。</w:t>
      </w:r>
    </w:p>
    <w:p w14:paraId="2037E682">
      <w:pPr>
        <w:spacing w:line="360" w:lineRule="auto"/>
        <w:ind w:firstLine="422" w:firstLineChars="200"/>
        <w:rPr>
          <w:rFonts w:ascii="宋体" w:hAnsi="宋体"/>
          <w:b/>
          <w:color w:val="auto"/>
          <w:szCs w:val="21"/>
          <w:u w:val="single"/>
        </w:rPr>
      </w:pPr>
      <w:r>
        <w:rPr>
          <w:rFonts w:hint="eastAsia" w:ascii="宋体" w:hAnsi="宋体"/>
          <w:b/>
          <w:color w:val="auto"/>
          <w:szCs w:val="21"/>
          <w:u w:val="single"/>
        </w:rPr>
        <w:t>19.7本项目为南宁市本级全流程电子化项目，异常情况见“第二节 投标人须知正文”中“四、24.2</w:t>
      </w:r>
      <w:r>
        <w:rPr>
          <w:rFonts w:ascii="宋体" w:hAnsi="宋体"/>
          <w:b/>
          <w:color w:val="auto"/>
          <w:szCs w:val="21"/>
          <w:u w:val="single"/>
        </w:rPr>
        <w:t>开</w:t>
      </w:r>
      <w:r>
        <w:rPr>
          <w:rFonts w:hint="eastAsia" w:ascii="宋体" w:hAnsi="宋体"/>
          <w:b/>
          <w:color w:val="auto"/>
          <w:szCs w:val="21"/>
          <w:u w:val="single"/>
        </w:rPr>
        <w:t>标</w:t>
      </w:r>
      <w:r>
        <w:rPr>
          <w:rFonts w:ascii="宋体" w:hAnsi="宋体"/>
          <w:b/>
          <w:color w:val="auto"/>
          <w:szCs w:val="21"/>
          <w:u w:val="single"/>
        </w:rPr>
        <w:t>程序</w:t>
      </w:r>
      <w:r>
        <w:rPr>
          <w:rFonts w:hint="eastAsia" w:ascii="宋体" w:hAnsi="宋体"/>
          <w:b/>
          <w:color w:val="auto"/>
          <w:szCs w:val="21"/>
          <w:u w:val="single"/>
        </w:rPr>
        <w:t>。</w:t>
      </w:r>
    </w:p>
    <w:p w14:paraId="7097109D">
      <w:pPr>
        <w:spacing w:line="360" w:lineRule="auto"/>
        <w:ind w:firstLine="480" w:firstLineChars="200"/>
        <w:rPr>
          <w:rFonts w:ascii="黑体" w:hAnsi="黑体" w:eastAsia="黑体"/>
          <w:color w:val="auto"/>
          <w:sz w:val="24"/>
        </w:rPr>
      </w:pPr>
      <w:r>
        <w:rPr>
          <w:rFonts w:hint="eastAsia" w:ascii="黑体" w:hAnsi="黑体" w:eastAsia="黑体"/>
          <w:color w:val="auto"/>
          <w:sz w:val="24"/>
        </w:rPr>
        <w:t>20.备份投标文件</w:t>
      </w:r>
    </w:p>
    <w:p w14:paraId="50C83289">
      <w:pPr>
        <w:spacing w:line="360" w:lineRule="auto"/>
        <w:ind w:firstLine="420" w:firstLineChars="200"/>
        <w:rPr>
          <w:rFonts w:ascii="黑体" w:hAnsi="黑体" w:eastAsia="黑体"/>
          <w:color w:val="auto"/>
          <w:sz w:val="24"/>
        </w:rPr>
      </w:pPr>
      <w:r>
        <w:rPr>
          <w:rFonts w:hint="eastAsia" w:hAnsi="宋体"/>
          <w:bCs/>
          <w:color w:val="auto"/>
          <w:szCs w:val="21"/>
        </w:rPr>
        <w:t>详见在“投标人须知前附表”。</w:t>
      </w:r>
    </w:p>
    <w:p w14:paraId="06E33CC6">
      <w:pPr>
        <w:spacing w:line="360" w:lineRule="auto"/>
        <w:ind w:firstLine="480" w:firstLineChars="200"/>
        <w:rPr>
          <w:rFonts w:ascii="黑体" w:hAnsi="黑体" w:eastAsia="黑体"/>
          <w:color w:val="auto"/>
          <w:sz w:val="24"/>
        </w:rPr>
      </w:pPr>
      <w:r>
        <w:rPr>
          <w:rFonts w:hint="eastAsia" w:ascii="黑体" w:hAnsi="黑体" w:eastAsia="黑体"/>
          <w:color w:val="auto"/>
          <w:sz w:val="24"/>
        </w:rPr>
        <w:t>21.投标文件的提交</w:t>
      </w:r>
    </w:p>
    <w:p w14:paraId="5BF32082">
      <w:pPr>
        <w:spacing w:line="360" w:lineRule="auto"/>
        <w:ind w:firstLine="420" w:firstLineChars="200"/>
        <w:rPr>
          <w:rFonts w:hAnsi="宋体"/>
          <w:b/>
          <w:color w:val="auto"/>
        </w:rPr>
      </w:pPr>
      <w:bookmarkStart w:id="105" w:name="_21.1投标人必须在“投标人须知中的前附表”规定的投标文件接收时间和投"/>
      <w:bookmarkEnd w:id="105"/>
      <w:r>
        <w:rPr>
          <w:rFonts w:hint="eastAsia" w:hAnsi="宋体"/>
          <w:bCs/>
          <w:color w:val="auto"/>
          <w:szCs w:val="21"/>
        </w:rPr>
        <w:t>21.1投标人必须在“投标人须知前附表”规定的投标文件接收时间和投标地点提交电子版投标文件。电子投标文件应在制作完成后，</w:t>
      </w:r>
      <w:r>
        <w:rPr>
          <w:rFonts w:hAnsi="宋体"/>
          <w:bCs/>
          <w:color w:val="auto"/>
          <w:szCs w:val="21"/>
        </w:rPr>
        <w:t>在投标截止时间前</w:t>
      </w:r>
      <w:r>
        <w:rPr>
          <w:rFonts w:hint="eastAsia" w:hAnsi="宋体"/>
          <w:bCs/>
          <w:color w:val="auto"/>
          <w:szCs w:val="21"/>
        </w:rPr>
        <w:t>通过有效数字证书（CA认证锁）进行电子签章、加密，然后通过网络将加密的电子投标文件递交至“南宁市本级政采云平台”。</w:t>
      </w:r>
    </w:p>
    <w:p w14:paraId="2F81FA23">
      <w:pPr>
        <w:spacing w:line="360" w:lineRule="auto"/>
        <w:ind w:firstLine="422" w:firstLineChars="200"/>
        <w:rPr>
          <w:rFonts w:ascii="宋体" w:hAnsi="宋体"/>
          <w:b/>
          <w:color w:val="auto"/>
          <w:szCs w:val="20"/>
        </w:rPr>
      </w:pPr>
      <w:r>
        <w:rPr>
          <w:rFonts w:hint="eastAsia" w:ascii="宋体" w:hAnsi="宋体"/>
          <w:b/>
          <w:color w:val="auto"/>
          <w:szCs w:val="21"/>
        </w:rPr>
        <w:t>21.</w:t>
      </w:r>
      <w:r>
        <w:rPr>
          <w:rFonts w:ascii="宋体" w:hAnsi="宋体"/>
          <w:b/>
          <w:color w:val="auto"/>
          <w:szCs w:val="21"/>
        </w:rPr>
        <w:t>2</w:t>
      </w:r>
      <w:r>
        <w:rPr>
          <w:rFonts w:hint="eastAsia" w:ascii="宋体" w:hAnsi="宋体"/>
          <w:b/>
          <w:color w:val="auto"/>
          <w:szCs w:val="21"/>
        </w:rPr>
        <w:t>未在规定时间内提交或者未按照招标文件要求密封或者标记的电子投标文件，</w:t>
      </w:r>
      <w:r>
        <w:rPr>
          <w:rFonts w:hint="eastAsia" w:ascii="宋体" w:hAnsi="宋体"/>
          <w:b/>
          <w:color w:val="auto"/>
          <w:szCs w:val="21"/>
          <w:lang w:eastAsia="zh-CN"/>
        </w:rPr>
        <w:t>广西政府采购云平台</w:t>
      </w:r>
      <w:r>
        <w:rPr>
          <w:rFonts w:hint="eastAsia" w:ascii="宋体" w:hAnsi="宋体"/>
          <w:b/>
          <w:color w:val="auto"/>
          <w:szCs w:val="21"/>
        </w:rPr>
        <w:t>将拒收。</w:t>
      </w:r>
    </w:p>
    <w:p w14:paraId="3CE0B61A">
      <w:pPr>
        <w:spacing w:line="360" w:lineRule="auto"/>
        <w:ind w:firstLine="420" w:firstLineChars="200"/>
        <w:rPr>
          <w:rFonts w:ascii="宋体" w:hAnsi="宋体"/>
          <w:color w:val="auto"/>
          <w:szCs w:val="21"/>
        </w:rPr>
      </w:pPr>
      <w:r>
        <w:rPr>
          <w:rFonts w:hint="eastAsia" w:ascii="宋体" w:hAnsi="宋体"/>
          <w:color w:val="auto"/>
          <w:szCs w:val="21"/>
        </w:rPr>
        <w:t>21.</w:t>
      </w:r>
      <w:r>
        <w:rPr>
          <w:rFonts w:ascii="宋体" w:hAnsi="宋体"/>
          <w:color w:val="auto"/>
          <w:szCs w:val="21"/>
        </w:rPr>
        <w:t>3</w:t>
      </w:r>
      <w:r>
        <w:rPr>
          <w:rFonts w:hint="eastAsia" w:ascii="宋体" w:hAnsi="宋体"/>
          <w:color w:val="auto"/>
          <w:szCs w:val="21"/>
        </w:rPr>
        <w:t>电子版投标文件提交方式见“招标公告”中“四、提交投标文件截止时间、开标时间和地点”</w:t>
      </w:r>
      <w:r>
        <w:rPr>
          <w:rFonts w:hint="eastAsia" w:ascii="宋体" w:hAnsi="宋体"/>
          <w:b/>
          <w:color w:val="auto"/>
          <w:szCs w:val="21"/>
        </w:rPr>
        <w:t xml:space="preserve"> 。</w:t>
      </w:r>
    </w:p>
    <w:p w14:paraId="3486421E">
      <w:pPr>
        <w:spacing w:line="360" w:lineRule="auto"/>
        <w:ind w:firstLine="480" w:firstLineChars="200"/>
        <w:rPr>
          <w:rFonts w:ascii="黑体" w:hAnsi="黑体" w:eastAsia="黑体"/>
          <w:color w:val="auto"/>
          <w:sz w:val="24"/>
        </w:rPr>
      </w:pPr>
      <w:r>
        <w:rPr>
          <w:rFonts w:hint="eastAsia" w:ascii="黑体" w:hAnsi="黑体" w:eastAsia="黑体"/>
          <w:color w:val="auto"/>
          <w:sz w:val="24"/>
        </w:rPr>
        <w:t>22. 投标文件的补充、修改、撤回与退回</w:t>
      </w:r>
      <w:bookmarkStart w:id="106" w:name="_Toc254970543"/>
      <w:bookmarkStart w:id="107" w:name="_Toc254970684"/>
    </w:p>
    <w:p w14:paraId="1CDCE551">
      <w:pPr>
        <w:spacing w:line="360" w:lineRule="auto"/>
        <w:ind w:firstLine="420" w:firstLineChars="200"/>
        <w:rPr>
          <w:rFonts w:ascii="黑体" w:hAnsi="黑体" w:eastAsia="黑体"/>
          <w:color w:val="auto"/>
          <w:sz w:val="24"/>
        </w:rPr>
      </w:pPr>
      <w:r>
        <w:rPr>
          <w:rFonts w:ascii="宋体" w:hAnsi="宋体" w:cs="宋体"/>
          <w:color w:val="auto"/>
          <w:szCs w:val="21"/>
        </w:rPr>
        <w:t>22</w:t>
      </w:r>
      <w:r>
        <w:rPr>
          <w:rFonts w:hint="eastAsia" w:ascii="宋体" w:hAnsi="宋体" w:cs="宋体"/>
          <w:color w:val="auto"/>
          <w:szCs w:val="21"/>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宋体" w:hAnsi="宋体" w:cs="宋体"/>
          <w:color w:val="auto"/>
          <w:szCs w:val="21"/>
          <w:lang w:eastAsia="zh-CN"/>
        </w:rPr>
        <w:t>广西政府采购云平台</w:t>
      </w:r>
      <w:r>
        <w:rPr>
          <w:rFonts w:hint="eastAsia" w:ascii="宋体" w:hAnsi="宋体" w:cs="宋体"/>
          <w:color w:val="auto"/>
          <w:szCs w:val="21"/>
        </w:rPr>
        <w:t>将拒收。（补充、修改或者撤回方式见公告附件“电子投标文件制作与投送教程”）</w:t>
      </w:r>
    </w:p>
    <w:p w14:paraId="5FFA62CB">
      <w:pPr>
        <w:pStyle w:val="91"/>
        <w:spacing w:before="0"/>
        <w:ind w:firstLine="420"/>
        <w:rPr>
          <w:rFonts w:ascii="宋体" w:hAnsi="宋体" w:cs="宋体"/>
          <w:color w:val="auto"/>
          <w:sz w:val="21"/>
          <w:szCs w:val="21"/>
        </w:rPr>
      </w:pPr>
      <w:r>
        <w:rPr>
          <w:rFonts w:ascii="宋体" w:hAnsi="宋体" w:cs="宋体"/>
          <w:color w:val="auto"/>
          <w:sz w:val="21"/>
          <w:szCs w:val="21"/>
        </w:rPr>
        <w:t>22.</w:t>
      </w:r>
      <w:r>
        <w:rPr>
          <w:rFonts w:hint="eastAsia" w:ascii="宋体" w:hAnsi="宋体" w:cs="宋体"/>
          <w:color w:val="auto"/>
          <w:sz w:val="21"/>
          <w:szCs w:val="21"/>
        </w:rPr>
        <w:t>2</w:t>
      </w:r>
      <w:r>
        <w:rPr>
          <w:rFonts w:hint="eastAsia" w:ascii="宋体" w:hAnsi="宋体" w:cs="宋体"/>
          <w:color w:val="auto"/>
          <w:sz w:val="21"/>
          <w:szCs w:val="21"/>
          <w:lang w:eastAsia="zh-CN"/>
        </w:rPr>
        <w:t>广西政府采购云平台</w:t>
      </w:r>
      <w:r>
        <w:rPr>
          <w:rFonts w:hint="eastAsia" w:ascii="宋体" w:hAnsi="宋体" w:cs="宋体"/>
          <w:color w:val="auto"/>
          <w:sz w:val="21"/>
          <w:szCs w:val="21"/>
        </w:rPr>
        <w:t>收到投标文件，将妥善保存并即时向供应商发出确认回执通知。在投标截止时间前，除供应商补充、修改或者撤回投标文件外，任何单位和个人不得解密或提取投标文件。</w:t>
      </w:r>
    </w:p>
    <w:bookmarkEnd w:id="106"/>
    <w:bookmarkEnd w:id="107"/>
    <w:p w14:paraId="711BD05D">
      <w:pPr>
        <w:spacing w:line="360" w:lineRule="auto"/>
        <w:ind w:firstLine="420" w:firstLineChars="200"/>
        <w:rPr>
          <w:rFonts w:ascii="宋体" w:hAnsi="宋体" w:cs="宋体"/>
          <w:color w:val="auto"/>
          <w:szCs w:val="21"/>
        </w:rPr>
      </w:pPr>
      <w:r>
        <w:rPr>
          <w:rFonts w:hint="eastAsia" w:ascii="宋体" w:hAnsi="宋体" w:cs="宋体"/>
          <w:color w:val="auto"/>
          <w:szCs w:val="21"/>
        </w:rPr>
        <w:t>22.</w:t>
      </w:r>
      <w:r>
        <w:rPr>
          <w:rFonts w:ascii="宋体" w:hAnsi="宋体" w:cs="宋体"/>
          <w:color w:val="auto"/>
          <w:szCs w:val="21"/>
        </w:rPr>
        <w:t>3</w:t>
      </w:r>
      <w:r>
        <w:rPr>
          <w:rFonts w:hint="eastAsia" w:ascii="宋体" w:hAnsi="宋体" w:cs="宋体"/>
          <w:color w:val="auto"/>
          <w:szCs w:val="21"/>
        </w:rPr>
        <w:t>在投标截止时间止提交电子版投标文件的投标人不足3家时，电子版投标文件由代理机构在</w:t>
      </w:r>
      <w:r>
        <w:rPr>
          <w:rFonts w:hint="eastAsia" w:ascii="宋体" w:hAnsi="宋体" w:cs="宋体"/>
          <w:color w:val="auto"/>
          <w:szCs w:val="21"/>
          <w:lang w:eastAsia="zh-CN"/>
        </w:rPr>
        <w:t>广西政府采购云平台</w:t>
      </w:r>
      <w:r>
        <w:rPr>
          <w:rFonts w:hint="eastAsia" w:ascii="宋体" w:hAnsi="宋体" w:cs="宋体"/>
          <w:color w:val="auto"/>
          <w:szCs w:val="21"/>
        </w:rPr>
        <w:t>操作退回，除此之外采购人和采购代理机构对已提交的投标文件概不退回。</w:t>
      </w:r>
    </w:p>
    <w:p w14:paraId="48352CFC">
      <w:pPr>
        <w:pStyle w:val="14"/>
        <w:snapToGrid w:val="0"/>
        <w:spacing w:line="400" w:lineRule="exact"/>
        <w:ind w:firstLine="739"/>
        <w:rPr>
          <w:rFonts w:hAnsi="宋体"/>
          <w:snapToGrid w:val="0"/>
          <w:color w:val="auto"/>
          <w:sz w:val="21"/>
          <w:szCs w:val="21"/>
        </w:rPr>
      </w:pPr>
    </w:p>
    <w:p w14:paraId="1AD60D71">
      <w:pPr>
        <w:pStyle w:val="4"/>
        <w:keepNext w:val="0"/>
        <w:keepLines w:val="0"/>
        <w:spacing w:line="400" w:lineRule="exact"/>
        <w:jc w:val="center"/>
        <w:rPr>
          <w:color w:val="auto"/>
        </w:rPr>
      </w:pPr>
      <w:bookmarkStart w:id="108" w:name="_Toc80092998"/>
      <w:bookmarkStart w:id="109" w:name="_Toc254970685"/>
      <w:bookmarkStart w:id="110" w:name="_Toc254970544"/>
      <w:r>
        <w:rPr>
          <w:rFonts w:hint="eastAsia"/>
          <w:color w:val="auto"/>
        </w:rPr>
        <w:t>四、开    标</w:t>
      </w:r>
      <w:bookmarkEnd w:id="108"/>
      <w:bookmarkEnd w:id="109"/>
      <w:bookmarkEnd w:id="110"/>
    </w:p>
    <w:p w14:paraId="0FB10E80">
      <w:pPr>
        <w:spacing w:line="360" w:lineRule="auto"/>
        <w:ind w:firstLine="480" w:firstLineChars="200"/>
        <w:rPr>
          <w:rFonts w:ascii="黑体" w:hAnsi="黑体" w:eastAsia="黑体"/>
          <w:color w:val="auto"/>
          <w:sz w:val="24"/>
        </w:rPr>
      </w:pPr>
      <w:bookmarkStart w:id="111" w:name="_23.开标时间和地点"/>
      <w:bookmarkEnd w:id="111"/>
      <w:r>
        <w:rPr>
          <w:rFonts w:hint="eastAsia" w:ascii="黑体" w:hAnsi="黑体" w:eastAsia="黑体"/>
          <w:color w:val="auto"/>
          <w:sz w:val="24"/>
        </w:rPr>
        <w:t>23.开标时间和地点</w:t>
      </w:r>
    </w:p>
    <w:p w14:paraId="62B88C12">
      <w:pPr>
        <w:spacing w:line="360" w:lineRule="auto"/>
        <w:ind w:firstLine="420" w:firstLineChars="200"/>
        <w:rPr>
          <w:rFonts w:hAnsi="宋体"/>
          <w:bCs/>
          <w:color w:val="auto"/>
        </w:rPr>
      </w:pPr>
      <w:r>
        <w:rPr>
          <w:rFonts w:hint="eastAsia" w:hAnsi="宋体"/>
          <w:bCs/>
          <w:color w:val="auto"/>
        </w:rPr>
        <w:t>23.1开标时间及地点详见“投标人须知前附表”</w:t>
      </w:r>
    </w:p>
    <w:p w14:paraId="4F3D0C4B">
      <w:pPr>
        <w:spacing w:line="360" w:lineRule="auto"/>
        <w:ind w:firstLine="420" w:firstLineChars="200"/>
        <w:rPr>
          <w:color w:val="auto"/>
        </w:rPr>
      </w:pPr>
      <w:r>
        <w:rPr>
          <w:rFonts w:hint="eastAsia" w:hAnsi="宋体"/>
          <w:color w:val="auto"/>
        </w:rPr>
        <w:t>23.2如</w:t>
      </w:r>
      <w:r>
        <w:rPr>
          <w:rFonts w:hint="eastAsia" w:hAnsi="宋体"/>
          <w:bCs/>
          <w:color w:val="auto"/>
        </w:rPr>
        <w:t>投标人成功解密投标文件，但未在“政采云”电子开标大厅参加开标的，视同认可开标过程和结果，</w:t>
      </w:r>
      <w:r>
        <w:rPr>
          <w:rFonts w:hint="eastAsia" w:hAnsi="宋体"/>
          <w:color w:val="auto"/>
        </w:rPr>
        <w:t>由此产生的后果由投标人自行负责。</w:t>
      </w:r>
      <w:r>
        <w:rPr>
          <w:rFonts w:hint="eastAsia"/>
          <w:color w:val="auto"/>
        </w:rPr>
        <w:t>投标人不足3家的，不得开标。</w:t>
      </w:r>
    </w:p>
    <w:p w14:paraId="5647F12E">
      <w:pPr>
        <w:spacing w:line="360" w:lineRule="auto"/>
        <w:ind w:firstLine="480" w:firstLineChars="200"/>
        <w:rPr>
          <w:rFonts w:ascii="黑体" w:hAnsi="黑体" w:eastAsia="黑体"/>
          <w:color w:val="auto"/>
          <w:sz w:val="24"/>
        </w:rPr>
      </w:pPr>
      <w:r>
        <w:rPr>
          <w:rFonts w:hint="eastAsia" w:ascii="黑体" w:hAnsi="黑体" w:eastAsia="黑体"/>
          <w:color w:val="auto"/>
          <w:sz w:val="24"/>
        </w:rPr>
        <w:t>24.开标程序</w:t>
      </w:r>
    </w:p>
    <w:p w14:paraId="030E0009">
      <w:pPr>
        <w:autoSpaceDE w:val="0"/>
        <w:autoSpaceDN w:val="0"/>
        <w:adjustRightInd w:val="0"/>
        <w:spacing w:line="440" w:lineRule="exact"/>
        <w:ind w:firstLine="420" w:firstLineChars="200"/>
        <w:rPr>
          <w:rFonts w:ascii="宋体" w:hAnsi="宋体"/>
          <w:color w:val="auto"/>
          <w:kern w:val="0"/>
          <w:szCs w:val="21"/>
        </w:rPr>
      </w:pPr>
      <w:r>
        <w:rPr>
          <w:rFonts w:hint="eastAsia" w:ascii="宋体" w:hAnsi="宋体"/>
          <w:bCs/>
          <w:color w:val="auto"/>
          <w:szCs w:val="21"/>
        </w:rPr>
        <w:t>24.1</w:t>
      </w:r>
      <w:r>
        <w:rPr>
          <w:rFonts w:hint="eastAsia" w:ascii="宋体" w:hAnsi="宋体"/>
          <w:color w:val="auto"/>
          <w:kern w:val="0"/>
          <w:szCs w:val="21"/>
        </w:rPr>
        <w:t>开标形式：</w:t>
      </w:r>
    </w:p>
    <w:p w14:paraId="4858BCFC">
      <w:pPr>
        <w:autoSpaceDE w:val="0"/>
        <w:autoSpaceDN w:val="0"/>
        <w:adjustRightInd w:val="0"/>
        <w:spacing w:line="440" w:lineRule="exact"/>
        <w:ind w:firstLine="420" w:firstLineChars="200"/>
        <w:rPr>
          <w:rFonts w:ascii="宋体" w:hAnsi="宋体"/>
          <w:bCs/>
          <w:color w:val="auto"/>
          <w:szCs w:val="21"/>
        </w:rPr>
      </w:pPr>
      <w:r>
        <w:rPr>
          <w:rFonts w:hint="eastAsia" w:ascii="宋体" w:hAnsi="宋体"/>
          <w:color w:val="auto"/>
          <w:szCs w:val="21"/>
        </w:rPr>
        <w:t>（1）</w:t>
      </w:r>
      <w:r>
        <w:rPr>
          <w:rFonts w:hint="eastAsia" w:ascii="宋体" w:hAnsi="宋体"/>
          <w:bCs/>
          <w:color w:val="auto"/>
          <w:szCs w:val="21"/>
        </w:rPr>
        <w:t>开标的准备工作由采购代理机构负责落实，采购代理机构必须基于</w:t>
      </w:r>
      <w:r>
        <w:rPr>
          <w:rFonts w:hint="eastAsia" w:ascii="宋体" w:hAnsi="宋体"/>
          <w:bCs/>
          <w:color w:val="auto"/>
          <w:szCs w:val="21"/>
          <w:lang w:eastAsia="zh-CN"/>
        </w:rPr>
        <w:t>广西政府采购云平台</w:t>
      </w:r>
      <w:r>
        <w:rPr>
          <w:rFonts w:hint="eastAsia" w:ascii="宋体" w:hAnsi="宋体"/>
          <w:bCs/>
          <w:color w:val="auto"/>
          <w:szCs w:val="21"/>
        </w:rPr>
        <w:t>选取评审专家，如采购代理机构未按规定选取专家的，视为本次开评标无效，应当重新采购；</w:t>
      </w:r>
    </w:p>
    <w:p w14:paraId="5A1C87C2">
      <w:pPr>
        <w:autoSpaceDE w:val="0"/>
        <w:autoSpaceDN w:val="0"/>
        <w:adjustRightInd w:val="0"/>
        <w:spacing w:line="440" w:lineRule="exact"/>
        <w:ind w:firstLine="420" w:firstLineChars="200"/>
        <w:rPr>
          <w:rFonts w:ascii="宋体" w:hAnsi="宋体"/>
          <w:bCs/>
          <w:color w:val="auto"/>
          <w:szCs w:val="21"/>
        </w:rPr>
      </w:pPr>
      <w:r>
        <w:rPr>
          <w:rFonts w:hint="eastAsia" w:ascii="宋体" w:hAnsi="宋体"/>
          <w:bCs/>
          <w:color w:val="auto"/>
          <w:szCs w:val="21"/>
        </w:rPr>
        <w:t>（2）采购代理机构将按照招标文件规定的时间通过</w:t>
      </w:r>
      <w:r>
        <w:rPr>
          <w:rFonts w:hint="eastAsia" w:ascii="宋体" w:hAnsi="宋体"/>
          <w:bCs/>
          <w:color w:val="auto"/>
          <w:szCs w:val="21"/>
          <w:lang w:eastAsia="zh-CN"/>
        </w:rPr>
        <w:t>广西政府采购云平台</w:t>
      </w:r>
      <w:r>
        <w:rPr>
          <w:rFonts w:hint="eastAsia" w:ascii="宋体" w:hAnsi="宋体"/>
          <w:bCs/>
          <w:color w:val="auto"/>
          <w:szCs w:val="21"/>
        </w:rPr>
        <w:t>组织线上开标活动、开启投标文件，所有供应商均应当准时在线参加。投标人</w:t>
      </w:r>
      <w:r>
        <w:rPr>
          <w:rFonts w:ascii="宋体" w:hAnsi="宋体"/>
          <w:bCs/>
          <w:color w:val="auto"/>
          <w:szCs w:val="21"/>
        </w:rPr>
        <w:t>如不</w:t>
      </w:r>
      <w:r>
        <w:rPr>
          <w:rFonts w:hint="eastAsia" w:ascii="宋体" w:hAnsi="宋体"/>
          <w:bCs/>
          <w:color w:val="auto"/>
          <w:szCs w:val="21"/>
        </w:rPr>
        <w:t>参加</w:t>
      </w:r>
      <w:r>
        <w:rPr>
          <w:rFonts w:ascii="宋体" w:hAnsi="宋体"/>
          <w:bCs/>
          <w:color w:val="auto"/>
          <w:szCs w:val="21"/>
        </w:rPr>
        <w:t>开标大会的，</w:t>
      </w:r>
      <w:r>
        <w:rPr>
          <w:rFonts w:hint="eastAsia" w:ascii="宋体" w:hAnsi="宋体"/>
          <w:bCs/>
          <w:color w:val="auto"/>
          <w:szCs w:val="21"/>
        </w:rPr>
        <w:t>视同认可开标结果，</w:t>
      </w:r>
      <w:r>
        <w:rPr>
          <w:rFonts w:ascii="宋体" w:hAnsi="宋体"/>
          <w:bCs/>
          <w:color w:val="auto"/>
          <w:szCs w:val="21"/>
        </w:rPr>
        <w:t>事后不得对采购相关人员、开标过程和开标结果提出异议</w:t>
      </w:r>
      <w:r>
        <w:rPr>
          <w:rFonts w:hint="eastAsia" w:ascii="宋体" w:hAnsi="宋体"/>
          <w:bCs/>
          <w:color w:val="auto"/>
          <w:szCs w:val="21"/>
        </w:rPr>
        <w:t>，同时投标人因未在线参加开标而导致投标文件无法按时解密等一切后果由投标人自己承担。</w:t>
      </w:r>
    </w:p>
    <w:p w14:paraId="4F37923A">
      <w:pPr>
        <w:autoSpaceDE w:val="0"/>
        <w:autoSpaceDN w:val="0"/>
        <w:adjustRightInd w:val="0"/>
        <w:spacing w:line="440" w:lineRule="exact"/>
        <w:ind w:firstLine="420" w:firstLineChars="200"/>
        <w:rPr>
          <w:rFonts w:ascii="宋体" w:hAnsi="宋体"/>
          <w:bCs/>
          <w:color w:val="auto"/>
          <w:szCs w:val="21"/>
        </w:rPr>
      </w:pPr>
      <w:r>
        <w:rPr>
          <w:rFonts w:hint="eastAsia" w:ascii="宋体" w:hAnsi="宋体"/>
          <w:bCs/>
          <w:color w:val="auto"/>
          <w:szCs w:val="21"/>
        </w:rPr>
        <w:t>24.2</w:t>
      </w:r>
      <w:r>
        <w:rPr>
          <w:rFonts w:ascii="宋体" w:hAnsi="宋体"/>
          <w:bCs/>
          <w:color w:val="auto"/>
          <w:szCs w:val="21"/>
        </w:rPr>
        <w:t>开</w:t>
      </w:r>
      <w:r>
        <w:rPr>
          <w:rFonts w:hint="eastAsia" w:ascii="宋体" w:hAnsi="宋体"/>
          <w:bCs/>
          <w:color w:val="auto"/>
          <w:szCs w:val="21"/>
        </w:rPr>
        <w:t>标</w:t>
      </w:r>
      <w:r>
        <w:rPr>
          <w:rFonts w:ascii="宋体" w:hAnsi="宋体"/>
          <w:bCs/>
          <w:color w:val="auto"/>
          <w:szCs w:val="21"/>
        </w:rPr>
        <w:t>程序：</w:t>
      </w:r>
    </w:p>
    <w:p w14:paraId="731EBE24">
      <w:pPr>
        <w:pStyle w:val="17"/>
        <w:snapToGrid w:val="0"/>
        <w:spacing w:line="440" w:lineRule="exact"/>
        <w:ind w:firstLine="422" w:firstLineChars="200"/>
        <w:rPr>
          <w:rFonts w:hAnsi="宋体"/>
          <w:color w:val="auto"/>
          <w:szCs w:val="21"/>
        </w:rPr>
      </w:pPr>
      <w:r>
        <w:rPr>
          <w:rFonts w:hint="eastAsia" w:hAnsi="宋体"/>
          <w:b/>
          <w:color w:val="auto"/>
          <w:szCs w:val="21"/>
        </w:rPr>
        <w:t>（1）解密电子投标文件。</w:t>
      </w:r>
      <w:r>
        <w:rPr>
          <w:rFonts w:hint="eastAsia" w:hAnsi="宋体" w:cs="仿宋_GB2312"/>
          <w:b w:val="0"/>
          <w:bCs/>
          <w:color w:val="auto"/>
          <w:szCs w:val="21"/>
          <w:lang w:eastAsia="zh-CN"/>
        </w:rPr>
        <w:t>广西政府采购云平台</w:t>
      </w:r>
      <w:r>
        <w:rPr>
          <w:rFonts w:hint="eastAsia" w:hAnsi="宋体" w:cs="仿宋_GB2312"/>
          <w:color w:val="auto"/>
          <w:szCs w:val="21"/>
        </w:rPr>
        <w:t>按开标时间自动提取所有投标文件。采购代理机构依托</w:t>
      </w:r>
      <w:r>
        <w:rPr>
          <w:rFonts w:hint="eastAsia" w:hAnsi="宋体" w:cs="仿宋_GB2312"/>
          <w:color w:val="auto"/>
          <w:szCs w:val="21"/>
          <w:lang w:eastAsia="zh-CN"/>
        </w:rPr>
        <w:t>广西政府采购云平台</w:t>
      </w:r>
      <w:r>
        <w:rPr>
          <w:rFonts w:hint="eastAsia" w:hAnsi="宋体"/>
          <w:color w:val="auto"/>
          <w:szCs w:val="21"/>
        </w:rPr>
        <w:t>向各投标人发出电子加密投标文件【开始解密】通知，由投标人按招标文件规定的时间内自行进行投标文件解密。投标人的法定代表人或其委托代理人</w:t>
      </w:r>
      <w:r>
        <w:rPr>
          <w:rFonts w:hint="eastAsia" w:hAnsi="宋体"/>
          <w:b/>
          <w:color w:val="auto"/>
          <w:szCs w:val="21"/>
        </w:rPr>
        <w:t>须携带加密时所用的CA锁准时登录到</w:t>
      </w:r>
      <w:r>
        <w:rPr>
          <w:rFonts w:hint="eastAsia" w:hAnsi="宋体"/>
          <w:b/>
          <w:color w:val="auto"/>
          <w:szCs w:val="21"/>
          <w:lang w:eastAsia="zh-CN"/>
        </w:rPr>
        <w:t>广西政府采购云平台</w:t>
      </w:r>
      <w:r>
        <w:rPr>
          <w:rFonts w:hint="eastAsia" w:hAnsi="宋体"/>
          <w:b/>
          <w:color w:val="auto"/>
          <w:szCs w:val="21"/>
        </w:rPr>
        <w:t>电子开标大厅签到并对电子投标文件解密</w:t>
      </w:r>
      <w:r>
        <w:rPr>
          <w:rFonts w:hint="eastAsia" w:hAnsi="宋体"/>
          <w:color w:val="auto"/>
          <w:szCs w:val="21"/>
        </w:rPr>
        <w:t>。开标后5分钟投标人还未进行解密的，代理机构要通知投标人。通知后，</w:t>
      </w:r>
      <w:r>
        <w:rPr>
          <w:rFonts w:hint="eastAsia" w:hAnsi="宋体" w:cs="仿宋_GB2312"/>
          <w:color w:val="auto"/>
          <w:szCs w:val="21"/>
        </w:rPr>
        <w:t>投标文件仍未按时解密，</w:t>
      </w:r>
      <w:r>
        <w:rPr>
          <w:rFonts w:hint="eastAsia" w:hAnsi="宋体"/>
          <w:color w:val="auto"/>
          <w:szCs w:val="21"/>
        </w:rPr>
        <w:t>或者投标人没预留联系方式或预留联系方式无效，导致代理机构无法联系到投标人进行解密的，</w:t>
      </w:r>
      <w:r>
        <w:rPr>
          <w:rFonts w:hint="eastAsia" w:hAnsi="宋体"/>
          <w:b/>
          <w:color w:val="auto"/>
          <w:szCs w:val="21"/>
        </w:rPr>
        <w:t>均视为无效投标。</w:t>
      </w:r>
    </w:p>
    <w:p w14:paraId="37F3CD9F">
      <w:pPr>
        <w:pStyle w:val="17"/>
        <w:snapToGrid w:val="0"/>
        <w:spacing w:line="440" w:lineRule="exact"/>
        <w:ind w:firstLine="420" w:firstLineChars="200"/>
        <w:rPr>
          <w:rFonts w:hAnsi="宋体"/>
          <w:color w:val="auto"/>
          <w:szCs w:val="21"/>
        </w:rPr>
      </w:pPr>
      <w:r>
        <w:rPr>
          <w:rFonts w:hint="eastAsia" w:hAnsi="宋体"/>
          <w:color w:val="auto"/>
          <w:szCs w:val="21"/>
        </w:rPr>
        <w:t>（解密</w:t>
      </w:r>
      <w:r>
        <w:rPr>
          <w:rFonts w:hint="eastAsia" w:hAnsi="宋体"/>
          <w:bCs/>
          <w:color w:val="auto"/>
          <w:szCs w:val="21"/>
        </w:rPr>
        <w:t>异常情况处理：详见本章</w:t>
      </w:r>
      <w:r>
        <w:rPr>
          <w:rFonts w:hint="eastAsia" w:hAnsi="宋体"/>
          <w:color w:val="auto"/>
        </w:rPr>
        <w:t>29.3 电子交易活动的中止。</w:t>
      </w:r>
      <w:r>
        <w:rPr>
          <w:rFonts w:hint="eastAsia" w:hAnsi="宋体"/>
          <w:color w:val="auto"/>
          <w:szCs w:val="21"/>
        </w:rPr>
        <w:t>）</w:t>
      </w:r>
    </w:p>
    <w:p w14:paraId="3B7B8AB3">
      <w:pPr>
        <w:spacing w:line="360" w:lineRule="auto"/>
        <w:ind w:firstLine="420" w:firstLineChars="200"/>
        <w:rPr>
          <w:rFonts w:ascii="宋体" w:hAnsi="宋体"/>
          <w:color w:val="auto"/>
          <w:szCs w:val="21"/>
        </w:rPr>
      </w:pPr>
      <w:r>
        <w:rPr>
          <w:rFonts w:hint="eastAsia" w:ascii="宋体" w:hAnsi="宋体"/>
          <w:color w:val="auto"/>
          <w:szCs w:val="21"/>
        </w:rPr>
        <w:t>（2）</w:t>
      </w:r>
      <w:r>
        <w:rPr>
          <w:rFonts w:hint="eastAsia" w:ascii="宋体" w:hAnsi="宋体"/>
          <w:b/>
          <w:color w:val="auto"/>
          <w:szCs w:val="21"/>
        </w:rPr>
        <w:t>电子唱标。</w:t>
      </w:r>
      <w:r>
        <w:rPr>
          <w:rFonts w:hint="eastAsia" w:ascii="宋体" w:hAnsi="宋体"/>
          <w:color w:val="auto"/>
          <w:szCs w:val="21"/>
        </w:rPr>
        <w:t>投标文件解密结束，各投标供应商报价均在</w:t>
      </w:r>
      <w:r>
        <w:rPr>
          <w:rFonts w:hint="eastAsia" w:ascii="宋体" w:hAnsi="宋体"/>
          <w:color w:val="auto"/>
          <w:szCs w:val="21"/>
          <w:lang w:eastAsia="zh-CN"/>
        </w:rPr>
        <w:t>广西政府采购云平台</w:t>
      </w:r>
      <w:r>
        <w:rPr>
          <w:rFonts w:hint="eastAsia" w:ascii="宋体" w:hAnsi="宋体"/>
          <w:color w:val="auto"/>
          <w:szCs w:val="21"/>
        </w:rPr>
        <w:t>远程不见面开标大厅展示；</w:t>
      </w:r>
    </w:p>
    <w:p w14:paraId="6FD7603C">
      <w:pPr>
        <w:spacing w:line="360" w:lineRule="auto"/>
        <w:ind w:firstLine="420" w:firstLineChars="200"/>
        <w:rPr>
          <w:rFonts w:ascii="宋体" w:hAnsi="宋体"/>
          <w:color w:val="auto"/>
          <w:szCs w:val="21"/>
        </w:rPr>
      </w:pPr>
      <w:r>
        <w:rPr>
          <w:rFonts w:hint="eastAsia" w:ascii="宋体" w:hAnsi="宋体"/>
          <w:color w:val="auto"/>
          <w:szCs w:val="21"/>
        </w:rPr>
        <w:t>（3）</w:t>
      </w:r>
      <w:r>
        <w:rPr>
          <w:rFonts w:hint="eastAsia" w:ascii="宋体" w:hAnsi="宋体"/>
          <w:b/>
          <w:color w:val="auto"/>
          <w:szCs w:val="21"/>
        </w:rPr>
        <w:t>签署电子《政府采购活动现场确认声明书》。</w:t>
      </w:r>
      <w:r>
        <w:rPr>
          <w:rFonts w:hint="eastAsia" w:ascii="宋体" w:hAnsi="宋体"/>
          <w:color w:val="auto"/>
          <w:szCs w:val="21"/>
        </w:rPr>
        <w:t>通过邮件形式在远程不见面开标大厅发送各投标人签署电子《政府采购活动现场确认声明书》。</w:t>
      </w:r>
    </w:p>
    <w:p w14:paraId="3F5BBF3B">
      <w:pPr>
        <w:spacing w:line="360" w:lineRule="auto"/>
        <w:ind w:firstLine="420" w:firstLineChars="200"/>
        <w:rPr>
          <w:rFonts w:ascii="宋体" w:hAnsi="宋体"/>
          <w:bCs/>
          <w:color w:val="auto"/>
          <w:szCs w:val="21"/>
        </w:rPr>
      </w:pPr>
      <w:r>
        <w:rPr>
          <w:rFonts w:hint="eastAsia" w:ascii="宋体" w:hAnsi="宋体"/>
          <w:bCs/>
          <w:color w:val="auto"/>
          <w:szCs w:val="21"/>
        </w:rPr>
        <w:t>（4）开标过程由采购代理机构如实记录，并电子留痕，由参加电子开标的各投标人代表对电子开标记录在开标记录公布后15分钟内进行当场校核及勘误，并线上确认，未确认的视同认可开标结果。</w:t>
      </w:r>
    </w:p>
    <w:p w14:paraId="6FEF63EC">
      <w:pPr>
        <w:spacing w:line="360" w:lineRule="auto"/>
        <w:ind w:firstLine="420" w:firstLineChars="200"/>
        <w:rPr>
          <w:rFonts w:ascii="宋体" w:hAnsi="宋体"/>
          <w:bCs/>
          <w:color w:val="auto"/>
          <w:szCs w:val="21"/>
        </w:rPr>
      </w:pPr>
      <w:r>
        <w:rPr>
          <w:rFonts w:hint="eastAsia" w:ascii="宋体" w:hAnsi="宋体"/>
          <w:bCs/>
          <w:color w:val="auto"/>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B9BFACC">
      <w:pPr>
        <w:spacing w:line="360" w:lineRule="auto"/>
        <w:ind w:firstLine="420" w:firstLineChars="200"/>
        <w:rPr>
          <w:rFonts w:ascii="宋体" w:hAnsi="宋体"/>
          <w:bCs/>
          <w:color w:val="auto"/>
          <w:szCs w:val="21"/>
        </w:rPr>
      </w:pPr>
      <w:r>
        <w:rPr>
          <w:rFonts w:hint="eastAsia" w:ascii="宋体" w:hAnsi="宋体"/>
          <w:bCs/>
          <w:color w:val="auto"/>
          <w:szCs w:val="21"/>
        </w:rPr>
        <w:t>（6）开标结束。</w:t>
      </w:r>
    </w:p>
    <w:p w14:paraId="66ADD28D">
      <w:pPr>
        <w:pStyle w:val="17"/>
        <w:snapToGrid w:val="0"/>
        <w:spacing w:line="440" w:lineRule="exact"/>
        <w:ind w:firstLine="422" w:firstLineChars="200"/>
        <w:rPr>
          <w:rFonts w:hAnsi="宋体"/>
          <w:color w:val="auto"/>
          <w:szCs w:val="21"/>
        </w:rPr>
      </w:pPr>
      <w:r>
        <w:rPr>
          <w:rFonts w:hint="eastAsia" w:hAnsi="宋体"/>
          <w:b/>
          <w:bCs/>
          <w:color w:val="auto"/>
          <w:szCs w:val="21"/>
        </w:rPr>
        <w:t>特别说明：</w:t>
      </w:r>
      <w:r>
        <w:rPr>
          <w:rFonts w:hint="eastAsia" w:hAnsi="宋体"/>
          <w:color w:val="auto"/>
          <w:szCs w:val="21"/>
        </w:rPr>
        <w:t>如遇</w:t>
      </w:r>
      <w:r>
        <w:rPr>
          <w:rFonts w:hint="eastAsia" w:hAnsi="宋体"/>
          <w:color w:val="auto"/>
          <w:szCs w:val="21"/>
          <w:lang w:eastAsia="zh-CN"/>
        </w:rPr>
        <w:t>广西政府采购云平台</w:t>
      </w:r>
      <w:r>
        <w:rPr>
          <w:rFonts w:hint="eastAsia" w:hAnsi="宋体"/>
          <w:color w:val="auto"/>
          <w:szCs w:val="21"/>
        </w:rPr>
        <w:t>电子化开标或评审程序调整的，按调整后执行。</w:t>
      </w:r>
    </w:p>
    <w:p w14:paraId="0E475C53">
      <w:pPr>
        <w:pStyle w:val="17"/>
        <w:snapToGrid w:val="0"/>
        <w:spacing w:line="400" w:lineRule="exact"/>
        <w:ind w:left="689" w:leftChars="228" w:hanging="210" w:hangingChars="100"/>
        <w:rPr>
          <w:rFonts w:hAnsi="宋体"/>
          <w:color w:val="auto"/>
        </w:rPr>
      </w:pPr>
    </w:p>
    <w:p w14:paraId="17AF8C4C">
      <w:pPr>
        <w:pStyle w:val="4"/>
        <w:keepNext w:val="0"/>
        <w:keepLines w:val="0"/>
        <w:spacing w:line="400" w:lineRule="exact"/>
        <w:jc w:val="center"/>
        <w:rPr>
          <w:color w:val="auto"/>
        </w:rPr>
      </w:pPr>
      <w:bookmarkStart w:id="112" w:name="_Toc80092999"/>
      <w:r>
        <w:rPr>
          <w:rFonts w:hint="eastAsia"/>
          <w:color w:val="auto"/>
        </w:rPr>
        <w:t>五、资格审查</w:t>
      </w:r>
      <w:bookmarkEnd w:id="112"/>
    </w:p>
    <w:p w14:paraId="0B0FEAAC">
      <w:pPr>
        <w:pStyle w:val="6"/>
        <w:keepNext w:val="0"/>
        <w:keepLines w:val="0"/>
        <w:spacing w:before="0" w:after="0" w:line="360" w:lineRule="auto"/>
        <w:ind w:firstLine="482" w:firstLineChars="200"/>
        <w:rPr>
          <w:rFonts w:ascii="黑体" w:hAnsi="黑体" w:eastAsia="黑体"/>
          <w:color w:val="auto"/>
          <w:sz w:val="24"/>
        </w:rPr>
      </w:pPr>
      <w:r>
        <w:rPr>
          <w:rFonts w:hint="eastAsia" w:ascii="黑体" w:hAnsi="黑体" w:eastAsia="黑体"/>
          <w:color w:val="auto"/>
          <w:sz w:val="24"/>
        </w:rPr>
        <w:t>25.资格审查</w:t>
      </w:r>
    </w:p>
    <w:p w14:paraId="64D2DED7">
      <w:pPr>
        <w:spacing w:line="360" w:lineRule="auto"/>
        <w:ind w:firstLine="422" w:firstLineChars="200"/>
        <w:rPr>
          <w:rFonts w:ascii="宋体" w:hAnsi="宋体"/>
          <w:b/>
          <w:bCs/>
          <w:color w:val="auto"/>
          <w:szCs w:val="20"/>
        </w:rPr>
      </w:pPr>
      <w:r>
        <w:rPr>
          <w:rFonts w:hint="eastAsia" w:ascii="宋体" w:hAnsi="宋体"/>
          <w:b/>
          <w:bCs/>
          <w:color w:val="auto"/>
          <w:szCs w:val="20"/>
        </w:rPr>
        <w:t>25.1</w:t>
      </w:r>
      <w:r>
        <w:rPr>
          <w:rFonts w:ascii="宋体" w:hAnsi="宋体"/>
          <w:b/>
          <w:bCs/>
          <w:color w:val="auto"/>
          <w:szCs w:val="20"/>
        </w:rPr>
        <w:t>开标结束后，</w:t>
      </w:r>
      <w:r>
        <w:rPr>
          <w:rFonts w:hint="eastAsia" w:ascii="宋体" w:hAnsi="宋体"/>
          <w:b/>
          <w:bCs/>
          <w:color w:val="auto"/>
          <w:szCs w:val="20"/>
        </w:rPr>
        <w:t>采购人或采购机构</w:t>
      </w:r>
      <w:r>
        <w:rPr>
          <w:rFonts w:ascii="宋体" w:hAnsi="宋体"/>
          <w:b/>
          <w:bCs/>
          <w:color w:val="auto"/>
          <w:szCs w:val="20"/>
        </w:rPr>
        <w:t>依法</w:t>
      </w:r>
      <w:r>
        <w:rPr>
          <w:rFonts w:hint="eastAsia" w:ascii="宋体" w:hAnsi="宋体"/>
          <w:b/>
          <w:bCs/>
          <w:color w:val="auto"/>
          <w:szCs w:val="20"/>
        </w:rPr>
        <w:t>通过电子投标文件</w:t>
      </w:r>
      <w:r>
        <w:rPr>
          <w:rFonts w:ascii="宋体" w:hAnsi="宋体"/>
          <w:b/>
          <w:bCs/>
          <w:color w:val="auto"/>
          <w:szCs w:val="20"/>
        </w:rPr>
        <w:t>对投标人的资格进行</w:t>
      </w:r>
      <w:r>
        <w:rPr>
          <w:rFonts w:hint="eastAsia" w:ascii="宋体" w:hAnsi="宋体"/>
          <w:b/>
          <w:bCs/>
          <w:color w:val="auto"/>
          <w:szCs w:val="20"/>
        </w:rPr>
        <w:t>线上</w:t>
      </w:r>
      <w:r>
        <w:rPr>
          <w:rFonts w:ascii="宋体" w:hAnsi="宋体"/>
          <w:b/>
          <w:bCs/>
          <w:color w:val="auto"/>
          <w:szCs w:val="20"/>
        </w:rPr>
        <w:t>审查。</w:t>
      </w:r>
    </w:p>
    <w:p w14:paraId="57BEB883">
      <w:pPr>
        <w:spacing w:line="360" w:lineRule="auto"/>
        <w:ind w:firstLine="422" w:firstLineChars="200"/>
        <w:rPr>
          <w:rFonts w:ascii="宋体" w:hAnsi="宋体"/>
          <w:b/>
          <w:bCs/>
          <w:color w:val="auto"/>
          <w:szCs w:val="20"/>
        </w:rPr>
      </w:pPr>
      <w:r>
        <w:rPr>
          <w:rFonts w:hint="eastAsia" w:ascii="宋体" w:hAnsi="宋体"/>
          <w:b/>
          <w:bCs/>
          <w:color w:val="auto"/>
          <w:szCs w:val="20"/>
        </w:rPr>
        <w:t>25.2采购人或采购机构依据法律法规和招标文件的规定，对投标人的基本资格条件、特定资格条件进行审查。</w:t>
      </w:r>
    </w:p>
    <w:p w14:paraId="2E1D66F3">
      <w:pPr>
        <w:spacing w:line="360" w:lineRule="auto"/>
        <w:ind w:firstLine="420" w:firstLineChars="200"/>
        <w:rPr>
          <w:rFonts w:ascii="宋体" w:hAnsi="宋体"/>
          <w:color w:val="auto"/>
        </w:rPr>
      </w:pPr>
      <w:r>
        <w:rPr>
          <w:rFonts w:hint="eastAsia" w:ascii="宋体" w:hAnsi="宋体"/>
          <w:color w:val="auto"/>
        </w:rPr>
        <w:t>25.3资格审查标准为本“招标文件”中“投标人须知前附表”13.1点载明对投标人资格要求的条件。本项目资格审查采用合格制，凡符合招标文件规定的投标人资格要求的投标人均通过资格审查。</w:t>
      </w:r>
    </w:p>
    <w:p w14:paraId="170CE5BA">
      <w:pPr>
        <w:spacing w:line="360" w:lineRule="auto"/>
        <w:ind w:firstLine="422" w:firstLineChars="200"/>
        <w:rPr>
          <w:rFonts w:ascii="宋体" w:hAnsi="宋体"/>
          <w:b/>
          <w:bCs/>
          <w:color w:val="auto"/>
          <w:szCs w:val="20"/>
        </w:rPr>
      </w:pPr>
      <w:bookmarkStart w:id="113" w:name="_25.3_投标人有下列情形之一的，资格审查不通过而导致其投标无效："/>
      <w:bookmarkEnd w:id="113"/>
      <w:r>
        <w:rPr>
          <w:rFonts w:hint="eastAsia" w:ascii="宋体" w:hAnsi="宋体"/>
          <w:b/>
          <w:bCs/>
          <w:color w:val="auto"/>
          <w:szCs w:val="20"/>
        </w:rPr>
        <w:t>25.4投标人有下列情形之一的，资格审查不通过，作无效投标处理：</w:t>
      </w:r>
    </w:p>
    <w:p w14:paraId="492EE89E">
      <w:pPr>
        <w:spacing w:line="360" w:lineRule="auto"/>
        <w:ind w:firstLine="420" w:firstLineChars="200"/>
        <w:rPr>
          <w:rFonts w:hAnsi="宋体"/>
          <w:color w:val="auto"/>
        </w:rPr>
      </w:pPr>
      <w:r>
        <w:rPr>
          <w:rFonts w:hint="eastAsia" w:hAnsi="宋体"/>
          <w:color w:val="auto"/>
        </w:rPr>
        <w:t>（1）不具备招标文件中规定的资格要求的；（注：其中信用查询规则见“投标人须知前附表”，</w:t>
      </w:r>
      <w:r>
        <w:rPr>
          <w:rFonts w:hint="eastAsia" w:hAnsi="宋体"/>
          <w:color w:val="auto"/>
          <w:lang w:eastAsia="zh-CN"/>
        </w:rPr>
        <w:t>广西政府采购云平台</w:t>
      </w:r>
      <w:r>
        <w:rPr>
          <w:rFonts w:hint="eastAsia" w:hAnsi="宋体"/>
          <w:color w:val="auto"/>
        </w:rPr>
        <w:t>已与“信用中国”平台做接口，审查专家可直接在线查询）</w:t>
      </w:r>
    </w:p>
    <w:p w14:paraId="47C8AD5C">
      <w:pPr>
        <w:spacing w:line="360" w:lineRule="auto"/>
        <w:ind w:firstLine="420" w:firstLineChars="200"/>
        <w:rPr>
          <w:rFonts w:hAnsi="宋体"/>
          <w:color w:val="auto"/>
        </w:rPr>
      </w:pPr>
      <w:r>
        <w:rPr>
          <w:rFonts w:hint="eastAsia" w:hAnsi="宋体"/>
          <w:color w:val="auto"/>
        </w:rPr>
        <w:t>（2）投标文件未提供任一项“投标人须知前附表”资格证明文件规定的“必须提供”的文件资料的；</w:t>
      </w:r>
    </w:p>
    <w:p w14:paraId="51200D25">
      <w:pPr>
        <w:spacing w:line="360" w:lineRule="auto"/>
        <w:ind w:firstLine="420" w:firstLineChars="200"/>
        <w:rPr>
          <w:rFonts w:hAnsi="宋体"/>
          <w:color w:val="auto"/>
        </w:rPr>
      </w:pPr>
      <w:r>
        <w:rPr>
          <w:rFonts w:hint="eastAsia" w:hAnsi="宋体"/>
          <w:color w:val="auto"/>
        </w:rPr>
        <w:t>（3）投标文件提供的资格证明文件出现任一项不符合“投标人须知前附表”资格证明文件规定的“必须提供”的文件资料要求或者无效的。</w:t>
      </w:r>
    </w:p>
    <w:p w14:paraId="7C93AD32">
      <w:pPr>
        <w:pStyle w:val="6"/>
        <w:keepNext w:val="0"/>
        <w:keepLines w:val="0"/>
        <w:spacing w:before="0" w:after="0" w:line="360" w:lineRule="auto"/>
        <w:ind w:firstLine="420" w:firstLineChars="200"/>
        <w:rPr>
          <w:rFonts w:ascii="宋体" w:hAnsi="宋体"/>
          <w:b w:val="0"/>
          <w:bCs w:val="0"/>
          <w:color w:val="auto"/>
          <w:sz w:val="21"/>
          <w:szCs w:val="20"/>
        </w:rPr>
      </w:pPr>
      <w:r>
        <w:rPr>
          <w:rFonts w:hint="eastAsia" w:ascii="宋体" w:hAnsi="宋体"/>
          <w:b w:val="0"/>
          <w:bCs w:val="0"/>
          <w:color w:val="auto"/>
          <w:sz w:val="21"/>
          <w:szCs w:val="20"/>
        </w:rPr>
        <w:t>25.5资格审查的</w:t>
      </w:r>
      <w:r>
        <w:rPr>
          <w:rFonts w:ascii="宋体" w:hAnsi="宋体"/>
          <w:b w:val="0"/>
          <w:bCs w:val="0"/>
          <w:color w:val="auto"/>
          <w:sz w:val="21"/>
          <w:szCs w:val="20"/>
        </w:rPr>
        <w:t>合格投标人不足3家的，不得评标。</w:t>
      </w:r>
    </w:p>
    <w:p w14:paraId="73C1655E">
      <w:pPr>
        <w:pStyle w:val="4"/>
        <w:keepNext w:val="0"/>
        <w:keepLines w:val="0"/>
        <w:spacing w:line="360" w:lineRule="auto"/>
        <w:jc w:val="center"/>
        <w:rPr>
          <w:color w:val="auto"/>
        </w:rPr>
      </w:pPr>
      <w:bookmarkStart w:id="114" w:name="_Toc80093000"/>
      <w:r>
        <w:rPr>
          <w:rFonts w:hint="eastAsia"/>
          <w:color w:val="auto"/>
        </w:rPr>
        <w:t>六、评   标</w:t>
      </w:r>
      <w:bookmarkEnd w:id="114"/>
    </w:p>
    <w:p w14:paraId="7F783F17">
      <w:pPr>
        <w:spacing w:line="360" w:lineRule="auto"/>
        <w:ind w:firstLine="480" w:firstLineChars="200"/>
        <w:rPr>
          <w:rFonts w:ascii="黑体" w:hAnsi="黑体" w:eastAsia="黑体"/>
          <w:color w:val="auto"/>
          <w:sz w:val="24"/>
        </w:rPr>
      </w:pPr>
      <w:bookmarkStart w:id="115" w:name="_26.组建评标委员会"/>
      <w:bookmarkEnd w:id="115"/>
      <w:r>
        <w:rPr>
          <w:rFonts w:hint="eastAsia" w:ascii="黑体" w:hAnsi="黑体" w:eastAsia="黑体"/>
          <w:color w:val="auto"/>
          <w:sz w:val="24"/>
        </w:rPr>
        <w:t>26.组建评标委员会</w:t>
      </w:r>
    </w:p>
    <w:p w14:paraId="4B5559DB">
      <w:pPr>
        <w:spacing w:line="360" w:lineRule="auto"/>
        <w:ind w:firstLine="420" w:firstLineChars="200"/>
        <w:rPr>
          <w:rFonts w:hAnsi="宋体"/>
          <w:color w:val="auto"/>
        </w:rPr>
      </w:pPr>
      <w:r>
        <w:rPr>
          <w:rFonts w:hint="eastAsia" w:hAnsi="宋体"/>
          <w:color w:val="auto"/>
        </w:rPr>
        <w:t>评标委员会由采购人代表和评审专家组成，人数为5人以上单数，其中评审专家不得少于成员总数的三分之二。</w:t>
      </w:r>
    </w:p>
    <w:p w14:paraId="1A63F223">
      <w:pPr>
        <w:spacing w:line="360" w:lineRule="auto"/>
        <w:ind w:firstLine="420" w:firstLineChars="200"/>
        <w:rPr>
          <w:rFonts w:hAnsi="宋体"/>
          <w:color w:val="auto"/>
        </w:rPr>
      </w:pPr>
      <w:r>
        <w:rPr>
          <w:rFonts w:hint="eastAsia" w:hAnsi="宋体"/>
          <w:color w:val="auto"/>
        </w:rPr>
        <w:t>参加过采购项目前期咨询论证的专家，不得参加该采购项目的评审活动。</w:t>
      </w:r>
    </w:p>
    <w:p w14:paraId="0041FA23">
      <w:pPr>
        <w:spacing w:line="360" w:lineRule="auto"/>
        <w:ind w:firstLine="480" w:firstLineChars="200"/>
        <w:rPr>
          <w:rFonts w:ascii="黑体" w:hAnsi="黑体" w:eastAsia="黑体"/>
          <w:color w:val="auto"/>
          <w:sz w:val="24"/>
        </w:rPr>
      </w:pPr>
      <w:r>
        <w:rPr>
          <w:rFonts w:hint="eastAsia" w:ascii="黑体" w:hAnsi="黑体" w:eastAsia="黑体"/>
          <w:color w:val="auto"/>
          <w:sz w:val="24"/>
        </w:rPr>
        <w:t>27.评标的依据</w:t>
      </w:r>
    </w:p>
    <w:p w14:paraId="4BBD8D16">
      <w:pPr>
        <w:spacing w:line="360" w:lineRule="auto"/>
        <w:ind w:firstLine="420" w:firstLineChars="200"/>
        <w:rPr>
          <w:rFonts w:hAnsi="宋体"/>
          <w:color w:val="auto"/>
        </w:rPr>
      </w:pPr>
      <w:r>
        <w:rPr>
          <w:rFonts w:hint="eastAsia" w:hAnsi="宋体"/>
          <w:color w:val="auto"/>
        </w:rPr>
        <w:t>评标委员会以招标文件为依据对投标文件进行评审，</w:t>
      </w:r>
      <w:r>
        <w:rPr>
          <w:rFonts w:hint="eastAsia" w:hAnsi="宋体" w:cs="宋体"/>
          <w:color w:val="auto"/>
        </w:rPr>
        <w:t>“第四章 评标方法和评标标准”</w:t>
      </w:r>
      <w:r>
        <w:rPr>
          <w:rFonts w:hAnsi="宋体"/>
          <w:color w:val="auto"/>
        </w:rPr>
        <w:t>没有规定的方法、评审因素和标准，不作为评标依据。</w:t>
      </w:r>
    </w:p>
    <w:p w14:paraId="359BFF51">
      <w:pPr>
        <w:spacing w:line="360" w:lineRule="auto"/>
        <w:ind w:firstLine="480" w:firstLineChars="200"/>
        <w:rPr>
          <w:rFonts w:ascii="黑体" w:hAnsi="黑体" w:eastAsia="黑体"/>
          <w:color w:val="auto"/>
          <w:sz w:val="24"/>
        </w:rPr>
      </w:pPr>
      <w:r>
        <w:rPr>
          <w:rFonts w:hint="eastAsia" w:ascii="黑体" w:hAnsi="黑体" w:eastAsia="黑体"/>
          <w:color w:val="auto"/>
          <w:sz w:val="24"/>
        </w:rPr>
        <w:t>28.评标原则</w:t>
      </w:r>
    </w:p>
    <w:p w14:paraId="598B0BF3">
      <w:pPr>
        <w:spacing w:line="360" w:lineRule="auto"/>
        <w:ind w:firstLine="420" w:firstLineChars="200"/>
        <w:rPr>
          <w:rFonts w:hAnsi="宋体"/>
          <w:color w:val="auto"/>
        </w:rPr>
      </w:pPr>
      <w:r>
        <w:rPr>
          <w:rFonts w:hint="eastAsia" w:hAnsi="宋体"/>
          <w:color w:val="auto"/>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86179D5">
      <w:pPr>
        <w:spacing w:line="360" w:lineRule="auto"/>
        <w:ind w:firstLine="420" w:firstLineChars="200"/>
        <w:rPr>
          <w:rFonts w:hAnsi="宋体"/>
          <w:color w:val="auto"/>
        </w:rPr>
      </w:pPr>
      <w:r>
        <w:rPr>
          <w:rFonts w:hint="eastAsia" w:hAnsi="宋体"/>
          <w:color w:val="auto"/>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16" w:name="_28.3评标方法。本项目将按须知前附表规定的评标办法进行评标，具体评标"/>
      <w:bookmarkEnd w:id="116"/>
    </w:p>
    <w:p w14:paraId="1FD9DB3D">
      <w:pPr>
        <w:spacing w:line="360" w:lineRule="auto"/>
        <w:ind w:firstLine="420" w:firstLineChars="200"/>
        <w:rPr>
          <w:rFonts w:hAnsi="宋体"/>
          <w:color w:val="auto"/>
        </w:rPr>
      </w:pPr>
      <w:r>
        <w:rPr>
          <w:rFonts w:hint="eastAsia" w:hAnsi="宋体"/>
          <w:color w:val="auto"/>
        </w:rPr>
        <w:t>28.</w:t>
      </w:r>
      <w:r>
        <w:rPr>
          <w:rFonts w:hAnsi="宋体"/>
          <w:color w:val="auto"/>
        </w:rPr>
        <w:t>3</w:t>
      </w:r>
      <w:r>
        <w:rPr>
          <w:rFonts w:hint="eastAsia" w:hAnsi="宋体"/>
          <w:color w:val="auto"/>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3E00ECE">
      <w:pPr>
        <w:spacing w:line="360" w:lineRule="auto"/>
        <w:ind w:firstLine="420" w:firstLineChars="200"/>
        <w:rPr>
          <w:rFonts w:hAnsi="宋体"/>
          <w:color w:val="auto"/>
        </w:rPr>
      </w:pPr>
      <w:r>
        <w:rPr>
          <w:rFonts w:hint="eastAsia" w:hAnsi="宋体"/>
          <w:color w:val="auto"/>
        </w:rPr>
        <w:t>2</w:t>
      </w:r>
      <w:r>
        <w:rPr>
          <w:rFonts w:hAnsi="宋体"/>
          <w:color w:val="auto"/>
        </w:rPr>
        <w:t>8.4</w:t>
      </w:r>
      <w:r>
        <w:rPr>
          <w:rFonts w:hint="eastAsia" w:hAnsi="宋体"/>
          <w:color w:val="auto"/>
        </w:rPr>
        <w:t>评标过程的监控。本项目电子评标过程实行网上留痕、全程录音、录像监控，投标人在评标过程中所进行的试图影响评标结果的不公正活动，可能导致其投标按无效处理。</w:t>
      </w:r>
    </w:p>
    <w:p w14:paraId="51B27B36">
      <w:pPr>
        <w:spacing w:line="360" w:lineRule="auto"/>
        <w:ind w:firstLine="480" w:firstLineChars="200"/>
        <w:rPr>
          <w:rFonts w:ascii="黑体" w:hAnsi="黑体" w:eastAsia="黑体"/>
          <w:color w:val="auto"/>
          <w:sz w:val="24"/>
        </w:rPr>
      </w:pPr>
      <w:r>
        <w:rPr>
          <w:rFonts w:hint="eastAsia" w:ascii="黑体" w:hAnsi="黑体" w:eastAsia="黑体"/>
          <w:color w:val="auto"/>
          <w:sz w:val="24"/>
        </w:rPr>
        <w:t>29.评标方法及评标标准</w:t>
      </w:r>
    </w:p>
    <w:p w14:paraId="65774EB4">
      <w:pPr>
        <w:spacing w:line="360" w:lineRule="auto"/>
        <w:ind w:firstLine="420" w:firstLineChars="200"/>
        <w:rPr>
          <w:rFonts w:hAnsi="宋体"/>
          <w:color w:val="auto"/>
        </w:rPr>
      </w:pPr>
      <w:r>
        <w:rPr>
          <w:rFonts w:hint="eastAsia" w:hAnsi="宋体"/>
          <w:color w:val="auto"/>
        </w:rPr>
        <w:t>2</w:t>
      </w:r>
      <w:r>
        <w:rPr>
          <w:rFonts w:hAnsi="宋体"/>
          <w:color w:val="auto"/>
        </w:rPr>
        <w:t>9.1</w:t>
      </w:r>
      <w:r>
        <w:rPr>
          <w:rFonts w:hint="eastAsia" w:hAnsi="宋体"/>
          <w:color w:val="auto"/>
        </w:rPr>
        <w:t>本项目的评标方法详见“投标人须知前附表”。</w:t>
      </w:r>
    </w:p>
    <w:p w14:paraId="746514F1">
      <w:pPr>
        <w:spacing w:line="360" w:lineRule="auto"/>
        <w:ind w:firstLine="420" w:firstLineChars="200"/>
        <w:rPr>
          <w:rFonts w:hAnsi="宋体"/>
          <w:color w:val="auto"/>
        </w:rPr>
      </w:pPr>
      <w:r>
        <w:rPr>
          <w:rFonts w:hint="eastAsia" w:hAnsi="宋体"/>
          <w:color w:val="auto"/>
        </w:rPr>
        <w:t>2</w:t>
      </w:r>
      <w:r>
        <w:rPr>
          <w:rFonts w:hAnsi="宋体"/>
          <w:color w:val="auto"/>
        </w:rPr>
        <w:t>9.2</w:t>
      </w:r>
      <w:r>
        <w:rPr>
          <w:rFonts w:hAnsi="宋体" w:cs="宋体"/>
          <w:color w:val="auto"/>
        </w:rPr>
        <w:t xml:space="preserve"> </w:t>
      </w:r>
      <w:r>
        <w:rPr>
          <w:rFonts w:hAnsi="宋体"/>
          <w:color w:val="auto"/>
        </w:rPr>
        <w:t>评标委员会按照</w:t>
      </w:r>
      <w:r>
        <w:rPr>
          <w:rFonts w:hint="eastAsia" w:hAnsi="宋体" w:cs="宋体"/>
          <w:b/>
          <w:color w:val="auto"/>
        </w:rPr>
        <w:t>“第四章 评标方法和评标标准”</w:t>
      </w:r>
      <w:r>
        <w:rPr>
          <w:rFonts w:hAnsi="宋体"/>
          <w:color w:val="auto"/>
        </w:rPr>
        <w:t>规定的方法、评审因素、标准和程序对投标文件进行评审。</w:t>
      </w:r>
    </w:p>
    <w:p w14:paraId="658FCC52">
      <w:pPr>
        <w:spacing w:line="360" w:lineRule="auto"/>
        <w:ind w:firstLine="420" w:firstLineChars="200"/>
        <w:rPr>
          <w:rFonts w:hAnsi="宋体"/>
          <w:color w:val="auto"/>
        </w:rPr>
      </w:pPr>
      <w:r>
        <w:rPr>
          <w:rFonts w:hint="eastAsia" w:hAnsi="宋体"/>
          <w:color w:val="auto"/>
        </w:rPr>
        <w:t>29.3 电子交易活动的中止。采购过程中出现以下情形，导致电子交易平台无法正常运行，或者无法保证电子交易的公平、公正和安全时，采购机构可中止电子交易活动：</w:t>
      </w:r>
    </w:p>
    <w:p w14:paraId="1479F263">
      <w:pPr>
        <w:spacing w:line="360" w:lineRule="auto"/>
        <w:ind w:firstLine="420" w:firstLineChars="200"/>
        <w:rPr>
          <w:rFonts w:hAnsi="宋体"/>
          <w:color w:val="auto"/>
        </w:rPr>
      </w:pPr>
      <w:r>
        <w:rPr>
          <w:rFonts w:hint="eastAsia" w:hAnsi="宋体"/>
          <w:color w:val="auto"/>
        </w:rPr>
        <w:t>（1）电子交易平台发生故障而无法登录访问的；</w:t>
      </w:r>
    </w:p>
    <w:p w14:paraId="07E7773F">
      <w:pPr>
        <w:spacing w:line="360" w:lineRule="auto"/>
        <w:ind w:firstLine="420" w:firstLineChars="200"/>
        <w:rPr>
          <w:rFonts w:hAnsi="宋体"/>
          <w:color w:val="auto"/>
        </w:rPr>
      </w:pPr>
      <w:r>
        <w:rPr>
          <w:rFonts w:hint="eastAsia" w:hAnsi="宋体"/>
          <w:color w:val="auto"/>
        </w:rPr>
        <w:t>（2）电子交易平台应用或数据库出现错误，不能进行正常操作的；</w:t>
      </w:r>
    </w:p>
    <w:p w14:paraId="6F888A24">
      <w:pPr>
        <w:spacing w:line="360" w:lineRule="auto"/>
        <w:ind w:firstLine="420" w:firstLineChars="200"/>
        <w:rPr>
          <w:rFonts w:hAnsi="宋体"/>
          <w:color w:val="auto"/>
        </w:rPr>
      </w:pPr>
      <w:r>
        <w:rPr>
          <w:rFonts w:hint="eastAsia" w:hAnsi="宋体"/>
          <w:color w:val="auto"/>
        </w:rPr>
        <w:t>（3）电子交易平台发现严重安全漏洞，有潜在泄密危险的；</w:t>
      </w:r>
    </w:p>
    <w:p w14:paraId="68D04649">
      <w:pPr>
        <w:spacing w:line="360" w:lineRule="auto"/>
        <w:ind w:firstLine="420" w:firstLineChars="200"/>
        <w:rPr>
          <w:rFonts w:hAnsi="宋体"/>
          <w:color w:val="auto"/>
        </w:rPr>
      </w:pPr>
      <w:r>
        <w:rPr>
          <w:rFonts w:hint="eastAsia" w:hAnsi="宋体"/>
          <w:color w:val="auto"/>
        </w:rPr>
        <w:t>（4）病毒发作导致不能进行正常操作的；</w:t>
      </w:r>
    </w:p>
    <w:p w14:paraId="7C526F44">
      <w:pPr>
        <w:spacing w:line="360" w:lineRule="auto"/>
        <w:ind w:firstLine="420" w:firstLineChars="200"/>
        <w:rPr>
          <w:rFonts w:hAnsi="宋体"/>
          <w:color w:val="auto"/>
        </w:rPr>
      </w:pPr>
      <w:r>
        <w:rPr>
          <w:rFonts w:hint="eastAsia" w:hAnsi="宋体"/>
          <w:color w:val="auto"/>
        </w:rPr>
        <w:t>（4）其他无法保证电子交易的公平、公正和安全的情况。</w:t>
      </w:r>
    </w:p>
    <w:p w14:paraId="17B63DCB">
      <w:pPr>
        <w:spacing w:line="360" w:lineRule="auto"/>
        <w:ind w:firstLine="420" w:firstLineChars="200"/>
        <w:rPr>
          <w:rFonts w:hAnsi="宋体"/>
          <w:color w:val="auto"/>
        </w:rPr>
      </w:pPr>
      <w:r>
        <w:rPr>
          <w:rFonts w:hint="eastAsia" w:hAnsi="宋体"/>
          <w:color w:val="auto"/>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A6857F7">
      <w:pPr>
        <w:pStyle w:val="17"/>
        <w:snapToGrid w:val="0"/>
        <w:spacing w:line="400" w:lineRule="exact"/>
        <w:ind w:firstLine="420" w:firstLineChars="200"/>
        <w:rPr>
          <w:rFonts w:hAnsi="宋体"/>
          <w:color w:val="auto"/>
        </w:rPr>
      </w:pPr>
    </w:p>
    <w:p w14:paraId="7F2A8C46">
      <w:pPr>
        <w:pStyle w:val="4"/>
        <w:keepNext w:val="0"/>
        <w:keepLines w:val="0"/>
        <w:spacing w:line="400" w:lineRule="exact"/>
        <w:jc w:val="center"/>
        <w:rPr>
          <w:color w:val="auto"/>
        </w:rPr>
      </w:pPr>
      <w:bookmarkStart w:id="117" w:name="_Toc254970546"/>
      <w:bookmarkStart w:id="118" w:name="_Toc254970687"/>
      <w:bookmarkStart w:id="119" w:name="_Toc80093001"/>
      <w:r>
        <w:rPr>
          <w:rFonts w:hint="eastAsia"/>
          <w:color w:val="auto"/>
        </w:rPr>
        <w:t>七、</w:t>
      </w:r>
      <w:bookmarkEnd w:id="117"/>
      <w:bookmarkEnd w:id="118"/>
      <w:r>
        <w:rPr>
          <w:rFonts w:hint="eastAsia"/>
          <w:color w:val="auto"/>
        </w:rPr>
        <w:t>中标和合同</w:t>
      </w:r>
      <w:bookmarkEnd w:id="119"/>
    </w:p>
    <w:p w14:paraId="16E0B6C4">
      <w:pPr>
        <w:spacing w:line="360" w:lineRule="auto"/>
        <w:ind w:firstLine="480" w:firstLineChars="200"/>
        <w:rPr>
          <w:rFonts w:ascii="黑体" w:hAnsi="黑体" w:eastAsia="黑体"/>
          <w:color w:val="auto"/>
          <w:sz w:val="24"/>
        </w:rPr>
      </w:pPr>
      <w:r>
        <w:rPr>
          <w:rFonts w:hint="eastAsia" w:ascii="黑体" w:hAnsi="黑体" w:eastAsia="黑体"/>
          <w:color w:val="auto"/>
          <w:sz w:val="24"/>
        </w:rPr>
        <w:t>30.确定中标人</w:t>
      </w:r>
    </w:p>
    <w:p w14:paraId="770C125E">
      <w:pPr>
        <w:spacing w:line="360" w:lineRule="auto"/>
        <w:ind w:firstLine="422" w:firstLineChars="200"/>
        <w:rPr>
          <w:rFonts w:ascii="宋体" w:hAnsi="宋体" w:cs="Courier New"/>
          <w:b/>
          <w:bCs/>
          <w:color w:val="auto"/>
          <w:szCs w:val="21"/>
        </w:rPr>
      </w:pPr>
      <w:r>
        <w:rPr>
          <w:rFonts w:ascii="宋体" w:hAnsi="宋体" w:cs="Courier New"/>
          <w:b/>
          <w:bCs/>
          <w:color w:val="auto"/>
          <w:szCs w:val="21"/>
        </w:rPr>
        <w:t>30.1</w:t>
      </w:r>
      <w:r>
        <w:rPr>
          <w:rFonts w:hint="eastAsia" w:ascii="宋体" w:hAnsi="宋体" w:cs="Courier New"/>
          <w:b/>
          <w:bCs/>
          <w:color w:val="auto"/>
          <w:szCs w:val="21"/>
        </w:rPr>
        <w:t>本项目授权评标委员会直接按第四章“评标方法及标准”的规定排列中标候选人顺序，并依照次序确定中标人。</w:t>
      </w:r>
    </w:p>
    <w:p w14:paraId="59690AD5">
      <w:pPr>
        <w:spacing w:line="360" w:lineRule="auto"/>
        <w:ind w:firstLine="420" w:firstLineChars="200"/>
        <w:rPr>
          <w:rFonts w:ascii="宋体" w:hAnsi="宋体" w:cs="Courier New"/>
          <w:color w:val="auto"/>
          <w:szCs w:val="21"/>
        </w:rPr>
      </w:pPr>
      <w:r>
        <w:rPr>
          <w:rFonts w:ascii="宋体" w:hAnsi="宋体" w:cs="Courier New"/>
          <w:color w:val="auto"/>
          <w:szCs w:val="21"/>
        </w:rPr>
        <w:t>30.2</w:t>
      </w:r>
      <w:r>
        <w:rPr>
          <w:rFonts w:hint="eastAsia" w:ascii="宋体" w:hAnsi="宋体" w:cs="Courier New"/>
          <w:color w:val="auto"/>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A18BBA4">
      <w:pPr>
        <w:spacing w:line="360" w:lineRule="auto"/>
        <w:ind w:firstLine="420" w:firstLineChars="200"/>
        <w:rPr>
          <w:rFonts w:ascii="宋体" w:hAnsi="宋体" w:cs="Courier New"/>
          <w:color w:val="auto"/>
          <w:szCs w:val="21"/>
        </w:rPr>
      </w:pPr>
      <w:r>
        <w:rPr>
          <w:rFonts w:ascii="宋体" w:hAnsi="宋体" w:cs="Courier New"/>
          <w:color w:val="auto"/>
          <w:szCs w:val="21"/>
        </w:rPr>
        <w:t>30.3</w:t>
      </w:r>
      <w:r>
        <w:rPr>
          <w:rFonts w:hint="eastAsia" w:ascii="宋体" w:hAnsi="宋体" w:cs="Courier New"/>
          <w:color w:val="auto"/>
          <w:szCs w:val="21"/>
        </w:rPr>
        <w:t>中标供应商无正当理由拒签合同的，根据《中华人民共和国政府采购法》第七十七条第一款规定处理。</w:t>
      </w:r>
    </w:p>
    <w:p w14:paraId="115AD9B0">
      <w:pPr>
        <w:spacing w:line="360" w:lineRule="auto"/>
        <w:ind w:firstLine="420" w:firstLineChars="200"/>
        <w:rPr>
          <w:rFonts w:ascii="宋体" w:hAnsi="宋体" w:cs="Courier New"/>
          <w:color w:val="auto"/>
          <w:szCs w:val="21"/>
        </w:rPr>
      </w:pPr>
      <w:r>
        <w:rPr>
          <w:rFonts w:hint="eastAsia" w:ascii="宋体" w:hAnsi="宋体" w:cs="Courier New"/>
          <w:color w:val="auto"/>
          <w:szCs w:val="21"/>
        </w:rPr>
        <w:t>30.4根据《中华人民共和国民法典》</w:t>
      </w:r>
      <w:r>
        <w:rPr>
          <w:color w:val="auto"/>
          <w:sz w:val="19"/>
          <w:szCs w:val="19"/>
        </w:rPr>
        <w:t>第五百六十三条</w:t>
      </w:r>
      <w:r>
        <w:rPr>
          <w:rFonts w:hint="eastAsia" w:ascii="宋体" w:hAnsi="宋体" w:cs="Courier New"/>
          <w:color w:val="auto"/>
          <w:szCs w:val="21"/>
        </w:rPr>
        <w:t>，因不可抗力致使不能实现合同目的的，当事人可以解除合同。</w:t>
      </w:r>
    </w:p>
    <w:p w14:paraId="27AC2ED6">
      <w:pPr>
        <w:spacing w:line="360" w:lineRule="auto"/>
        <w:ind w:firstLine="480" w:firstLineChars="200"/>
        <w:rPr>
          <w:rFonts w:ascii="黑体" w:hAnsi="黑体" w:eastAsia="黑体"/>
          <w:color w:val="auto"/>
          <w:sz w:val="24"/>
        </w:rPr>
      </w:pPr>
      <w:r>
        <w:rPr>
          <w:rFonts w:hint="eastAsia" w:ascii="黑体" w:hAnsi="黑体" w:eastAsia="黑体"/>
          <w:color w:val="auto"/>
          <w:sz w:val="24"/>
        </w:rPr>
        <w:t>31. 结果公告</w:t>
      </w:r>
    </w:p>
    <w:p w14:paraId="6A052761">
      <w:pPr>
        <w:spacing w:line="360" w:lineRule="auto"/>
        <w:ind w:firstLine="420" w:firstLineChars="200"/>
        <w:rPr>
          <w:rFonts w:hAnsi="宋体" w:cs="宋体"/>
          <w:color w:val="auto"/>
        </w:rPr>
      </w:pPr>
      <w:r>
        <w:rPr>
          <w:rFonts w:hint="eastAsia" w:hAnsi="宋体"/>
          <w:color w:val="auto"/>
          <w:szCs w:val="21"/>
        </w:rPr>
        <w:t>3</w:t>
      </w:r>
      <w:r>
        <w:rPr>
          <w:rFonts w:hAnsi="宋体"/>
          <w:color w:val="auto"/>
          <w:szCs w:val="21"/>
        </w:rPr>
        <w:t>1.1</w:t>
      </w:r>
      <w:r>
        <w:rPr>
          <w:rFonts w:hint="eastAsia" w:hAnsi="宋体" w:cs="宋体"/>
          <w:color w:val="auto"/>
        </w:rPr>
        <w:t>在中标供应商</w:t>
      </w:r>
      <w:r>
        <w:rPr>
          <w:rFonts w:hint="eastAsia" w:hAnsi="宋体" w:cs="Arial"/>
          <w:color w:val="auto"/>
        </w:rPr>
        <w:t>确定之日起</w:t>
      </w:r>
      <w:r>
        <w:rPr>
          <w:rFonts w:hint="eastAsia" w:hAnsi="宋体" w:cs="宋体"/>
          <w:color w:val="auto"/>
        </w:rPr>
        <w:t>2个工作日内，由采购代理机构</w:t>
      </w:r>
      <w:r>
        <w:rPr>
          <w:rFonts w:hint="eastAsia" w:hAnsi="宋体"/>
          <w:b/>
          <w:color w:val="auto"/>
          <w:szCs w:val="21"/>
        </w:rPr>
        <w:t>在招标公告发布媒体上</w:t>
      </w:r>
      <w:r>
        <w:rPr>
          <w:rFonts w:hint="eastAsia" w:hAnsi="宋体" w:cs="宋体"/>
          <w:color w:val="auto"/>
        </w:rPr>
        <w:t>发布中标结果公告，中标结果公告期限为1个工作日，发布中标结果公告的同时向中标供应商发出中标通知书。</w:t>
      </w:r>
      <w:r>
        <w:rPr>
          <w:rFonts w:hint="eastAsia" w:hAnsi="宋体"/>
          <w:b/>
          <w:color w:val="auto"/>
          <w:szCs w:val="21"/>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hAnsi="宋体"/>
          <w:color w:val="auto"/>
          <w:szCs w:val="21"/>
        </w:rPr>
        <w:t>排名第二的中标候选人因前款规定的同样原因被取消中标资格的，</w:t>
      </w:r>
      <w:r>
        <w:rPr>
          <w:rFonts w:hint="eastAsia" w:hAnsi="宋体" w:cs="Courier New"/>
          <w:color w:val="auto"/>
          <w:szCs w:val="21"/>
        </w:rPr>
        <w:t>授权的评标委员会</w:t>
      </w:r>
      <w:r>
        <w:rPr>
          <w:rFonts w:hint="eastAsia" w:hAnsi="宋体"/>
          <w:color w:val="auto"/>
          <w:szCs w:val="21"/>
        </w:rPr>
        <w:t>可以确定排名第三的中标候选人为中标人，以此类推。</w:t>
      </w:r>
    </w:p>
    <w:p w14:paraId="20E81D5F">
      <w:pPr>
        <w:spacing w:line="360" w:lineRule="auto"/>
        <w:ind w:firstLine="420" w:firstLineChars="200"/>
        <w:rPr>
          <w:rFonts w:ascii="宋体" w:hAnsi="宋体"/>
          <w:color w:val="auto"/>
          <w:szCs w:val="21"/>
        </w:rPr>
      </w:pPr>
      <w:r>
        <w:rPr>
          <w:rFonts w:hint="eastAsia" w:ascii="宋体" w:hAnsi="宋体"/>
          <w:color w:val="auto"/>
          <w:szCs w:val="21"/>
        </w:rPr>
        <w:t>以上信息查询记录及相关证据与采购文件一并保存。</w:t>
      </w:r>
    </w:p>
    <w:p w14:paraId="57908835">
      <w:pPr>
        <w:spacing w:line="360" w:lineRule="auto"/>
        <w:ind w:firstLine="420" w:firstLineChars="200"/>
        <w:rPr>
          <w:rFonts w:ascii="宋体" w:hAnsi="宋体" w:cs="Courier New"/>
          <w:color w:val="auto"/>
          <w:szCs w:val="21"/>
        </w:rPr>
      </w:pPr>
      <w:r>
        <w:rPr>
          <w:rFonts w:hint="eastAsia" w:ascii="宋体" w:hAnsi="宋体" w:cs="Courier New"/>
          <w:color w:val="auto"/>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5C17C5C8">
      <w:pPr>
        <w:spacing w:line="360" w:lineRule="auto"/>
        <w:ind w:firstLine="480" w:firstLineChars="200"/>
        <w:rPr>
          <w:rFonts w:ascii="黑体" w:hAnsi="黑体" w:eastAsia="黑体"/>
          <w:color w:val="auto"/>
          <w:sz w:val="24"/>
        </w:rPr>
      </w:pPr>
      <w:r>
        <w:rPr>
          <w:rFonts w:hint="eastAsia" w:ascii="黑体" w:hAnsi="黑体" w:eastAsia="黑体"/>
          <w:color w:val="auto"/>
          <w:sz w:val="24"/>
        </w:rPr>
        <w:t>32.发出中标通知书</w:t>
      </w:r>
    </w:p>
    <w:p w14:paraId="5D2E4990">
      <w:pPr>
        <w:spacing w:line="360" w:lineRule="auto"/>
        <w:ind w:firstLine="422" w:firstLineChars="200"/>
        <w:rPr>
          <w:rFonts w:ascii="宋体" w:hAnsi="宋体"/>
          <w:b/>
          <w:color w:val="auto"/>
          <w:szCs w:val="21"/>
        </w:rPr>
      </w:pPr>
      <w:r>
        <w:rPr>
          <w:rFonts w:hint="eastAsia" w:ascii="宋体" w:hAnsi="宋体"/>
          <w:b/>
          <w:color w:val="auto"/>
          <w:szCs w:val="21"/>
        </w:rPr>
        <w:t>32.1在发布中标公告的同时，采购代理机构向中标人通过</w:t>
      </w:r>
      <w:r>
        <w:rPr>
          <w:rFonts w:hint="eastAsia" w:ascii="宋体" w:hAnsi="宋体"/>
          <w:b/>
          <w:color w:val="auto"/>
          <w:szCs w:val="21"/>
          <w:lang w:eastAsia="zh-CN"/>
        </w:rPr>
        <w:t>广西政府采购云平台</w:t>
      </w:r>
      <w:r>
        <w:rPr>
          <w:rFonts w:hint="eastAsia" w:ascii="宋体" w:hAnsi="宋体"/>
          <w:b/>
          <w:color w:val="auto"/>
          <w:szCs w:val="21"/>
        </w:rPr>
        <w:t>发出电子中标通知书。</w:t>
      </w:r>
    </w:p>
    <w:p w14:paraId="6622F45E">
      <w:pPr>
        <w:spacing w:line="360" w:lineRule="auto"/>
        <w:ind w:firstLine="422" w:firstLineChars="200"/>
        <w:rPr>
          <w:rFonts w:ascii="宋体" w:hAnsi="宋体"/>
          <w:b/>
          <w:color w:val="auto"/>
          <w:szCs w:val="21"/>
        </w:rPr>
      </w:pPr>
      <w:r>
        <w:rPr>
          <w:rFonts w:hint="eastAsia" w:ascii="宋体" w:hAnsi="宋体"/>
          <w:b/>
          <w:color w:val="auto"/>
          <w:szCs w:val="21"/>
        </w:rPr>
        <w:t>32.2对未通过资格审查的投标人，采购人或采购机构应当告知其未通过的原因；采用综合评分办法评审的，采购人或采购机构还应当告知未中标人本人的评审得分与排序。</w:t>
      </w:r>
    </w:p>
    <w:p w14:paraId="044092EF">
      <w:pPr>
        <w:spacing w:line="360" w:lineRule="auto"/>
        <w:ind w:firstLine="480" w:firstLineChars="200"/>
        <w:rPr>
          <w:rFonts w:ascii="黑体" w:hAnsi="黑体" w:eastAsia="黑体"/>
          <w:color w:val="auto"/>
          <w:sz w:val="24"/>
        </w:rPr>
      </w:pPr>
      <w:r>
        <w:rPr>
          <w:rFonts w:hint="eastAsia" w:ascii="黑体" w:hAnsi="黑体" w:eastAsia="黑体"/>
          <w:color w:val="auto"/>
          <w:sz w:val="24"/>
        </w:rPr>
        <w:t>33. 无义务解释未中标原因</w:t>
      </w:r>
    </w:p>
    <w:p w14:paraId="77C9CCA6">
      <w:pPr>
        <w:spacing w:line="360" w:lineRule="auto"/>
        <w:ind w:firstLine="422" w:firstLineChars="200"/>
        <w:rPr>
          <w:rFonts w:ascii="宋体" w:hAnsi="宋体"/>
          <w:b/>
          <w:color w:val="auto"/>
          <w:szCs w:val="21"/>
        </w:rPr>
      </w:pPr>
      <w:r>
        <w:rPr>
          <w:rFonts w:hint="eastAsia" w:ascii="宋体" w:hAnsi="宋体"/>
          <w:b/>
          <w:color w:val="auto"/>
          <w:szCs w:val="21"/>
        </w:rPr>
        <w:t>采购代理机构无义务向未中标的投标人解释未中标原因和退还投标文件。</w:t>
      </w:r>
    </w:p>
    <w:p w14:paraId="400A89F3">
      <w:pPr>
        <w:spacing w:line="360" w:lineRule="auto"/>
        <w:ind w:firstLine="480" w:firstLineChars="200"/>
        <w:rPr>
          <w:rFonts w:ascii="黑体" w:hAnsi="黑体" w:eastAsia="黑体"/>
          <w:color w:val="auto"/>
          <w:sz w:val="24"/>
        </w:rPr>
      </w:pPr>
      <w:r>
        <w:rPr>
          <w:rFonts w:hint="eastAsia" w:ascii="黑体" w:hAnsi="黑体" w:eastAsia="黑体"/>
          <w:color w:val="auto"/>
          <w:sz w:val="24"/>
        </w:rPr>
        <w:t>34.合同授予标准</w:t>
      </w:r>
    </w:p>
    <w:p w14:paraId="73F1E4D1">
      <w:pPr>
        <w:spacing w:line="360" w:lineRule="auto"/>
        <w:ind w:firstLine="420" w:firstLineChars="200"/>
        <w:rPr>
          <w:rFonts w:ascii="宋体" w:hAnsi="宋体"/>
          <w:color w:val="auto"/>
          <w:szCs w:val="21"/>
        </w:rPr>
      </w:pPr>
      <w:r>
        <w:rPr>
          <w:rFonts w:hint="eastAsia" w:ascii="宋体" w:hAnsi="宋体" w:cs="Courier New"/>
          <w:color w:val="auto"/>
          <w:szCs w:val="21"/>
        </w:rPr>
        <w:t>合同将授予被确定实质上响应招标文件要求，具备履行合同能力的中标人（招标文件另有约定多名中标人的除外）。</w:t>
      </w:r>
    </w:p>
    <w:p w14:paraId="489FA66C">
      <w:pPr>
        <w:spacing w:line="360" w:lineRule="auto"/>
        <w:ind w:firstLine="480" w:firstLineChars="200"/>
        <w:rPr>
          <w:rFonts w:ascii="黑体" w:hAnsi="黑体" w:eastAsia="黑体"/>
          <w:color w:val="auto"/>
          <w:sz w:val="24"/>
        </w:rPr>
      </w:pPr>
      <w:r>
        <w:rPr>
          <w:rFonts w:hint="eastAsia" w:ascii="黑体" w:hAnsi="黑体" w:eastAsia="黑体"/>
          <w:color w:val="auto"/>
          <w:sz w:val="24"/>
        </w:rPr>
        <w:t>35.履约保证金</w:t>
      </w:r>
    </w:p>
    <w:p w14:paraId="26CCCC5B">
      <w:pPr>
        <w:spacing w:line="360" w:lineRule="auto"/>
        <w:ind w:firstLine="422" w:firstLineChars="200"/>
        <w:rPr>
          <w:rFonts w:ascii="宋体" w:hAnsi="宋体"/>
          <w:b/>
          <w:color w:val="auto"/>
          <w:szCs w:val="21"/>
        </w:rPr>
      </w:pPr>
      <w:bookmarkStart w:id="120" w:name="_39.1中标人须于签订合同前按本须知前附表规定的金额转账或电汇到指定账"/>
      <w:bookmarkEnd w:id="120"/>
      <w:r>
        <w:rPr>
          <w:rFonts w:hint="eastAsia" w:ascii="宋体" w:hAnsi="宋体"/>
          <w:b/>
          <w:color w:val="auto"/>
          <w:szCs w:val="21"/>
        </w:rPr>
        <w:t>本项目不收取履约保证金</w:t>
      </w:r>
    </w:p>
    <w:p w14:paraId="33E4B1EA">
      <w:pPr>
        <w:spacing w:line="360" w:lineRule="auto"/>
        <w:ind w:firstLine="480" w:firstLineChars="200"/>
        <w:rPr>
          <w:rFonts w:ascii="黑体" w:hAnsi="黑体" w:eastAsia="黑体"/>
          <w:color w:val="auto"/>
          <w:sz w:val="24"/>
        </w:rPr>
      </w:pPr>
      <w:r>
        <w:rPr>
          <w:rFonts w:hint="eastAsia" w:ascii="黑体" w:hAnsi="黑体" w:eastAsia="黑体"/>
          <w:color w:val="auto"/>
          <w:sz w:val="24"/>
        </w:rPr>
        <w:t>36.签订合同</w:t>
      </w:r>
    </w:p>
    <w:p w14:paraId="373EA5E1">
      <w:pPr>
        <w:pStyle w:val="91"/>
        <w:snapToGrid w:val="0"/>
        <w:spacing w:before="0"/>
        <w:ind w:firstLine="422"/>
        <w:rPr>
          <w:rFonts w:ascii="宋体" w:hAnsi="宋体"/>
          <w:color w:val="auto"/>
          <w:kern w:val="0"/>
          <w:sz w:val="21"/>
          <w:szCs w:val="21"/>
          <w:lang w:val="zh-CN"/>
        </w:rPr>
      </w:pPr>
      <w:bookmarkStart w:id="121" w:name="_40.1投标人接到中标通知书后，按须知前附表规定向采购人出示相关资格证"/>
      <w:bookmarkEnd w:id="121"/>
      <w:r>
        <w:rPr>
          <w:rFonts w:hint="eastAsia" w:ascii="宋体" w:hAnsi="宋体"/>
          <w:b/>
          <w:color w:val="auto"/>
          <w:sz w:val="21"/>
          <w:szCs w:val="21"/>
        </w:rPr>
        <w:t xml:space="preserve"> 36.1中标人领取电子中标通知书后，</w:t>
      </w:r>
      <w:r>
        <w:rPr>
          <w:rFonts w:hint="eastAsia" w:ascii="宋体" w:hAnsi="宋体"/>
          <w:color w:val="auto"/>
          <w:kern w:val="0"/>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77B99250">
      <w:pPr>
        <w:pStyle w:val="91"/>
        <w:snapToGrid w:val="0"/>
        <w:spacing w:before="0"/>
        <w:ind w:firstLine="420"/>
        <w:rPr>
          <w:rFonts w:ascii="宋体" w:hAnsi="宋体"/>
          <w:color w:val="auto"/>
          <w:kern w:val="0"/>
          <w:sz w:val="21"/>
          <w:szCs w:val="21"/>
          <w:lang w:val="zh-CN"/>
        </w:rPr>
      </w:pPr>
      <w:r>
        <w:rPr>
          <w:rFonts w:hint="eastAsia" w:ascii="宋体" w:hAnsi="宋体"/>
          <w:color w:val="auto"/>
          <w:kern w:val="0"/>
          <w:sz w:val="21"/>
          <w:szCs w:val="21"/>
          <w:lang w:val="zh-CN"/>
        </w:rPr>
        <w:t>36.2</w:t>
      </w:r>
      <w:r>
        <w:rPr>
          <w:rFonts w:ascii="宋体" w:hAnsi="宋体" w:cs="仿宋_GB2312"/>
          <w:color w:val="auto"/>
          <w:sz w:val="21"/>
          <w:szCs w:val="21"/>
        </w:rPr>
        <w:t>采购合同由采购人与中标供应商根据</w:t>
      </w:r>
      <w:r>
        <w:rPr>
          <w:rFonts w:hint="eastAsia" w:ascii="宋体" w:hAnsi="宋体" w:cs="仿宋_GB2312"/>
          <w:color w:val="auto"/>
          <w:sz w:val="21"/>
          <w:szCs w:val="21"/>
        </w:rPr>
        <w:t>招标文件、投标文件等内容通过政府采购电子交易平台在线签订，自动备案。</w:t>
      </w:r>
    </w:p>
    <w:p w14:paraId="4C279841">
      <w:pPr>
        <w:pStyle w:val="91"/>
        <w:snapToGrid w:val="0"/>
        <w:spacing w:before="0"/>
        <w:ind w:firstLine="420"/>
        <w:rPr>
          <w:rFonts w:ascii="宋体" w:hAnsi="宋体" w:cs="仿宋_GB2312"/>
          <w:color w:val="auto"/>
          <w:sz w:val="21"/>
          <w:szCs w:val="21"/>
        </w:rPr>
      </w:pPr>
      <w:r>
        <w:rPr>
          <w:rFonts w:hint="eastAsia" w:ascii="宋体" w:hAnsi="宋体"/>
          <w:color w:val="auto"/>
          <w:sz w:val="21"/>
          <w:szCs w:val="21"/>
        </w:rPr>
        <w:t>36.3签订合同时间：按中标通知书规定的时间与采购人签订合同（最长不能超过25日）。</w:t>
      </w:r>
    </w:p>
    <w:p w14:paraId="7F404D9A">
      <w:pPr>
        <w:spacing w:line="360" w:lineRule="auto"/>
        <w:ind w:firstLine="420" w:firstLineChars="200"/>
        <w:rPr>
          <w:rFonts w:ascii="宋体" w:hAnsi="宋体"/>
          <w:color w:val="auto"/>
          <w:szCs w:val="21"/>
        </w:rPr>
      </w:pPr>
      <w:r>
        <w:rPr>
          <w:rFonts w:hint="eastAsia" w:ascii="宋体" w:hAnsi="宋体"/>
          <w:color w:val="auto"/>
          <w:szCs w:val="21"/>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40CBB3AA">
      <w:pPr>
        <w:spacing w:line="360" w:lineRule="auto"/>
        <w:ind w:firstLine="420" w:firstLineChars="200"/>
        <w:rPr>
          <w:rFonts w:ascii="宋体" w:hAnsi="宋体"/>
          <w:color w:val="auto"/>
          <w:szCs w:val="21"/>
        </w:rPr>
      </w:pPr>
      <w:r>
        <w:rPr>
          <w:rFonts w:hint="eastAsia" w:ascii="宋体" w:hAnsi="宋体"/>
          <w:color w:val="auto"/>
          <w:szCs w:val="21"/>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26C8F46">
      <w:pPr>
        <w:spacing w:line="360" w:lineRule="auto"/>
        <w:ind w:firstLine="420" w:firstLineChars="200"/>
        <w:rPr>
          <w:rFonts w:ascii="宋体" w:hAnsi="宋体"/>
          <w:color w:val="auto"/>
          <w:szCs w:val="21"/>
        </w:rPr>
      </w:pPr>
      <w:r>
        <w:rPr>
          <w:rFonts w:hint="eastAsia" w:ascii="宋体" w:hAnsi="宋体"/>
          <w:color w:val="auto"/>
          <w:szCs w:val="21"/>
        </w:rPr>
        <w:t>36.6采购人或中标供应商不得单方面向合同另一方提出任何招标文件没有约定的条件或不合理的要求，作为签订合同的条件；也不得协商另行订立背离招标文件和合同实质性内容的协议。</w:t>
      </w:r>
    </w:p>
    <w:p w14:paraId="2B884F2C">
      <w:pPr>
        <w:spacing w:line="360" w:lineRule="auto"/>
        <w:ind w:firstLine="420" w:firstLineChars="200"/>
        <w:rPr>
          <w:rFonts w:ascii="宋体" w:hAnsi="宋体"/>
          <w:color w:val="auto"/>
          <w:szCs w:val="21"/>
        </w:rPr>
      </w:pPr>
      <w:r>
        <w:rPr>
          <w:rFonts w:hint="eastAsia" w:ascii="宋体" w:hAnsi="宋体"/>
          <w:color w:val="auto"/>
          <w:szCs w:val="21"/>
        </w:rPr>
        <w:t>36.7</w:t>
      </w:r>
      <w:r>
        <w:rPr>
          <w:rFonts w:hint="eastAsia" w:ascii="宋体" w:hAnsi="宋体" w:cs="仿宋_GB2312"/>
          <w:color w:val="auto"/>
          <w:szCs w:val="21"/>
        </w:rPr>
        <w:t>如签订合同并生效后，供应商无故拒绝或延期，除按照合同条款处理外，将承担相应的法律责任。</w:t>
      </w:r>
    </w:p>
    <w:p w14:paraId="5E5C4D9D">
      <w:pPr>
        <w:spacing w:line="360" w:lineRule="auto"/>
        <w:ind w:firstLine="422" w:firstLineChars="200"/>
        <w:rPr>
          <w:rFonts w:ascii="宋体" w:hAnsi="宋体"/>
          <w:b/>
          <w:color w:val="auto"/>
          <w:szCs w:val="21"/>
        </w:rPr>
      </w:pPr>
      <w:r>
        <w:rPr>
          <w:rFonts w:hint="eastAsia" w:ascii="宋体" w:hAnsi="宋体"/>
          <w:b/>
          <w:color w:val="auto"/>
          <w:szCs w:val="21"/>
        </w:rPr>
        <w:t>36.8采购人需追加与合同标的相同的货物或者货物的，在不改变原合同条款且已报财政部门批准落实资金的前提下，可从原中标供应商处添购， 所签订的补充添置合同的采购资金总额不超过原采购合同金额的10%。</w:t>
      </w:r>
    </w:p>
    <w:p w14:paraId="77CB1B39">
      <w:pPr>
        <w:spacing w:line="360" w:lineRule="auto"/>
        <w:ind w:firstLine="480" w:firstLineChars="200"/>
        <w:rPr>
          <w:rFonts w:ascii="黑体" w:hAnsi="黑体" w:eastAsia="黑体"/>
          <w:color w:val="auto"/>
          <w:sz w:val="24"/>
        </w:rPr>
      </w:pPr>
      <w:bookmarkStart w:id="122" w:name="_41.政府采购合同公告"/>
      <w:bookmarkEnd w:id="122"/>
      <w:r>
        <w:rPr>
          <w:rFonts w:hint="eastAsia" w:ascii="黑体" w:hAnsi="黑体" w:eastAsia="黑体"/>
          <w:color w:val="auto"/>
          <w:sz w:val="24"/>
        </w:rPr>
        <w:t>37.政府采购合同公告</w:t>
      </w:r>
    </w:p>
    <w:p w14:paraId="7FAC49C1">
      <w:pPr>
        <w:spacing w:line="360" w:lineRule="auto"/>
        <w:ind w:firstLine="420" w:firstLineChars="200"/>
        <w:rPr>
          <w:rFonts w:ascii="宋体" w:hAnsi="宋体"/>
          <w:color w:val="auto"/>
        </w:rPr>
      </w:pPr>
      <w:r>
        <w:rPr>
          <w:rFonts w:hint="eastAsia" w:hAnsi="宋体"/>
          <w:color w:val="auto"/>
        </w:rPr>
        <w:t>采购人或者受托采购代理机构应当自政府采购合同签订之日起2个工作日内，将政府采购合同</w:t>
      </w:r>
      <w:r>
        <w:rPr>
          <w:rFonts w:hint="eastAsia" w:ascii="宋体" w:hAnsi="宋体"/>
          <w:bCs/>
          <w:color w:val="auto"/>
        </w:rPr>
        <w:t>在以下媒体上发布：</w:t>
      </w:r>
      <w:r>
        <w:rPr>
          <w:rFonts w:hint="eastAsia" w:ascii="宋体" w:hAnsi="宋体" w:cs="宋体"/>
          <w:color w:val="auto"/>
          <w:kern w:val="0"/>
          <w:szCs w:val="21"/>
        </w:rPr>
        <w:t>http://zfcg.gxzf.gov.cn (广西政府采购网)</w:t>
      </w:r>
      <w:r>
        <w:rPr>
          <w:rFonts w:hint="eastAsia" w:hAnsi="宋体"/>
          <w:color w:val="auto"/>
        </w:rPr>
        <w:t>上公告，</w:t>
      </w:r>
      <w:r>
        <w:rPr>
          <w:rFonts w:hAnsi="宋体"/>
          <w:color w:val="auto"/>
        </w:rPr>
        <w:t>但政府采购合同中涉及国家秘密、商业秘密的内容除外。</w:t>
      </w:r>
    </w:p>
    <w:p w14:paraId="3FB49A1C">
      <w:pPr>
        <w:spacing w:line="360" w:lineRule="auto"/>
        <w:ind w:firstLine="480" w:firstLineChars="200"/>
        <w:rPr>
          <w:rFonts w:ascii="黑体" w:hAnsi="黑体" w:eastAsia="黑体"/>
          <w:color w:val="auto"/>
          <w:sz w:val="24"/>
        </w:rPr>
      </w:pPr>
      <w:r>
        <w:rPr>
          <w:rFonts w:hint="eastAsia" w:ascii="黑体" w:hAnsi="黑体" w:eastAsia="黑体"/>
          <w:color w:val="auto"/>
          <w:sz w:val="24"/>
        </w:rPr>
        <w:t>3</w:t>
      </w:r>
      <w:r>
        <w:rPr>
          <w:rFonts w:ascii="黑体" w:hAnsi="黑体" w:eastAsia="黑体"/>
          <w:color w:val="auto"/>
          <w:sz w:val="24"/>
        </w:rPr>
        <w:t>8.</w:t>
      </w:r>
      <w:r>
        <w:rPr>
          <w:rFonts w:hint="eastAsia" w:ascii="黑体" w:hAnsi="黑体" w:eastAsia="黑体"/>
          <w:color w:val="auto"/>
          <w:sz w:val="24"/>
        </w:rPr>
        <w:t xml:space="preserve"> 询问、质疑和投诉</w:t>
      </w:r>
    </w:p>
    <w:p w14:paraId="3898E9B2">
      <w:pPr>
        <w:spacing w:line="360" w:lineRule="auto"/>
        <w:ind w:firstLine="422" w:firstLineChars="200"/>
        <w:rPr>
          <w:rFonts w:hAnsi="宋体"/>
          <w:b/>
          <w:color w:val="auto"/>
          <w:szCs w:val="21"/>
        </w:rPr>
      </w:pPr>
      <w:r>
        <w:rPr>
          <w:rFonts w:hAnsi="宋体"/>
          <w:b/>
          <w:color w:val="auto"/>
          <w:szCs w:val="21"/>
        </w:rPr>
        <w:t>38.1</w:t>
      </w:r>
      <w:r>
        <w:rPr>
          <w:rFonts w:hint="eastAsia" w:hAnsi="宋体"/>
          <w:b/>
          <w:color w:val="auto"/>
          <w:szCs w:val="21"/>
        </w:rPr>
        <w:t>询问</w:t>
      </w:r>
    </w:p>
    <w:p w14:paraId="6C1BFB9A">
      <w:pPr>
        <w:spacing w:line="360" w:lineRule="auto"/>
        <w:ind w:firstLine="420" w:firstLineChars="200"/>
        <w:rPr>
          <w:rFonts w:hAnsi="宋体"/>
          <w:bCs/>
          <w:color w:val="auto"/>
          <w:szCs w:val="21"/>
        </w:rPr>
      </w:pPr>
      <w:r>
        <w:rPr>
          <w:rFonts w:hAnsi="宋体"/>
          <w:bCs/>
          <w:color w:val="auto"/>
          <w:szCs w:val="21"/>
        </w:rPr>
        <w:t>38.1</w:t>
      </w:r>
      <w:r>
        <w:rPr>
          <w:rFonts w:hint="eastAsia" w:hAnsi="宋体"/>
          <w:bCs/>
          <w:color w:val="auto"/>
          <w:szCs w:val="21"/>
        </w:rPr>
        <w:t>.1供应商在开标前对政府采购活动事项有疑问的，可以向采购人或采购代理机构项目负责人提出询问。</w:t>
      </w:r>
    </w:p>
    <w:p w14:paraId="13232656">
      <w:pPr>
        <w:spacing w:line="360" w:lineRule="auto"/>
        <w:ind w:firstLine="420" w:firstLineChars="200"/>
        <w:rPr>
          <w:rFonts w:hAnsi="宋体"/>
          <w:bCs/>
          <w:color w:val="auto"/>
          <w:szCs w:val="21"/>
        </w:rPr>
      </w:pPr>
      <w:r>
        <w:rPr>
          <w:rFonts w:hAnsi="宋体"/>
          <w:bCs/>
          <w:color w:val="auto"/>
          <w:szCs w:val="21"/>
        </w:rPr>
        <w:t>38.1</w:t>
      </w:r>
      <w:r>
        <w:rPr>
          <w:rFonts w:hint="eastAsia" w:hAnsi="宋体"/>
          <w:bCs/>
          <w:color w:val="auto"/>
          <w:szCs w:val="21"/>
        </w:rPr>
        <w:t>.2采购人或采购人委托的采购代理机构自受理询问之日起3个工作日内对供应商依法提出的询问作出答复，</w:t>
      </w:r>
      <w:r>
        <w:rPr>
          <w:rFonts w:hint="eastAsia"/>
          <w:color w:val="auto"/>
        </w:rPr>
        <w:t>但答复内容不得涉及商业秘密</w:t>
      </w:r>
      <w:r>
        <w:rPr>
          <w:rFonts w:hint="eastAsia" w:hAnsi="宋体"/>
          <w:bCs/>
          <w:color w:val="auto"/>
          <w:szCs w:val="21"/>
        </w:rPr>
        <w:t>。</w:t>
      </w:r>
    </w:p>
    <w:p w14:paraId="6CFABF9D">
      <w:pPr>
        <w:spacing w:line="360" w:lineRule="auto"/>
        <w:ind w:firstLine="420" w:firstLineChars="200"/>
        <w:rPr>
          <w:rFonts w:hAnsi="宋体"/>
          <w:bCs/>
          <w:color w:val="auto"/>
          <w:szCs w:val="21"/>
        </w:rPr>
      </w:pPr>
      <w:r>
        <w:rPr>
          <w:rFonts w:hAnsi="宋体"/>
          <w:bCs/>
          <w:color w:val="auto"/>
          <w:szCs w:val="21"/>
        </w:rPr>
        <w:t xml:space="preserve">38.1.3 </w:t>
      </w:r>
      <w:r>
        <w:rPr>
          <w:rFonts w:hint="eastAsia" w:hAnsi="宋体"/>
          <w:bCs/>
          <w:color w:val="auto"/>
          <w:szCs w:val="21"/>
        </w:rPr>
        <w:t>询问事项可能影响中标、成交结果的，采购人应当暂停签订合同，已经签订合同的，应当中止履行合同。</w:t>
      </w:r>
    </w:p>
    <w:p w14:paraId="494788F9">
      <w:pPr>
        <w:spacing w:line="360" w:lineRule="auto"/>
        <w:ind w:firstLine="420" w:firstLineChars="200"/>
        <w:rPr>
          <w:rFonts w:ascii="宋体" w:hAnsi="宋体"/>
          <w:color w:val="auto"/>
          <w:szCs w:val="21"/>
        </w:rPr>
      </w:pPr>
      <w:r>
        <w:rPr>
          <w:rFonts w:ascii="宋体" w:hAnsi="宋体"/>
          <w:color w:val="auto"/>
          <w:szCs w:val="21"/>
        </w:rPr>
        <w:t>38</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质疑</w:t>
      </w:r>
    </w:p>
    <w:p w14:paraId="3BC1940F">
      <w:pPr>
        <w:spacing w:line="360" w:lineRule="auto"/>
        <w:ind w:firstLine="420" w:firstLineChars="200"/>
        <w:rPr>
          <w:rFonts w:ascii="宋体" w:hAnsi="宋体"/>
          <w:b/>
          <w:color w:val="auto"/>
          <w:szCs w:val="21"/>
        </w:rPr>
      </w:pPr>
      <w:r>
        <w:rPr>
          <w:rFonts w:hint="eastAsia" w:ascii="宋体" w:hAnsi="宋体"/>
          <w:color w:val="auto"/>
          <w:szCs w:val="21"/>
        </w:rPr>
        <w:t>38.2.1</w:t>
      </w:r>
      <w:r>
        <w:rPr>
          <w:rFonts w:hint="eastAsia" w:ascii="宋体" w:hAnsi="宋体"/>
          <w:b/>
          <w:color w:val="auto"/>
          <w:szCs w:val="21"/>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690219BA">
      <w:pPr>
        <w:spacing w:line="360" w:lineRule="auto"/>
        <w:ind w:firstLine="420" w:firstLineChars="200"/>
        <w:rPr>
          <w:rFonts w:hAnsi="宋体"/>
          <w:bCs/>
          <w:color w:val="auto"/>
        </w:rPr>
      </w:pPr>
      <w:r>
        <w:rPr>
          <w:rFonts w:hint="eastAsia" w:hAnsi="宋体"/>
          <w:bCs/>
          <w:color w:val="auto"/>
        </w:rPr>
        <w:t>（1）潜在供应商依法获取公开招标文件后，认为采购文件使自己的权益受到损害的，应当在公开招标文件公告期限届满之日起7个工作日内提出质疑。</w:t>
      </w:r>
      <w:r>
        <w:rPr>
          <w:rFonts w:hint="eastAsia"/>
          <w:color w:val="auto"/>
        </w:rPr>
        <w:t>委托代理协议无特殊约定的，</w:t>
      </w:r>
      <w:r>
        <w:rPr>
          <w:rFonts w:hint="eastAsia" w:hAnsi="宋体"/>
          <w:bCs/>
          <w:color w:val="auto"/>
        </w:rPr>
        <w:t>对公开招标文件中采购需求（含资格要求、采购预算和评分办法）的质疑由采购人受理并负责答复；对公开招标文件中的采购执行程序的质疑由采购代理机构受理并负责答复。</w:t>
      </w:r>
    </w:p>
    <w:p w14:paraId="5FF72070">
      <w:pPr>
        <w:spacing w:line="360" w:lineRule="auto"/>
        <w:ind w:firstLine="420" w:firstLineChars="200"/>
        <w:rPr>
          <w:rFonts w:hAnsi="宋体"/>
          <w:bCs/>
          <w:color w:val="auto"/>
        </w:rPr>
      </w:pPr>
      <w:r>
        <w:rPr>
          <w:rFonts w:hint="eastAsia" w:hAnsi="宋体"/>
          <w:bCs/>
          <w:color w:val="auto"/>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047FB09">
      <w:pPr>
        <w:spacing w:line="360" w:lineRule="auto"/>
        <w:ind w:firstLine="420" w:firstLineChars="200"/>
        <w:rPr>
          <w:rFonts w:hAnsi="宋体"/>
          <w:bCs/>
          <w:color w:val="auto"/>
        </w:rPr>
      </w:pPr>
      <w:r>
        <w:rPr>
          <w:rFonts w:hint="eastAsia" w:hAnsi="宋体"/>
          <w:bCs/>
          <w:color w:val="auto"/>
        </w:rPr>
        <w:t>（3）供应商认为中标或者成交结果使自己的权益受到损害的，应当在中标或者成交结果公告期限届满之日起7个工作日内提出质疑，由采购人受理并负责答复。</w:t>
      </w:r>
    </w:p>
    <w:p w14:paraId="136FF1CC">
      <w:pPr>
        <w:spacing w:line="360" w:lineRule="auto"/>
        <w:ind w:firstLine="422" w:firstLineChars="200"/>
        <w:rPr>
          <w:rFonts w:hAnsi="宋体"/>
          <w:bCs/>
          <w:color w:val="auto"/>
          <w:szCs w:val="21"/>
        </w:rPr>
      </w:pPr>
      <w:r>
        <w:rPr>
          <w:rFonts w:hint="eastAsia" w:hAnsi="宋体"/>
          <w:b/>
          <w:bCs/>
          <w:color w:val="auto"/>
          <w:szCs w:val="21"/>
        </w:rPr>
        <w:t>38.2.2</w:t>
      </w:r>
      <w:r>
        <w:rPr>
          <w:rFonts w:hint="eastAsia" w:hAnsi="宋体"/>
          <w:bCs/>
          <w:color w:val="auto"/>
          <w:szCs w:val="21"/>
        </w:rPr>
        <w:t>供应商质疑实行实名制，其质疑应当有具体的质疑事项及事实根据，质疑应当坚持依法依规、诚实信用原则，不得进行虚假、恶意质疑。</w:t>
      </w:r>
    </w:p>
    <w:p w14:paraId="0BFF3852">
      <w:pPr>
        <w:spacing w:line="360" w:lineRule="auto"/>
        <w:ind w:firstLine="422" w:firstLineChars="200"/>
        <w:rPr>
          <w:rFonts w:hAnsi="宋体"/>
          <w:bCs/>
          <w:color w:val="auto"/>
        </w:rPr>
      </w:pPr>
      <w:r>
        <w:rPr>
          <w:rFonts w:hint="eastAsia" w:hAnsi="宋体"/>
          <w:b/>
          <w:bCs/>
          <w:color w:val="auto"/>
        </w:rPr>
        <w:t>38.2.3</w:t>
      </w:r>
      <w:r>
        <w:rPr>
          <w:rFonts w:hint="eastAsia" w:hAnsi="宋体"/>
          <w:bCs/>
          <w:color w:val="auto"/>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hAnsi="宋体"/>
          <w:color w:val="auto"/>
        </w:rPr>
        <w:t>。</w:t>
      </w:r>
    </w:p>
    <w:p w14:paraId="08C5A7C9">
      <w:pPr>
        <w:spacing w:line="360" w:lineRule="auto"/>
        <w:ind w:firstLine="422" w:firstLineChars="200"/>
        <w:rPr>
          <w:rFonts w:hAnsi="宋体"/>
          <w:b/>
          <w:bCs/>
          <w:color w:val="auto"/>
        </w:rPr>
      </w:pPr>
      <w:r>
        <w:rPr>
          <w:rFonts w:hint="eastAsia" w:hAnsi="宋体"/>
          <w:b/>
          <w:bCs/>
          <w:color w:val="auto"/>
        </w:rPr>
        <w:t>38.2.4 质疑供应商提起质疑应当符合下列条件：</w:t>
      </w:r>
    </w:p>
    <w:p w14:paraId="53BA8F0B">
      <w:pPr>
        <w:spacing w:line="360" w:lineRule="auto"/>
        <w:ind w:firstLine="420" w:firstLineChars="200"/>
        <w:rPr>
          <w:rFonts w:hAnsi="宋体"/>
          <w:bCs/>
          <w:color w:val="auto"/>
        </w:rPr>
      </w:pPr>
      <w:r>
        <w:rPr>
          <w:rFonts w:hint="eastAsia" w:hAnsi="宋体"/>
          <w:bCs/>
          <w:color w:val="auto"/>
        </w:rPr>
        <w:t>（1）质疑供应商是参与所质疑</w:t>
      </w:r>
      <w:r>
        <w:rPr>
          <w:rFonts w:hint="eastAsia" w:hAnsi="宋体"/>
          <w:bCs/>
          <w:color w:val="auto"/>
          <w:szCs w:val="21"/>
        </w:rPr>
        <w:t>项目</w:t>
      </w:r>
      <w:r>
        <w:rPr>
          <w:rFonts w:hint="eastAsia" w:hAnsi="宋体"/>
          <w:bCs/>
          <w:color w:val="auto"/>
        </w:rPr>
        <w:t>采购活动的供应商（潜在供应商已依法获取可之一的采购文件的，可以对该采购文件质疑）；</w:t>
      </w:r>
    </w:p>
    <w:p w14:paraId="623D1000">
      <w:pPr>
        <w:spacing w:line="360" w:lineRule="auto"/>
        <w:ind w:firstLine="420" w:firstLineChars="200"/>
        <w:rPr>
          <w:rFonts w:hAnsi="宋体"/>
          <w:bCs/>
          <w:color w:val="auto"/>
        </w:rPr>
      </w:pPr>
      <w:r>
        <w:rPr>
          <w:rFonts w:hint="eastAsia" w:hAnsi="宋体"/>
          <w:bCs/>
          <w:color w:val="auto"/>
        </w:rPr>
        <w:t>（2）质疑函内容符合本章第38.2.5项的规定；</w:t>
      </w:r>
    </w:p>
    <w:p w14:paraId="4E5FDEE1">
      <w:pPr>
        <w:spacing w:line="360" w:lineRule="auto"/>
        <w:ind w:firstLine="420" w:firstLineChars="200"/>
        <w:rPr>
          <w:rFonts w:hAnsi="宋体"/>
          <w:bCs/>
          <w:color w:val="auto"/>
        </w:rPr>
      </w:pPr>
      <w:r>
        <w:rPr>
          <w:rFonts w:hint="eastAsia" w:hAnsi="宋体"/>
          <w:bCs/>
          <w:color w:val="auto"/>
        </w:rPr>
        <w:t>（3）在质疑有效期限内提起质疑；</w:t>
      </w:r>
    </w:p>
    <w:p w14:paraId="69AE5ED2">
      <w:pPr>
        <w:spacing w:line="360" w:lineRule="auto"/>
        <w:ind w:firstLine="420" w:firstLineChars="200"/>
        <w:rPr>
          <w:rFonts w:hAnsi="宋体"/>
          <w:bCs/>
          <w:color w:val="auto"/>
        </w:rPr>
      </w:pPr>
      <w:r>
        <w:rPr>
          <w:rFonts w:hint="eastAsia" w:hAnsi="宋体"/>
          <w:bCs/>
          <w:color w:val="auto"/>
        </w:rPr>
        <w:t>（4）属于所质疑的采购人或采购人委托的采购代理机构组织的采购活动；</w:t>
      </w:r>
    </w:p>
    <w:p w14:paraId="6C79581A">
      <w:pPr>
        <w:spacing w:line="360" w:lineRule="auto"/>
        <w:ind w:firstLine="420" w:firstLineChars="200"/>
        <w:rPr>
          <w:rFonts w:hAnsi="宋体"/>
          <w:bCs/>
          <w:color w:val="auto"/>
        </w:rPr>
      </w:pPr>
      <w:r>
        <w:rPr>
          <w:rFonts w:hint="eastAsia" w:hAnsi="宋体"/>
          <w:bCs/>
          <w:color w:val="auto"/>
        </w:rPr>
        <w:t xml:space="preserve">（5）同一质疑事项未经采购人或采购人委托的采购代理机构质疑处理； </w:t>
      </w:r>
    </w:p>
    <w:p w14:paraId="2DC54F00">
      <w:pPr>
        <w:spacing w:line="360" w:lineRule="auto"/>
        <w:ind w:firstLine="420" w:firstLineChars="200"/>
        <w:rPr>
          <w:rFonts w:hAnsi="宋体"/>
          <w:bCs/>
          <w:color w:val="auto"/>
        </w:rPr>
      </w:pPr>
      <w:r>
        <w:rPr>
          <w:rFonts w:hint="eastAsia" w:hAnsi="宋体"/>
          <w:bCs/>
          <w:color w:val="auto"/>
        </w:rPr>
        <w:t>（6）供应商对同一采购程序环节的质疑应当在质疑有效期内一次性提出；</w:t>
      </w:r>
    </w:p>
    <w:p w14:paraId="61EE1CF4">
      <w:pPr>
        <w:spacing w:line="360" w:lineRule="auto"/>
        <w:ind w:firstLine="420" w:firstLineChars="200"/>
        <w:rPr>
          <w:rFonts w:hAnsi="宋体"/>
          <w:bCs/>
          <w:color w:val="auto"/>
        </w:rPr>
      </w:pPr>
      <w:r>
        <w:rPr>
          <w:rFonts w:hint="eastAsia" w:hAnsi="宋体"/>
          <w:bCs/>
          <w:color w:val="auto"/>
        </w:rPr>
        <w:t>（7）供应商提交质疑应当提交必要的证明材料，证明材料应以合法手段取得；</w:t>
      </w:r>
    </w:p>
    <w:p w14:paraId="36CB2B78">
      <w:pPr>
        <w:spacing w:line="360" w:lineRule="auto"/>
        <w:ind w:firstLine="420" w:firstLineChars="200"/>
        <w:rPr>
          <w:color w:val="auto"/>
        </w:rPr>
      </w:pPr>
      <w:r>
        <w:rPr>
          <w:rFonts w:hint="eastAsia" w:hAnsi="宋体"/>
          <w:bCs/>
          <w:color w:val="auto"/>
        </w:rPr>
        <w:t>（8）财政部门规定的其他条件。</w:t>
      </w:r>
    </w:p>
    <w:p w14:paraId="18949798">
      <w:pPr>
        <w:spacing w:line="360" w:lineRule="auto"/>
        <w:ind w:firstLine="420" w:firstLineChars="200"/>
        <w:rPr>
          <w:rFonts w:ascii="宋体" w:hAnsi="宋体"/>
          <w:b/>
          <w:color w:val="auto"/>
          <w:szCs w:val="21"/>
        </w:rPr>
      </w:pPr>
      <w:bookmarkStart w:id="123" w:name="_9.2质疑、投诉应当采用书面形式，质疑函、投诉书均应明确阐述招标文件、"/>
      <w:bookmarkEnd w:id="123"/>
      <w:r>
        <w:rPr>
          <w:rFonts w:hint="eastAsia" w:ascii="宋体" w:hAnsi="宋体"/>
          <w:color w:val="auto"/>
          <w:szCs w:val="21"/>
        </w:rPr>
        <w:t xml:space="preserve"> </w:t>
      </w:r>
      <w:r>
        <w:rPr>
          <w:rFonts w:ascii="宋体" w:hAnsi="宋体"/>
          <w:color w:val="auto"/>
          <w:szCs w:val="21"/>
        </w:rPr>
        <w:t>38</w:t>
      </w:r>
      <w:r>
        <w:rPr>
          <w:rFonts w:hint="eastAsia" w:ascii="宋体" w:hAnsi="宋体"/>
          <w:color w:val="auto"/>
          <w:szCs w:val="21"/>
        </w:rPr>
        <w:t xml:space="preserve">.2.5 </w:t>
      </w:r>
      <w:r>
        <w:rPr>
          <w:rFonts w:hAnsi="宋体"/>
          <w:bCs/>
          <w:color w:val="auto"/>
        </w:rPr>
        <w:t>供应商提出质疑应当提交质疑函和必要的证明材料</w:t>
      </w:r>
      <w:r>
        <w:rPr>
          <w:rFonts w:hint="eastAsia" w:hAnsi="宋体"/>
          <w:bCs/>
          <w:color w:val="auto"/>
        </w:rPr>
        <w:t>，</w:t>
      </w:r>
      <w:r>
        <w:rPr>
          <w:rFonts w:hAnsi="宋体"/>
          <w:bCs/>
          <w:color w:val="auto"/>
        </w:rPr>
        <w:t>针对同一采购程序环节的质疑</w:t>
      </w:r>
      <w:r>
        <w:rPr>
          <w:rFonts w:hint="eastAsia" w:hAnsi="宋体"/>
          <w:bCs/>
          <w:color w:val="auto"/>
        </w:rPr>
        <w:t>必须</w:t>
      </w:r>
      <w:r>
        <w:rPr>
          <w:rFonts w:hAnsi="宋体"/>
          <w:bCs/>
          <w:color w:val="auto"/>
        </w:rPr>
        <w:t>在法定质疑期内一次性提出。质疑函应当包括下列内容</w:t>
      </w:r>
      <w:r>
        <w:rPr>
          <w:rFonts w:hint="eastAsia" w:hAnsi="宋体"/>
          <w:bCs/>
          <w:color w:val="auto"/>
        </w:rPr>
        <w:t>（质疑函格式后附）</w:t>
      </w:r>
      <w:r>
        <w:rPr>
          <w:rFonts w:hAnsi="宋体"/>
          <w:bCs/>
          <w:color w:val="auto"/>
        </w:rPr>
        <w:t>：</w:t>
      </w:r>
    </w:p>
    <w:p w14:paraId="56B5C4A3">
      <w:pPr>
        <w:spacing w:line="360" w:lineRule="auto"/>
        <w:ind w:firstLine="420" w:firstLineChars="200"/>
        <w:rPr>
          <w:rFonts w:hAnsi="宋体"/>
          <w:bCs/>
          <w:color w:val="auto"/>
        </w:rPr>
      </w:pPr>
      <w:r>
        <w:rPr>
          <w:rFonts w:hAnsi="宋体"/>
          <w:bCs/>
          <w:color w:val="auto"/>
        </w:rPr>
        <w:t>（</w:t>
      </w:r>
      <w:r>
        <w:rPr>
          <w:rFonts w:hint="eastAsia" w:hAnsi="宋体"/>
          <w:bCs/>
          <w:color w:val="auto"/>
        </w:rPr>
        <w:t>1</w:t>
      </w:r>
      <w:r>
        <w:rPr>
          <w:rFonts w:hAnsi="宋体"/>
          <w:bCs/>
          <w:color w:val="auto"/>
        </w:rPr>
        <w:t>）供应商的姓名或者名称、地址、邮编、联系人及联系电话；</w:t>
      </w:r>
    </w:p>
    <w:p w14:paraId="2646CBAE">
      <w:pPr>
        <w:spacing w:line="360" w:lineRule="auto"/>
        <w:ind w:firstLine="420" w:firstLineChars="200"/>
        <w:rPr>
          <w:rFonts w:hAnsi="宋体"/>
          <w:bCs/>
          <w:color w:val="auto"/>
        </w:rPr>
      </w:pPr>
      <w:r>
        <w:rPr>
          <w:rFonts w:hAnsi="宋体"/>
          <w:bCs/>
          <w:color w:val="auto"/>
        </w:rPr>
        <w:t>（</w:t>
      </w:r>
      <w:r>
        <w:rPr>
          <w:rFonts w:hint="eastAsia" w:hAnsi="宋体"/>
          <w:bCs/>
          <w:color w:val="auto"/>
        </w:rPr>
        <w:t>2</w:t>
      </w:r>
      <w:r>
        <w:rPr>
          <w:rFonts w:hAnsi="宋体"/>
          <w:bCs/>
          <w:color w:val="auto"/>
        </w:rPr>
        <w:t>）质疑项目的名称、编号；</w:t>
      </w:r>
    </w:p>
    <w:p w14:paraId="393A484F">
      <w:pPr>
        <w:spacing w:line="360" w:lineRule="auto"/>
        <w:ind w:firstLine="420" w:firstLineChars="200"/>
        <w:rPr>
          <w:rFonts w:hAnsi="宋体"/>
          <w:bCs/>
          <w:color w:val="auto"/>
        </w:rPr>
      </w:pPr>
      <w:r>
        <w:rPr>
          <w:rFonts w:hAnsi="宋体"/>
          <w:bCs/>
          <w:color w:val="auto"/>
        </w:rPr>
        <w:t>（</w:t>
      </w:r>
      <w:r>
        <w:rPr>
          <w:rFonts w:hint="eastAsia" w:hAnsi="宋体"/>
          <w:bCs/>
          <w:color w:val="auto"/>
        </w:rPr>
        <w:t>3</w:t>
      </w:r>
      <w:r>
        <w:rPr>
          <w:rFonts w:hAnsi="宋体"/>
          <w:bCs/>
          <w:color w:val="auto"/>
        </w:rPr>
        <w:t>）具体、明确的质疑事项和与质疑事项相关的请求；</w:t>
      </w:r>
    </w:p>
    <w:p w14:paraId="4DCB3F18">
      <w:pPr>
        <w:spacing w:line="360" w:lineRule="auto"/>
        <w:ind w:firstLine="420" w:firstLineChars="200"/>
        <w:rPr>
          <w:rFonts w:hAnsi="宋体"/>
          <w:bCs/>
          <w:color w:val="auto"/>
        </w:rPr>
      </w:pPr>
      <w:r>
        <w:rPr>
          <w:rFonts w:hAnsi="宋体"/>
          <w:bCs/>
          <w:color w:val="auto"/>
        </w:rPr>
        <w:t>（</w:t>
      </w:r>
      <w:r>
        <w:rPr>
          <w:rFonts w:hint="eastAsia" w:hAnsi="宋体"/>
          <w:bCs/>
          <w:color w:val="auto"/>
        </w:rPr>
        <w:t>4</w:t>
      </w:r>
      <w:r>
        <w:rPr>
          <w:rFonts w:hAnsi="宋体"/>
          <w:bCs/>
          <w:color w:val="auto"/>
        </w:rPr>
        <w:t>）事实依据</w:t>
      </w:r>
      <w:r>
        <w:rPr>
          <w:rFonts w:hint="eastAsia" w:hAnsi="宋体"/>
          <w:bCs/>
          <w:color w:val="auto"/>
        </w:rPr>
        <w:t>（列明权益受到损害的事实和理由）</w:t>
      </w:r>
      <w:r>
        <w:rPr>
          <w:rFonts w:hAnsi="宋体"/>
          <w:bCs/>
          <w:color w:val="auto"/>
        </w:rPr>
        <w:t>；</w:t>
      </w:r>
    </w:p>
    <w:p w14:paraId="23100F62">
      <w:pPr>
        <w:spacing w:line="360" w:lineRule="auto"/>
        <w:ind w:firstLine="420" w:firstLineChars="200"/>
        <w:rPr>
          <w:rFonts w:hAnsi="宋体"/>
          <w:bCs/>
          <w:color w:val="auto"/>
        </w:rPr>
      </w:pPr>
      <w:r>
        <w:rPr>
          <w:rFonts w:hAnsi="宋体"/>
          <w:bCs/>
          <w:color w:val="auto"/>
        </w:rPr>
        <w:t>（</w:t>
      </w:r>
      <w:r>
        <w:rPr>
          <w:rFonts w:hint="eastAsia" w:hAnsi="宋体"/>
          <w:bCs/>
          <w:color w:val="auto"/>
        </w:rPr>
        <w:t>5</w:t>
      </w:r>
      <w:r>
        <w:rPr>
          <w:rFonts w:hAnsi="宋体"/>
          <w:bCs/>
          <w:color w:val="auto"/>
        </w:rPr>
        <w:t>）必要的法律依据；</w:t>
      </w:r>
    </w:p>
    <w:p w14:paraId="57447CEF">
      <w:pPr>
        <w:spacing w:line="360" w:lineRule="auto"/>
        <w:ind w:firstLine="420" w:firstLineChars="200"/>
        <w:rPr>
          <w:rFonts w:hAnsi="宋体"/>
          <w:bCs/>
          <w:color w:val="auto"/>
        </w:rPr>
      </w:pPr>
      <w:r>
        <w:rPr>
          <w:rFonts w:hAnsi="宋体"/>
          <w:bCs/>
          <w:color w:val="auto"/>
        </w:rPr>
        <w:t>（</w:t>
      </w:r>
      <w:r>
        <w:rPr>
          <w:rFonts w:hint="eastAsia" w:hAnsi="宋体"/>
          <w:bCs/>
          <w:color w:val="auto"/>
        </w:rPr>
        <w:t>6</w:t>
      </w:r>
      <w:r>
        <w:rPr>
          <w:rFonts w:hAnsi="宋体"/>
          <w:bCs/>
          <w:color w:val="auto"/>
        </w:rPr>
        <w:t>）提出质疑的日期。</w:t>
      </w:r>
    </w:p>
    <w:p w14:paraId="20313A89">
      <w:pPr>
        <w:spacing w:line="360" w:lineRule="auto"/>
        <w:ind w:firstLine="420" w:firstLineChars="200"/>
        <w:rPr>
          <w:rFonts w:hAnsi="宋体"/>
          <w:bCs/>
          <w:color w:val="auto"/>
        </w:rPr>
      </w:pPr>
      <w:r>
        <w:rPr>
          <w:rFonts w:hAnsi="宋体"/>
          <w:bCs/>
          <w:color w:val="auto"/>
        </w:rPr>
        <w:t>供应商为自然人的，应当由本人签字；供应商为法人或者其他组织的，应当由法定代表人、主要负责人，或者其委托代理人签字或者盖章，并加盖公章</w:t>
      </w:r>
      <w:r>
        <w:rPr>
          <w:rFonts w:hint="eastAsia" w:hAnsi="宋体"/>
          <w:bCs/>
          <w:color w:val="auto"/>
        </w:rPr>
        <w:t>。</w:t>
      </w:r>
    </w:p>
    <w:p w14:paraId="45AECF73">
      <w:pPr>
        <w:spacing w:line="360" w:lineRule="auto"/>
        <w:ind w:firstLine="422" w:firstLineChars="200"/>
        <w:rPr>
          <w:rFonts w:ascii="宋体" w:hAnsi="宋体"/>
          <w:b/>
          <w:color w:val="auto"/>
          <w:szCs w:val="20"/>
        </w:rPr>
      </w:pPr>
      <w:r>
        <w:rPr>
          <w:rFonts w:hint="eastAsia" w:ascii="宋体" w:hAnsi="宋体"/>
          <w:b/>
          <w:color w:val="auto"/>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3F6FCE3B">
      <w:pPr>
        <w:spacing w:line="360" w:lineRule="auto"/>
        <w:ind w:firstLine="420" w:firstLineChars="200"/>
        <w:rPr>
          <w:rFonts w:ascii="宋体" w:hAnsi="宋体"/>
          <w:bCs/>
          <w:color w:val="auto"/>
          <w:szCs w:val="21"/>
        </w:rPr>
      </w:pPr>
      <w:r>
        <w:rPr>
          <w:rFonts w:ascii="宋体" w:hAnsi="宋体"/>
          <w:color w:val="auto"/>
          <w:szCs w:val="21"/>
        </w:rPr>
        <w:t>3</w:t>
      </w:r>
      <w:r>
        <w:rPr>
          <w:rFonts w:ascii="宋体" w:hAnsi="宋体"/>
          <w:bCs/>
          <w:color w:val="auto"/>
          <w:szCs w:val="21"/>
        </w:rPr>
        <w:t>8.</w:t>
      </w:r>
      <w:r>
        <w:rPr>
          <w:rFonts w:hint="eastAsia" w:ascii="宋体" w:hAnsi="宋体"/>
          <w:bCs/>
          <w:color w:val="auto"/>
          <w:szCs w:val="21"/>
        </w:rPr>
        <w:t>2.7采购人、采购代理机构认为供应商质疑不成立，或者成立但未对中标结果构成影响的，继续开展采购活动；认为供应商质疑成立且影响或者可能影响中标结果的，按照下列情况处理：</w:t>
      </w:r>
    </w:p>
    <w:p w14:paraId="5938B71F">
      <w:pPr>
        <w:spacing w:line="360" w:lineRule="auto"/>
        <w:ind w:firstLine="420" w:firstLineChars="200"/>
        <w:rPr>
          <w:rFonts w:hAnsi="宋体"/>
          <w:bCs/>
          <w:color w:val="auto"/>
        </w:rPr>
      </w:pPr>
      <w:r>
        <w:rPr>
          <w:rFonts w:hint="eastAsia" w:hAnsi="宋体"/>
          <w:bCs/>
          <w:color w:val="auto"/>
        </w:rPr>
        <w:t>　　（一）对招标文件提出的质疑，依法通过澄清或者修改可以继续开展采购活动的，澄清或者修改招标文件后继续开展采购活动；否则应当修改招标文件后重新开展采购活动。</w:t>
      </w:r>
    </w:p>
    <w:p w14:paraId="27E732AC">
      <w:pPr>
        <w:spacing w:line="360" w:lineRule="auto"/>
        <w:ind w:firstLine="420" w:firstLineChars="200"/>
        <w:rPr>
          <w:rFonts w:hAnsi="宋体"/>
          <w:bCs/>
          <w:color w:val="auto"/>
        </w:rPr>
      </w:pPr>
      <w:r>
        <w:rPr>
          <w:rFonts w:hint="eastAsia" w:hAnsi="宋体"/>
          <w:bCs/>
          <w:color w:val="auto"/>
        </w:rPr>
        <w:t>　　（二）对采购过程、中标结果提出的质疑，合格供应商符合法定数量时，可以从合格的中标候选人中另行确定中标供应商的，应当依法另行确定中标供应商；否则应当重新开展采购活动。</w:t>
      </w:r>
    </w:p>
    <w:p w14:paraId="6C5336E8">
      <w:pPr>
        <w:spacing w:line="360" w:lineRule="auto"/>
        <w:ind w:firstLine="420" w:firstLineChars="200"/>
        <w:rPr>
          <w:rFonts w:hAnsi="宋体"/>
          <w:bCs/>
          <w:color w:val="auto"/>
        </w:rPr>
      </w:pPr>
      <w:r>
        <w:rPr>
          <w:rFonts w:hint="eastAsia" w:hAnsi="宋体"/>
          <w:bCs/>
          <w:color w:val="auto"/>
        </w:rPr>
        <w:t>质疑答复导致中标结果改变的，采购人或者采购代理机构应当将有关情况书面报告本级财政部门。</w:t>
      </w:r>
    </w:p>
    <w:p w14:paraId="44C5AE2E">
      <w:pPr>
        <w:spacing w:line="360" w:lineRule="auto"/>
        <w:ind w:firstLine="422" w:firstLineChars="200"/>
        <w:rPr>
          <w:rFonts w:hAnsi="宋体"/>
          <w:b/>
          <w:color w:val="auto"/>
        </w:rPr>
      </w:pPr>
      <w:r>
        <w:rPr>
          <w:rFonts w:hAnsi="宋体"/>
          <w:b/>
          <w:color w:val="auto"/>
        </w:rPr>
        <w:t>38</w:t>
      </w:r>
      <w:r>
        <w:rPr>
          <w:rFonts w:hint="eastAsia" w:hAnsi="宋体"/>
          <w:b/>
          <w:color w:val="auto"/>
        </w:rPr>
        <w:t>.3投诉</w:t>
      </w:r>
    </w:p>
    <w:p w14:paraId="0F76CA79">
      <w:pPr>
        <w:spacing w:line="360" w:lineRule="auto"/>
        <w:ind w:firstLine="422" w:firstLineChars="200"/>
        <w:rPr>
          <w:rFonts w:hAnsi="宋体"/>
          <w:bCs/>
          <w:color w:val="auto"/>
        </w:rPr>
      </w:pPr>
      <w:r>
        <w:rPr>
          <w:rFonts w:hAnsi="宋体"/>
          <w:b/>
          <w:color w:val="auto"/>
        </w:rPr>
        <w:t>38</w:t>
      </w:r>
      <w:r>
        <w:rPr>
          <w:rFonts w:hint="eastAsia" w:hAnsi="宋体"/>
          <w:b/>
          <w:color w:val="auto"/>
        </w:rPr>
        <w:t>.3</w:t>
      </w:r>
      <w:r>
        <w:rPr>
          <w:rFonts w:hint="eastAsia" w:hAnsi="宋体"/>
          <w:bCs/>
          <w:color w:val="auto"/>
        </w:rPr>
        <w:t>.</w:t>
      </w:r>
      <w:r>
        <w:rPr>
          <w:rFonts w:hint="eastAsia" w:hAnsi="宋体"/>
          <w:b/>
          <w:bCs/>
          <w:color w:val="auto"/>
        </w:rPr>
        <w:t xml:space="preserve">1 </w:t>
      </w:r>
      <w:r>
        <w:rPr>
          <w:rFonts w:hint="eastAsia" w:hAnsi="宋体"/>
          <w:bCs/>
          <w:color w:val="auto"/>
        </w:rPr>
        <w:t xml:space="preserve"> 供应商认为采购文件、采购过程、中标和成交结果使自己的合法权益受到损害的，应当首先依法向采购人或采购人委托的</w:t>
      </w:r>
      <w:r>
        <w:rPr>
          <w:rFonts w:hint="eastAsia" w:hAnsi="宋体"/>
          <w:color w:val="auto"/>
        </w:rPr>
        <w:t>采购代理机构</w:t>
      </w:r>
      <w:r>
        <w:rPr>
          <w:rFonts w:hint="eastAsia" w:hAnsi="宋体"/>
          <w:bCs/>
          <w:color w:val="auto"/>
        </w:rPr>
        <w:t>提出质疑。对采购人、</w:t>
      </w:r>
      <w:r>
        <w:rPr>
          <w:rFonts w:hint="eastAsia" w:hAnsi="宋体"/>
          <w:color w:val="auto"/>
        </w:rPr>
        <w:t>采购代理机构</w:t>
      </w:r>
      <w:r>
        <w:rPr>
          <w:rFonts w:hint="eastAsia" w:hAnsi="宋体"/>
          <w:bCs/>
          <w:color w:val="auto"/>
        </w:rPr>
        <w:t>的答复不满意，或者采购人、</w:t>
      </w:r>
      <w:r>
        <w:rPr>
          <w:rFonts w:hint="eastAsia" w:hAnsi="宋体"/>
          <w:color w:val="auto"/>
        </w:rPr>
        <w:t>采购代理机构</w:t>
      </w:r>
      <w:r>
        <w:rPr>
          <w:rFonts w:hint="eastAsia" w:hAnsi="宋体"/>
          <w:bCs/>
          <w:color w:val="auto"/>
        </w:rPr>
        <w:t>未在规定期限内做出答复的，供应商可以在答复期满后15个工作日内向南宁市本级政府采购监督管理部门提起投诉，投诉联系方式见“投标人须知前附表”。</w:t>
      </w:r>
    </w:p>
    <w:p w14:paraId="022E75DC">
      <w:pPr>
        <w:spacing w:line="360" w:lineRule="auto"/>
        <w:ind w:firstLine="422" w:firstLineChars="200"/>
        <w:rPr>
          <w:rFonts w:hAnsi="宋体"/>
          <w:bCs/>
          <w:color w:val="auto"/>
        </w:rPr>
      </w:pPr>
      <w:r>
        <w:rPr>
          <w:rFonts w:hAnsi="宋体"/>
          <w:b/>
          <w:color w:val="auto"/>
        </w:rPr>
        <w:t>38</w:t>
      </w:r>
      <w:r>
        <w:rPr>
          <w:rFonts w:hint="eastAsia" w:hAnsi="宋体"/>
          <w:b/>
          <w:color w:val="auto"/>
        </w:rPr>
        <w:t>.3</w:t>
      </w:r>
      <w:r>
        <w:rPr>
          <w:rFonts w:hint="eastAsia"/>
          <w:b/>
          <w:color w:val="auto"/>
        </w:rPr>
        <w:t xml:space="preserve">.2 </w:t>
      </w:r>
      <w:r>
        <w:rPr>
          <w:rFonts w:hint="eastAsia"/>
          <w:color w:val="auto"/>
        </w:rPr>
        <w:t xml:space="preserve"> 投诉人投诉时，应当提交投诉书，并按照被投诉采购人、</w:t>
      </w:r>
      <w:r>
        <w:rPr>
          <w:rFonts w:hint="eastAsia" w:hAnsi="宋体"/>
          <w:color w:val="auto"/>
        </w:rPr>
        <w:t>采购代理机构</w:t>
      </w:r>
      <w:r>
        <w:rPr>
          <w:rFonts w:hint="eastAsia"/>
          <w:color w:val="auto"/>
        </w:rPr>
        <w:t>和与投诉事项有关的供应商数量提供投诉书的副本。投诉书</w:t>
      </w:r>
      <w:r>
        <w:rPr>
          <w:rFonts w:hint="eastAsia"/>
          <w:color w:val="auto"/>
          <w:szCs w:val="21"/>
        </w:rPr>
        <w:t>应当包括下列主要内容</w:t>
      </w:r>
      <w:r>
        <w:rPr>
          <w:rFonts w:hint="eastAsia"/>
          <w:color w:val="auto"/>
        </w:rPr>
        <w:t>（如材料中有外文资料应同时附上对应的中文译本）</w:t>
      </w:r>
      <w:r>
        <w:rPr>
          <w:rFonts w:hint="eastAsia" w:hAnsi="宋体"/>
          <w:bCs/>
          <w:color w:val="auto"/>
        </w:rPr>
        <w:t>（投诉书格式后附）</w:t>
      </w:r>
      <w:r>
        <w:rPr>
          <w:rFonts w:hint="eastAsia"/>
          <w:color w:val="auto"/>
          <w:szCs w:val="21"/>
        </w:rPr>
        <w:t>：</w:t>
      </w:r>
    </w:p>
    <w:p w14:paraId="4AAD8EBF">
      <w:pPr>
        <w:spacing w:line="360" w:lineRule="auto"/>
        <w:ind w:firstLine="420" w:firstLineChars="200"/>
        <w:rPr>
          <w:color w:val="auto"/>
        </w:rPr>
      </w:pPr>
      <w:r>
        <w:rPr>
          <w:rFonts w:hint="eastAsia" w:hAnsi="宋体"/>
          <w:color w:val="auto"/>
        </w:rPr>
        <w:t xml:space="preserve">（1）投诉人和被投诉人的名称、地址、邮编、联系人及联系电话等； </w:t>
      </w:r>
    </w:p>
    <w:p w14:paraId="6038AAFE">
      <w:pPr>
        <w:spacing w:line="360" w:lineRule="auto"/>
        <w:ind w:firstLine="420" w:firstLineChars="200"/>
        <w:rPr>
          <w:color w:val="auto"/>
        </w:rPr>
      </w:pPr>
      <w:r>
        <w:rPr>
          <w:rFonts w:hint="eastAsia" w:hAnsi="宋体"/>
          <w:color w:val="auto"/>
        </w:rPr>
        <w:t>（2）质疑和质疑答复情况及相关证明材料；</w:t>
      </w:r>
      <w:r>
        <w:rPr>
          <w:rFonts w:hint="eastAsia"/>
          <w:color w:val="auto"/>
        </w:rPr>
        <w:t xml:space="preserve"> </w:t>
      </w:r>
    </w:p>
    <w:p w14:paraId="665D9244">
      <w:pPr>
        <w:spacing w:line="360" w:lineRule="auto"/>
        <w:ind w:firstLine="420" w:firstLineChars="200"/>
        <w:rPr>
          <w:rFonts w:hAnsi="宋体"/>
          <w:color w:val="auto"/>
        </w:rPr>
      </w:pPr>
      <w:r>
        <w:rPr>
          <w:rFonts w:hint="eastAsia" w:hAnsi="宋体"/>
          <w:color w:val="auto"/>
        </w:rPr>
        <w:t>（3）具体、明确的投诉事项和与投诉事项相关的投诉请求；</w:t>
      </w:r>
    </w:p>
    <w:p w14:paraId="69EB8F61">
      <w:pPr>
        <w:spacing w:line="360" w:lineRule="auto"/>
        <w:ind w:firstLine="420" w:firstLineChars="200"/>
        <w:rPr>
          <w:rFonts w:hAnsi="宋体"/>
          <w:color w:val="auto"/>
        </w:rPr>
      </w:pPr>
      <w:r>
        <w:rPr>
          <w:rFonts w:hint="eastAsia" w:hAnsi="宋体"/>
          <w:color w:val="auto"/>
        </w:rPr>
        <w:t>（4）事实依据；</w:t>
      </w:r>
    </w:p>
    <w:p w14:paraId="735E189D">
      <w:pPr>
        <w:spacing w:line="360" w:lineRule="auto"/>
        <w:ind w:firstLine="420" w:firstLineChars="200"/>
        <w:rPr>
          <w:color w:val="auto"/>
        </w:rPr>
      </w:pPr>
      <w:r>
        <w:rPr>
          <w:rFonts w:hint="eastAsia" w:hAnsi="宋体"/>
          <w:color w:val="auto"/>
        </w:rPr>
        <w:t>（5）法律依据；</w:t>
      </w:r>
    </w:p>
    <w:p w14:paraId="05A35C9D">
      <w:pPr>
        <w:spacing w:line="360" w:lineRule="auto"/>
        <w:ind w:firstLine="420" w:firstLineChars="200"/>
        <w:rPr>
          <w:rFonts w:hAnsi="宋体"/>
          <w:color w:val="auto"/>
        </w:rPr>
      </w:pPr>
      <w:r>
        <w:rPr>
          <w:rFonts w:hint="eastAsia" w:hAnsi="宋体"/>
          <w:color w:val="auto"/>
        </w:rPr>
        <w:t>（6）提起投诉的日期。</w:t>
      </w:r>
    </w:p>
    <w:p w14:paraId="23A74B95">
      <w:pPr>
        <w:spacing w:line="360" w:lineRule="auto"/>
        <w:ind w:firstLine="420" w:firstLineChars="200"/>
        <w:rPr>
          <w:rFonts w:hAnsi="宋体"/>
          <w:color w:val="auto"/>
        </w:rPr>
      </w:pPr>
      <w:r>
        <w:rPr>
          <w:rFonts w:hint="eastAsia" w:hAnsi="宋体"/>
          <w:color w:val="auto"/>
        </w:rPr>
        <w:t>（7）附件材料：营业执照副本内页复印件（要求证件有效并清晰反映企业法人经营范围；近期连续三个月依法缴纳税收和在职职工社会保障资金证明材料（复印件）。</w:t>
      </w:r>
      <w:r>
        <w:rPr>
          <w:rFonts w:hint="eastAsia" w:hAnsi="宋体"/>
          <w:color w:val="auto"/>
        </w:rPr>
        <w:tab/>
      </w:r>
    </w:p>
    <w:p w14:paraId="1CB43951">
      <w:pPr>
        <w:spacing w:line="360" w:lineRule="auto"/>
        <w:ind w:firstLine="422" w:firstLineChars="200"/>
        <w:rPr>
          <w:rFonts w:hAnsi="宋体"/>
          <w:bCs/>
          <w:color w:val="auto"/>
        </w:rPr>
      </w:pPr>
      <w:r>
        <w:rPr>
          <w:rFonts w:hAnsi="宋体"/>
          <w:b/>
          <w:color w:val="auto"/>
        </w:rPr>
        <w:t>38</w:t>
      </w:r>
      <w:r>
        <w:rPr>
          <w:rFonts w:hint="eastAsia" w:hAnsi="宋体"/>
          <w:b/>
          <w:color w:val="auto"/>
        </w:rPr>
        <w:t>.3</w:t>
      </w:r>
      <w:r>
        <w:rPr>
          <w:rFonts w:hint="eastAsia"/>
          <w:b/>
          <w:color w:val="auto"/>
        </w:rPr>
        <w:t xml:space="preserve">.3  </w:t>
      </w:r>
      <w:r>
        <w:rPr>
          <w:rFonts w:hint="eastAsia"/>
          <w:color w:val="auto"/>
        </w:rPr>
        <w:t>投诉人可以委托代理人办理投诉事务。</w:t>
      </w:r>
      <w:r>
        <w:rPr>
          <w:rFonts w:hint="eastAsia" w:hAnsi="宋体"/>
          <w:bCs/>
          <w:color w:val="auto"/>
        </w:rPr>
        <w:t>委托代理人应熟悉相关业务情况。</w:t>
      </w:r>
      <w:r>
        <w:rPr>
          <w:rFonts w:hint="eastAsia"/>
          <w:color w:val="auto"/>
        </w:rPr>
        <w:t>代理人办理投诉事务时，除提交投诉书外，还应当提交投诉人的授权委托书和</w:t>
      </w:r>
      <w:r>
        <w:rPr>
          <w:rFonts w:hint="eastAsia" w:hAnsi="宋体"/>
          <w:color w:val="auto"/>
        </w:rPr>
        <w:t>委托代理人身份证明复印件。</w:t>
      </w:r>
    </w:p>
    <w:p w14:paraId="4AC93771">
      <w:pPr>
        <w:spacing w:line="360" w:lineRule="auto"/>
        <w:ind w:firstLine="422" w:firstLineChars="200"/>
        <w:rPr>
          <w:rFonts w:hAnsi="宋体"/>
          <w:color w:val="auto"/>
        </w:rPr>
      </w:pPr>
      <w:r>
        <w:rPr>
          <w:rFonts w:hAnsi="宋体"/>
          <w:b/>
          <w:color w:val="auto"/>
        </w:rPr>
        <w:t>38</w:t>
      </w:r>
      <w:r>
        <w:rPr>
          <w:rFonts w:hint="eastAsia" w:hAnsi="宋体"/>
          <w:b/>
          <w:color w:val="auto"/>
        </w:rPr>
        <w:t>.3</w:t>
      </w:r>
      <w:r>
        <w:rPr>
          <w:rFonts w:hint="eastAsia"/>
          <w:b/>
          <w:color w:val="auto"/>
        </w:rPr>
        <w:t>.4</w:t>
      </w:r>
      <w:r>
        <w:rPr>
          <w:rFonts w:hint="eastAsia"/>
          <w:color w:val="auto"/>
        </w:rPr>
        <w:t xml:space="preserve">  投诉人提起投诉应当符合下列条件：</w:t>
      </w:r>
    </w:p>
    <w:p w14:paraId="2B9A330D">
      <w:pPr>
        <w:spacing w:line="360" w:lineRule="auto"/>
        <w:ind w:firstLine="420" w:firstLineChars="200"/>
        <w:rPr>
          <w:rFonts w:ascii="宋体" w:hAnsi="宋体"/>
          <w:color w:val="auto"/>
        </w:rPr>
      </w:pPr>
      <w:r>
        <w:rPr>
          <w:rFonts w:hint="eastAsia" w:ascii="宋体" w:hAnsi="宋体"/>
          <w:color w:val="auto"/>
        </w:rPr>
        <w:t>（1）投诉人是参与所投诉政府采购活动的供应商；</w:t>
      </w:r>
    </w:p>
    <w:p w14:paraId="204D2215">
      <w:pPr>
        <w:spacing w:line="360" w:lineRule="auto"/>
        <w:ind w:firstLine="420" w:firstLineChars="200"/>
        <w:rPr>
          <w:rFonts w:ascii="宋体" w:hAnsi="宋体"/>
          <w:color w:val="auto"/>
        </w:rPr>
      </w:pPr>
      <w:r>
        <w:rPr>
          <w:rFonts w:hint="eastAsia" w:ascii="宋体" w:hAnsi="宋体"/>
          <w:color w:val="auto"/>
        </w:rPr>
        <w:t>（2）提起投诉前已依法进行质疑；</w:t>
      </w:r>
    </w:p>
    <w:p w14:paraId="03310FCA">
      <w:pPr>
        <w:spacing w:line="360" w:lineRule="auto"/>
        <w:ind w:firstLine="420" w:firstLineChars="200"/>
        <w:rPr>
          <w:rFonts w:ascii="宋体" w:hAnsi="宋体"/>
          <w:color w:val="auto"/>
        </w:rPr>
      </w:pPr>
      <w:r>
        <w:rPr>
          <w:rFonts w:hint="eastAsia" w:ascii="宋体" w:hAnsi="宋体"/>
          <w:color w:val="auto"/>
        </w:rPr>
        <w:t>（3）投诉书内容符合本章第38.3.2项的规定；</w:t>
      </w:r>
    </w:p>
    <w:p w14:paraId="605CCCF4">
      <w:pPr>
        <w:spacing w:line="360" w:lineRule="auto"/>
        <w:ind w:firstLine="420" w:firstLineChars="200"/>
        <w:rPr>
          <w:rFonts w:ascii="宋体" w:hAnsi="宋体"/>
          <w:color w:val="auto"/>
        </w:rPr>
      </w:pPr>
      <w:r>
        <w:rPr>
          <w:rFonts w:hint="eastAsia" w:ascii="宋体" w:hAnsi="宋体"/>
          <w:color w:val="auto"/>
        </w:rPr>
        <w:t>（4）在投诉有效期限内提起投诉；</w:t>
      </w:r>
    </w:p>
    <w:p w14:paraId="1B63C7FD">
      <w:pPr>
        <w:spacing w:line="360" w:lineRule="auto"/>
        <w:ind w:firstLine="420" w:firstLineChars="200"/>
        <w:rPr>
          <w:rFonts w:ascii="宋体" w:hAnsi="宋体"/>
          <w:color w:val="auto"/>
        </w:rPr>
      </w:pPr>
      <w:r>
        <w:rPr>
          <w:rFonts w:hint="eastAsia" w:ascii="宋体" w:hAnsi="宋体"/>
          <w:color w:val="auto"/>
        </w:rPr>
        <w:t>（5）属于南宁市政府采购监督管理部门管辖；</w:t>
      </w:r>
    </w:p>
    <w:p w14:paraId="41807524">
      <w:pPr>
        <w:spacing w:line="360" w:lineRule="auto"/>
        <w:ind w:firstLine="420" w:firstLineChars="200"/>
        <w:rPr>
          <w:rFonts w:ascii="宋体" w:hAnsi="宋体"/>
          <w:color w:val="auto"/>
        </w:rPr>
      </w:pPr>
      <w:r>
        <w:rPr>
          <w:rFonts w:hint="eastAsia" w:ascii="宋体" w:hAnsi="宋体"/>
          <w:color w:val="auto"/>
        </w:rPr>
        <w:t>（6）同一投诉事项未经</w:t>
      </w:r>
      <w:r>
        <w:rPr>
          <w:rFonts w:hint="eastAsia" w:ascii="宋体" w:hAnsi="宋体"/>
          <w:bCs/>
          <w:color w:val="auto"/>
        </w:rPr>
        <w:t>南宁市政府采购监督管理部门</w:t>
      </w:r>
      <w:r>
        <w:rPr>
          <w:rFonts w:hint="eastAsia" w:ascii="宋体" w:hAnsi="宋体"/>
          <w:color w:val="auto"/>
        </w:rPr>
        <w:t>投诉处理；</w:t>
      </w:r>
    </w:p>
    <w:p w14:paraId="07180530">
      <w:pPr>
        <w:spacing w:line="360" w:lineRule="auto"/>
        <w:ind w:firstLine="420" w:firstLineChars="200"/>
        <w:rPr>
          <w:rFonts w:ascii="宋体"/>
          <w:color w:val="auto"/>
        </w:rPr>
      </w:pPr>
      <w:r>
        <w:rPr>
          <w:rFonts w:hint="eastAsia" w:ascii="宋体"/>
          <w:color w:val="auto"/>
        </w:rPr>
        <w:t>（7）国务院财政部门规定的其他条件。</w:t>
      </w:r>
    </w:p>
    <w:p w14:paraId="0E47A7EA">
      <w:pPr>
        <w:spacing w:line="360" w:lineRule="auto"/>
        <w:ind w:firstLine="422" w:firstLineChars="200"/>
        <w:rPr>
          <w:color w:val="auto"/>
        </w:rPr>
      </w:pPr>
      <w:r>
        <w:rPr>
          <w:rFonts w:hAnsi="宋体"/>
          <w:b/>
          <w:color w:val="auto"/>
        </w:rPr>
        <w:t>38</w:t>
      </w:r>
      <w:r>
        <w:rPr>
          <w:rFonts w:hint="eastAsia" w:hAnsi="宋体"/>
          <w:b/>
          <w:color w:val="auto"/>
        </w:rPr>
        <w:t>.3</w:t>
      </w:r>
      <w:r>
        <w:rPr>
          <w:rFonts w:hint="eastAsia" w:ascii="宋体"/>
          <w:b/>
          <w:color w:val="auto"/>
        </w:rPr>
        <w:t>.5</w:t>
      </w:r>
      <w:r>
        <w:rPr>
          <w:rFonts w:hint="eastAsia" w:ascii="宋体"/>
          <w:color w:val="auto"/>
        </w:rPr>
        <w:t xml:space="preserve">  南宁市政府采购监督管理部门</w:t>
      </w:r>
      <w:r>
        <w:rPr>
          <w:rFonts w:hint="eastAsia"/>
          <w:color w:val="auto"/>
        </w:rPr>
        <w:t>自受理投诉之日起</w:t>
      </w:r>
      <w:r>
        <w:rPr>
          <w:color w:val="auto"/>
        </w:rPr>
        <w:t>30</w:t>
      </w:r>
      <w:r>
        <w:rPr>
          <w:rFonts w:hint="eastAsia"/>
          <w:color w:val="auto"/>
        </w:rPr>
        <w:t>个工作日内，对投诉事项作出处理决定，并以书面形式通知投诉人、被投诉人及其他与投诉处理结果有利害关系的政府采购当</w:t>
      </w:r>
      <w:r>
        <w:rPr>
          <w:rFonts w:hint="eastAsia" w:ascii="宋体"/>
          <w:color w:val="auto"/>
        </w:rPr>
        <w:t>事人</w:t>
      </w:r>
      <w:r>
        <w:rPr>
          <w:rFonts w:hint="eastAsia"/>
          <w:color w:val="auto"/>
        </w:rPr>
        <w:t>。并将投诉结果在http://zfcg.gxzf.gov.cn (广西壮族自治区政府采购网)发布。</w:t>
      </w:r>
    </w:p>
    <w:p w14:paraId="3FFFFDC6">
      <w:pPr>
        <w:spacing w:line="360" w:lineRule="auto"/>
        <w:ind w:firstLine="422" w:firstLineChars="200"/>
        <w:rPr>
          <w:rFonts w:ascii="宋体"/>
          <w:color w:val="auto"/>
        </w:rPr>
      </w:pPr>
      <w:r>
        <w:rPr>
          <w:rFonts w:hAnsi="宋体"/>
          <w:b/>
          <w:color w:val="auto"/>
        </w:rPr>
        <w:t>38</w:t>
      </w:r>
      <w:r>
        <w:rPr>
          <w:rFonts w:hint="eastAsia" w:hAnsi="宋体"/>
          <w:b/>
          <w:color w:val="auto"/>
        </w:rPr>
        <w:t>.3</w:t>
      </w:r>
      <w:r>
        <w:rPr>
          <w:rFonts w:hint="eastAsia" w:ascii="宋体"/>
          <w:b/>
          <w:color w:val="auto"/>
        </w:rPr>
        <w:t>.6</w:t>
      </w:r>
      <w:r>
        <w:rPr>
          <w:rFonts w:hint="eastAsia" w:ascii="宋体"/>
          <w:color w:val="auto"/>
        </w:rPr>
        <w:t xml:space="preserve">  南宁市政府采购监督管理部门在处理投诉事项期间，可以视具体情况暂停采购活动。</w:t>
      </w:r>
    </w:p>
    <w:p w14:paraId="24181714">
      <w:pPr>
        <w:snapToGrid w:val="0"/>
        <w:spacing w:line="360" w:lineRule="auto"/>
        <w:ind w:left="120" w:leftChars="57" w:firstLine="482" w:firstLineChars="150"/>
        <w:jc w:val="center"/>
        <w:rPr>
          <w:b/>
          <w:bCs/>
          <w:color w:val="auto"/>
          <w:sz w:val="32"/>
          <w:szCs w:val="32"/>
        </w:rPr>
      </w:pPr>
      <w:r>
        <w:rPr>
          <w:rFonts w:hint="eastAsia"/>
          <w:b/>
          <w:bCs/>
          <w:color w:val="auto"/>
          <w:sz w:val="32"/>
          <w:szCs w:val="32"/>
        </w:rPr>
        <w:t>八、验收</w:t>
      </w:r>
    </w:p>
    <w:p w14:paraId="2B4241A0">
      <w:pPr>
        <w:spacing w:line="360" w:lineRule="auto"/>
        <w:ind w:firstLine="422" w:firstLineChars="200"/>
        <w:rPr>
          <w:rFonts w:hAnsi="宋体"/>
          <w:b/>
          <w:color w:val="auto"/>
        </w:rPr>
      </w:pPr>
      <w:r>
        <w:rPr>
          <w:rFonts w:hint="eastAsia" w:hAnsi="宋体"/>
          <w:b/>
          <w:color w:val="auto"/>
        </w:rPr>
        <w:t>39.验收</w:t>
      </w:r>
    </w:p>
    <w:p w14:paraId="462BFD0C">
      <w:pPr>
        <w:tabs>
          <w:tab w:val="left" w:pos="0"/>
        </w:tabs>
        <w:spacing w:line="360" w:lineRule="auto"/>
        <w:ind w:firstLine="480"/>
        <w:rPr>
          <w:rFonts w:hAnsi="宋体"/>
          <w:color w:val="auto"/>
        </w:rPr>
      </w:pPr>
      <w:r>
        <w:rPr>
          <w:rFonts w:hint="eastAsia" w:hAnsi="宋体"/>
          <w:color w:val="auto"/>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00B661">
      <w:pPr>
        <w:tabs>
          <w:tab w:val="left" w:pos="0"/>
        </w:tabs>
        <w:spacing w:line="360" w:lineRule="auto"/>
        <w:ind w:firstLine="480"/>
        <w:rPr>
          <w:rFonts w:hAnsi="宋体"/>
          <w:color w:val="auto"/>
        </w:rPr>
      </w:pPr>
      <w:r>
        <w:rPr>
          <w:rFonts w:hint="eastAsia" w:hAnsi="宋体"/>
          <w:color w:val="auto"/>
        </w:rPr>
        <w:t>39.2采购人可以邀请参加本项目的其他投标人或者第三方机构参与验收。参与验收的投标人或者第三方机构的意见作为验收书的参考资料一并存档。</w:t>
      </w:r>
    </w:p>
    <w:p w14:paraId="2075E26F">
      <w:pPr>
        <w:tabs>
          <w:tab w:val="left" w:pos="0"/>
        </w:tabs>
        <w:spacing w:line="360" w:lineRule="auto"/>
        <w:ind w:firstLine="480"/>
        <w:rPr>
          <w:rFonts w:hAnsi="宋体"/>
          <w:color w:val="auto"/>
        </w:rPr>
      </w:pPr>
      <w:r>
        <w:rPr>
          <w:rFonts w:hint="eastAsia" w:hAnsi="宋体"/>
          <w:color w:val="auto"/>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2AE2FF2">
      <w:pPr>
        <w:tabs>
          <w:tab w:val="left" w:pos="0"/>
        </w:tabs>
        <w:spacing w:line="360" w:lineRule="auto"/>
        <w:ind w:firstLine="480"/>
        <w:rPr>
          <w:rFonts w:hAnsi="宋体"/>
          <w:color w:val="auto"/>
        </w:rPr>
      </w:pPr>
      <w:r>
        <w:rPr>
          <w:rFonts w:hint="eastAsia" w:hAnsi="宋体"/>
          <w:color w:val="auto"/>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CC56A87">
      <w:pPr>
        <w:pStyle w:val="17"/>
        <w:snapToGrid w:val="0"/>
        <w:spacing w:line="400" w:lineRule="exact"/>
        <w:rPr>
          <w:rFonts w:hAnsi="宋体"/>
          <w:color w:val="auto"/>
        </w:rPr>
      </w:pPr>
    </w:p>
    <w:p w14:paraId="31E2C311">
      <w:pPr>
        <w:pStyle w:val="4"/>
        <w:keepNext w:val="0"/>
        <w:keepLines w:val="0"/>
        <w:spacing w:line="360" w:lineRule="auto"/>
        <w:jc w:val="center"/>
        <w:rPr>
          <w:color w:val="auto"/>
        </w:rPr>
      </w:pPr>
      <w:bookmarkStart w:id="124" w:name="_八、其他事项"/>
      <w:bookmarkEnd w:id="124"/>
      <w:bookmarkStart w:id="125" w:name="_Toc80093002"/>
      <w:r>
        <w:rPr>
          <w:rFonts w:hint="eastAsia"/>
          <w:color w:val="auto"/>
        </w:rPr>
        <w:t>九、其他事项</w:t>
      </w:r>
      <w:bookmarkEnd w:id="125"/>
    </w:p>
    <w:p w14:paraId="2FFA6032">
      <w:pPr>
        <w:spacing w:line="360" w:lineRule="auto"/>
        <w:ind w:firstLine="480" w:firstLineChars="200"/>
        <w:rPr>
          <w:rFonts w:ascii="黑体" w:hAnsi="黑体" w:eastAsia="黑体"/>
          <w:color w:val="auto"/>
          <w:sz w:val="24"/>
        </w:rPr>
      </w:pPr>
      <w:bookmarkStart w:id="126" w:name="_42.代理服务费"/>
      <w:bookmarkEnd w:id="126"/>
      <w:r>
        <w:rPr>
          <w:rFonts w:hint="eastAsia" w:ascii="黑体" w:hAnsi="黑体" w:eastAsia="黑体"/>
          <w:color w:val="auto"/>
          <w:sz w:val="24"/>
        </w:rPr>
        <w:t>40.代理货物费</w:t>
      </w:r>
    </w:p>
    <w:p w14:paraId="26726B5A">
      <w:pPr>
        <w:spacing w:line="360" w:lineRule="auto"/>
        <w:ind w:firstLine="422" w:firstLineChars="200"/>
        <w:rPr>
          <w:rFonts w:ascii="宋体" w:hAnsi="宋体"/>
          <w:b/>
          <w:color w:val="auto"/>
          <w:szCs w:val="21"/>
        </w:rPr>
      </w:pPr>
      <w:r>
        <w:rPr>
          <w:rFonts w:hint="eastAsia" w:ascii="宋体" w:hAnsi="宋体"/>
          <w:b/>
          <w:color w:val="auto"/>
          <w:szCs w:val="21"/>
        </w:rPr>
        <w:t>代理货物收费标准及缴费账户详见“投标人须知前附表”，投标人为联合体的，可以由联合体中的一方或者多方共同交纳代理货物费。</w:t>
      </w:r>
    </w:p>
    <w:p w14:paraId="1B5D81A4">
      <w:pPr>
        <w:spacing w:line="360" w:lineRule="auto"/>
        <w:ind w:firstLine="480" w:firstLineChars="200"/>
        <w:rPr>
          <w:rFonts w:ascii="黑体" w:hAnsi="黑体" w:eastAsia="黑体"/>
          <w:color w:val="auto"/>
          <w:sz w:val="24"/>
        </w:rPr>
      </w:pPr>
      <w:r>
        <w:rPr>
          <w:rFonts w:hint="eastAsia" w:ascii="黑体" w:hAnsi="黑体" w:eastAsia="黑体"/>
          <w:color w:val="auto"/>
          <w:sz w:val="24"/>
        </w:rPr>
        <w:t>41</w:t>
      </w:r>
      <w:r>
        <w:rPr>
          <w:rFonts w:ascii="黑体" w:hAnsi="黑体" w:eastAsia="黑体"/>
          <w:color w:val="auto"/>
          <w:sz w:val="24"/>
        </w:rPr>
        <w:t>. 需要补充的其他内容</w:t>
      </w:r>
    </w:p>
    <w:p w14:paraId="2F99419D">
      <w:pPr>
        <w:spacing w:line="360" w:lineRule="auto"/>
        <w:ind w:firstLine="420" w:firstLineChars="200"/>
        <w:rPr>
          <w:rFonts w:hAnsi="宋体"/>
          <w:color w:val="auto"/>
        </w:rPr>
      </w:pPr>
      <w:r>
        <w:rPr>
          <w:rFonts w:hAnsi="宋体"/>
          <w:color w:val="auto"/>
        </w:rPr>
        <w:t>4</w:t>
      </w:r>
      <w:r>
        <w:rPr>
          <w:rFonts w:hint="eastAsia" w:hAnsi="宋体"/>
          <w:color w:val="auto"/>
        </w:rPr>
        <w:t>1</w:t>
      </w:r>
      <w:r>
        <w:rPr>
          <w:rFonts w:hAnsi="宋体"/>
          <w:color w:val="auto"/>
        </w:rPr>
        <w:t>.1</w:t>
      </w:r>
      <w:r>
        <w:rPr>
          <w:rFonts w:hint="eastAsia" w:hAnsi="宋体" w:cs="宋体"/>
          <w:color w:val="auto"/>
        </w:rPr>
        <w:t>本招标文件解释规则详见</w:t>
      </w:r>
      <w:r>
        <w:rPr>
          <w:rFonts w:hint="eastAsia" w:hAnsi="宋体"/>
          <w:color w:val="auto"/>
        </w:rPr>
        <w:t>“投标人须知前附表”。</w:t>
      </w:r>
    </w:p>
    <w:p w14:paraId="1974ADAA">
      <w:pPr>
        <w:spacing w:line="360" w:lineRule="auto"/>
        <w:ind w:firstLine="420" w:firstLineChars="200"/>
        <w:rPr>
          <w:rFonts w:hAnsi="宋体"/>
          <w:color w:val="auto"/>
        </w:rPr>
      </w:pPr>
      <w:r>
        <w:rPr>
          <w:rFonts w:hAnsi="宋体" w:cs="宋体"/>
          <w:color w:val="auto"/>
        </w:rPr>
        <w:t>4</w:t>
      </w:r>
      <w:r>
        <w:rPr>
          <w:rFonts w:hint="eastAsia" w:hAnsi="宋体" w:cs="宋体"/>
          <w:color w:val="auto"/>
        </w:rPr>
        <w:t>1</w:t>
      </w:r>
      <w:r>
        <w:rPr>
          <w:rFonts w:hAnsi="宋体" w:cs="宋体"/>
          <w:color w:val="auto"/>
        </w:rPr>
        <w:t>.2</w:t>
      </w:r>
      <w:r>
        <w:rPr>
          <w:rFonts w:hint="eastAsia" w:hAnsi="宋体" w:cs="宋体"/>
          <w:color w:val="auto"/>
        </w:rPr>
        <w:t xml:space="preserve"> </w:t>
      </w:r>
      <w:r>
        <w:rPr>
          <w:rFonts w:hint="eastAsia" w:hAnsi="宋体"/>
          <w:color w:val="auto"/>
        </w:rPr>
        <w:t>其他事项详见“投标人须知前附表”。</w:t>
      </w:r>
    </w:p>
    <w:p w14:paraId="50DB0DF0">
      <w:pPr>
        <w:pStyle w:val="17"/>
        <w:spacing w:line="360" w:lineRule="auto"/>
        <w:ind w:firstLine="420" w:firstLineChars="200"/>
        <w:contextualSpacing/>
        <w:rPr>
          <w:rFonts w:hint="eastAsia" w:hAnsi="宋体"/>
          <w:color w:val="auto"/>
          <w:lang w:eastAsia="zh-CN"/>
        </w:rPr>
      </w:pPr>
      <w:r>
        <w:rPr>
          <w:rFonts w:hAnsi="宋体"/>
          <w:color w:val="auto"/>
        </w:rPr>
        <w:t>4</w:t>
      </w:r>
      <w:r>
        <w:rPr>
          <w:rFonts w:hint="eastAsia" w:hAnsi="宋体"/>
          <w:color w:val="auto"/>
        </w:rPr>
        <w:t>1</w:t>
      </w:r>
      <w:r>
        <w:rPr>
          <w:rFonts w:hAnsi="宋体"/>
          <w:color w:val="auto"/>
        </w:rPr>
        <w:t>.3</w:t>
      </w:r>
      <w:bookmarkStart w:id="127" w:name="_Hlk65857140"/>
      <w:r>
        <w:rPr>
          <w:rFonts w:hint="eastAsia" w:hAnsi="宋体"/>
          <w:color w:val="auto"/>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w:t>
      </w:r>
      <w:r>
        <w:rPr>
          <w:rFonts w:hint="eastAsia"/>
          <w:color w:val="auto"/>
        </w:rPr>
        <w:t>不对其中涉及的工程承建商和服务的承接商作出要求</w:t>
      </w:r>
      <w:r>
        <w:rPr>
          <w:rFonts w:hint="eastAsia" w:hAnsi="宋体"/>
          <w:color w:val="auto"/>
        </w:rPr>
        <w:t>的，享受本文件规定的中小企业扶持政策</w:t>
      </w:r>
      <w:r>
        <w:rPr>
          <w:rFonts w:hint="eastAsia" w:hAnsi="宋体"/>
          <w:color w:val="auto"/>
          <w:lang w:eastAsia="zh-CN"/>
        </w:rPr>
        <w:t>：</w:t>
      </w:r>
    </w:p>
    <w:p w14:paraId="110EF3C7">
      <w:pPr>
        <w:pStyle w:val="17"/>
        <w:spacing w:line="360" w:lineRule="auto"/>
        <w:ind w:firstLine="420" w:firstLineChars="200"/>
        <w:contextualSpacing/>
        <w:rPr>
          <w:rFonts w:hint="eastAsia" w:hAnsi="宋体"/>
          <w:color w:val="auto"/>
          <w:lang w:eastAsia="zh-CN"/>
        </w:rPr>
      </w:pPr>
      <w:r>
        <w:rPr>
          <w:rFonts w:hint="eastAsia" w:hAnsi="宋体"/>
          <w:color w:val="auto"/>
          <w:lang w:eastAsia="zh-CN"/>
        </w:rPr>
        <w:t>（1）在货物采购项目中，货物由中小企业制造，即货物由中小企业生产且使用该中小企业商号或者注册商标，不对其中涉及的工程承建商和服务的承接商作出要求；</w:t>
      </w:r>
    </w:p>
    <w:p w14:paraId="612D2BD6">
      <w:pPr>
        <w:pStyle w:val="17"/>
        <w:spacing w:line="360" w:lineRule="auto"/>
        <w:ind w:firstLine="420" w:firstLineChars="200"/>
        <w:contextualSpacing/>
        <w:rPr>
          <w:rFonts w:hint="eastAsia" w:hAnsi="宋体"/>
          <w:color w:val="auto"/>
          <w:lang w:eastAsia="zh-CN"/>
        </w:rPr>
      </w:pPr>
      <w:r>
        <w:rPr>
          <w:rFonts w:hint="eastAsia" w:hAnsi="宋体"/>
          <w:color w:val="auto"/>
          <w:lang w:eastAsia="zh-CN"/>
        </w:rPr>
        <w:t>（2）在工程采购项目中，工程由中小企业承建，即工程施工单位为中小企业，不对其中涉及的货物的制造商和服务的承接商作出要求；</w:t>
      </w:r>
    </w:p>
    <w:p w14:paraId="48D14DCD">
      <w:pPr>
        <w:pStyle w:val="17"/>
        <w:spacing w:line="360" w:lineRule="auto"/>
        <w:ind w:firstLine="420" w:firstLineChars="200"/>
        <w:contextualSpacing/>
        <w:rPr>
          <w:rFonts w:hint="eastAsia" w:hAnsi="宋体"/>
          <w:color w:val="auto"/>
          <w:lang w:eastAsia="zh-CN"/>
        </w:rPr>
      </w:pPr>
      <w:r>
        <w:rPr>
          <w:rFonts w:hint="eastAsia" w:hAnsi="宋体"/>
          <w:color w:val="auto"/>
          <w:lang w:eastAsia="zh-CN"/>
        </w:rPr>
        <w:t>（3）在服务采购项目中，服务由中小企业承接，即提供服务的人员为中小企业依照《中华人民共和国劳动合同法》订立劳动合同的从业人员，不对其中涉及的货物的制造商和工程承建商作出要求。</w:t>
      </w:r>
    </w:p>
    <w:p w14:paraId="37E4A962">
      <w:pPr>
        <w:pStyle w:val="17"/>
        <w:spacing w:before="120" w:after="120" w:line="360" w:lineRule="auto"/>
        <w:ind w:firstLine="420" w:firstLineChars="200"/>
        <w:contextualSpacing/>
        <w:rPr>
          <w:rFonts w:hAnsi="宋体"/>
          <w:color w:val="auto"/>
        </w:rPr>
      </w:pPr>
      <w:r>
        <w:rPr>
          <w:rFonts w:hint="eastAsia" w:hAnsi="宋体"/>
          <w:color w:val="auto"/>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24767E32">
      <w:pPr>
        <w:pStyle w:val="17"/>
        <w:spacing w:before="120" w:after="120" w:line="360" w:lineRule="auto"/>
        <w:ind w:firstLine="420" w:firstLineChars="200"/>
        <w:contextualSpacing/>
        <w:rPr>
          <w:rFonts w:hAnsi="宋体"/>
          <w:color w:val="auto"/>
        </w:rPr>
      </w:pPr>
      <w:r>
        <w:rPr>
          <w:rFonts w:hint="eastAsia" w:hAnsi="宋体"/>
          <w:color w:val="auto"/>
        </w:rPr>
        <w:t>依据本文件规定享受扶持政策获得政府采购合同的，小微企业不得将合同分包给大中型企业，中型企业不得将合同分包给大型企业。</w:t>
      </w:r>
      <w:bookmarkEnd w:id="127"/>
    </w:p>
    <w:p w14:paraId="702403E6">
      <w:pPr>
        <w:spacing w:line="360" w:lineRule="auto"/>
        <w:ind w:firstLine="480" w:firstLineChars="200"/>
        <w:rPr>
          <w:rFonts w:ascii="黑体" w:hAnsi="黑体" w:eastAsia="黑体"/>
          <w:color w:val="auto"/>
          <w:sz w:val="24"/>
        </w:rPr>
      </w:pPr>
      <w:r>
        <w:rPr>
          <w:rFonts w:hint="eastAsia" w:ascii="黑体" w:hAnsi="黑体" w:eastAsia="黑体"/>
          <w:color w:val="auto"/>
          <w:sz w:val="24"/>
        </w:rPr>
        <w:t>42. 政采贷相关说明</w:t>
      </w:r>
    </w:p>
    <w:p w14:paraId="11BCCFA6">
      <w:pPr>
        <w:spacing w:line="360" w:lineRule="auto"/>
        <w:ind w:firstLine="420" w:firstLineChars="200"/>
        <w:jc w:val="left"/>
        <w:rPr>
          <w:rFonts w:hAnsi="宋体"/>
          <w:color w:val="auto"/>
        </w:rPr>
      </w:pPr>
      <w:r>
        <w:rPr>
          <w:rFonts w:hint="eastAsia" w:hAnsi="宋体"/>
          <w:color w:val="auto"/>
        </w:rPr>
        <w:t>为优化政府采购营商环境，缓解供应商资金难题，南宁市政府采购试行政府采购信用融资制度，中标供应商如有融资需求，可凭政府采购合同在“南宁市公共资源交易中心”官网（网址：http://www.nnggzy.org.cn）“交易信息-政府采购-政府采购信用融资”中融资银行和南宁市企业融资货物中心专栏信息申请政府采购信用融资。</w:t>
      </w:r>
      <w:r>
        <w:rPr>
          <w:rFonts w:hint="eastAsia" w:hAnsi="宋体"/>
          <w:color w:val="auto"/>
        </w:rPr>
        <w:br w:type="page"/>
      </w:r>
      <w:bookmarkStart w:id="128" w:name="_Toc532545043"/>
    </w:p>
    <w:p w14:paraId="6E91991B">
      <w:pPr>
        <w:pStyle w:val="17"/>
        <w:jc w:val="center"/>
        <w:outlineLvl w:val="0"/>
        <w:rPr>
          <w:rFonts w:ascii="Times New Roman" w:hAnsi="Times New Roman"/>
          <w:b/>
          <w:color w:val="auto"/>
          <w:sz w:val="36"/>
        </w:rPr>
      </w:pPr>
      <w:bookmarkStart w:id="129" w:name="_Toc80093003"/>
      <w:r>
        <w:rPr>
          <w:rFonts w:hint="eastAsia" w:ascii="Times New Roman" w:hAnsi="Times New Roman"/>
          <w:b/>
          <w:color w:val="auto"/>
          <w:sz w:val="36"/>
        </w:rPr>
        <w:t>第四章</w:t>
      </w:r>
      <w:r>
        <w:rPr>
          <w:rFonts w:ascii="Times New Roman" w:hAnsi="Times New Roman"/>
          <w:b/>
          <w:color w:val="auto"/>
          <w:sz w:val="36"/>
        </w:rPr>
        <w:t xml:space="preserve">  </w:t>
      </w:r>
      <w:r>
        <w:rPr>
          <w:rFonts w:hint="eastAsia" w:ascii="Times New Roman" w:hAnsi="Times New Roman"/>
          <w:b/>
          <w:color w:val="auto"/>
          <w:sz w:val="36"/>
        </w:rPr>
        <w:t>评标方法</w:t>
      </w:r>
      <w:bookmarkEnd w:id="128"/>
      <w:r>
        <w:rPr>
          <w:rFonts w:hint="eastAsia" w:ascii="Times New Roman" w:hAnsi="Times New Roman"/>
          <w:b/>
          <w:color w:val="auto"/>
          <w:sz w:val="36"/>
        </w:rPr>
        <w:t>及评分标准</w:t>
      </w:r>
      <w:bookmarkEnd w:id="129"/>
    </w:p>
    <w:p w14:paraId="115FF04B">
      <w:pPr>
        <w:pStyle w:val="17"/>
        <w:jc w:val="center"/>
        <w:outlineLvl w:val="1"/>
        <w:rPr>
          <w:rFonts w:ascii="Times New Roman" w:hAnsi="Times New Roman"/>
          <w:b/>
          <w:bCs/>
          <w:color w:val="auto"/>
          <w:sz w:val="32"/>
          <w:szCs w:val="32"/>
        </w:rPr>
      </w:pPr>
      <w:bookmarkStart w:id="130" w:name="_Toc80093004"/>
      <w:r>
        <w:rPr>
          <w:rFonts w:hint="eastAsia" w:ascii="Times New Roman" w:hAnsi="Times New Roman"/>
          <w:b/>
          <w:bCs/>
          <w:color w:val="auto"/>
          <w:sz w:val="32"/>
          <w:szCs w:val="32"/>
        </w:rPr>
        <w:t>第一节 评标方法</w:t>
      </w:r>
      <w:bookmarkEnd w:id="130"/>
    </w:p>
    <w:p w14:paraId="2C343AD9">
      <w:pPr>
        <w:pStyle w:val="17"/>
        <w:tabs>
          <w:tab w:val="left" w:pos="2472"/>
        </w:tabs>
        <w:spacing w:line="460" w:lineRule="exact"/>
        <w:ind w:firstLine="420" w:firstLineChars="200"/>
        <w:rPr>
          <w:color w:val="auto"/>
          <w:szCs w:val="21"/>
        </w:rPr>
      </w:pPr>
      <w:r>
        <w:rPr>
          <w:rFonts w:hint="eastAsia" w:hAnsi="宋体" w:cs="宋体"/>
          <w:color w:val="auto"/>
          <w:szCs w:val="21"/>
        </w:rPr>
        <w:t>本项目采用</w:t>
      </w:r>
      <w:r>
        <w:rPr>
          <w:rFonts w:hint="eastAsia" w:hAnsi="宋体" w:cs="宋体"/>
          <w:color w:val="auto"/>
          <w:szCs w:val="21"/>
          <w:u w:val="single"/>
        </w:rPr>
        <w:t xml:space="preserve"> 以下勾选的方式</w:t>
      </w:r>
      <w:r>
        <w:rPr>
          <w:rFonts w:hint="eastAsia" w:hAnsi="宋体" w:cs="宋体"/>
          <w:color w:val="auto"/>
          <w:szCs w:val="21"/>
        </w:rPr>
        <w:t>进行评审。</w:t>
      </w:r>
    </w:p>
    <w:p w14:paraId="5E13375F">
      <w:pPr>
        <w:pStyle w:val="17"/>
        <w:spacing w:line="360" w:lineRule="auto"/>
        <w:ind w:firstLine="420"/>
        <w:rPr>
          <w:rFonts w:hAnsi="宋体"/>
          <w:color w:val="auto"/>
        </w:rPr>
      </w:pPr>
      <w:r>
        <w:rPr>
          <w:rFonts w:hint="eastAsia" w:hAnsi="宋体"/>
          <w:color w:val="auto"/>
          <w:szCs w:val="21"/>
        </w:rPr>
        <w:t>□最低评标价法，是指投标文件满足招标文件</w:t>
      </w:r>
      <w:r>
        <w:rPr>
          <w:rFonts w:hint="eastAsia" w:hAnsi="宋体"/>
          <w:color w:val="auto"/>
        </w:rPr>
        <w:t>全部实质性要求，且投标报价最低的投标人为中标候选人的评标方法。</w:t>
      </w:r>
    </w:p>
    <w:p w14:paraId="37D2A884">
      <w:pPr>
        <w:autoSpaceDE w:val="0"/>
        <w:autoSpaceDN w:val="0"/>
        <w:adjustRightInd w:val="0"/>
        <w:spacing w:line="440" w:lineRule="exact"/>
        <w:ind w:firstLine="422" w:firstLineChars="200"/>
        <w:rPr>
          <w:rFonts w:ascii="宋体" w:hAnsi="宋体"/>
          <w:b/>
          <w:bCs/>
          <w:color w:val="auto"/>
          <w:sz w:val="24"/>
        </w:rPr>
      </w:pPr>
      <w:r>
        <w:rPr>
          <w:rFonts w:hint="eastAsia" w:hAnsi="宋体"/>
          <w:b/>
          <w:bCs/>
          <w:color w:val="auto"/>
        </w:rPr>
        <w:t>☑综合评分法，</w:t>
      </w:r>
      <w:r>
        <w:rPr>
          <w:rFonts w:hint="eastAsia" w:ascii="宋体" w:hAnsi="宋体"/>
          <w:b/>
          <w:bCs/>
          <w:color w:val="auto"/>
          <w:szCs w:val="20"/>
        </w:rPr>
        <w:t>是指投标文件满足招标文件全部实质性要求，且按照评审因素的量化指标评审得分最高的投标人为中标候选人的评标方法。评标委员会将对各投标人的投标报价、技术和货物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货物类采购项目以实力信誉及业绩得分较高者为先。</w:t>
      </w:r>
    </w:p>
    <w:p w14:paraId="41C39797">
      <w:pPr>
        <w:pStyle w:val="17"/>
        <w:spacing w:line="360" w:lineRule="auto"/>
        <w:ind w:firstLine="420"/>
        <w:rPr>
          <w:rFonts w:hAnsi="宋体"/>
          <w:color w:val="auto"/>
        </w:rPr>
      </w:pPr>
    </w:p>
    <w:p w14:paraId="7B172135">
      <w:pPr>
        <w:pStyle w:val="17"/>
        <w:tabs>
          <w:tab w:val="left" w:pos="2472"/>
        </w:tabs>
        <w:spacing w:line="460" w:lineRule="exact"/>
        <w:jc w:val="center"/>
        <w:outlineLvl w:val="1"/>
        <w:rPr>
          <w:rFonts w:ascii="Times New Roman" w:hAnsi="Times New Roman"/>
          <w:b/>
          <w:bCs/>
          <w:color w:val="auto"/>
          <w:sz w:val="32"/>
          <w:szCs w:val="32"/>
        </w:rPr>
      </w:pPr>
      <w:bookmarkStart w:id="131" w:name="_Toc80093005"/>
      <w:r>
        <w:rPr>
          <w:rFonts w:hint="eastAsia" w:ascii="Times New Roman" w:hAnsi="Times New Roman"/>
          <w:b/>
          <w:bCs/>
          <w:color w:val="auto"/>
          <w:sz w:val="32"/>
          <w:szCs w:val="32"/>
        </w:rPr>
        <w:t>第二节 评标程序</w:t>
      </w:r>
      <w:bookmarkEnd w:id="131"/>
    </w:p>
    <w:p w14:paraId="7BA4048E">
      <w:pPr>
        <w:spacing w:line="360" w:lineRule="auto"/>
        <w:ind w:firstLine="422" w:firstLineChars="200"/>
        <w:rPr>
          <w:rFonts w:ascii="宋体" w:hAnsi="宋体"/>
          <w:b/>
          <w:color w:val="auto"/>
          <w:szCs w:val="21"/>
        </w:rPr>
      </w:pPr>
      <w:r>
        <w:rPr>
          <w:rFonts w:hint="eastAsia" w:ascii="宋体" w:hAnsi="宋体"/>
          <w:b/>
          <w:color w:val="auto"/>
          <w:szCs w:val="21"/>
        </w:rPr>
        <w:t>1.符合性审查</w:t>
      </w:r>
    </w:p>
    <w:p w14:paraId="1ECC8B96">
      <w:pPr>
        <w:spacing w:line="360" w:lineRule="auto"/>
        <w:ind w:firstLine="420" w:firstLineChars="200"/>
        <w:rPr>
          <w:rFonts w:hAnsi="宋体"/>
          <w:color w:val="auto"/>
        </w:rPr>
      </w:pPr>
      <w:r>
        <w:rPr>
          <w:rFonts w:hint="eastAsia" w:hAnsi="宋体"/>
          <w:color w:val="auto"/>
        </w:rPr>
        <w:t>评标委员会应当对符合资格的投标人的投标文件进行投标报价、商务、技术等实质性内容符合性审查，以确定其是否满足招标文件的实质性要求。</w:t>
      </w:r>
    </w:p>
    <w:p w14:paraId="057F5447">
      <w:pPr>
        <w:spacing w:line="360" w:lineRule="auto"/>
        <w:ind w:firstLine="422" w:firstLineChars="200"/>
        <w:rPr>
          <w:rFonts w:ascii="宋体" w:hAnsi="宋体"/>
          <w:b/>
          <w:color w:val="auto"/>
          <w:szCs w:val="21"/>
        </w:rPr>
      </w:pPr>
      <w:r>
        <w:rPr>
          <w:rFonts w:hint="eastAsia" w:ascii="宋体" w:hAnsi="宋体"/>
          <w:b/>
          <w:color w:val="auto"/>
          <w:szCs w:val="21"/>
        </w:rPr>
        <w:t>2</w:t>
      </w:r>
      <w:r>
        <w:rPr>
          <w:rFonts w:ascii="宋体" w:hAnsi="宋体"/>
          <w:b/>
          <w:color w:val="auto"/>
          <w:szCs w:val="21"/>
        </w:rPr>
        <w:t>.</w:t>
      </w:r>
      <w:r>
        <w:rPr>
          <w:rFonts w:hint="eastAsia" w:ascii="宋体" w:hAnsi="宋体"/>
          <w:b/>
          <w:color w:val="auto"/>
          <w:szCs w:val="21"/>
        </w:rPr>
        <w:t>符合性审查不通过而导致投标无效的情形</w:t>
      </w:r>
    </w:p>
    <w:p w14:paraId="3EF8EEFB">
      <w:pPr>
        <w:spacing w:line="360" w:lineRule="auto"/>
        <w:ind w:firstLine="420" w:firstLineChars="200"/>
        <w:rPr>
          <w:rFonts w:ascii="宋体" w:hAnsi="宋体"/>
          <w:color w:val="auto"/>
          <w:szCs w:val="21"/>
        </w:rPr>
      </w:pPr>
      <w:r>
        <w:rPr>
          <w:rFonts w:hint="eastAsia" w:ascii="宋体" w:hAnsi="宋体"/>
          <w:color w:val="auto"/>
          <w:szCs w:val="21"/>
        </w:rPr>
        <w:t>投标人的投标文件中存在对招标文件的任何实质性要求和条件的负偏离，将被视为投标无效。</w:t>
      </w:r>
    </w:p>
    <w:p w14:paraId="25085A14">
      <w:pPr>
        <w:spacing w:line="360" w:lineRule="auto"/>
        <w:ind w:firstLine="420" w:firstLineChars="200"/>
        <w:rPr>
          <w:rFonts w:ascii="宋体" w:hAnsi="宋体"/>
          <w:color w:val="auto"/>
          <w:szCs w:val="21"/>
        </w:rPr>
      </w:pPr>
      <w:r>
        <w:rPr>
          <w:rFonts w:hint="eastAsia" w:ascii="宋体" w:hAnsi="宋体"/>
          <w:color w:val="auto"/>
          <w:szCs w:val="21"/>
        </w:rPr>
        <w:t>2.1在报价评审时，如发现下列情形之一的，将被视为投标无效：</w:t>
      </w:r>
    </w:p>
    <w:p w14:paraId="2391F055">
      <w:pPr>
        <w:spacing w:line="360" w:lineRule="auto"/>
        <w:ind w:firstLine="420" w:firstLineChars="200"/>
        <w:rPr>
          <w:rFonts w:ascii="宋体" w:hAnsi="宋体"/>
          <w:color w:val="auto"/>
          <w:szCs w:val="21"/>
        </w:rPr>
      </w:pPr>
      <w:r>
        <w:rPr>
          <w:rFonts w:hint="eastAsia" w:ascii="宋体" w:hAnsi="宋体"/>
          <w:color w:val="auto"/>
          <w:szCs w:val="21"/>
        </w:rPr>
        <w:t>（1）投标文件未提供“投标人须知前附表”第13.1条规定中“必须提供”的文件资料的;</w:t>
      </w:r>
    </w:p>
    <w:p w14:paraId="4DC831E5">
      <w:pPr>
        <w:spacing w:line="360" w:lineRule="auto"/>
        <w:ind w:firstLine="420" w:firstLineChars="200"/>
        <w:rPr>
          <w:rFonts w:ascii="宋体" w:hAnsi="宋体"/>
          <w:color w:val="auto"/>
          <w:szCs w:val="21"/>
        </w:rPr>
      </w:pPr>
      <w:r>
        <w:rPr>
          <w:rFonts w:hint="eastAsia" w:ascii="宋体" w:hAnsi="宋体"/>
          <w:color w:val="auto"/>
          <w:szCs w:val="21"/>
        </w:rPr>
        <w:t>（2）未采用人民币报价或者未按照招标文件标明的币种报价的；</w:t>
      </w:r>
    </w:p>
    <w:p w14:paraId="48D4F95F">
      <w:pPr>
        <w:spacing w:line="360" w:lineRule="auto"/>
        <w:ind w:firstLine="420" w:firstLineChars="200"/>
        <w:rPr>
          <w:rFonts w:ascii="宋体" w:hAnsi="宋体"/>
          <w:color w:val="auto"/>
          <w:szCs w:val="21"/>
        </w:rPr>
      </w:pPr>
      <w:r>
        <w:rPr>
          <w:rFonts w:hint="eastAsia" w:ascii="宋体" w:hAnsi="宋体"/>
          <w:color w:val="auto"/>
          <w:szCs w:val="21"/>
        </w:rPr>
        <w:t>（3）报价超出招标文件规定最高限价，或者超出采购预算金额（包括分项预算）的；</w:t>
      </w:r>
    </w:p>
    <w:p w14:paraId="1B49F9CB">
      <w:pPr>
        <w:spacing w:line="360" w:lineRule="auto"/>
        <w:ind w:firstLine="420" w:firstLineChars="200"/>
        <w:rPr>
          <w:rFonts w:ascii="宋体" w:hAnsi="宋体"/>
          <w:color w:val="auto"/>
          <w:szCs w:val="21"/>
        </w:rPr>
      </w:pPr>
      <w:r>
        <w:rPr>
          <w:rFonts w:hint="eastAsia" w:ascii="宋体" w:hAnsi="宋体"/>
          <w:color w:val="auto"/>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7CA19BAA">
      <w:pPr>
        <w:spacing w:line="360" w:lineRule="auto"/>
        <w:ind w:firstLine="420" w:firstLineChars="200"/>
        <w:rPr>
          <w:rFonts w:ascii="宋体" w:hAnsi="宋体"/>
          <w:color w:val="auto"/>
          <w:szCs w:val="21"/>
        </w:rPr>
      </w:pPr>
      <w:r>
        <w:rPr>
          <w:rFonts w:hint="eastAsia" w:ascii="宋体" w:hAnsi="宋体"/>
          <w:color w:val="auto"/>
          <w:szCs w:val="21"/>
        </w:rPr>
        <w:t>（5）修正后的报价，投标人不确认的；</w:t>
      </w:r>
    </w:p>
    <w:p w14:paraId="3A5848B0">
      <w:pPr>
        <w:spacing w:line="360" w:lineRule="auto"/>
        <w:ind w:firstLine="420" w:firstLineChars="200"/>
        <w:rPr>
          <w:rFonts w:ascii="宋体" w:hAnsi="宋体"/>
          <w:color w:val="auto"/>
          <w:szCs w:val="21"/>
        </w:rPr>
      </w:pPr>
      <w:r>
        <w:rPr>
          <w:rFonts w:hint="eastAsia" w:ascii="宋体" w:hAnsi="宋体"/>
          <w:color w:val="auto"/>
          <w:szCs w:val="21"/>
        </w:rPr>
        <w:t>（6）投标人属于本章第</w:t>
      </w:r>
      <w:r>
        <w:rPr>
          <w:rFonts w:ascii="宋体" w:hAnsi="宋体"/>
          <w:color w:val="auto"/>
          <w:szCs w:val="21"/>
        </w:rPr>
        <w:t>5</w:t>
      </w:r>
      <w:r>
        <w:rPr>
          <w:rFonts w:hint="eastAsia" w:ascii="宋体" w:hAnsi="宋体"/>
          <w:color w:val="auto"/>
          <w:szCs w:val="21"/>
        </w:rPr>
        <w:t>条第（2）项情形的。</w:t>
      </w:r>
    </w:p>
    <w:p w14:paraId="17BFF89B">
      <w:pPr>
        <w:spacing w:line="360" w:lineRule="auto"/>
        <w:ind w:firstLine="420" w:firstLineChars="200"/>
        <w:rPr>
          <w:rFonts w:ascii="宋体" w:hAnsi="宋体"/>
          <w:color w:val="auto"/>
          <w:szCs w:val="21"/>
        </w:rPr>
      </w:pPr>
      <w:r>
        <w:rPr>
          <w:rFonts w:hint="eastAsia" w:ascii="宋体" w:hAnsi="宋体"/>
          <w:color w:val="auto"/>
          <w:szCs w:val="21"/>
        </w:rPr>
        <w:t>2.2在商务评审时，如发现下列情形之一的，将被视为投标无效：</w:t>
      </w:r>
    </w:p>
    <w:p w14:paraId="64A0638D">
      <w:pPr>
        <w:spacing w:line="360" w:lineRule="auto"/>
        <w:ind w:firstLine="420" w:firstLineChars="200"/>
        <w:rPr>
          <w:rFonts w:ascii="宋体" w:hAnsi="宋体"/>
          <w:color w:val="auto"/>
          <w:szCs w:val="21"/>
        </w:rPr>
      </w:pPr>
      <w:r>
        <w:rPr>
          <w:rFonts w:hint="eastAsia" w:ascii="宋体" w:hAnsi="宋体"/>
          <w:color w:val="auto"/>
          <w:szCs w:val="21"/>
        </w:rPr>
        <w:t>（1）投标文件未按招标文件要求签署、盖章的；</w:t>
      </w:r>
    </w:p>
    <w:p w14:paraId="2FC0C30A">
      <w:pPr>
        <w:spacing w:line="360" w:lineRule="auto"/>
        <w:ind w:firstLine="420" w:firstLineChars="200"/>
        <w:rPr>
          <w:rFonts w:ascii="宋体" w:hAnsi="宋体"/>
          <w:color w:val="auto"/>
          <w:szCs w:val="21"/>
        </w:rPr>
      </w:pPr>
      <w:r>
        <w:rPr>
          <w:rFonts w:hint="eastAsia" w:ascii="宋体" w:hAnsi="宋体"/>
          <w:color w:val="auto"/>
          <w:szCs w:val="21"/>
        </w:rPr>
        <w:t xml:space="preserve">（2）委托代理人未能出具有效身份证明或者出具的身份证明与授权委托书中的信息不符的； </w:t>
      </w:r>
    </w:p>
    <w:p w14:paraId="7DF8AEF7">
      <w:pPr>
        <w:spacing w:line="360" w:lineRule="auto"/>
        <w:ind w:firstLine="420" w:firstLineChars="200"/>
        <w:rPr>
          <w:rFonts w:ascii="宋体" w:hAnsi="宋体"/>
          <w:color w:val="auto"/>
          <w:szCs w:val="21"/>
        </w:rPr>
      </w:pPr>
      <w:r>
        <w:rPr>
          <w:rFonts w:hint="eastAsia" w:ascii="宋体" w:hAnsi="宋体"/>
          <w:color w:val="auto"/>
          <w:szCs w:val="21"/>
        </w:rPr>
        <w:t>（3）投标文件未提供“投标人须知前附表”第13.</w:t>
      </w:r>
      <w:r>
        <w:rPr>
          <w:rFonts w:ascii="宋体" w:hAnsi="宋体"/>
          <w:color w:val="auto"/>
          <w:szCs w:val="21"/>
        </w:rPr>
        <w:t>1</w:t>
      </w:r>
      <w:r>
        <w:rPr>
          <w:rFonts w:hint="eastAsia" w:ascii="宋体" w:hAnsi="宋体"/>
          <w:color w:val="auto"/>
          <w:szCs w:val="21"/>
        </w:rPr>
        <w:t>条规定中“必须提供”或者“委托时必须提供”的文件资料的;</w:t>
      </w:r>
    </w:p>
    <w:p w14:paraId="56E2BFE3">
      <w:pPr>
        <w:spacing w:line="360" w:lineRule="auto"/>
        <w:ind w:firstLine="420" w:firstLineChars="200"/>
        <w:rPr>
          <w:rFonts w:ascii="宋体" w:hAnsi="宋体"/>
          <w:color w:val="auto"/>
          <w:szCs w:val="21"/>
        </w:rPr>
      </w:pPr>
      <w:r>
        <w:rPr>
          <w:rFonts w:hint="eastAsia" w:ascii="宋体" w:hAnsi="宋体"/>
          <w:color w:val="auto"/>
          <w:szCs w:val="21"/>
        </w:rPr>
        <w:t>（4）投标有效期、项目完成时间（交货时间、货物完成时间或者货物期等）、质保期、售后货物等招标文件中标“▲”的商务条款发生负偏离的；</w:t>
      </w:r>
    </w:p>
    <w:p w14:paraId="17F6B752">
      <w:pPr>
        <w:spacing w:line="360" w:lineRule="auto"/>
        <w:ind w:firstLine="420" w:firstLineChars="200"/>
        <w:rPr>
          <w:rFonts w:ascii="宋体" w:hAnsi="宋体"/>
          <w:color w:val="auto"/>
          <w:szCs w:val="21"/>
        </w:rPr>
      </w:pPr>
      <w:r>
        <w:rPr>
          <w:rFonts w:hint="eastAsia" w:ascii="宋体" w:hAnsi="宋体"/>
          <w:color w:val="auto"/>
          <w:szCs w:val="21"/>
        </w:rPr>
        <w:t>（5）商务条款评审允许负偏离的条款数超过“投标人须知前附表”规定项数的。</w:t>
      </w:r>
    </w:p>
    <w:p w14:paraId="4A66265B">
      <w:pPr>
        <w:spacing w:line="360" w:lineRule="auto"/>
        <w:ind w:firstLine="420" w:firstLineChars="200"/>
        <w:rPr>
          <w:rFonts w:ascii="宋体" w:hAnsi="宋体"/>
          <w:color w:val="auto"/>
          <w:szCs w:val="21"/>
        </w:rPr>
      </w:pPr>
      <w:r>
        <w:rPr>
          <w:rFonts w:hint="eastAsia" w:ascii="宋体" w:hAnsi="宋体"/>
          <w:color w:val="auto"/>
          <w:szCs w:val="21"/>
        </w:rPr>
        <w:t>（6）投标文件的实质性内容未使用中文表述、使用计量单位不符合招标文件要求的；</w:t>
      </w:r>
    </w:p>
    <w:p w14:paraId="3E51768F">
      <w:pPr>
        <w:spacing w:line="360" w:lineRule="auto"/>
        <w:ind w:firstLine="420" w:firstLineChars="200"/>
        <w:rPr>
          <w:rFonts w:ascii="宋体" w:hAnsi="宋体"/>
          <w:color w:val="auto"/>
          <w:szCs w:val="21"/>
        </w:rPr>
      </w:pPr>
      <w:r>
        <w:rPr>
          <w:rFonts w:hint="eastAsia" w:ascii="宋体" w:hAnsi="宋体"/>
          <w:color w:val="auto"/>
          <w:szCs w:val="21"/>
        </w:rPr>
        <w:t>（7）投标文件中的文件资料因填写不齐全或者内容虚假或者出现其他情形而导致被评标委员会认定无效的；</w:t>
      </w:r>
    </w:p>
    <w:p w14:paraId="6CE4E46C">
      <w:pPr>
        <w:spacing w:line="360" w:lineRule="auto"/>
        <w:ind w:firstLine="420" w:firstLineChars="200"/>
        <w:rPr>
          <w:rFonts w:ascii="宋体" w:hAnsi="宋体"/>
          <w:color w:val="auto"/>
          <w:szCs w:val="21"/>
        </w:rPr>
      </w:pPr>
      <w:r>
        <w:rPr>
          <w:rFonts w:hint="eastAsia" w:ascii="宋体" w:hAnsi="宋体"/>
          <w:color w:val="auto"/>
          <w:szCs w:val="21"/>
        </w:rPr>
        <w:t>（8）投标文件含有采购人不能接受的附加条件的；</w:t>
      </w:r>
    </w:p>
    <w:p w14:paraId="77316BA4">
      <w:pPr>
        <w:spacing w:line="360" w:lineRule="auto"/>
        <w:ind w:firstLine="420" w:firstLineChars="200"/>
        <w:rPr>
          <w:rFonts w:ascii="宋体" w:hAnsi="宋体"/>
          <w:color w:val="auto"/>
          <w:szCs w:val="21"/>
        </w:rPr>
      </w:pPr>
      <w:r>
        <w:rPr>
          <w:rFonts w:hint="eastAsia" w:ascii="宋体" w:hAnsi="宋体"/>
          <w:color w:val="auto"/>
          <w:szCs w:val="21"/>
        </w:rPr>
        <w:t>（9）未响应招标文件实质性要求的；</w:t>
      </w:r>
    </w:p>
    <w:p w14:paraId="52804A46">
      <w:pPr>
        <w:spacing w:line="360" w:lineRule="auto"/>
        <w:ind w:firstLine="420" w:firstLineChars="200"/>
        <w:rPr>
          <w:rFonts w:ascii="宋体" w:hAnsi="宋体"/>
          <w:color w:val="auto"/>
          <w:szCs w:val="21"/>
        </w:rPr>
      </w:pPr>
      <w:r>
        <w:rPr>
          <w:rFonts w:hint="eastAsia" w:ascii="宋体" w:hAnsi="宋体"/>
          <w:color w:val="auto"/>
          <w:szCs w:val="21"/>
        </w:rPr>
        <w:t>（10）属于投标人须知正文第</w:t>
      </w:r>
      <w:r>
        <w:rPr>
          <w:rFonts w:ascii="宋体" w:hAnsi="宋体"/>
          <w:color w:val="auto"/>
          <w:szCs w:val="21"/>
        </w:rPr>
        <w:t>9.2</w:t>
      </w:r>
      <w:r>
        <w:rPr>
          <w:rFonts w:hint="eastAsia" w:ascii="宋体" w:hAnsi="宋体"/>
          <w:color w:val="auto"/>
          <w:szCs w:val="21"/>
        </w:rPr>
        <w:t>条情形的；</w:t>
      </w:r>
    </w:p>
    <w:p w14:paraId="2563582F">
      <w:pPr>
        <w:spacing w:line="360" w:lineRule="auto"/>
        <w:ind w:firstLine="420" w:firstLineChars="200"/>
        <w:rPr>
          <w:rFonts w:ascii="宋体" w:hAnsi="宋体"/>
          <w:color w:val="auto"/>
          <w:szCs w:val="21"/>
        </w:rPr>
      </w:pPr>
      <w:r>
        <w:rPr>
          <w:rFonts w:hint="eastAsia" w:ascii="宋体" w:hAnsi="宋体"/>
          <w:color w:val="auto"/>
          <w:szCs w:val="21"/>
        </w:rPr>
        <w:t>（11）法律、法规和招标文件规定的其他无效情形。</w:t>
      </w:r>
    </w:p>
    <w:p w14:paraId="2C5234BF">
      <w:pPr>
        <w:spacing w:line="360" w:lineRule="auto"/>
        <w:ind w:firstLine="420" w:firstLineChars="200"/>
        <w:rPr>
          <w:rFonts w:ascii="宋体" w:hAnsi="宋体"/>
          <w:color w:val="auto"/>
          <w:szCs w:val="21"/>
        </w:rPr>
      </w:pPr>
      <w:r>
        <w:rPr>
          <w:rFonts w:hint="eastAsia" w:ascii="宋体" w:hAnsi="宋体"/>
          <w:color w:val="auto"/>
          <w:szCs w:val="21"/>
        </w:rPr>
        <w:t>2.3在技术评审时，如发现下列情形之一的，将被视为投标无效：</w:t>
      </w:r>
    </w:p>
    <w:p w14:paraId="5A62777A">
      <w:pPr>
        <w:spacing w:line="360" w:lineRule="auto"/>
        <w:ind w:firstLine="420" w:firstLineChars="200"/>
        <w:rPr>
          <w:rFonts w:hAnsi="宋体"/>
          <w:color w:val="auto"/>
          <w:szCs w:val="21"/>
        </w:rPr>
      </w:pPr>
      <w:r>
        <w:rPr>
          <w:rFonts w:hint="eastAsia" w:hAnsi="宋体"/>
          <w:color w:val="auto"/>
          <w:szCs w:val="21"/>
        </w:rPr>
        <w:t>（1）不满足招标文件要求的货物内容、技术要求、安全、质量标准，或者与招标文件中标“▲”的技术需求发生负偏离的；</w:t>
      </w:r>
    </w:p>
    <w:p w14:paraId="2110D4B1">
      <w:pPr>
        <w:spacing w:line="360" w:lineRule="auto"/>
        <w:ind w:firstLine="420" w:firstLineChars="200"/>
        <w:rPr>
          <w:rFonts w:hAnsi="宋体"/>
          <w:color w:val="auto"/>
          <w:szCs w:val="21"/>
        </w:rPr>
      </w:pPr>
      <w:r>
        <w:rPr>
          <w:rFonts w:hint="eastAsia" w:hAnsi="宋体"/>
          <w:color w:val="auto"/>
          <w:szCs w:val="21"/>
        </w:rPr>
        <w:t>（2）技术需求评审允许负偏离的条款数超过“投标人须知前附表”规定项数的；</w:t>
      </w:r>
    </w:p>
    <w:p w14:paraId="1362F6DB">
      <w:pPr>
        <w:spacing w:line="360" w:lineRule="auto"/>
        <w:ind w:firstLine="420" w:firstLineChars="200"/>
        <w:rPr>
          <w:rFonts w:hAnsi="宋体"/>
          <w:color w:val="auto"/>
          <w:szCs w:val="21"/>
        </w:rPr>
      </w:pPr>
      <w:r>
        <w:rPr>
          <w:rFonts w:hint="eastAsia" w:hAnsi="宋体"/>
          <w:color w:val="auto"/>
          <w:szCs w:val="21"/>
        </w:rPr>
        <w:t>（3）投标文件未提供“投标人须知前附表”第13.</w:t>
      </w:r>
      <w:r>
        <w:rPr>
          <w:rFonts w:hAnsi="宋体"/>
          <w:color w:val="auto"/>
          <w:szCs w:val="21"/>
        </w:rPr>
        <w:t>1</w:t>
      </w:r>
      <w:r>
        <w:rPr>
          <w:rFonts w:hint="eastAsia" w:hAnsi="宋体"/>
          <w:color w:val="auto"/>
          <w:szCs w:val="21"/>
        </w:rPr>
        <w:t>条规定中“必须提供”的文件资料的;</w:t>
      </w:r>
    </w:p>
    <w:p w14:paraId="6CC5863C">
      <w:pPr>
        <w:spacing w:line="360" w:lineRule="auto"/>
        <w:ind w:firstLine="420" w:firstLineChars="200"/>
        <w:rPr>
          <w:rFonts w:hAnsi="宋体"/>
          <w:color w:val="auto"/>
          <w:szCs w:val="21"/>
        </w:rPr>
      </w:pPr>
      <w:r>
        <w:rPr>
          <w:rFonts w:hint="eastAsia" w:hAnsi="宋体"/>
          <w:color w:val="auto"/>
          <w:szCs w:val="21"/>
        </w:rPr>
        <w:t>（4）虚假投标，或者出现其他情形而导致被评标委员会认定无效的；</w:t>
      </w:r>
    </w:p>
    <w:p w14:paraId="0356C0BD">
      <w:pPr>
        <w:spacing w:line="360" w:lineRule="auto"/>
        <w:ind w:firstLine="420" w:firstLineChars="200"/>
        <w:rPr>
          <w:rFonts w:hAnsi="宋体"/>
          <w:color w:val="auto"/>
          <w:szCs w:val="21"/>
        </w:rPr>
      </w:pPr>
      <w:r>
        <w:rPr>
          <w:rFonts w:hint="eastAsia" w:hAnsi="宋体"/>
          <w:color w:val="auto"/>
          <w:szCs w:val="21"/>
        </w:rPr>
        <w:t>（5）投标技术方案不明确，招标文件未允许但存在一个或者一个以上备选（替代）投标方案的。</w:t>
      </w:r>
    </w:p>
    <w:p w14:paraId="68297442">
      <w:pPr>
        <w:spacing w:line="360" w:lineRule="auto"/>
        <w:ind w:firstLine="422" w:firstLineChars="200"/>
        <w:rPr>
          <w:rFonts w:ascii="宋体" w:hAnsi="宋体"/>
          <w:b/>
          <w:color w:val="auto"/>
          <w:szCs w:val="21"/>
        </w:rPr>
      </w:pPr>
      <w:r>
        <w:rPr>
          <w:rFonts w:hint="eastAsia" w:ascii="宋体" w:hAnsi="宋体"/>
          <w:b/>
          <w:color w:val="auto"/>
          <w:szCs w:val="21"/>
        </w:rPr>
        <w:t>3</w:t>
      </w:r>
      <w:r>
        <w:rPr>
          <w:rFonts w:ascii="宋体" w:hAnsi="宋体"/>
          <w:b/>
          <w:color w:val="auto"/>
          <w:szCs w:val="21"/>
        </w:rPr>
        <w:t>.</w:t>
      </w:r>
      <w:r>
        <w:rPr>
          <w:rFonts w:hint="eastAsia" w:ascii="宋体" w:hAnsi="宋体"/>
          <w:b/>
          <w:color w:val="auto"/>
          <w:szCs w:val="21"/>
        </w:rPr>
        <w:t>澄清补正、说明或者补正</w:t>
      </w:r>
    </w:p>
    <w:p w14:paraId="4693757A">
      <w:pPr>
        <w:spacing w:line="360" w:lineRule="auto"/>
        <w:ind w:firstLine="420" w:firstLineChars="200"/>
        <w:rPr>
          <w:rFonts w:ascii="宋体" w:hAnsi="宋体" w:cs="Courier New"/>
          <w:color w:val="auto"/>
          <w:szCs w:val="21"/>
        </w:rPr>
      </w:pPr>
      <w:r>
        <w:rPr>
          <w:rFonts w:hint="eastAsia" w:ascii="宋体" w:hAnsi="宋体" w:cs="Courier New"/>
          <w:color w:val="auto"/>
          <w:szCs w:val="21"/>
        </w:rPr>
        <w:t>对投标文件中含义不明确、同类问题表述不一致或者有明显文字和计算错误的内容，评标委员会应在</w:t>
      </w:r>
      <w:r>
        <w:rPr>
          <w:rFonts w:hint="eastAsia" w:ascii="宋体" w:hAnsi="宋体" w:cs="Courier New"/>
          <w:color w:val="auto"/>
          <w:szCs w:val="21"/>
          <w:lang w:eastAsia="zh-CN"/>
        </w:rPr>
        <w:t>广西政府采购云平台</w:t>
      </w:r>
      <w:r>
        <w:rPr>
          <w:rFonts w:hint="eastAsia" w:ascii="宋体" w:hAnsi="宋体" w:cs="Courier New"/>
          <w:color w:val="auto"/>
          <w:szCs w:val="21"/>
        </w:rPr>
        <w:t>发布电子澄清函，要求投标人在规定时间内作出必要的澄清、说明或者补正。投标人在</w:t>
      </w:r>
      <w:r>
        <w:rPr>
          <w:rFonts w:hint="eastAsia" w:ascii="宋体" w:hAnsi="宋体" w:cs="Courier New"/>
          <w:color w:val="auto"/>
          <w:szCs w:val="21"/>
          <w:lang w:eastAsia="zh-CN"/>
        </w:rPr>
        <w:t>广西政府采购云平台</w:t>
      </w:r>
      <w:r>
        <w:rPr>
          <w:rFonts w:hint="eastAsia" w:ascii="宋体" w:hAnsi="宋体" w:cs="Courier New"/>
          <w:color w:val="auto"/>
          <w:szCs w:val="21"/>
        </w:rPr>
        <w:t>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17F61371">
      <w:pPr>
        <w:spacing w:line="360" w:lineRule="auto"/>
        <w:ind w:firstLine="420" w:firstLineChars="200"/>
        <w:rPr>
          <w:rFonts w:ascii="宋体" w:hAnsi="宋体" w:cs="Courier New"/>
          <w:color w:val="auto"/>
          <w:szCs w:val="21"/>
        </w:rPr>
      </w:pPr>
      <w:r>
        <w:rPr>
          <w:rFonts w:hint="eastAsia" w:ascii="宋体" w:hAnsi="宋体" w:cs="Courier New"/>
          <w:color w:val="auto"/>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73E7AA9B">
      <w:pPr>
        <w:spacing w:line="360" w:lineRule="auto"/>
        <w:ind w:firstLine="422" w:firstLineChars="200"/>
        <w:rPr>
          <w:rFonts w:ascii="宋体" w:hAnsi="宋体"/>
          <w:b/>
          <w:color w:val="auto"/>
          <w:szCs w:val="21"/>
        </w:rPr>
      </w:pPr>
      <w:r>
        <w:rPr>
          <w:rFonts w:ascii="宋体" w:hAnsi="宋体"/>
          <w:b/>
          <w:color w:val="auto"/>
          <w:szCs w:val="21"/>
        </w:rPr>
        <w:t>4.</w:t>
      </w:r>
      <w:r>
        <w:rPr>
          <w:rFonts w:hint="eastAsia" w:ascii="宋体" w:hAnsi="宋体"/>
          <w:b/>
          <w:color w:val="auto"/>
          <w:szCs w:val="21"/>
        </w:rPr>
        <w:t>投标文件修正</w:t>
      </w:r>
    </w:p>
    <w:p w14:paraId="1242A347">
      <w:pPr>
        <w:spacing w:line="360" w:lineRule="auto"/>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 xml:space="preserve">.1投标文件报价出现前后不一致的，按照下列规定修正： </w:t>
      </w:r>
    </w:p>
    <w:p w14:paraId="253AD4E1">
      <w:pPr>
        <w:spacing w:line="360" w:lineRule="auto"/>
        <w:ind w:firstLine="420" w:firstLineChars="200"/>
        <w:rPr>
          <w:rFonts w:hAnsi="宋体"/>
          <w:color w:val="auto"/>
        </w:rPr>
      </w:pPr>
      <w:r>
        <w:rPr>
          <w:rFonts w:hint="eastAsia" w:hAnsi="宋体"/>
          <w:color w:val="auto"/>
        </w:rPr>
        <w:t>（1）报价文件中“开标一览表”内容与投标文件中相应内容不一致的，以“开标一览表”为准；</w:t>
      </w:r>
    </w:p>
    <w:p w14:paraId="7A66EEDE">
      <w:pPr>
        <w:spacing w:line="360" w:lineRule="auto"/>
        <w:ind w:firstLine="420" w:firstLineChars="200"/>
        <w:rPr>
          <w:rFonts w:hAnsi="宋体"/>
          <w:color w:val="auto"/>
        </w:rPr>
      </w:pPr>
      <w:r>
        <w:rPr>
          <w:rFonts w:hint="eastAsia" w:hAnsi="宋体"/>
          <w:color w:val="auto"/>
        </w:rPr>
        <w:t>（2）大写金额和小写金额不一致的，以大写金额为准；</w:t>
      </w:r>
    </w:p>
    <w:p w14:paraId="70CE105B">
      <w:pPr>
        <w:spacing w:line="360" w:lineRule="auto"/>
        <w:ind w:firstLine="420" w:firstLineChars="200"/>
        <w:rPr>
          <w:rFonts w:hAnsi="宋体"/>
          <w:color w:val="auto"/>
        </w:rPr>
      </w:pPr>
      <w:r>
        <w:rPr>
          <w:rFonts w:hint="eastAsia" w:hAnsi="宋体"/>
          <w:color w:val="auto"/>
        </w:rPr>
        <w:t>（3）单价金额小数点或者百分比有明显错位的，以开标一览表的总价为准，并修改单价；</w:t>
      </w:r>
    </w:p>
    <w:p w14:paraId="20FFD674">
      <w:pPr>
        <w:spacing w:line="360" w:lineRule="auto"/>
        <w:ind w:firstLine="420" w:firstLineChars="200"/>
        <w:rPr>
          <w:rFonts w:hAnsi="宋体"/>
          <w:color w:val="auto"/>
        </w:rPr>
      </w:pPr>
      <w:r>
        <w:rPr>
          <w:rFonts w:hint="eastAsia" w:hAnsi="宋体"/>
          <w:color w:val="auto"/>
        </w:rPr>
        <w:t>（4）总价金额与按单价汇总金额不一致的，以单价金额计算结果为准。</w:t>
      </w:r>
    </w:p>
    <w:p w14:paraId="5BDED706">
      <w:pPr>
        <w:spacing w:line="360" w:lineRule="auto"/>
        <w:ind w:firstLine="420" w:firstLineChars="200"/>
        <w:rPr>
          <w:rFonts w:hAnsi="宋体"/>
          <w:color w:val="auto"/>
        </w:rPr>
      </w:pPr>
      <w:r>
        <w:rPr>
          <w:rFonts w:hint="eastAsia" w:hAnsi="宋体"/>
          <w:color w:val="auto"/>
        </w:rPr>
        <w:t>同时出现两种以上不一致的，按照以上（1）-（4）规定的顺序修正。修正后的报价经投标人确认后产生约束力，投标人不确认的，其投标无效。</w:t>
      </w:r>
    </w:p>
    <w:p w14:paraId="7DCC1AFB">
      <w:pPr>
        <w:spacing w:line="360" w:lineRule="auto"/>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.2经投标人确认修正后的报价若超过采购预算金额或者最高限价，投标人的投标文件作无效投标处理。</w:t>
      </w:r>
    </w:p>
    <w:p w14:paraId="1B8525E3">
      <w:pPr>
        <w:spacing w:line="360" w:lineRule="auto"/>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.3经投标人确认修正后的报价作为签订合同的依据，并以此报价计算价格分。</w:t>
      </w:r>
    </w:p>
    <w:p w14:paraId="43674537">
      <w:pPr>
        <w:spacing w:line="360" w:lineRule="auto"/>
        <w:ind w:firstLine="420" w:firstLineChars="200"/>
        <w:rPr>
          <w:rFonts w:ascii="宋体" w:hAnsi="宋体"/>
          <w:color w:val="auto"/>
          <w:szCs w:val="21"/>
        </w:rPr>
      </w:pPr>
      <w:r>
        <w:rPr>
          <w:rFonts w:ascii="宋体" w:hAnsi="宋体"/>
          <w:color w:val="auto"/>
          <w:szCs w:val="21"/>
        </w:rPr>
        <w:t>5.</w:t>
      </w:r>
      <w:r>
        <w:rPr>
          <w:rFonts w:hint="eastAsia" w:ascii="宋体" w:hAnsi="宋体"/>
          <w:color w:val="auto"/>
          <w:szCs w:val="21"/>
        </w:rPr>
        <w:t>比较与评价</w:t>
      </w:r>
    </w:p>
    <w:p w14:paraId="6D3332EA">
      <w:pPr>
        <w:spacing w:line="360" w:lineRule="auto"/>
        <w:ind w:firstLine="420" w:firstLineChars="200"/>
        <w:rPr>
          <w:rFonts w:hAnsi="宋体"/>
          <w:color w:val="auto"/>
        </w:rPr>
      </w:pPr>
      <w:r>
        <w:rPr>
          <w:rFonts w:hint="eastAsia" w:hAnsi="宋体"/>
          <w:color w:val="auto"/>
        </w:rPr>
        <w:t>（1）评标委员会按照招标文件中规定的评标方法和评标标准，对符合性审查合格的投标文件进行商务和技术评估，综合比较与评价。</w:t>
      </w:r>
    </w:p>
    <w:p w14:paraId="64647AAE">
      <w:pPr>
        <w:spacing w:line="360" w:lineRule="auto"/>
        <w:ind w:firstLine="420" w:firstLineChars="200"/>
        <w:rPr>
          <w:rFonts w:hAnsi="宋体"/>
          <w:color w:val="auto"/>
        </w:rPr>
      </w:pPr>
      <w:r>
        <w:rPr>
          <w:rFonts w:hint="eastAsia" w:hAnsi="宋体"/>
          <w:color w:val="auto"/>
        </w:rPr>
        <w:t>（2）评标委员会独立对每个投标人的投标文件进行评价，并汇总每个投标人的得分。</w:t>
      </w:r>
    </w:p>
    <w:p w14:paraId="144FFE3D">
      <w:pPr>
        <w:spacing w:line="360" w:lineRule="auto"/>
        <w:ind w:firstLine="420" w:firstLineChars="200"/>
        <w:rPr>
          <w:rFonts w:hAnsi="宋体"/>
          <w:color w:val="auto"/>
        </w:rPr>
      </w:pPr>
      <w:r>
        <w:rPr>
          <w:rFonts w:hint="eastAsia" w:hAnsi="宋体"/>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64B946ED">
      <w:pPr>
        <w:spacing w:line="360" w:lineRule="auto"/>
        <w:ind w:firstLine="420" w:firstLineChars="200"/>
        <w:rPr>
          <w:rFonts w:hAnsi="宋体"/>
          <w:color w:val="auto"/>
        </w:rPr>
      </w:pPr>
      <w:r>
        <w:rPr>
          <w:rFonts w:hint="eastAsia" w:hAnsi="宋体"/>
          <w:color w:val="auto"/>
        </w:rPr>
        <w:t>（3）评标委员会按照招标文件中规定的评标方法和标准计算各投标人的报价得分。在计算过程中，不得去掉最高报价或者最低报价。</w:t>
      </w:r>
    </w:p>
    <w:p w14:paraId="24269619">
      <w:pPr>
        <w:spacing w:line="360" w:lineRule="auto"/>
        <w:ind w:firstLine="420" w:firstLineChars="200"/>
        <w:rPr>
          <w:rFonts w:hAnsi="宋体"/>
          <w:color w:val="auto"/>
        </w:rPr>
      </w:pPr>
      <w:r>
        <w:rPr>
          <w:rFonts w:hint="eastAsia" w:hAnsi="宋体"/>
          <w:color w:val="auto"/>
        </w:rPr>
        <w:t>（4）各投标人的得分为所有评委的有效评分的算术平均数。</w:t>
      </w:r>
    </w:p>
    <w:p w14:paraId="4839DE83">
      <w:pPr>
        <w:spacing w:line="360" w:lineRule="auto"/>
        <w:ind w:firstLine="420" w:firstLineChars="200"/>
        <w:rPr>
          <w:rFonts w:hAnsi="宋体"/>
          <w:color w:val="auto"/>
        </w:rPr>
      </w:pPr>
      <w:r>
        <w:rPr>
          <w:rFonts w:hint="eastAsia" w:hAnsi="宋体"/>
          <w:color w:val="auto"/>
        </w:rPr>
        <w:t>（5）评标委员会按照招标文件中的规定推荐中标候选人。</w:t>
      </w:r>
    </w:p>
    <w:p w14:paraId="6F5252DE">
      <w:pPr>
        <w:spacing w:line="360" w:lineRule="auto"/>
        <w:ind w:firstLine="420" w:firstLineChars="200"/>
        <w:rPr>
          <w:rFonts w:hAnsi="宋体"/>
          <w:color w:val="auto"/>
        </w:rPr>
      </w:pPr>
      <w:r>
        <w:rPr>
          <w:rFonts w:hint="eastAsia" w:hAnsi="宋体"/>
          <w:color w:val="auto"/>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3CA15F63">
      <w:pPr>
        <w:pStyle w:val="3"/>
        <w:jc w:val="center"/>
        <w:rPr>
          <w:b w:val="0"/>
          <w:color w:val="auto"/>
          <w:sz w:val="30"/>
          <w:szCs w:val="30"/>
        </w:rPr>
      </w:pPr>
      <w:bookmarkStart w:id="132" w:name="_Toc80093006"/>
      <w:r>
        <w:rPr>
          <w:rFonts w:hint="eastAsia"/>
          <w:b w:val="0"/>
          <w:color w:val="auto"/>
          <w:sz w:val="30"/>
          <w:szCs w:val="30"/>
        </w:rPr>
        <w:t>第三节 评分标准</w:t>
      </w:r>
      <w:bookmarkEnd w:id="132"/>
    </w:p>
    <w:p w14:paraId="1F2983B6">
      <w:pPr>
        <w:pStyle w:val="17"/>
        <w:ind w:firstLine="602" w:firstLineChars="200"/>
        <w:jc w:val="center"/>
        <w:rPr>
          <w:rFonts w:ascii="Times New Roman" w:hAnsi="Times New Roman"/>
          <w:b/>
          <w:color w:val="auto"/>
          <w:sz w:val="30"/>
          <w:szCs w:val="30"/>
        </w:rPr>
      </w:pPr>
      <w:r>
        <w:rPr>
          <w:rFonts w:hint="eastAsia" w:ascii="Times New Roman" w:hAnsi="Times New Roman"/>
          <w:b/>
          <w:color w:val="auto"/>
          <w:sz w:val="30"/>
          <w:szCs w:val="30"/>
        </w:rPr>
        <w:t>一、综合评分法</w:t>
      </w:r>
    </w:p>
    <w:p w14:paraId="208AB155">
      <w:pPr>
        <w:pStyle w:val="17"/>
        <w:spacing w:line="360" w:lineRule="auto"/>
        <w:ind w:firstLine="420"/>
        <w:rPr>
          <w:rFonts w:hAnsi="宋体"/>
          <w:b/>
          <w:color w:val="auto"/>
        </w:rPr>
      </w:pPr>
      <w:r>
        <w:rPr>
          <w:rFonts w:hint="eastAsia" w:hAnsi="宋体"/>
          <w:b/>
          <w:color w:val="auto"/>
        </w:rPr>
        <w:t>本评分办法适用于1分标。</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216"/>
        <w:gridCol w:w="1175"/>
        <w:gridCol w:w="6534"/>
      </w:tblGrid>
      <w:tr w14:paraId="6701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gridSpan w:val="2"/>
            <w:vAlign w:val="center"/>
          </w:tcPr>
          <w:p w14:paraId="6F6692E8">
            <w:pPr>
              <w:adjustRightInd w:val="0"/>
              <w:spacing w:line="360" w:lineRule="auto"/>
              <w:jc w:val="center"/>
              <w:textAlignment w:val="baseline"/>
              <w:rPr>
                <w:rFonts w:ascii="宋体" w:hAnsi="宋体"/>
                <w:color w:val="auto"/>
                <w:szCs w:val="21"/>
              </w:rPr>
            </w:pPr>
            <w:r>
              <w:rPr>
                <w:rFonts w:hint="eastAsia" w:ascii="宋体" w:hAnsi="宋体"/>
                <w:b/>
                <w:color w:val="auto"/>
                <w:szCs w:val="21"/>
              </w:rPr>
              <w:t>序号</w:t>
            </w:r>
          </w:p>
        </w:tc>
        <w:tc>
          <w:tcPr>
            <w:tcW w:w="1175" w:type="dxa"/>
            <w:vAlign w:val="center"/>
          </w:tcPr>
          <w:p w14:paraId="60B64BD4">
            <w:pPr>
              <w:adjustRightInd w:val="0"/>
              <w:spacing w:line="360" w:lineRule="auto"/>
              <w:jc w:val="center"/>
              <w:textAlignment w:val="baseline"/>
              <w:rPr>
                <w:rFonts w:ascii="宋体" w:hAnsi="宋体"/>
                <w:color w:val="auto"/>
                <w:szCs w:val="21"/>
              </w:rPr>
            </w:pPr>
            <w:r>
              <w:rPr>
                <w:rFonts w:hint="eastAsia" w:ascii="宋体" w:hAnsi="宋体"/>
                <w:b/>
                <w:color w:val="auto"/>
                <w:szCs w:val="21"/>
              </w:rPr>
              <w:t>评审因素</w:t>
            </w:r>
          </w:p>
        </w:tc>
        <w:tc>
          <w:tcPr>
            <w:tcW w:w="6534" w:type="dxa"/>
            <w:vAlign w:val="center"/>
          </w:tcPr>
          <w:p w14:paraId="397ABC42">
            <w:pPr>
              <w:adjustRightInd w:val="0"/>
              <w:spacing w:line="360" w:lineRule="auto"/>
              <w:jc w:val="center"/>
              <w:textAlignment w:val="baseline"/>
              <w:rPr>
                <w:rFonts w:ascii="宋体" w:hAnsi="宋体"/>
                <w:color w:val="auto"/>
                <w:szCs w:val="21"/>
              </w:rPr>
            </w:pPr>
            <w:r>
              <w:rPr>
                <w:rFonts w:hint="eastAsia" w:ascii="宋体" w:hAnsi="宋体"/>
                <w:b/>
                <w:color w:val="auto"/>
                <w:szCs w:val="21"/>
              </w:rPr>
              <w:t>评标标准</w:t>
            </w:r>
          </w:p>
        </w:tc>
      </w:tr>
      <w:tr w14:paraId="1561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171BB137">
            <w:pPr>
              <w:adjustRightInd w:val="0"/>
              <w:spacing w:line="360" w:lineRule="auto"/>
              <w:jc w:val="center"/>
              <w:textAlignment w:val="baseline"/>
              <w:rPr>
                <w:rFonts w:ascii="宋体" w:hAnsi="宋体"/>
                <w:b/>
                <w:color w:val="auto"/>
                <w:szCs w:val="21"/>
              </w:rPr>
            </w:pPr>
            <w:r>
              <w:rPr>
                <w:rFonts w:hint="eastAsia" w:ascii="宋体" w:hAnsi="宋体"/>
                <w:b/>
                <w:color w:val="auto"/>
                <w:szCs w:val="21"/>
              </w:rPr>
              <w:t>1</w:t>
            </w:r>
          </w:p>
        </w:tc>
        <w:tc>
          <w:tcPr>
            <w:tcW w:w="1216" w:type="dxa"/>
            <w:vAlign w:val="center"/>
          </w:tcPr>
          <w:p w14:paraId="796F1A85">
            <w:pPr>
              <w:adjustRightInd w:val="0"/>
              <w:spacing w:line="360" w:lineRule="auto"/>
              <w:jc w:val="center"/>
              <w:textAlignment w:val="baseline"/>
              <w:rPr>
                <w:rFonts w:ascii="宋体" w:hAnsi="宋体"/>
                <w:b/>
                <w:color w:val="auto"/>
                <w:szCs w:val="21"/>
              </w:rPr>
            </w:pPr>
            <w:r>
              <w:rPr>
                <w:rFonts w:hint="eastAsia" w:ascii="宋体" w:hAnsi="宋体"/>
                <w:b/>
                <w:color w:val="auto"/>
                <w:szCs w:val="21"/>
              </w:rPr>
              <w:t>价格分</w:t>
            </w:r>
          </w:p>
          <w:p w14:paraId="745A5BEA">
            <w:pPr>
              <w:adjustRightInd w:val="0"/>
              <w:spacing w:line="360" w:lineRule="auto"/>
              <w:jc w:val="center"/>
              <w:textAlignment w:val="baseline"/>
              <w:rPr>
                <w:rFonts w:ascii="宋体" w:hAnsi="宋体"/>
                <w:color w:val="auto"/>
                <w:szCs w:val="21"/>
              </w:rPr>
            </w:pPr>
            <w:r>
              <w:rPr>
                <w:rFonts w:hint="eastAsia" w:ascii="宋体" w:hAnsi="宋体"/>
                <w:b/>
                <w:bCs/>
                <w:color w:val="auto"/>
                <w:szCs w:val="21"/>
              </w:rPr>
              <w:t>（满分</w:t>
            </w:r>
            <w:r>
              <w:rPr>
                <w:rFonts w:hint="eastAsia" w:ascii="宋体" w:hAnsi="宋体"/>
                <w:b/>
                <w:bCs/>
                <w:color w:val="auto"/>
                <w:szCs w:val="21"/>
                <w:u w:val="single"/>
              </w:rPr>
              <w:t>30</w:t>
            </w:r>
            <w:r>
              <w:rPr>
                <w:rFonts w:hint="eastAsia" w:ascii="宋体" w:hAnsi="宋体"/>
                <w:b/>
                <w:bCs/>
                <w:color w:val="auto"/>
                <w:szCs w:val="21"/>
              </w:rPr>
              <w:t>分）</w:t>
            </w:r>
          </w:p>
        </w:tc>
        <w:tc>
          <w:tcPr>
            <w:tcW w:w="1175" w:type="dxa"/>
            <w:vAlign w:val="center"/>
          </w:tcPr>
          <w:p w14:paraId="6F342226">
            <w:pPr>
              <w:adjustRightInd w:val="0"/>
              <w:spacing w:line="360" w:lineRule="auto"/>
              <w:jc w:val="center"/>
              <w:textAlignment w:val="baseline"/>
              <w:rPr>
                <w:rFonts w:ascii="宋体" w:hAnsi="宋体"/>
                <w:b/>
                <w:color w:val="auto"/>
                <w:szCs w:val="21"/>
              </w:rPr>
            </w:pPr>
            <w:r>
              <w:rPr>
                <w:rFonts w:hint="eastAsia" w:ascii="宋体" w:hAnsi="宋体"/>
                <w:b/>
                <w:color w:val="auto"/>
                <w:szCs w:val="21"/>
              </w:rPr>
              <w:t>投标报价</w:t>
            </w:r>
          </w:p>
        </w:tc>
        <w:tc>
          <w:tcPr>
            <w:tcW w:w="6534" w:type="dxa"/>
            <w:vAlign w:val="center"/>
          </w:tcPr>
          <w:p w14:paraId="436EB910">
            <w:pPr>
              <w:snapToGrid w:val="0"/>
              <w:spacing w:line="360" w:lineRule="auto"/>
              <w:ind w:firstLine="443" w:firstLineChars="211"/>
              <w:rPr>
                <w:rFonts w:ascii="宋体" w:hAnsi="宋体"/>
                <w:color w:val="auto"/>
                <w:szCs w:val="21"/>
              </w:rPr>
            </w:pPr>
            <w:r>
              <w:rPr>
                <w:rFonts w:hint="eastAsia" w:ascii="宋体" w:hAnsi="宋体"/>
                <w:color w:val="auto"/>
                <w:szCs w:val="21"/>
              </w:rPr>
              <w:t>（1）评标价为投标人的投标报价。</w:t>
            </w:r>
          </w:p>
          <w:p w14:paraId="72237BA6">
            <w:pPr>
              <w:snapToGrid w:val="0"/>
              <w:spacing w:line="360" w:lineRule="auto"/>
              <w:ind w:firstLine="443" w:firstLineChars="211"/>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）以进入综合评分环节的最低的评标报价为基准价，基准价报价得分为30分。</w:t>
            </w:r>
          </w:p>
          <w:p w14:paraId="75CB0043">
            <w:pPr>
              <w:snapToGrid w:val="0"/>
              <w:spacing w:line="360" w:lineRule="auto"/>
              <w:ind w:firstLine="443" w:firstLineChars="211"/>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）价格分计算公式：</w:t>
            </w:r>
          </w:p>
          <w:p w14:paraId="1D72C46E">
            <w:pPr>
              <w:snapToGrid w:val="0"/>
              <w:spacing w:line="360" w:lineRule="auto"/>
              <w:ind w:firstLine="443" w:firstLineChars="211"/>
              <w:rPr>
                <w:rFonts w:hAnsi="宋体" w:cs="Courier New"/>
                <w:bCs/>
                <w:color w:val="auto"/>
              </w:rPr>
            </w:pPr>
            <w:r>
              <w:rPr>
                <w:rFonts w:hint="eastAsia" w:ascii="宋体" w:hAnsi="宋体"/>
                <w:color w:val="auto"/>
                <w:szCs w:val="21"/>
              </w:rPr>
              <w:t>某投标人价格分=基准价/某投标人评标报价金额×30分</w:t>
            </w:r>
          </w:p>
        </w:tc>
      </w:tr>
      <w:tr w14:paraId="7ED7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restart"/>
            <w:vAlign w:val="center"/>
          </w:tcPr>
          <w:p w14:paraId="1858F205">
            <w:pPr>
              <w:adjustRightInd w:val="0"/>
              <w:spacing w:line="360" w:lineRule="auto"/>
              <w:jc w:val="center"/>
              <w:textAlignment w:val="baseline"/>
              <w:rPr>
                <w:rFonts w:ascii="宋体" w:hAnsi="宋体"/>
                <w:b/>
                <w:color w:val="auto"/>
                <w:szCs w:val="21"/>
              </w:rPr>
            </w:pPr>
            <w:r>
              <w:rPr>
                <w:rFonts w:hint="eastAsia" w:ascii="宋体" w:hAnsi="宋体"/>
                <w:b/>
                <w:color w:val="auto"/>
                <w:szCs w:val="21"/>
              </w:rPr>
              <w:t>2</w:t>
            </w:r>
          </w:p>
        </w:tc>
        <w:tc>
          <w:tcPr>
            <w:tcW w:w="1216" w:type="dxa"/>
            <w:vMerge w:val="restart"/>
            <w:vAlign w:val="center"/>
          </w:tcPr>
          <w:p w14:paraId="5754ECD0">
            <w:pPr>
              <w:adjustRightInd w:val="0"/>
              <w:spacing w:line="360" w:lineRule="auto"/>
              <w:ind w:left="-105" w:leftChars="-50" w:right="-105" w:rightChars="-50"/>
              <w:jc w:val="center"/>
              <w:textAlignment w:val="baseline"/>
              <w:rPr>
                <w:rFonts w:ascii="宋体" w:hAnsi="宋体"/>
                <w:b/>
                <w:bCs/>
                <w:color w:val="auto"/>
                <w:szCs w:val="21"/>
              </w:rPr>
            </w:pPr>
            <w:r>
              <w:rPr>
                <w:rFonts w:hint="eastAsia" w:ascii="宋体" w:hAnsi="宋体"/>
                <w:b/>
                <w:bCs/>
                <w:color w:val="auto"/>
                <w:szCs w:val="21"/>
              </w:rPr>
              <w:t>技术分</w:t>
            </w:r>
          </w:p>
          <w:p w14:paraId="1D1BFDBE">
            <w:pPr>
              <w:adjustRightInd w:val="0"/>
              <w:spacing w:line="360" w:lineRule="auto"/>
              <w:ind w:left="-105" w:leftChars="-50" w:right="-105" w:rightChars="-50"/>
              <w:jc w:val="center"/>
              <w:textAlignment w:val="baseline"/>
              <w:rPr>
                <w:rFonts w:ascii="宋体" w:hAnsi="宋体"/>
                <w:b/>
                <w:bCs/>
                <w:color w:val="auto"/>
                <w:spacing w:val="-18"/>
                <w:szCs w:val="21"/>
              </w:rPr>
            </w:pPr>
            <w:r>
              <w:rPr>
                <w:rFonts w:hint="eastAsia" w:ascii="宋体" w:hAnsi="宋体"/>
                <w:b/>
                <w:bCs/>
                <w:color w:val="auto"/>
                <w:szCs w:val="21"/>
              </w:rPr>
              <w:t>（满分42分）</w:t>
            </w:r>
          </w:p>
        </w:tc>
        <w:tc>
          <w:tcPr>
            <w:tcW w:w="1175" w:type="dxa"/>
            <w:vAlign w:val="center"/>
          </w:tcPr>
          <w:p w14:paraId="3E823334">
            <w:pPr>
              <w:adjustRightInd w:val="0"/>
              <w:spacing w:line="360" w:lineRule="auto"/>
              <w:jc w:val="center"/>
              <w:textAlignment w:val="baseline"/>
              <w:rPr>
                <w:rFonts w:ascii="宋体" w:hAnsi="宋体"/>
                <w:color w:val="auto"/>
                <w:szCs w:val="21"/>
                <w:u w:val="single"/>
              </w:rPr>
            </w:pPr>
            <w:r>
              <w:rPr>
                <w:rFonts w:hint="eastAsia" w:ascii="宋体" w:hAnsi="宋体"/>
                <w:color w:val="auto"/>
                <w:szCs w:val="21"/>
              </w:rPr>
              <w:t>基本分（满分12分）</w:t>
            </w:r>
          </w:p>
        </w:tc>
        <w:tc>
          <w:tcPr>
            <w:tcW w:w="6534" w:type="dxa"/>
            <w:vAlign w:val="center"/>
          </w:tcPr>
          <w:p w14:paraId="163348C9">
            <w:pPr>
              <w:pStyle w:val="17"/>
              <w:spacing w:line="360" w:lineRule="auto"/>
              <w:ind w:firstLine="420" w:firstLineChars="200"/>
              <w:rPr>
                <w:rFonts w:hAnsi="宋体" w:cs="Courier New"/>
                <w:b/>
                <w:color w:val="auto"/>
              </w:rPr>
            </w:pPr>
            <w:r>
              <w:rPr>
                <w:rFonts w:hint="eastAsia" w:hAnsi="宋体" w:cs="Courier New"/>
                <w:bCs/>
                <w:color w:val="auto"/>
              </w:rPr>
              <w:t>技术基本分得12分，除主要技术参数外的技术参数及性能配置不符合招标文件的，每有1项扣1分，最高可扣12分。</w:t>
            </w:r>
          </w:p>
        </w:tc>
      </w:tr>
      <w:tr w14:paraId="1204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vAlign w:val="center"/>
          </w:tcPr>
          <w:p w14:paraId="7C23BB87">
            <w:pPr>
              <w:adjustRightInd w:val="0"/>
              <w:spacing w:line="360" w:lineRule="auto"/>
              <w:jc w:val="center"/>
              <w:textAlignment w:val="baseline"/>
              <w:rPr>
                <w:rFonts w:ascii="宋体" w:hAnsi="宋体"/>
                <w:b/>
                <w:color w:val="auto"/>
                <w:szCs w:val="21"/>
              </w:rPr>
            </w:pPr>
          </w:p>
        </w:tc>
        <w:tc>
          <w:tcPr>
            <w:tcW w:w="1216" w:type="dxa"/>
            <w:vMerge w:val="continue"/>
            <w:vAlign w:val="center"/>
          </w:tcPr>
          <w:p w14:paraId="3014C416">
            <w:pPr>
              <w:adjustRightInd w:val="0"/>
              <w:spacing w:line="360" w:lineRule="auto"/>
              <w:ind w:left="-105" w:leftChars="-50" w:right="-105" w:rightChars="-50"/>
              <w:jc w:val="center"/>
              <w:textAlignment w:val="baseline"/>
              <w:rPr>
                <w:rFonts w:ascii="宋体" w:hAnsi="宋体"/>
                <w:b/>
                <w:bCs/>
                <w:color w:val="auto"/>
                <w:szCs w:val="21"/>
              </w:rPr>
            </w:pPr>
          </w:p>
        </w:tc>
        <w:tc>
          <w:tcPr>
            <w:tcW w:w="1175" w:type="dxa"/>
            <w:vAlign w:val="center"/>
          </w:tcPr>
          <w:p w14:paraId="09BA3FCE">
            <w:pPr>
              <w:adjustRightInd w:val="0"/>
              <w:spacing w:line="360" w:lineRule="auto"/>
              <w:jc w:val="center"/>
              <w:textAlignment w:val="baseline"/>
              <w:rPr>
                <w:rFonts w:ascii="宋体" w:hAnsi="宋体"/>
                <w:color w:val="auto"/>
                <w:szCs w:val="21"/>
              </w:rPr>
            </w:pPr>
            <w:r>
              <w:rPr>
                <w:rFonts w:hint="eastAsia" w:ascii="宋体" w:hAnsi="宋体"/>
                <w:color w:val="auto"/>
                <w:szCs w:val="21"/>
              </w:rPr>
              <w:t>演示分（满分15分）</w:t>
            </w:r>
          </w:p>
        </w:tc>
        <w:tc>
          <w:tcPr>
            <w:tcW w:w="6534" w:type="dxa"/>
            <w:vAlign w:val="center"/>
          </w:tcPr>
          <w:p w14:paraId="186614CC">
            <w:pPr>
              <w:pStyle w:val="17"/>
              <w:spacing w:line="360" w:lineRule="auto"/>
              <w:ind w:firstLine="420" w:firstLineChars="200"/>
              <w:rPr>
                <w:rFonts w:hAnsi="宋体"/>
                <w:color w:val="auto"/>
                <w:szCs w:val="21"/>
              </w:rPr>
            </w:pPr>
            <w:r>
              <w:rPr>
                <w:rFonts w:hint="eastAsia" w:hAnsi="宋体"/>
                <w:color w:val="auto"/>
                <w:szCs w:val="21"/>
              </w:rPr>
              <w:t>投标人对主要技术参数参数进行软件动态演示，不提供演示或演示内容不满足采购需求的每一项扣3分，扣完为止。</w:t>
            </w:r>
          </w:p>
          <w:p w14:paraId="62F94950">
            <w:pPr>
              <w:spacing w:line="480" w:lineRule="exact"/>
              <w:ind w:firstLine="420" w:firstLineChars="200"/>
              <w:rPr>
                <w:rFonts w:ascii="宋体" w:hAnsi="宋体" w:cs="宋体"/>
                <w:color w:val="auto"/>
                <w:kern w:val="0"/>
                <w:szCs w:val="21"/>
                <w:lang w:bidi="ar"/>
              </w:rPr>
            </w:pPr>
            <w:r>
              <w:rPr>
                <w:rFonts w:hint="eastAsia" w:ascii="宋体" w:hAnsi="宋体" w:cs="宋体"/>
                <w:color w:val="auto"/>
                <w:szCs w:val="21"/>
              </w:rPr>
              <w:t>1.“财务数字化训赛平台，三、赛事端功能，序号</w:t>
            </w:r>
            <w:r>
              <w:rPr>
                <w:rFonts w:hint="eastAsia" w:ascii="宋体" w:hAnsi="宋体" w:cs="宋体"/>
                <w:b/>
                <w:bCs/>
                <w:color w:val="auto"/>
                <w:szCs w:val="21"/>
              </w:rPr>
              <w:t>1</w:t>
            </w:r>
            <w:r>
              <w:rPr>
                <w:rFonts w:hint="eastAsia" w:ascii="宋体" w:hAnsi="宋体" w:cs="宋体"/>
                <w:b/>
                <w:bCs/>
                <w:color w:val="auto"/>
                <w:kern w:val="0"/>
                <w:szCs w:val="21"/>
                <w:lang w:bidi="ar"/>
              </w:rPr>
              <w:t>0.业务系统</w:t>
            </w:r>
            <w:r>
              <w:rPr>
                <w:rFonts w:hint="eastAsia" w:ascii="宋体" w:hAnsi="宋体" w:cs="宋体"/>
                <w:color w:val="auto"/>
                <w:szCs w:val="21"/>
              </w:rPr>
              <w:t>”</w:t>
            </w:r>
            <w:r>
              <w:rPr>
                <w:rFonts w:hint="eastAsia" w:ascii="宋体" w:hAnsi="宋体" w:cs="宋体"/>
                <w:color w:val="auto"/>
                <w:kern w:val="0"/>
                <w:szCs w:val="21"/>
                <w:lang w:bidi="ar"/>
              </w:rPr>
              <w:t>功能</w:t>
            </w:r>
            <w:r>
              <w:rPr>
                <w:rFonts w:hint="eastAsia" w:ascii="宋体" w:hAnsi="宋体" w:cs="宋体"/>
                <w:color w:val="auto"/>
                <w:szCs w:val="21"/>
              </w:rPr>
              <w:t>。</w:t>
            </w:r>
          </w:p>
          <w:p w14:paraId="56E9B19D">
            <w:pPr>
              <w:spacing w:line="480" w:lineRule="exact"/>
              <w:ind w:firstLine="420" w:firstLineChars="200"/>
              <w:rPr>
                <w:rFonts w:ascii="宋体" w:hAnsi="宋体" w:cs="宋体"/>
                <w:color w:val="auto"/>
                <w:kern w:val="0"/>
                <w:szCs w:val="21"/>
                <w:lang w:bidi="ar"/>
              </w:rPr>
            </w:pPr>
            <w:r>
              <w:rPr>
                <w:rFonts w:hint="eastAsia" w:ascii="宋体" w:hAnsi="宋体" w:cs="宋体"/>
                <w:color w:val="auto"/>
                <w:kern w:val="0"/>
                <w:szCs w:val="21"/>
                <w:lang w:bidi="ar"/>
              </w:rPr>
              <w:t>2.</w:t>
            </w:r>
            <w:r>
              <w:rPr>
                <w:rFonts w:hint="eastAsia" w:ascii="宋体" w:hAnsi="宋体" w:cs="宋体"/>
                <w:color w:val="auto"/>
                <w:szCs w:val="21"/>
              </w:rPr>
              <w:t>“财务数字化训赛平台，四、答题端功能，序号</w:t>
            </w:r>
            <w:r>
              <w:rPr>
                <w:rFonts w:hint="eastAsia" w:ascii="宋体" w:hAnsi="宋体" w:cs="宋体"/>
                <w:b/>
                <w:bCs/>
                <w:color w:val="auto"/>
                <w:kern w:val="0"/>
                <w:szCs w:val="21"/>
                <w:lang w:bidi="ar"/>
              </w:rPr>
              <w:t>16.业务系统</w:t>
            </w:r>
            <w:r>
              <w:rPr>
                <w:rFonts w:hint="eastAsia" w:ascii="宋体" w:hAnsi="宋体" w:cs="宋体"/>
                <w:color w:val="auto"/>
                <w:szCs w:val="21"/>
              </w:rPr>
              <w:t>”</w:t>
            </w:r>
            <w:r>
              <w:rPr>
                <w:rFonts w:hint="eastAsia" w:ascii="宋体" w:hAnsi="宋体" w:cs="宋体"/>
                <w:color w:val="auto"/>
                <w:kern w:val="0"/>
                <w:szCs w:val="21"/>
                <w:lang w:bidi="ar"/>
              </w:rPr>
              <w:t>功能</w:t>
            </w:r>
            <w:r>
              <w:rPr>
                <w:rFonts w:hint="eastAsia" w:ascii="宋体" w:hAnsi="宋体" w:cs="宋体"/>
                <w:color w:val="auto"/>
                <w:szCs w:val="21"/>
              </w:rPr>
              <w:t>。</w:t>
            </w:r>
          </w:p>
          <w:p w14:paraId="2BCCB31F">
            <w:pPr>
              <w:spacing w:line="480" w:lineRule="exact"/>
              <w:ind w:firstLine="420" w:firstLineChars="200"/>
              <w:rPr>
                <w:rFonts w:ascii="宋体" w:hAnsi="宋体" w:cs="宋体"/>
                <w:color w:val="auto"/>
                <w:kern w:val="0"/>
                <w:szCs w:val="21"/>
                <w:lang w:bidi="ar"/>
              </w:rPr>
            </w:pPr>
            <w:r>
              <w:rPr>
                <w:rFonts w:hint="eastAsia" w:ascii="宋体" w:hAnsi="宋体" w:cs="宋体"/>
                <w:color w:val="auto"/>
                <w:kern w:val="0"/>
                <w:szCs w:val="21"/>
                <w:lang w:bidi="ar"/>
              </w:rPr>
              <w:t>3.</w:t>
            </w:r>
            <w:r>
              <w:rPr>
                <w:rFonts w:hint="eastAsia" w:ascii="宋体" w:hAnsi="宋体" w:cs="宋体"/>
                <w:color w:val="auto"/>
                <w:szCs w:val="21"/>
              </w:rPr>
              <w:t>“财务数字化训赛平台，四、答题端功能，</w:t>
            </w:r>
            <w:r>
              <w:rPr>
                <w:rFonts w:hint="eastAsia" w:ascii="宋体" w:hAnsi="宋体" w:cs="宋体"/>
                <w:color w:val="auto"/>
                <w:kern w:val="0"/>
                <w:szCs w:val="21"/>
                <w:lang w:bidi="ar"/>
              </w:rPr>
              <w:t>序号</w:t>
            </w:r>
            <w:r>
              <w:rPr>
                <w:rFonts w:hint="eastAsia" w:ascii="宋体" w:hAnsi="宋体" w:cs="宋体"/>
                <w:b/>
                <w:bCs/>
                <w:color w:val="auto"/>
                <w:kern w:val="0"/>
                <w:szCs w:val="21"/>
                <w:lang w:bidi="ar"/>
              </w:rPr>
              <w:t>16.2.2数据挖掘工具</w:t>
            </w:r>
            <w:r>
              <w:rPr>
                <w:rFonts w:hint="eastAsia" w:ascii="宋体" w:hAnsi="宋体" w:cs="宋体"/>
                <w:color w:val="auto"/>
                <w:szCs w:val="21"/>
              </w:rPr>
              <w:t>”</w:t>
            </w:r>
            <w:r>
              <w:rPr>
                <w:rFonts w:hint="eastAsia" w:ascii="宋体" w:hAnsi="宋体" w:cs="宋体"/>
                <w:color w:val="auto"/>
                <w:kern w:val="0"/>
                <w:szCs w:val="21"/>
                <w:lang w:bidi="ar"/>
              </w:rPr>
              <w:t>功能</w:t>
            </w:r>
            <w:r>
              <w:rPr>
                <w:rFonts w:hint="eastAsia" w:ascii="宋体" w:hAnsi="宋体" w:cs="宋体"/>
                <w:color w:val="auto"/>
                <w:szCs w:val="21"/>
              </w:rPr>
              <w:t>。</w:t>
            </w:r>
          </w:p>
          <w:p w14:paraId="0E6D523C">
            <w:pPr>
              <w:spacing w:line="480" w:lineRule="exact"/>
              <w:ind w:firstLine="420" w:firstLineChars="200"/>
              <w:rPr>
                <w:rFonts w:ascii="宋体" w:hAnsi="宋体" w:cs="宋体"/>
                <w:color w:val="auto"/>
                <w:kern w:val="0"/>
                <w:szCs w:val="21"/>
                <w:lang w:bidi="ar"/>
              </w:rPr>
            </w:pPr>
            <w:r>
              <w:rPr>
                <w:rFonts w:hint="eastAsia" w:ascii="宋体" w:hAnsi="宋体" w:cs="宋体"/>
                <w:color w:val="auto"/>
                <w:kern w:val="0"/>
                <w:szCs w:val="21"/>
                <w:lang w:bidi="ar"/>
              </w:rPr>
              <w:t>4.</w:t>
            </w:r>
            <w:r>
              <w:rPr>
                <w:rFonts w:hint="eastAsia" w:ascii="宋体" w:hAnsi="宋体" w:cs="宋体"/>
                <w:color w:val="auto"/>
                <w:szCs w:val="21"/>
              </w:rPr>
              <w:t>“财务数字化训赛平台，四、答题端功能，</w:t>
            </w:r>
            <w:r>
              <w:rPr>
                <w:rFonts w:hint="eastAsia" w:ascii="宋体" w:hAnsi="宋体" w:cs="宋体"/>
                <w:color w:val="auto"/>
                <w:kern w:val="0"/>
                <w:szCs w:val="21"/>
                <w:lang w:bidi="ar"/>
              </w:rPr>
              <w:t>序号</w:t>
            </w:r>
            <w:r>
              <w:rPr>
                <w:rFonts w:hint="eastAsia" w:ascii="宋体" w:hAnsi="宋体" w:cs="宋体"/>
                <w:b/>
                <w:bCs/>
                <w:color w:val="auto"/>
                <w:kern w:val="0"/>
                <w:szCs w:val="21"/>
                <w:lang w:bidi="ar"/>
              </w:rPr>
              <w:t>17.金融计算器</w:t>
            </w:r>
            <w:r>
              <w:rPr>
                <w:rFonts w:hint="eastAsia" w:ascii="宋体" w:hAnsi="宋体" w:cs="宋体"/>
                <w:color w:val="auto"/>
                <w:szCs w:val="21"/>
              </w:rPr>
              <w:t>”</w:t>
            </w:r>
            <w:r>
              <w:rPr>
                <w:rFonts w:hint="eastAsia" w:ascii="宋体" w:hAnsi="宋体" w:cs="宋体"/>
                <w:color w:val="auto"/>
                <w:kern w:val="0"/>
                <w:szCs w:val="21"/>
                <w:lang w:bidi="ar"/>
              </w:rPr>
              <w:t>功能</w:t>
            </w:r>
            <w:r>
              <w:rPr>
                <w:rFonts w:hint="eastAsia" w:ascii="宋体" w:hAnsi="宋体" w:cs="宋体"/>
                <w:color w:val="auto"/>
                <w:szCs w:val="21"/>
              </w:rPr>
              <w:t>。</w:t>
            </w:r>
          </w:p>
          <w:p w14:paraId="5C1F1D12">
            <w:pPr>
              <w:spacing w:line="480" w:lineRule="exact"/>
              <w:ind w:firstLine="420" w:firstLineChars="200"/>
              <w:rPr>
                <w:rFonts w:ascii="宋体" w:hAnsi="宋体" w:cs="宋体"/>
                <w:color w:val="auto"/>
                <w:szCs w:val="21"/>
              </w:rPr>
            </w:pPr>
            <w:r>
              <w:rPr>
                <w:rFonts w:hint="eastAsia" w:ascii="宋体" w:hAnsi="宋体" w:cs="宋体"/>
                <w:color w:val="auto"/>
                <w:kern w:val="0"/>
                <w:szCs w:val="21"/>
                <w:lang w:bidi="ar"/>
              </w:rPr>
              <w:t>5.</w:t>
            </w:r>
            <w:r>
              <w:rPr>
                <w:rFonts w:hint="eastAsia" w:ascii="宋体" w:hAnsi="宋体" w:cs="宋体"/>
                <w:color w:val="auto"/>
                <w:szCs w:val="21"/>
              </w:rPr>
              <w:t>“财务数字化训赛平台，四、答题端功能，</w:t>
            </w:r>
            <w:r>
              <w:rPr>
                <w:rFonts w:hint="eastAsia" w:ascii="宋体" w:hAnsi="宋体" w:cs="宋体"/>
                <w:color w:val="auto"/>
                <w:kern w:val="0"/>
                <w:szCs w:val="21"/>
                <w:lang w:bidi="ar"/>
              </w:rPr>
              <w:t>序号</w:t>
            </w:r>
            <w:r>
              <w:rPr>
                <w:rFonts w:hint="eastAsia" w:ascii="宋体" w:hAnsi="宋体" w:cs="宋体"/>
                <w:b/>
                <w:bCs/>
                <w:color w:val="auto"/>
                <w:kern w:val="0"/>
                <w:szCs w:val="21"/>
                <w:lang w:bidi="ar"/>
              </w:rPr>
              <w:t>18.RPA上传</w:t>
            </w:r>
            <w:r>
              <w:rPr>
                <w:rFonts w:hint="eastAsia" w:ascii="宋体" w:hAnsi="宋体" w:cs="宋体"/>
                <w:color w:val="auto"/>
                <w:szCs w:val="21"/>
              </w:rPr>
              <w:t>”</w:t>
            </w:r>
            <w:r>
              <w:rPr>
                <w:rFonts w:hint="eastAsia" w:ascii="宋体" w:hAnsi="宋体" w:cs="宋体"/>
                <w:color w:val="auto"/>
                <w:kern w:val="0"/>
                <w:szCs w:val="21"/>
                <w:lang w:bidi="ar"/>
              </w:rPr>
              <w:t>功能</w:t>
            </w:r>
            <w:r>
              <w:rPr>
                <w:rFonts w:hint="eastAsia" w:ascii="宋体" w:hAnsi="宋体" w:cs="宋体"/>
                <w:color w:val="auto"/>
                <w:szCs w:val="21"/>
              </w:rPr>
              <w:t>。</w:t>
            </w:r>
          </w:p>
          <w:p w14:paraId="2BAF3578">
            <w:pPr>
              <w:spacing w:line="480" w:lineRule="exact"/>
              <w:ind w:firstLine="422" w:firstLineChars="200"/>
              <w:rPr>
                <w:rFonts w:ascii="宋体" w:hAnsi="宋体"/>
                <w:color w:val="auto"/>
                <w:szCs w:val="21"/>
              </w:rPr>
            </w:pPr>
            <w:r>
              <w:rPr>
                <w:rFonts w:hint="eastAsia" w:ascii="宋体" w:hAnsi="宋体" w:cs="宋体"/>
                <w:b/>
                <w:bCs/>
                <w:color w:val="auto"/>
                <w:szCs w:val="21"/>
              </w:rPr>
              <w:t>注：</w:t>
            </w:r>
            <w:r>
              <w:rPr>
                <w:rFonts w:hint="eastAsia" w:ascii="宋体" w:hAnsi="宋体" w:cs="宋体"/>
                <w:color w:val="auto"/>
                <w:szCs w:val="21"/>
              </w:rPr>
              <w:t>不能提供演示的则该项演示分为0分。演示时必须提供具备实时动态系统进行演示，不得使用PPT或截图等方式进行演示，否则视为演示无效得0分。投标人在进行演示时，应先简述系统所含全部功能，并在演示过程中直接指出需要</w:t>
            </w:r>
            <w:r>
              <w:rPr>
                <w:rFonts w:hint="eastAsia" w:ascii="宋体" w:hAnsi="宋体" w:cs="宋体"/>
                <w:b/>
                <w:bCs/>
                <w:color w:val="auto"/>
                <w:szCs w:val="21"/>
              </w:rPr>
              <w:t>对应参数每一项演示内容。</w:t>
            </w:r>
          </w:p>
        </w:tc>
      </w:tr>
      <w:tr w14:paraId="1824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vAlign w:val="center"/>
          </w:tcPr>
          <w:p w14:paraId="5B6C8221">
            <w:pPr>
              <w:adjustRightInd w:val="0"/>
              <w:spacing w:line="360" w:lineRule="auto"/>
              <w:jc w:val="center"/>
              <w:textAlignment w:val="baseline"/>
              <w:rPr>
                <w:rFonts w:ascii="宋体" w:hAnsi="宋体"/>
                <w:b/>
                <w:color w:val="auto"/>
                <w:szCs w:val="21"/>
              </w:rPr>
            </w:pPr>
          </w:p>
        </w:tc>
        <w:tc>
          <w:tcPr>
            <w:tcW w:w="1216" w:type="dxa"/>
            <w:vMerge w:val="continue"/>
            <w:vAlign w:val="center"/>
          </w:tcPr>
          <w:p w14:paraId="2F3B2F5E">
            <w:pPr>
              <w:adjustRightInd w:val="0"/>
              <w:spacing w:line="360" w:lineRule="auto"/>
              <w:ind w:left="-105" w:leftChars="-50" w:right="-105" w:rightChars="-50"/>
              <w:jc w:val="center"/>
              <w:textAlignment w:val="baseline"/>
              <w:rPr>
                <w:rFonts w:ascii="宋体" w:hAnsi="宋体"/>
                <w:bCs/>
                <w:color w:val="auto"/>
                <w:szCs w:val="21"/>
              </w:rPr>
            </w:pPr>
          </w:p>
        </w:tc>
        <w:tc>
          <w:tcPr>
            <w:tcW w:w="1175" w:type="dxa"/>
            <w:vAlign w:val="center"/>
          </w:tcPr>
          <w:p w14:paraId="5A6F2FD0">
            <w:pPr>
              <w:adjustRightInd w:val="0"/>
              <w:spacing w:line="360" w:lineRule="auto"/>
              <w:jc w:val="center"/>
              <w:textAlignment w:val="baseline"/>
              <w:rPr>
                <w:rFonts w:ascii="宋体" w:hAnsi="宋体"/>
                <w:color w:val="auto"/>
                <w:szCs w:val="21"/>
                <w:u w:val="single"/>
              </w:rPr>
            </w:pPr>
            <w:r>
              <w:rPr>
                <w:rFonts w:hint="eastAsia" w:ascii="宋体" w:hAnsi="宋体"/>
                <w:color w:val="auto"/>
                <w:szCs w:val="21"/>
              </w:rPr>
              <w:t>项目实施方案（满分15分）</w:t>
            </w:r>
          </w:p>
        </w:tc>
        <w:tc>
          <w:tcPr>
            <w:tcW w:w="6534" w:type="dxa"/>
            <w:vAlign w:val="center"/>
          </w:tcPr>
          <w:p w14:paraId="5360EA86">
            <w:pPr>
              <w:pStyle w:val="17"/>
              <w:spacing w:line="360" w:lineRule="auto"/>
              <w:ind w:firstLine="420" w:firstLineChars="200"/>
              <w:rPr>
                <w:rFonts w:hAnsi="宋体" w:cs="Courier New"/>
                <w:bCs/>
                <w:color w:val="auto"/>
              </w:rPr>
            </w:pPr>
            <w:r>
              <w:rPr>
                <w:rFonts w:hint="eastAsia" w:hAnsi="宋体" w:cs="Courier New"/>
                <w:bCs/>
                <w:color w:val="auto"/>
              </w:rPr>
              <w:t>由评标委员会根据投标人所提供的项目实施方案优劣情况独立打分：</w:t>
            </w:r>
          </w:p>
          <w:p w14:paraId="7BBE9886">
            <w:pPr>
              <w:pStyle w:val="17"/>
              <w:spacing w:line="360" w:lineRule="auto"/>
              <w:ind w:firstLine="420" w:firstLineChars="200"/>
              <w:rPr>
                <w:rFonts w:hAnsi="宋体" w:cs="Courier New"/>
                <w:bCs/>
                <w:color w:val="auto"/>
              </w:rPr>
            </w:pPr>
            <w:r>
              <w:rPr>
                <w:rFonts w:hint="eastAsia" w:hAnsi="宋体" w:cs="Courier New"/>
                <w:bCs/>
                <w:color w:val="auto"/>
              </w:rPr>
              <w:t>一档（5分）：供应商提供的项目实施方案满足部分配套服务要求，能基本根据本项目特点制定组织人员安排、进度计划、培训计划、质量保障措施、项目管理措施；且</w:t>
            </w:r>
            <w:r>
              <w:rPr>
                <w:rFonts w:hint="eastAsia" w:hAnsi="宋体" w:cs="Courier New"/>
                <w:bCs/>
                <w:color w:val="auto"/>
                <w:lang w:eastAsia="zh-CN"/>
              </w:rPr>
              <w:t>安装调试过程中</w:t>
            </w:r>
            <w:r>
              <w:rPr>
                <w:rFonts w:hint="eastAsia" w:hAnsi="宋体" w:cs="Courier New"/>
                <w:bCs/>
                <w:color w:val="auto"/>
              </w:rPr>
              <w:t>有项目团队驻场服务安排，驻点项目团队不少于1人；</w:t>
            </w:r>
          </w:p>
          <w:p w14:paraId="6F753CEE">
            <w:pPr>
              <w:pStyle w:val="17"/>
              <w:spacing w:line="360" w:lineRule="auto"/>
              <w:ind w:firstLine="420" w:firstLineChars="200"/>
              <w:rPr>
                <w:rFonts w:hAnsi="宋体" w:cs="Courier New"/>
                <w:bCs/>
                <w:color w:val="auto"/>
              </w:rPr>
            </w:pPr>
            <w:r>
              <w:rPr>
                <w:rFonts w:hint="eastAsia" w:hAnsi="宋体" w:cs="Courier New"/>
                <w:bCs/>
                <w:color w:val="auto"/>
              </w:rPr>
              <w:t>二档（10分）：供应商提供的项目实施方案满足全部配套服务要求，能较好根据本项目特点制定组织人员安排、进度计划、培训计划、质量保障措施、项目管理措施；且</w:t>
            </w:r>
            <w:r>
              <w:rPr>
                <w:rFonts w:hint="eastAsia" w:hAnsi="宋体" w:cs="Courier New"/>
                <w:bCs/>
                <w:color w:val="auto"/>
                <w:lang w:eastAsia="zh-CN"/>
              </w:rPr>
              <w:t>安装调试过程中</w:t>
            </w:r>
            <w:r>
              <w:rPr>
                <w:rFonts w:hint="eastAsia" w:hAnsi="宋体" w:cs="Courier New"/>
                <w:bCs/>
                <w:color w:val="auto"/>
              </w:rPr>
              <w:t>有项目团队驻场服务安排，驻点项目团队不少于2人；</w:t>
            </w:r>
          </w:p>
          <w:p w14:paraId="347774EB">
            <w:pPr>
              <w:pStyle w:val="17"/>
              <w:spacing w:line="360" w:lineRule="auto"/>
              <w:ind w:firstLine="420" w:firstLineChars="200"/>
              <w:rPr>
                <w:rFonts w:hAnsi="宋体" w:cs="Courier New"/>
                <w:bCs/>
                <w:color w:val="auto"/>
              </w:rPr>
            </w:pPr>
            <w:r>
              <w:rPr>
                <w:rFonts w:hint="eastAsia" w:hAnsi="宋体" w:cs="Courier New"/>
                <w:bCs/>
                <w:color w:val="auto"/>
              </w:rPr>
              <w:t>三档（15分）：供应商提供的项目实施方案满足全部配套服务要求，能很好根据本项目特点制定组织人员安排、进度计划、培训计划、质量保障措施、项目管理措施；且</w:t>
            </w:r>
            <w:r>
              <w:rPr>
                <w:rFonts w:hint="eastAsia" w:hAnsi="宋体" w:cs="Courier New"/>
                <w:bCs/>
                <w:color w:val="auto"/>
                <w:lang w:eastAsia="zh-CN"/>
              </w:rPr>
              <w:t>安装调试过程中</w:t>
            </w:r>
            <w:r>
              <w:rPr>
                <w:rFonts w:hint="eastAsia" w:hAnsi="宋体" w:cs="Courier New"/>
                <w:bCs/>
                <w:color w:val="auto"/>
              </w:rPr>
              <w:t>有项目团队驻场服务安排，驻点项目团队不少于3人，高级职称系列人员不少于2人。</w:t>
            </w:r>
          </w:p>
          <w:p w14:paraId="5EF9589B">
            <w:pPr>
              <w:pStyle w:val="17"/>
              <w:spacing w:line="360" w:lineRule="auto"/>
              <w:ind w:firstLine="420" w:firstLineChars="200"/>
              <w:rPr>
                <w:rFonts w:hAnsi="宋体" w:cs="Courier New"/>
                <w:bCs/>
                <w:color w:val="auto"/>
              </w:rPr>
            </w:pPr>
            <w:r>
              <w:rPr>
                <w:rFonts w:hint="eastAsia" w:hAnsi="宋体" w:cs="Courier New"/>
                <w:bCs/>
                <w:color w:val="auto"/>
              </w:rPr>
              <w:t>注：实施方案中所有方案描述需评委认可，为实质性有利于项目实施的方可加分，否则不得加分。</w:t>
            </w:r>
          </w:p>
          <w:p w14:paraId="5093A5D5">
            <w:pPr>
              <w:pStyle w:val="17"/>
              <w:spacing w:line="360" w:lineRule="auto"/>
              <w:ind w:firstLine="420" w:firstLineChars="200"/>
              <w:rPr>
                <w:rFonts w:hAnsi="宋体" w:cs="Courier New"/>
                <w:b/>
                <w:color w:val="auto"/>
              </w:rPr>
            </w:pPr>
            <w:r>
              <w:rPr>
                <w:rFonts w:hint="eastAsia" w:hAnsi="宋体" w:cs="Courier New"/>
                <w:bCs/>
                <w:color w:val="auto"/>
              </w:rPr>
              <w:t>以上拟投入人员应提供人员的高级职称系列证书人员等证明复印件，如不提供不得分。未提供项目实施方案的，不予计分。</w:t>
            </w:r>
          </w:p>
        </w:tc>
      </w:tr>
      <w:tr w14:paraId="2BB4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525" w:type="dxa"/>
            <w:vMerge w:val="restart"/>
            <w:vAlign w:val="center"/>
          </w:tcPr>
          <w:p w14:paraId="23A6FA3A">
            <w:pPr>
              <w:spacing w:line="360" w:lineRule="auto"/>
              <w:jc w:val="center"/>
              <w:rPr>
                <w:rFonts w:ascii="宋体" w:hAnsi="宋体"/>
                <w:b/>
                <w:color w:val="auto"/>
                <w:szCs w:val="21"/>
              </w:rPr>
            </w:pPr>
            <w:r>
              <w:rPr>
                <w:rFonts w:hint="eastAsia" w:ascii="宋体" w:hAnsi="宋体"/>
                <w:b/>
                <w:color w:val="auto"/>
                <w:szCs w:val="21"/>
              </w:rPr>
              <w:t>3</w:t>
            </w:r>
          </w:p>
        </w:tc>
        <w:tc>
          <w:tcPr>
            <w:tcW w:w="1216" w:type="dxa"/>
            <w:vMerge w:val="restart"/>
            <w:vAlign w:val="center"/>
          </w:tcPr>
          <w:p w14:paraId="470B7A20">
            <w:pPr>
              <w:spacing w:line="360" w:lineRule="auto"/>
              <w:jc w:val="center"/>
              <w:rPr>
                <w:rFonts w:ascii="宋体" w:hAnsi="宋体"/>
                <w:b/>
                <w:color w:val="auto"/>
                <w:szCs w:val="21"/>
              </w:rPr>
            </w:pPr>
            <w:r>
              <w:rPr>
                <w:rFonts w:hint="eastAsia" w:ascii="宋体" w:hAnsi="宋体"/>
                <w:b/>
                <w:color w:val="auto"/>
                <w:szCs w:val="21"/>
              </w:rPr>
              <w:t>商务分</w:t>
            </w:r>
          </w:p>
          <w:p w14:paraId="17052B8F">
            <w:pPr>
              <w:spacing w:line="360" w:lineRule="auto"/>
              <w:jc w:val="center"/>
              <w:rPr>
                <w:rFonts w:ascii="宋体" w:hAnsi="宋体"/>
                <w:b/>
                <w:color w:val="auto"/>
                <w:szCs w:val="21"/>
              </w:rPr>
            </w:pPr>
            <w:r>
              <w:rPr>
                <w:rFonts w:hint="eastAsia" w:ascii="宋体" w:hAnsi="宋体"/>
                <w:b/>
                <w:color w:val="auto"/>
                <w:szCs w:val="21"/>
              </w:rPr>
              <w:t>（满分26分）</w:t>
            </w:r>
          </w:p>
        </w:tc>
        <w:tc>
          <w:tcPr>
            <w:tcW w:w="1175" w:type="dxa"/>
            <w:tcMar>
              <w:left w:w="57" w:type="dxa"/>
              <w:right w:w="57" w:type="dxa"/>
            </w:tcMar>
            <w:vAlign w:val="center"/>
          </w:tcPr>
          <w:p w14:paraId="1F78CC58">
            <w:pPr>
              <w:adjustRightInd w:val="0"/>
              <w:spacing w:line="360" w:lineRule="auto"/>
              <w:jc w:val="center"/>
              <w:textAlignment w:val="baseline"/>
              <w:rPr>
                <w:rFonts w:ascii="宋体" w:hAnsi="宋体"/>
                <w:color w:val="auto"/>
                <w:szCs w:val="21"/>
              </w:rPr>
            </w:pPr>
            <w:r>
              <w:rPr>
                <w:rFonts w:hint="eastAsia" w:ascii="宋体" w:hAnsi="宋体"/>
                <w:color w:val="auto"/>
                <w:szCs w:val="21"/>
              </w:rPr>
              <w:t>售后服务方案分（满分15分）</w:t>
            </w:r>
          </w:p>
        </w:tc>
        <w:tc>
          <w:tcPr>
            <w:tcW w:w="6534" w:type="dxa"/>
            <w:vAlign w:val="center"/>
          </w:tcPr>
          <w:p w14:paraId="239FC547">
            <w:pPr>
              <w:pStyle w:val="17"/>
              <w:spacing w:line="360" w:lineRule="auto"/>
              <w:ind w:firstLine="420" w:firstLineChars="200"/>
              <w:rPr>
                <w:rFonts w:hAnsi="宋体" w:cs="Courier New"/>
                <w:bCs/>
                <w:color w:val="auto"/>
              </w:rPr>
            </w:pPr>
            <w:r>
              <w:rPr>
                <w:rFonts w:hint="eastAsia" w:hAnsi="宋体" w:cs="Courier New"/>
                <w:bCs/>
                <w:color w:val="auto"/>
              </w:rPr>
              <w:t>对供应商的售后服务方案（整体售后服务方案、技术支持快速响应程度，未提供不得分）进行评分：</w:t>
            </w:r>
          </w:p>
          <w:p w14:paraId="48840889">
            <w:pPr>
              <w:pStyle w:val="17"/>
              <w:spacing w:line="360" w:lineRule="auto"/>
              <w:ind w:firstLine="420" w:firstLineChars="200"/>
              <w:rPr>
                <w:rFonts w:hAnsi="宋体" w:cs="Courier New"/>
                <w:bCs/>
                <w:color w:val="auto"/>
              </w:rPr>
            </w:pPr>
            <w:r>
              <w:rPr>
                <w:rFonts w:hint="eastAsia" w:hAnsi="宋体" w:cs="Courier New"/>
                <w:bCs/>
                <w:color w:val="auto"/>
              </w:rPr>
              <w:t>一档（5分）：提供的售后服务承诺方案的技术培训方案、售后服务技术支持、售后服务保障措施、故障应急预案、回访措施等简单或以上的内容有缺失，故障响应程度和升级维护基本满足采购需求，能提供不少于1人的售后服务人员。</w:t>
            </w:r>
          </w:p>
          <w:p w14:paraId="0C44138D">
            <w:pPr>
              <w:pStyle w:val="17"/>
              <w:spacing w:line="360" w:lineRule="auto"/>
              <w:ind w:firstLine="420" w:firstLineChars="200"/>
              <w:rPr>
                <w:rFonts w:hAnsi="宋体" w:cs="Courier New"/>
                <w:bCs/>
                <w:color w:val="auto"/>
              </w:rPr>
            </w:pPr>
            <w:r>
              <w:rPr>
                <w:rFonts w:hint="eastAsia" w:hAnsi="宋体" w:cs="Courier New"/>
                <w:bCs/>
                <w:color w:val="auto"/>
              </w:rPr>
              <w:t>二档（10分）：提供的售后服务承诺方案的技术培训方案、售后服务技术支持、售后服务保障措施、故障应急预案、回访措施等详细，以上的内容完整，故障响应和升级维护及时且有保障，能提供不少于2人的售后服务人员。</w:t>
            </w:r>
          </w:p>
          <w:p w14:paraId="4A9CE96A">
            <w:pPr>
              <w:pStyle w:val="17"/>
              <w:spacing w:line="360" w:lineRule="auto"/>
              <w:ind w:firstLine="420" w:firstLineChars="200"/>
              <w:rPr>
                <w:rFonts w:hAnsi="宋体" w:cs="Courier New"/>
                <w:bCs/>
                <w:color w:val="auto"/>
              </w:rPr>
            </w:pPr>
            <w:r>
              <w:rPr>
                <w:rFonts w:hint="eastAsia" w:hAnsi="宋体" w:cs="Courier New"/>
                <w:bCs/>
                <w:color w:val="auto"/>
              </w:rPr>
              <w:t>三档（15分）：提供的售后服务承诺方案的技术培训方案、售后服务技术支持、售后服务保障措施、故障应急预案、回访措施等详细，以上的内容完整，针对性强，故障响应优于采购要求，升级维护及时快速可操作性强，能提供不少于3人的售后服务人员。</w:t>
            </w:r>
          </w:p>
        </w:tc>
      </w:tr>
      <w:tr w14:paraId="68B2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525" w:type="dxa"/>
            <w:vMerge w:val="continue"/>
            <w:vAlign w:val="center"/>
          </w:tcPr>
          <w:p w14:paraId="14234F64">
            <w:pPr>
              <w:spacing w:line="360" w:lineRule="auto"/>
              <w:jc w:val="center"/>
              <w:rPr>
                <w:rFonts w:ascii="宋体" w:hAnsi="宋体"/>
                <w:b/>
                <w:color w:val="auto"/>
                <w:szCs w:val="21"/>
              </w:rPr>
            </w:pPr>
          </w:p>
        </w:tc>
        <w:tc>
          <w:tcPr>
            <w:tcW w:w="1216" w:type="dxa"/>
            <w:vMerge w:val="continue"/>
            <w:vAlign w:val="center"/>
          </w:tcPr>
          <w:p w14:paraId="2FF46664">
            <w:pPr>
              <w:spacing w:line="360" w:lineRule="auto"/>
              <w:jc w:val="center"/>
              <w:rPr>
                <w:rFonts w:ascii="宋体" w:hAnsi="宋体"/>
                <w:b/>
                <w:color w:val="auto"/>
                <w:szCs w:val="21"/>
              </w:rPr>
            </w:pPr>
          </w:p>
        </w:tc>
        <w:tc>
          <w:tcPr>
            <w:tcW w:w="1175" w:type="dxa"/>
            <w:tcMar>
              <w:left w:w="57" w:type="dxa"/>
              <w:right w:w="57" w:type="dxa"/>
            </w:tcMar>
            <w:vAlign w:val="center"/>
          </w:tcPr>
          <w:p w14:paraId="7A24470B">
            <w:pPr>
              <w:spacing w:line="360" w:lineRule="auto"/>
              <w:jc w:val="center"/>
              <w:rPr>
                <w:rFonts w:ascii="宋体" w:hAnsi="宋体"/>
                <w:bCs/>
                <w:color w:val="auto"/>
                <w:szCs w:val="21"/>
              </w:rPr>
            </w:pPr>
            <w:r>
              <w:rPr>
                <w:rFonts w:hint="eastAsia" w:ascii="宋体" w:hAnsi="宋体"/>
                <w:bCs/>
                <w:color w:val="auto"/>
                <w:szCs w:val="21"/>
              </w:rPr>
              <w:t>企业信誉分</w:t>
            </w:r>
          </w:p>
          <w:p w14:paraId="756F4078">
            <w:pPr>
              <w:spacing w:line="360" w:lineRule="auto"/>
              <w:jc w:val="center"/>
              <w:rPr>
                <w:rFonts w:ascii="宋体" w:hAnsi="宋体"/>
                <w:b/>
                <w:color w:val="auto"/>
                <w:szCs w:val="21"/>
              </w:rPr>
            </w:pPr>
            <w:r>
              <w:rPr>
                <w:rFonts w:hint="eastAsia" w:ascii="宋体" w:hAnsi="宋体"/>
                <w:bCs/>
                <w:color w:val="auto"/>
                <w:szCs w:val="21"/>
              </w:rPr>
              <w:t>（满分4分）</w:t>
            </w:r>
          </w:p>
        </w:tc>
        <w:tc>
          <w:tcPr>
            <w:tcW w:w="6534" w:type="dxa"/>
            <w:vAlign w:val="center"/>
          </w:tcPr>
          <w:p w14:paraId="2EED3DF4">
            <w:pPr>
              <w:spacing w:line="360" w:lineRule="auto"/>
              <w:ind w:firstLine="420" w:firstLineChars="200"/>
              <w:rPr>
                <w:rFonts w:ascii="宋体" w:hAnsi="宋体" w:cs="Courier New"/>
                <w:color w:val="auto"/>
                <w:szCs w:val="21"/>
              </w:rPr>
            </w:pPr>
            <w:r>
              <w:rPr>
                <w:rFonts w:hint="eastAsia" w:ascii="宋体" w:hAnsi="宋体" w:cs="Courier New"/>
                <w:color w:val="auto"/>
                <w:szCs w:val="21"/>
              </w:rPr>
              <w:t>1.投标人或所投产品生产厂家</w:t>
            </w:r>
            <w:r>
              <w:rPr>
                <w:rFonts w:hint="eastAsia" w:ascii="宋体" w:hAnsi="宋体" w:cs="Courier New"/>
                <w:color w:val="auto"/>
                <w:szCs w:val="21"/>
                <w:lang w:eastAsia="zh-CN"/>
              </w:rPr>
              <w:t>提供</w:t>
            </w:r>
            <w:r>
              <w:rPr>
                <w:rFonts w:hint="eastAsia" w:ascii="宋体" w:hAnsi="宋体" w:cs="Courier New"/>
                <w:color w:val="auto"/>
                <w:szCs w:val="21"/>
                <w:lang w:val="en-US" w:eastAsia="zh-CN"/>
              </w:rPr>
              <w:t>ISO9001</w:t>
            </w:r>
            <w:r>
              <w:rPr>
                <w:rFonts w:hint="eastAsia" w:ascii="宋体" w:hAnsi="宋体" w:cs="Courier New"/>
                <w:color w:val="auto"/>
                <w:szCs w:val="21"/>
              </w:rPr>
              <w:t>质量管理体系认证证书得2分；（提供相关证明文件复印件并加盖公章）。</w:t>
            </w:r>
          </w:p>
          <w:p w14:paraId="1B40D9E1">
            <w:pPr>
              <w:spacing w:line="360" w:lineRule="auto"/>
              <w:ind w:firstLine="420" w:firstLineChars="200"/>
              <w:rPr>
                <w:rFonts w:ascii="宋体" w:hAnsi="宋体" w:cs="Courier New"/>
                <w:color w:val="auto"/>
                <w:szCs w:val="21"/>
              </w:rPr>
            </w:pPr>
            <w:r>
              <w:rPr>
                <w:rFonts w:hint="eastAsia" w:ascii="宋体" w:hAnsi="宋体" w:cs="Courier New"/>
                <w:color w:val="auto"/>
                <w:szCs w:val="21"/>
              </w:rPr>
              <w:t>2.投标人或产品生产厂家具有信息系统安全等级认证证书的得2分（提供相关证明文件复印件并加盖公章）。</w:t>
            </w:r>
          </w:p>
        </w:tc>
      </w:tr>
      <w:tr w14:paraId="05A2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14:paraId="21CF8388">
            <w:pPr>
              <w:spacing w:line="360" w:lineRule="auto"/>
              <w:jc w:val="center"/>
              <w:rPr>
                <w:rFonts w:ascii="宋体" w:hAnsi="宋体"/>
                <w:color w:val="auto"/>
                <w:szCs w:val="21"/>
              </w:rPr>
            </w:pPr>
          </w:p>
        </w:tc>
        <w:tc>
          <w:tcPr>
            <w:tcW w:w="1216" w:type="dxa"/>
            <w:vMerge w:val="continue"/>
            <w:vAlign w:val="center"/>
          </w:tcPr>
          <w:p w14:paraId="09FF4182">
            <w:pPr>
              <w:spacing w:line="360" w:lineRule="auto"/>
              <w:jc w:val="center"/>
              <w:rPr>
                <w:rFonts w:ascii="宋体" w:hAnsi="宋体"/>
                <w:b/>
                <w:color w:val="auto"/>
                <w:szCs w:val="21"/>
              </w:rPr>
            </w:pPr>
          </w:p>
        </w:tc>
        <w:tc>
          <w:tcPr>
            <w:tcW w:w="1175" w:type="dxa"/>
            <w:tcMar>
              <w:left w:w="57" w:type="dxa"/>
              <w:right w:w="57" w:type="dxa"/>
            </w:tcMar>
          </w:tcPr>
          <w:p w14:paraId="3D241C69">
            <w:pPr>
              <w:pStyle w:val="17"/>
              <w:spacing w:line="360" w:lineRule="auto"/>
              <w:ind w:firstLine="105" w:firstLineChars="50"/>
              <w:jc w:val="center"/>
              <w:rPr>
                <w:rFonts w:hAnsi="宋体" w:cs="Courier New"/>
                <w:b/>
                <w:bCs/>
                <w:color w:val="auto"/>
              </w:rPr>
            </w:pPr>
            <w:r>
              <w:rPr>
                <w:rFonts w:hint="eastAsia" w:hAnsi="宋体" w:cs="Courier New"/>
                <w:color w:val="auto"/>
              </w:rPr>
              <w:t>业绩分（满分</w:t>
            </w:r>
            <w:r>
              <w:rPr>
                <w:rFonts w:hint="eastAsia" w:hAnsi="宋体"/>
                <w:color w:val="auto"/>
              </w:rPr>
              <w:t>7</w:t>
            </w:r>
            <w:r>
              <w:rPr>
                <w:rFonts w:hint="eastAsia" w:hAnsi="宋体" w:cs="Courier New"/>
                <w:color w:val="auto"/>
              </w:rPr>
              <w:t>分）</w:t>
            </w:r>
          </w:p>
        </w:tc>
        <w:tc>
          <w:tcPr>
            <w:tcW w:w="6534" w:type="dxa"/>
            <w:vAlign w:val="center"/>
          </w:tcPr>
          <w:p w14:paraId="790136B1">
            <w:pPr>
              <w:pStyle w:val="17"/>
              <w:spacing w:line="360" w:lineRule="auto"/>
              <w:ind w:firstLine="420" w:firstLineChars="200"/>
              <w:rPr>
                <w:rFonts w:hAnsi="宋体" w:cs="Courier New"/>
                <w:color w:val="auto"/>
                <w:szCs w:val="21"/>
              </w:rPr>
            </w:pPr>
            <w:r>
              <w:rPr>
                <w:rFonts w:hint="eastAsia" w:hAnsi="宋体" w:cs="Courier New"/>
                <w:color w:val="auto"/>
                <w:szCs w:val="21"/>
              </w:rPr>
              <w:t>1.投标人或所投产品生产厂家近三年以来具有同类业绩（以中标通知书或合同关键页复印件为准），每提供1项业绩1分，满分7分。</w:t>
            </w:r>
          </w:p>
          <w:p w14:paraId="3DF658AA">
            <w:pPr>
              <w:pStyle w:val="17"/>
              <w:spacing w:line="360" w:lineRule="auto"/>
              <w:ind w:firstLine="420" w:firstLineChars="200"/>
              <w:rPr>
                <w:rFonts w:hAnsi="宋体" w:cs="Courier New"/>
                <w:color w:val="auto"/>
                <w:szCs w:val="21"/>
              </w:rPr>
            </w:pPr>
            <w:r>
              <w:rPr>
                <w:rFonts w:hint="eastAsia" w:hAnsi="宋体" w:cs="Courier New"/>
                <w:color w:val="auto"/>
                <w:szCs w:val="21"/>
              </w:rPr>
              <w:t>业绩时间：2021年11月1日至投标截止日止。</w:t>
            </w:r>
          </w:p>
        </w:tc>
      </w:tr>
      <w:tr w14:paraId="7207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5AFEA26C">
            <w:pPr>
              <w:spacing w:line="360" w:lineRule="auto"/>
              <w:jc w:val="center"/>
              <w:rPr>
                <w:rFonts w:ascii="宋体" w:hAnsi="宋体"/>
                <w:b/>
                <w:color w:val="auto"/>
                <w:szCs w:val="21"/>
              </w:rPr>
            </w:pPr>
            <w:r>
              <w:rPr>
                <w:rFonts w:hint="eastAsia" w:ascii="宋体" w:hAnsi="宋体"/>
                <w:b/>
                <w:color w:val="auto"/>
                <w:szCs w:val="21"/>
              </w:rPr>
              <w:t>4</w:t>
            </w:r>
          </w:p>
        </w:tc>
        <w:tc>
          <w:tcPr>
            <w:tcW w:w="1216" w:type="dxa"/>
            <w:vAlign w:val="center"/>
          </w:tcPr>
          <w:p w14:paraId="58487176">
            <w:pPr>
              <w:spacing w:line="360" w:lineRule="auto"/>
              <w:jc w:val="center"/>
              <w:rPr>
                <w:rFonts w:ascii="宋体" w:hAnsi="宋体"/>
                <w:b/>
                <w:color w:val="auto"/>
                <w:szCs w:val="21"/>
              </w:rPr>
            </w:pPr>
            <w:r>
              <w:rPr>
                <w:rFonts w:hint="eastAsia" w:ascii="宋体" w:hAnsi="宋体"/>
                <w:b/>
                <w:color w:val="auto"/>
                <w:szCs w:val="21"/>
              </w:rPr>
              <w:t>政策功能分（满分2分）</w:t>
            </w:r>
          </w:p>
        </w:tc>
        <w:tc>
          <w:tcPr>
            <w:tcW w:w="7709" w:type="dxa"/>
            <w:gridSpan w:val="2"/>
            <w:vAlign w:val="center"/>
          </w:tcPr>
          <w:p w14:paraId="54FEB87B">
            <w:pPr>
              <w:pStyle w:val="17"/>
              <w:spacing w:line="360" w:lineRule="auto"/>
              <w:ind w:firstLine="420" w:firstLineChars="200"/>
              <w:rPr>
                <w:rFonts w:hAnsi="宋体" w:cs="Courier New"/>
                <w:bCs/>
                <w:color w:val="auto"/>
              </w:rPr>
            </w:pPr>
            <w:r>
              <w:rPr>
                <w:rFonts w:hint="eastAsia" w:hAnsi="宋体" w:cs="Courier New"/>
                <w:bCs/>
                <w:color w:val="auto"/>
              </w:rPr>
              <w:t>（1）属于财政部《节能产品政府采购品目清单》内优先采购（清单内未标注“★”的品目）的产品[投标文件中提供有效的认证证书复印件及品目清单（标注出投标产品在品目清单中所属的品目），并加盖供应商公章]，根据项目中节能产品合计金额所占该项目（或分标）总报价金额三分之一比例得1分，满1分。</w:t>
            </w:r>
          </w:p>
          <w:p w14:paraId="58A84704">
            <w:pPr>
              <w:pStyle w:val="17"/>
              <w:spacing w:line="360" w:lineRule="auto"/>
              <w:ind w:firstLine="420" w:firstLineChars="200"/>
              <w:rPr>
                <w:rFonts w:hAnsi="宋体" w:cs="Courier New"/>
                <w:bCs/>
                <w:color w:val="auto"/>
              </w:rPr>
            </w:pPr>
            <w:r>
              <w:rPr>
                <w:rFonts w:hint="eastAsia" w:hAnsi="宋体" w:cs="Courier New"/>
                <w:bCs/>
                <w:color w:val="auto"/>
              </w:rPr>
              <w:t>（2）属于财政部《环境标志产品政府采购品目清单》内的产品[投标文件中提供有效的认证证书复印件及品目清单（标注出投标产品在品目清单中所属的品目），并加盖供应商公章]，根据项目中环保产品合计金额所占该项目（或分标）总报价金额三分之一比例得1分，满1分。</w:t>
            </w:r>
          </w:p>
        </w:tc>
      </w:tr>
      <w:tr w14:paraId="2F62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6A2FEC46">
            <w:pPr>
              <w:spacing w:line="360" w:lineRule="auto"/>
              <w:jc w:val="center"/>
              <w:rPr>
                <w:rFonts w:ascii="宋体" w:hAnsi="宋体"/>
                <w:b/>
                <w:color w:val="auto"/>
                <w:szCs w:val="21"/>
              </w:rPr>
            </w:pPr>
            <w:r>
              <w:rPr>
                <w:rFonts w:hint="eastAsia" w:ascii="宋体" w:hAnsi="宋体"/>
                <w:b/>
                <w:color w:val="auto"/>
                <w:szCs w:val="21"/>
              </w:rPr>
              <w:t>5</w:t>
            </w:r>
          </w:p>
        </w:tc>
        <w:tc>
          <w:tcPr>
            <w:tcW w:w="1216" w:type="dxa"/>
            <w:vAlign w:val="center"/>
          </w:tcPr>
          <w:p w14:paraId="4EBB134A">
            <w:pPr>
              <w:spacing w:line="360" w:lineRule="auto"/>
              <w:jc w:val="center"/>
              <w:rPr>
                <w:rFonts w:ascii="宋体" w:hAnsi="宋体"/>
                <w:b/>
                <w:color w:val="auto"/>
                <w:szCs w:val="21"/>
              </w:rPr>
            </w:pPr>
            <w:r>
              <w:rPr>
                <w:rFonts w:hint="eastAsia" w:ascii="宋体" w:hAnsi="宋体"/>
                <w:b/>
                <w:color w:val="auto"/>
                <w:szCs w:val="21"/>
              </w:rPr>
              <w:t>诚信分（满分0分）</w:t>
            </w:r>
          </w:p>
        </w:tc>
        <w:tc>
          <w:tcPr>
            <w:tcW w:w="7709" w:type="dxa"/>
            <w:gridSpan w:val="2"/>
            <w:vAlign w:val="center"/>
          </w:tcPr>
          <w:p w14:paraId="6401A2A1">
            <w:pPr>
              <w:pStyle w:val="17"/>
              <w:spacing w:line="360" w:lineRule="auto"/>
              <w:ind w:firstLine="420" w:firstLineChars="200"/>
              <w:rPr>
                <w:rFonts w:hAnsi="宋体" w:cs="Courier New"/>
                <w:bCs/>
                <w:color w:val="auto"/>
              </w:rPr>
            </w:pPr>
            <w:r>
              <w:rPr>
                <w:rFonts w:hint="eastAsia" w:hAnsi="宋体" w:cs="Courier New"/>
                <w:bCs/>
                <w:color w:val="auto"/>
              </w:rPr>
              <w:t>投标人在截标日前1年内在政府采购活动中存在违约违规情形的（以财政部门出具的书面材料为评分依据），每次扣除3分，最高扣分6分。</w:t>
            </w:r>
          </w:p>
        </w:tc>
      </w:tr>
      <w:tr w14:paraId="6EFA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vAlign w:val="center"/>
          </w:tcPr>
          <w:p w14:paraId="5DA4E979">
            <w:pPr>
              <w:pStyle w:val="17"/>
              <w:spacing w:line="360" w:lineRule="auto"/>
              <w:ind w:firstLine="420"/>
              <w:rPr>
                <w:rFonts w:hAnsi="宋体" w:cs="Courier New"/>
                <w:bCs/>
                <w:color w:val="auto"/>
              </w:rPr>
            </w:pPr>
            <w:r>
              <w:rPr>
                <w:rFonts w:hint="eastAsia" w:hAnsi="宋体" w:cs="Courier New"/>
                <w:b/>
                <w:bCs/>
                <w:color w:val="auto"/>
              </w:rPr>
              <w:t>总得分=1+2+3+4+5。</w:t>
            </w:r>
          </w:p>
        </w:tc>
      </w:tr>
    </w:tbl>
    <w:p w14:paraId="74DA347A">
      <w:pPr>
        <w:pStyle w:val="17"/>
        <w:spacing w:line="460" w:lineRule="exact"/>
        <w:jc w:val="left"/>
        <w:rPr>
          <w:rFonts w:hAnsi="宋体"/>
          <w:bCs/>
          <w:color w:val="auto"/>
        </w:rPr>
      </w:pPr>
      <w:r>
        <w:rPr>
          <w:rFonts w:hint="eastAsia" w:hAnsi="宋体"/>
          <w:bCs/>
          <w:color w:val="auto"/>
        </w:rPr>
        <w:t>注：计分方法按四舍五入取至百分位。</w:t>
      </w:r>
    </w:p>
    <w:p w14:paraId="709B69C0">
      <w:pPr>
        <w:rPr>
          <w:color w:val="auto"/>
        </w:rPr>
      </w:pPr>
      <w:r>
        <w:rPr>
          <w:color w:val="auto"/>
        </w:rPr>
        <w:br w:type="page"/>
      </w:r>
    </w:p>
    <w:p w14:paraId="7A4458F2">
      <w:pPr>
        <w:pStyle w:val="17"/>
        <w:spacing w:line="360" w:lineRule="auto"/>
        <w:ind w:firstLine="420"/>
        <w:rPr>
          <w:rFonts w:hAnsi="宋体"/>
          <w:b/>
          <w:color w:val="auto"/>
        </w:rPr>
      </w:pPr>
      <w:r>
        <w:rPr>
          <w:rFonts w:hint="eastAsia" w:hAnsi="宋体"/>
          <w:b/>
          <w:color w:val="auto"/>
        </w:rPr>
        <w:t>本评分办法适用于2分标。</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216"/>
        <w:gridCol w:w="1175"/>
        <w:gridCol w:w="6534"/>
      </w:tblGrid>
      <w:tr w14:paraId="3F89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gridSpan w:val="2"/>
            <w:vAlign w:val="center"/>
          </w:tcPr>
          <w:p w14:paraId="5E46CB64">
            <w:pPr>
              <w:adjustRightInd w:val="0"/>
              <w:spacing w:line="360" w:lineRule="auto"/>
              <w:jc w:val="center"/>
              <w:textAlignment w:val="baseline"/>
              <w:rPr>
                <w:rFonts w:ascii="宋体" w:hAnsi="宋体"/>
                <w:color w:val="auto"/>
                <w:szCs w:val="21"/>
              </w:rPr>
            </w:pPr>
            <w:r>
              <w:rPr>
                <w:rFonts w:hint="eastAsia" w:ascii="宋体" w:hAnsi="宋体"/>
                <w:b/>
                <w:color w:val="auto"/>
                <w:szCs w:val="21"/>
              </w:rPr>
              <w:t>序号</w:t>
            </w:r>
          </w:p>
        </w:tc>
        <w:tc>
          <w:tcPr>
            <w:tcW w:w="1175" w:type="dxa"/>
            <w:vAlign w:val="center"/>
          </w:tcPr>
          <w:p w14:paraId="637C8FF2">
            <w:pPr>
              <w:adjustRightInd w:val="0"/>
              <w:spacing w:line="360" w:lineRule="auto"/>
              <w:jc w:val="center"/>
              <w:textAlignment w:val="baseline"/>
              <w:rPr>
                <w:rFonts w:ascii="宋体" w:hAnsi="宋体"/>
                <w:color w:val="auto"/>
                <w:szCs w:val="21"/>
              </w:rPr>
            </w:pPr>
            <w:r>
              <w:rPr>
                <w:rFonts w:hint="eastAsia" w:ascii="宋体" w:hAnsi="宋体"/>
                <w:b/>
                <w:color w:val="auto"/>
                <w:szCs w:val="21"/>
              </w:rPr>
              <w:t>评审因素</w:t>
            </w:r>
          </w:p>
        </w:tc>
        <w:tc>
          <w:tcPr>
            <w:tcW w:w="6534" w:type="dxa"/>
            <w:vAlign w:val="center"/>
          </w:tcPr>
          <w:p w14:paraId="7936B09F">
            <w:pPr>
              <w:adjustRightInd w:val="0"/>
              <w:spacing w:line="360" w:lineRule="auto"/>
              <w:jc w:val="center"/>
              <w:textAlignment w:val="baseline"/>
              <w:rPr>
                <w:rFonts w:ascii="宋体" w:hAnsi="宋体"/>
                <w:color w:val="auto"/>
                <w:szCs w:val="21"/>
              </w:rPr>
            </w:pPr>
            <w:r>
              <w:rPr>
                <w:rFonts w:hint="eastAsia" w:ascii="宋体" w:hAnsi="宋体"/>
                <w:b/>
                <w:color w:val="auto"/>
                <w:szCs w:val="21"/>
              </w:rPr>
              <w:t>评标标准</w:t>
            </w:r>
          </w:p>
        </w:tc>
      </w:tr>
      <w:tr w14:paraId="2573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79DD559E">
            <w:pPr>
              <w:adjustRightInd w:val="0"/>
              <w:spacing w:line="360" w:lineRule="auto"/>
              <w:jc w:val="center"/>
              <w:textAlignment w:val="baseline"/>
              <w:rPr>
                <w:rFonts w:ascii="宋体" w:hAnsi="宋体"/>
                <w:b/>
                <w:color w:val="auto"/>
                <w:szCs w:val="21"/>
              </w:rPr>
            </w:pPr>
            <w:r>
              <w:rPr>
                <w:rFonts w:hint="eastAsia" w:ascii="宋体" w:hAnsi="宋体"/>
                <w:b/>
                <w:color w:val="auto"/>
                <w:szCs w:val="21"/>
              </w:rPr>
              <w:t>1</w:t>
            </w:r>
          </w:p>
        </w:tc>
        <w:tc>
          <w:tcPr>
            <w:tcW w:w="1216" w:type="dxa"/>
            <w:vAlign w:val="center"/>
          </w:tcPr>
          <w:p w14:paraId="64647578">
            <w:pPr>
              <w:adjustRightInd w:val="0"/>
              <w:spacing w:line="360" w:lineRule="auto"/>
              <w:jc w:val="center"/>
              <w:textAlignment w:val="baseline"/>
              <w:rPr>
                <w:rFonts w:ascii="宋体" w:hAnsi="宋体"/>
                <w:b/>
                <w:color w:val="auto"/>
                <w:szCs w:val="21"/>
              </w:rPr>
            </w:pPr>
            <w:r>
              <w:rPr>
                <w:rFonts w:hint="eastAsia" w:ascii="宋体" w:hAnsi="宋体"/>
                <w:b/>
                <w:color w:val="auto"/>
                <w:szCs w:val="21"/>
              </w:rPr>
              <w:t>价格分</w:t>
            </w:r>
          </w:p>
          <w:p w14:paraId="20C15797">
            <w:pPr>
              <w:adjustRightInd w:val="0"/>
              <w:spacing w:line="360" w:lineRule="auto"/>
              <w:jc w:val="center"/>
              <w:textAlignment w:val="baseline"/>
              <w:rPr>
                <w:rFonts w:ascii="宋体" w:hAnsi="宋体"/>
                <w:color w:val="auto"/>
                <w:szCs w:val="21"/>
              </w:rPr>
            </w:pPr>
            <w:r>
              <w:rPr>
                <w:rFonts w:hint="eastAsia" w:ascii="宋体" w:hAnsi="宋体"/>
                <w:b/>
                <w:color w:val="auto"/>
                <w:szCs w:val="21"/>
              </w:rPr>
              <w:t>（满分30分）</w:t>
            </w:r>
          </w:p>
        </w:tc>
        <w:tc>
          <w:tcPr>
            <w:tcW w:w="1175" w:type="dxa"/>
            <w:vAlign w:val="center"/>
          </w:tcPr>
          <w:p w14:paraId="368F6DBC">
            <w:pPr>
              <w:adjustRightInd w:val="0"/>
              <w:spacing w:line="360" w:lineRule="auto"/>
              <w:jc w:val="center"/>
              <w:textAlignment w:val="baseline"/>
              <w:rPr>
                <w:rFonts w:ascii="宋体" w:hAnsi="宋体"/>
                <w:b/>
                <w:color w:val="auto"/>
                <w:szCs w:val="21"/>
              </w:rPr>
            </w:pPr>
            <w:r>
              <w:rPr>
                <w:rFonts w:hint="eastAsia" w:ascii="宋体" w:hAnsi="宋体"/>
                <w:b/>
                <w:color w:val="auto"/>
                <w:szCs w:val="21"/>
              </w:rPr>
              <w:t>投标报价</w:t>
            </w:r>
          </w:p>
        </w:tc>
        <w:tc>
          <w:tcPr>
            <w:tcW w:w="6534" w:type="dxa"/>
            <w:vAlign w:val="center"/>
          </w:tcPr>
          <w:p w14:paraId="70D43729">
            <w:pPr>
              <w:snapToGrid w:val="0"/>
              <w:spacing w:line="360" w:lineRule="auto"/>
              <w:ind w:firstLine="443" w:firstLineChars="211"/>
              <w:rPr>
                <w:rFonts w:ascii="宋体" w:hAnsi="宋体"/>
                <w:color w:val="auto"/>
                <w:szCs w:val="21"/>
              </w:rPr>
            </w:pPr>
            <w:r>
              <w:rPr>
                <w:rFonts w:hint="eastAsia" w:ascii="宋体" w:hAnsi="宋体"/>
                <w:color w:val="auto"/>
                <w:szCs w:val="21"/>
              </w:rPr>
              <w:t>（1）评标价为投标人的投标报价。</w:t>
            </w:r>
          </w:p>
          <w:p w14:paraId="7E040C69">
            <w:pPr>
              <w:snapToGrid w:val="0"/>
              <w:spacing w:line="360" w:lineRule="auto"/>
              <w:ind w:firstLine="443" w:firstLineChars="211"/>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）以进入综合评分环节的最低的评标报价为基准价，基准价报价得分为30分。</w:t>
            </w:r>
          </w:p>
          <w:p w14:paraId="28E04683">
            <w:pPr>
              <w:snapToGrid w:val="0"/>
              <w:spacing w:line="360" w:lineRule="auto"/>
              <w:ind w:firstLine="443" w:firstLineChars="211"/>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）价格分计算公式：</w:t>
            </w:r>
          </w:p>
          <w:p w14:paraId="24323A53">
            <w:pPr>
              <w:snapToGrid w:val="0"/>
              <w:spacing w:line="360" w:lineRule="auto"/>
              <w:ind w:firstLine="443" w:firstLineChars="211"/>
              <w:rPr>
                <w:rFonts w:hAnsi="宋体" w:cs="Courier New"/>
                <w:bCs/>
                <w:color w:val="auto"/>
              </w:rPr>
            </w:pPr>
            <w:r>
              <w:rPr>
                <w:rFonts w:hint="eastAsia" w:ascii="宋体" w:hAnsi="宋体"/>
                <w:color w:val="auto"/>
                <w:szCs w:val="21"/>
              </w:rPr>
              <w:t>某投标人价格分=基准价/某投标人评标报价金额×30分</w:t>
            </w:r>
          </w:p>
        </w:tc>
      </w:tr>
      <w:tr w14:paraId="53DD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restart"/>
            <w:vAlign w:val="center"/>
          </w:tcPr>
          <w:p w14:paraId="6342FE61">
            <w:pPr>
              <w:adjustRightInd w:val="0"/>
              <w:spacing w:line="360" w:lineRule="auto"/>
              <w:jc w:val="center"/>
              <w:textAlignment w:val="baseline"/>
              <w:rPr>
                <w:rFonts w:ascii="宋体" w:hAnsi="宋体"/>
                <w:b/>
                <w:color w:val="auto"/>
                <w:szCs w:val="21"/>
              </w:rPr>
            </w:pPr>
            <w:r>
              <w:rPr>
                <w:rFonts w:hint="eastAsia" w:ascii="宋体" w:hAnsi="宋体"/>
                <w:b/>
                <w:color w:val="auto"/>
                <w:szCs w:val="21"/>
              </w:rPr>
              <w:t>2</w:t>
            </w:r>
          </w:p>
        </w:tc>
        <w:tc>
          <w:tcPr>
            <w:tcW w:w="1216" w:type="dxa"/>
            <w:vMerge w:val="restart"/>
            <w:vAlign w:val="center"/>
          </w:tcPr>
          <w:p w14:paraId="47C3781F">
            <w:pPr>
              <w:adjustRightInd w:val="0"/>
              <w:spacing w:line="360" w:lineRule="auto"/>
              <w:ind w:left="-105" w:leftChars="-50" w:right="-105" w:rightChars="-50"/>
              <w:jc w:val="center"/>
              <w:textAlignment w:val="baseline"/>
              <w:rPr>
                <w:rFonts w:ascii="宋体" w:hAnsi="宋体"/>
                <w:b/>
                <w:bCs/>
                <w:color w:val="auto"/>
                <w:szCs w:val="21"/>
              </w:rPr>
            </w:pPr>
            <w:r>
              <w:rPr>
                <w:rFonts w:hint="eastAsia" w:ascii="宋体" w:hAnsi="宋体"/>
                <w:b/>
                <w:bCs/>
                <w:color w:val="auto"/>
                <w:szCs w:val="21"/>
              </w:rPr>
              <w:t>技术分</w:t>
            </w:r>
          </w:p>
          <w:p w14:paraId="0A1F3171">
            <w:pPr>
              <w:adjustRightInd w:val="0"/>
              <w:spacing w:line="360" w:lineRule="auto"/>
              <w:ind w:left="-105" w:leftChars="-50" w:right="-105" w:rightChars="-50"/>
              <w:jc w:val="center"/>
              <w:textAlignment w:val="baseline"/>
              <w:rPr>
                <w:rFonts w:ascii="宋体" w:hAnsi="宋体"/>
                <w:b/>
                <w:bCs/>
                <w:color w:val="auto"/>
                <w:spacing w:val="-18"/>
                <w:szCs w:val="21"/>
              </w:rPr>
            </w:pPr>
            <w:r>
              <w:rPr>
                <w:rFonts w:hint="eastAsia" w:ascii="宋体" w:hAnsi="宋体"/>
                <w:b/>
                <w:bCs/>
                <w:color w:val="auto"/>
                <w:szCs w:val="21"/>
              </w:rPr>
              <w:t>（满分50分）</w:t>
            </w:r>
          </w:p>
        </w:tc>
        <w:tc>
          <w:tcPr>
            <w:tcW w:w="1175" w:type="dxa"/>
            <w:vAlign w:val="center"/>
          </w:tcPr>
          <w:p w14:paraId="0F130AC3">
            <w:pPr>
              <w:adjustRightInd w:val="0"/>
              <w:spacing w:line="360" w:lineRule="auto"/>
              <w:jc w:val="center"/>
              <w:textAlignment w:val="baseline"/>
              <w:rPr>
                <w:rFonts w:ascii="宋体" w:hAnsi="宋体"/>
                <w:color w:val="auto"/>
                <w:szCs w:val="21"/>
                <w:u w:val="single"/>
              </w:rPr>
            </w:pPr>
            <w:r>
              <w:rPr>
                <w:rFonts w:hint="eastAsia" w:ascii="宋体" w:hAnsi="宋体"/>
                <w:color w:val="auto"/>
                <w:szCs w:val="21"/>
              </w:rPr>
              <w:t>基本分（满分15分）</w:t>
            </w:r>
          </w:p>
        </w:tc>
        <w:tc>
          <w:tcPr>
            <w:tcW w:w="6534" w:type="dxa"/>
            <w:vAlign w:val="center"/>
          </w:tcPr>
          <w:p w14:paraId="43606B4E">
            <w:pPr>
              <w:pStyle w:val="17"/>
              <w:spacing w:line="360" w:lineRule="auto"/>
              <w:ind w:firstLine="420" w:firstLineChars="200"/>
              <w:rPr>
                <w:rFonts w:hAnsi="宋体" w:cs="Courier New"/>
                <w:b/>
                <w:color w:val="auto"/>
              </w:rPr>
            </w:pPr>
            <w:r>
              <w:rPr>
                <w:rFonts w:hint="eastAsia" w:hAnsi="宋体" w:cs="Courier New"/>
                <w:bCs/>
                <w:color w:val="auto"/>
              </w:rPr>
              <w:t>技术基本分得15分，除主要技术参数外的技术参数及性能配置不符合招标文件的，每有1项扣1分，最高可扣15分。</w:t>
            </w:r>
          </w:p>
        </w:tc>
      </w:tr>
      <w:tr w14:paraId="2CC2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vAlign w:val="center"/>
          </w:tcPr>
          <w:p w14:paraId="510E1FC9">
            <w:pPr>
              <w:adjustRightInd w:val="0"/>
              <w:spacing w:line="360" w:lineRule="auto"/>
              <w:jc w:val="center"/>
              <w:textAlignment w:val="baseline"/>
              <w:rPr>
                <w:rFonts w:ascii="宋体" w:hAnsi="宋体"/>
                <w:b/>
                <w:color w:val="auto"/>
                <w:szCs w:val="21"/>
              </w:rPr>
            </w:pPr>
          </w:p>
        </w:tc>
        <w:tc>
          <w:tcPr>
            <w:tcW w:w="1216" w:type="dxa"/>
            <w:vMerge w:val="continue"/>
            <w:vAlign w:val="center"/>
          </w:tcPr>
          <w:p w14:paraId="0627D112">
            <w:pPr>
              <w:adjustRightInd w:val="0"/>
              <w:spacing w:line="360" w:lineRule="auto"/>
              <w:ind w:left="-105" w:leftChars="-50" w:right="-105" w:rightChars="-50"/>
              <w:jc w:val="center"/>
              <w:textAlignment w:val="baseline"/>
              <w:rPr>
                <w:rFonts w:ascii="宋体" w:hAnsi="宋体"/>
                <w:b/>
                <w:bCs/>
                <w:color w:val="auto"/>
                <w:szCs w:val="21"/>
              </w:rPr>
            </w:pPr>
          </w:p>
        </w:tc>
        <w:tc>
          <w:tcPr>
            <w:tcW w:w="1175" w:type="dxa"/>
            <w:vAlign w:val="center"/>
          </w:tcPr>
          <w:p w14:paraId="5D4BCF1B">
            <w:pPr>
              <w:adjustRightInd w:val="0"/>
              <w:spacing w:line="360" w:lineRule="auto"/>
              <w:jc w:val="center"/>
              <w:textAlignment w:val="baseline"/>
              <w:rPr>
                <w:rFonts w:ascii="宋体" w:hAnsi="宋体"/>
                <w:color w:val="auto"/>
                <w:szCs w:val="21"/>
              </w:rPr>
            </w:pPr>
            <w:r>
              <w:rPr>
                <w:rFonts w:hint="eastAsia" w:ascii="宋体" w:hAnsi="宋体"/>
                <w:color w:val="auto"/>
                <w:szCs w:val="21"/>
              </w:rPr>
              <w:t>技术参数及性能配置分（满分24分）</w:t>
            </w:r>
          </w:p>
        </w:tc>
        <w:tc>
          <w:tcPr>
            <w:tcW w:w="6534" w:type="dxa"/>
            <w:vAlign w:val="center"/>
          </w:tcPr>
          <w:p w14:paraId="1FB0BD35">
            <w:pPr>
              <w:pStyle w:val="17"/>
              <w:spacing w:line="360" w:lineRule="auto"/>
              <w:ind w:firstLine="420" w:firstLineChars="200"/>
              <w:rPr>
                <w:rFonts w:hAnsi="宋体" w:cs="Courier New"/>
                <w:bCs/>
                <w:color w:val="auto"/>
              </w:rPr>
            </w:pPr>
            <w:r>
              <w:rPr>
                <w:rFonts w:hint="eastAsia" w:hAnsi="宋体" w:cs="Courier New"/>
                <w:bCs/>
                <w:color w:val="auto"/>
              </w:rPr>
              <w:t>主要技术参数及配置优于招标文件且评标时被评标委员会接受的，每提升一项加3分，满分24分。（主要技术参数指货物需求一览表中标注▲号的技术参数）</w:t>
            </w:r>
          </w:p>
        </w:tc>
      </w:tr>
      <w:tr w14:paraId="2A05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vAlign w:val="center"/>
          </w:tcPr>
          <w:p w14:paraId="4B84BA93">
            <w:pPr>
              <w:adjustRightInd w:val="0"/>
              <w:spacing w:line="360" w:lineRule="auto"/>
              <w:jc w:val="center"/>
              <w:textAlignment w:val="baseline"/>
              <w:rPr>
                <w:rFonts w:ascii="宋体" w:hAnsi="宋体"/>
                <w:b/>
                <w:color w:val="auto"/>
                <w:szCs w:val="21"/>
              </w:rPr>
            </w:pPr>
          </w:p>
        </w:tc>
        <w:tc>
          <w:tcPr>
            <w:tcW w:w="1216" w:type="dxa"/>
            <w:vMerge w:val="continue"/>
            <w:vAlign w:val="center"/>
          </w:tcPr>
          <w:p w14:paraId="3B403CAB">
            <w:pPr>
              <w:adjustRightInd w:val="0"/>
              <w:spacing w:line="360" w:lineRule="auto"/>
              <w:ind w:left="-105" w:leftChars="-50" w:right="-105" w:rightChars="-50"/>
              <w:jc w:val="center"/>
              <w:textAlignment w:val="baseline"/>
              <w:rPr>
                <w:rFonts w:ascii="宋体" w:hAnsi="宋体"/>
                <w:b/>
                <w:bCs/>
                <w:color w:val="auto"/>
                <w:szCs w:val="21"/>
              </w:rPr>
            </w:pPr>
          </w:p>
        </w:tc>
        <w:tc>
          <w:tcPr>
            <w:tcW w:w="1175" w:type="dxa"/>
            <w:vAlign w:val="center"/>
          </w:tcPr>
          <w:p w14:paraId="298FF371">
            <w:pPr>
              <w:adjustRightInd w:val="0"/>
              <w:spacing w:line="360" w:lineRule="auto"/>
              <w:jc w:val="center"/>
              <w:textAlignment w:val="baseline"/>
              <w:rPr>
                <w:rFonts w:ascii="宋体" w:hAnsi="宋体"/>
                <w:color w:val="auto"/>
                <w:szCs w:val="21"/>
              </w:rPr>
            </w:pPr>
            <w:r>
              <w:rPr>
                <w:rFonts w:hint="eastAsia" w:ascii="宋体" w:hAnsi="宋体"/>
                <w:color w:val="auto"/>
                <w:szCs w:val="21"/>
              </w:rPr>
              <w:t>项目实施方案（满分7分）</w:t>
            </w:r>
          </w:p>
        </w:tc>
        <w:tc>
          <w:tcPr>
            <w:tcW w:w="6534" w:type="dxa"/>
            <w:vAlign w:val="center"/>
          </w:tcPr>
          <w:p w14:paraId="44EA9D4A">
            <w:pPr>
              <w:spacing w:line="480" w:lineRule="exact"/>
              <w:ind w:firstLine="420" w:firstLineChars="200"/>
              <w:rPr>
                <w:rFonts w:ascii="宋体" w:hAnsi="宋体"/>
                <w:color w:val="auto"/>
                <w:szCs w:val="21"/>
              </w:rPr>
            </w:pPr>
            <w:r>
              <w:rPr>
                <w:rFonts w:hint="eastAsia" w:hAnsi="宋体" w:cs="Courier New"/>
                <w:bCs/>
                <w:color w:val="auto"/>
              </w:rPr>
              <w:t>由评标委员会根据投标人所</w:t>
            </w:r>
            <w:r>
              <w:rPr>
                <w:rFonts w:hint="eastAsia" w:ascii="宋体" w:hAnsi="宋体"/>
                <w:color w:val="auto"/>
                <w:szCs w:val="21"/>
              </w:rPr>
              <w:t>提供的项目实施方案进行评价。实施方案至少应包括项目实施计划、人员配备、质量控制、项目管理、项目验收、系统测试、系统故障时的应急预案。</w:t>
            </w:r>
          </w:p>
          <w:p w14:paraId="1552B421">
            <w:pPr>
              <w:spacing w:line="480" w:lineRule="exact"/>
              <w:ind w:firstLine="420" w:firstLineChars="200"/>
              <w:rPr>
                <w:rFonts w:ascii="宋体" w:hAnsi="宋体"/>
                <w:color w:val="auto"/>
                <w:szCs w:val="21"/>
              </w:rPr>
            </w:pPr>
            <w:r>
              <w:rPr>
                <w:rFonts w:hint="eastAsia" w:hAnsi="宋体" w:cs="Courier New"/>
                <w:bCs/>
                <w:color w:val="auto"/>
              </w:rPr>
              <w:t>一档（2分）：</w:t>
            </w:r>
            <w:r>
              <w:rPr>
                <w:rFonts w:hint="eastAsia" w:ascii="宋体" w:hAnsi="宋体"/>
                <w:color w:val="auto"/>
                <w:szCs w:val="21"/>
              </w:rPr>
              <w:t>方案基本适合本项目采购需求，可行性、实用性、针对性有待改善，得2分；</w:t>
            </w:r>
          </w:p>
          <w:p w14:paraId="5D1D0A2B">
            <w:pPr>
              <w:spacing w:line="480" w:lineRule="exact"/>
              <w:ind w:firstLine="420" w:firstLineChars="200"/>
              <w:rPr>
                <w:rFonts w:ascii="宋体" w:hAnsi="宋体"/>
                <w:color w:val="auto"/>
                <w:szCs w:val="21"/>
              </w:rPr>
            </w:pPr>
            <w:r>
              <w:rPr>
                <w:rFonts w:hint="eastAsia" w:hAnsi="宋体" w:cs="Courier New"/>
                <w:bCs/>
                <w:color w:val="auto"/>
              </w:rPr>
              <w:t>二档（4分）：</w:t>
            </w:r>
            <w:r>
              <w:rPr>
                <w:rFonts w:hint="eastAsia" w:ascii="宋体" w:hAnsi="宋体"/>
                <w:color w:val="auto"/>
                <w:szCs w:val="21"/>
              </w:rPr>
              <w:t>方案适合本项目采购需求，内容完整详细，具有可行性、实用性和针对性，得4分；</w:t>
            </w:r>
          </w:p>
          <w:p w14:paraId="29C047EB">
            <w:pPr>
              <w:spacing w:line="480" w:lineRule="exact"/>
              <w:ind w:firstLine="420" w:firstLineChars="200"/>
              <w:rPr>
                <w:rFonts w:ascii="宋体" w:hAnsi="宋体"/>
                <w:color w:val="auto"/>
                <w:szCs w:val="21"/>
              </w:rPr>
            </w:pPr>
            <w:r>
              <w:rPr>
                <w:rFonts w:hint="eastAsia" w:hAnsi="宋体" w:cs="Courier New"/>
                <w:bCs/>
                <w:color w:val="auto"/>
              </w:rPr>
              <w:t>三档（7分）：</w:t>
            </w:r>
            <w:r>
              <w:rPr>
                <w:rFonts w:hint="eastAsia" w:ascii="宋体" w:hAnsi="宋体"/>
                <w:color w:val="auto"/>
                <w:szCs w:val="21"/>
              </w:rPr>
              <w:t>方案理解准确优于本项目采购需求，内容完 整详细，可行性、实用性、针对性强，得7分。</w:t>
            </w:r>
          </w:p>
          <w:p w14:paraId="7F2C66DF">
            <w:pPr>
              <w:pStyle w:val="30"/>
              <w:ind w:firstLine="422" w:firstLineChars="200"/>
              <w:jc w:val="both"/>
              <w:rPr>
                <w:color w:val="auto"/>
              </w:rPr>
            </w:pPr>
            <w:r>
              <w:rPr>
                <w:rFonts w:hint="eastAsia" w:ascii="宋体" w:hAnsi="宋体"/>
                <w:color w:val="auto"/>
                <w:sz w:val="21"/>
                <w:szCs w:val="21"/>
              </w:rPr>
              <w:t>注：方案不可行或者未提供得0分。</w:t>
            </w:r>
          </w:p>
        </w:tc>
      </w:tr>
      <w:tr w14:paraId="1F83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vAlign w:val="center"/>
          </w:tcPr>
          <w:p w14:paraId="00D490AF">
            <w:pPr>
              <w:adjustRightInd w:val="0"/>
              <w:spacing w:line="360" w:lineRule="auto"/>
              <w:jc w:val="center"/>
              <w:textAlignment w:val="baseline"/>
              <w:rPr>
                <w:rFonts w:ascii="宋体" w:hAnsi="宋体"/>
                <w:b/>
                <w:color w:val="auto"/>
                <w:szCs w:val="21"/>
              </w:rPr>
            </w:pPr>
          </w:p>
        </w:tc>
        <w:tc>
          <w:tcPr>
            <w:tcW w:w="1216" w:type="dxa"/>
            <w:vMerge w:val="continue"/>
            <w:vAlign w:val="center"/>
          </w:tcPr>
          <w:p w14:paraId="496346AD">
            <w:pPr>
              <w:adjustRightInd w:val="0"/>
              <w:spacing w:line="360" w:lineRule="auto"/>
              <w:ind w:left="-105" w:leftChars="-50" w:right="-105" w:rightChars="-50"/>
              <w:jc w:val="center"/>
              <w:textAlignment w:val="baseline"/>
              <w:rPr>
                <w:rFonts w:ascii="宋体" w:hAnsi="宋体"/>
                <w:bCs/>
                <w:color w:val="auto"/>
                <w:szCs w:val="21"/>
              </w:rPr>
            </w:pPr>
          </w:p>
        </w:tc>
        <w:tc>
          <w:tcPr>
            <w:tcW w:w="1175" w:type="dxa"/>
            <w:vAlign w:val="center"/>
          </w:tcPr>
          <w:p w14:paraId="2E2F8AFB">
            <w:pPr>
              <w:adjustRightInd w:val="0"/>
              <w:spacing w:line="360" w:lineRule="auto"/>
              <w:jc w:val="center"/>
              <w:textAlignment w:val="baseline"/>
              <w:rPr>
                <w:rFonts w:ascii="宋体" w:hAnsi="宋体"/>
                <w:color w:val="auto"/>
                <w:szCs w:val="21"/>
                <w:u w:val="single"/>
              </w:rPr>
            </w:pPr>
            <w:r>
              <w:rPr>
                <w:rFonts w:hint="eastAsia" w:ascii="宋体" w:hAnsi="宋体"/>
                <w:color w:val="auto"/>
                <w:szCs w:val="21"/>
              </w:rPr>
              <w:t>项目培训方案（满分4分）</w:t>
            </w:r>
          </w:p>
        </w:tc>
        <w:tc>
          <w:tcPr>
            <w:tcW w:w="6534" w:type="dxa"/>
            <w:vAlign w:val="center"/>
          </w:tcPr>
          <w:p w14:paraId="25BAAFC9">
            <w:pPr>
              <w:pStyle w:val="17"/>
              <w:spacing w:line="360" w:lineRule="auto"/>
              <w:ind w:firstLine="420" w:firstLineChars="200"/>
              <w:rPr>
                <w:rFonts w:hAnsi="宋体" w:cs="Courier New"/>
                <w:bCs/>
                <w:color w:val="auto"/>
                <w:lang w:bidi="ar"/>
              </w:rPr>
            </w:pPr>
            <w:r>
              <w:rPr>
                <w:rFonts w:hint="eastAsia" w:hAnsi="宋体" w:cs="Courier New"/>
                <w:bCs/>
                <w:color w:val="auto"/>
              </w:rPr>
              <w:t>由评标委员会</w:t>
            </w:r>
            <w:r>
              <w:rPr>
                <w:rFonts w:hint="eastAsia" w:hAnsi="宋体" w:cs="Courier New"/>
                <w:bCs/>
                <w:color w:val="auto"/>
                <w:lang w:bidi="ar"/>
              </w:rPr>
              <w:t>根据投标人提供本项目执行周期内的现场服务及技术培训服务方案(培训方式、地点、人数、时间等)进行评审，</w:t>
            </w:r>
            <w:r>
              <w:rPr>
                <w:rFonts w:hint="eastAsia" w:hAnsi="宋体" w:cs="Courier New"/>
                <w:bCs/>
                <w:color w:val="auto"/>
              </w:rPr>
              <w:t>独立打分：</w:t>
            </w:r>
          </w:p>
          <w:p w14:paraId="212BC449">
            <w:pPr>
              <w:pStyle w:val="17"/>
              <w:spacing w:line="360" w:lineRule="auto"/>
              <w:ind w:firstLine="420"/>
              <w:rPr>
                <w:rFonts w:hAnsi="宋体" w:cs="Courier New"/>
                <w:bCs/>
                <w:color w:val="auto"/>
                <w:lang w:bidi="ar"/>
              </w:rPr>
            </w:pPr>
            <w:r>
              <w:rPr>
                <w:rFonts w:hint="eastAsia" w:hAnsi="宋体" w:cs="Courier New"/>
                <w:bCs/>
                <w:color w:val="auto"/>
              </w:rPr>
              <w:t>一档（1分）：</w:t>
            </w:r>
            <w:r>
              <w:rPr>
                <w:rFonts w:hint="eastAsia" w:hAnsi="宋体" w:cs="Courier New"/>
                <w:bCs/>
                <w:color w:val="auto"/>
                <w:lang w:bidi="ar"/>
              </w:rPr>
              <w:t>方案基本适合本项目采购需求，可行性、实用性、针对性有待改善，得1分；</w:t>
            </w:r>
          </w:p>
          <w:p w14:paraId="30E76C23">
            <w:pPr>
              <w:pStyle w:val="17"/>
              <w:spacing w:line="360" w:lineRule="auto"/>
              <w:ind w:firstLine="420"/>
              <w:rPr>
                <w:rFonts w:hAnsi="宋体" w:cs="Courier New"/>
                <w:bCs/>
                <w:color w:val="auto"/>
                <w:lang w:bidi="ar"/>
              </w:rPr>
            </w:pPr>
            <w:r>
              <w:rPr>
                <w:rFonts w:hint="eastAsia" w:hAnsi="宋体" w:cs="Courier New"/>
                <w:bCs/>
                <w:color w:val="auto"/>
              </w:rPr>
              <w:t>二档（2分）：</w:t>
            </w:r>
            <w:r>
              <w:rPr>
                <w:rFonts w:hint="eastAsia" w:hAnsi="宋体" w:cs="Courier New"/>
                <w:bCs/>
                <w:color w:val="auto"/>
                <w:lang w:bidi="ar"/>
              </w:rPr>
              <w:t>方案适合本项目采购需求，内容完整详细，具有可行性、实用性和针对性，得2分；</w:t>
            </w:r>
          </w:p>
          <w:p w14:paraId="0F13C3BF">
            <w:pPr>
              <w:pStyle w:val="17"/>
              <w:spacing w:line="360" w:lineRule="auto"/>
              <w:ind w:firstLine="420"/>
              <w:rPr>
                <w:rFonts w:hAnsi="宋体" w:cs="Courier New"/>
                <w:bCs/>
                <w:color w:val="auto"/>
                <w:lang w:bidi="ar"/>
              </w:rPr>
            </w:pPr>
            <w:r>
              <w:rPr>
                <w:rFonts w:hint="eastAsia" w:hAnsi="宋体" w:cs="Courier New"/>
                <w:bCs/>
                <w:color w:val="auto"/>
              </w:rPr>
              <w:t>三档（4分）：</w:t>
            </w:r>
            <w:r>
              <w:rPr>
                <w:rFonts w:hint="eastAsia" w:hAnsi="宋体" w:cs="Courier New"/>
                <w:bCs/>
                <w:color w:val="auto"/>
                <w:lang w:bidi="ar"/>
              </w:rPr>
              <w:t>方案理解准确优于本项目采购需求，内容完整详细，可行性、实用性、针对性强，得4分；</w:t>
            </w:r>
          </w:p>
          <w:p w14:paraId="2550ECF7">
            <w:pPr>
              <w:pStyle w:val="17"/>
              <w:spacing w:line="360" w:lineRule="auto"/>
              <w:ind w:firstLine="422" w:firstLineChars="200"/>
              <w:rPr>
                <w:rFonts w:hAnsi="宋体" w:cs="Courier New"/>
                <w:b/>
                <w:color w:val="auto"/>
              </w:rPr>
            </w:pPr>
            <w:r>
              <w:rPr>
                <w:rFonts w:hint="eastAsia" w:hAnsi="宋体"/>
                <w:b/>
                <w:bCs/>
                <w:color w:val="auto"/>
                <w:szCs w:val="21"/>
              </w:rPr>
              <w:t>注：方案不可行或者未提供得0分。</w:t>
            </w:r>
          </w:p>
        </w:tc>
      </w:tr>
      <w:tr w14:paraId="0864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525" w:type="dxa"/>
            <w:vMerge w:val="restart"/>
            <w:vAlign w:val="center"/>
          </w:tcPr>
          <w:p w14:paraId="05B92686">
            <w:pPr>
              <w:spacing w:line="360" w:lineRule="auto"/>
              <w:jc w:val="center"/>
              <w:rPr>
                <w:rFonts w:ascii="宋体" w:hAnsi="宋体"/>
                <w:b/>
                <w:color w:val="auto"/>
                <w:szCs w:val="21"/>
              </w:rPr>
            </w:pPr>
            <w:r>
              <w:rPr>
                <w:rFonts w:hint="eastAsia" w:ascii="宋体" w:hAnsi="宋体"/>
                <w:b/>
                <w:color w:val="auto"/>
                <w:szCs w:val="21"/>
              </w:rPr>
              <w:t>3</w:t>
            </w:r>
          </w:p>
        </w:tc>
        <w:tc>
          <w:tcPr>
            <w:tcW w:w="1216" w:type="dxa"/>
            <w:vMerge w:val="restart"/>
            <w:vAlign w:val="center"/>
          </w:tcPr>
          <w:p w14:paraId="78542225">
            <w:pPr>
              <w:spacing w:line="360" w:lineRule="auto"/>
              <w:jc w:val="center"/>
              <w:rPr>
                <w:rFonts w:ascii="宋体" w:hAnsi="宋体"/>
                <w:b/>
                <w:color w:val="auto"/>
                <w:szCs w:val="21"/>
              </w:rPr>
            </w:pPr>
            <w:r>
              <w:rPr>
                <w:rFonts w:hint="eastAsia" w:ascii="宋体" w:hAnsi="宋体"/>
                <w:b/>
                <w:color w:val="auto"/>
                <w:szCs w:val="21"/>
              </w:rPr>
              <w:t>商务分</w:t>
            </w:r>
          </w:p>
          <w:p w14:paraId="1E9B36E2">
            <w:pPr>
              <w:spacing w:line="360" w:lineRule="auto"/>
              <w:jc w:val="center"/>
              <w:rPr>
                <w:rFonts w:ascii="宋体" w:hAnsi="宋体"/>
                <w:b/>
                <w:color w:val="auto"/>
                <w:szCs w:val="21"/>
              </w:rPr>
            </w:pPr>
            <w:r>
              <w:rPr>
                <w:rFonts w:hint="eastAsia" w:ascii="宋体" w:hAnsi="宋体"/>
                <w:b/>
                <w:color w:val="auto"/>
                <w:szCs w:val="21"/>
              </w:rPr>
              <w:t>（满分20分）</w:t>
            </w:r>
          </w:p>
        </w:tc>
        <w:tc>
          <w:tcPr>
            <w:tcW w:w="1175" w:type="dxa"/>
            <w:tcMar>
              <w:left w:w="57" w:type="dxa"/>
              <w:right w:w="57" w:type="dxa"/>
            </w:tcMar>
            <w:vAlign w:val="center"/>
          </w:tcPr>
          <w:p w14:paraId="03E928FC">
            <w:pPr>
              <w:adjustRightInd w:val="0"/>
              <w:spacing w:line="360" w:lineRule="auto"/>
              <w:jc w:val="center"/>
              <w:textAlignment w:val="baseline"/>
              <w:rPr>
                <w:rFonts w:ascii="宋体" w:hAnsi="宋体"/>
                <w:color w:val="auto"/>
                <w:szCs w:val="21"/>
              </w:rPr>
            </w:pPr>
            <w:r>
              <w:rPr>
                <w:rFonts w:hint="eastAsia" w:ascii="宋体" w:hAnsi="宋体"/>
                <w:color w:val="auto"/>
                <w:szCs w:val="21"/>
              </w:rPr>
              <w:t>售后服务分（满分4分）</w:t>
            </w:r>
          </w:p>
        </w:tc>
        <w:tc>
          <w:tcPr>
            <w:tcW w:w="6534" w:type="dxa"/>
            <w:vAlign w:val="center"/>
          </w:tcPr>
          <w:p w14:paraId="65978F1F">
            <w:pPr>
              <w:pStyle w:val="17"/>
              <w:spacing w:line="360" w:lineRule="auto"/>
              <w:ind w:firstLine="420" w:firstLineChars="200"/>
              <w:rPr>
                <w:rFonts w:hAnsi="宋体" w:cs="Courier New"/>
                <w:bCs/>
                <w:color w:val="auto"/>
              </w:rPr>
            </w:pPr>
            <w:r>
              <w:rPr>
                <w:rFonts w:hint="eastAsia" w:hAnsi="宋体" w:cs="Courier New"/>
                <w:bCs/>
                <w:color w:val="auto"/>
              </w:rPr>
              <w:t>1.基本分</w:t>
            </w:r>
          </w:p>
          <w:p w14:paraId="15111985">
            <w:pPr>
              <w:pStyle w:val="17"/>
              <w:spacing w:line="360" w:lineRule="auto"/>
              <w:ind w:firstLine="420" w:firstLineChars="200"/>
              <w:rPr>
                <w:rFonts w:hAnsi="宋体" w:cs="Courier New"/>
                <w:bCs/>
                <w:color w:val="auto"/>
              </w:rPr>
            </w:pPr>
            <w:r>
              <w:rPr>
                <w:rFonts w:hint="eastAsia" w:hAnsi="宋体" w:cs="Courier New"/>
                <w:bCs/>
                <w:color w:val="auto"/>
              </w:rPr>
              <w:t>售后服务基本分得2分，满分2分；除主要售后服务条款外的售后服务条款不符合招标文件的，每有1项扣1分，最高可扣2分；</w:t>
            </w:r>
          </w:p>
          <w:p w14:paraId="6970E055">
            <w:pPr>
              <w:pStyle w:val="17"/>
              <w:spacing w:line="360" w:lineRule="auto"/>
              <w:ind w:firstLine="420" w:firstLineChars="200"/>
              <w:rPr>
                <w:rFonts w:hAnsi="宋体" w:cs="Courier New"/>
                <w:bCs/>
                <w:color w:val="auto"/>
              </w:rPr>
            </w:pPr>
            <w:r>
              <w:rPr>
                <w:rFonts w:hint="eastAsia" w:hAnsi="宋体" w:cs="Courier New"/>
                <w:bCs/>
                <w:color w:val="auto"/>
              </w:rPr>
              <w:t>2.售后服务条款加分</w:t>
            </w:r>
          </w:p>
          <w:p w14:paraId="07A04F26">
            <w:pPr>
              <w:pStyle w:val="17"/>
              <w:spacing w:line="360" w:lineRule="auto"/>
              <w:ind w:firstLine="420" w:firstLineChars="200"/>
              <w:rPr>
                <w:rFonts w:hAnsi="宋体" w:cs="Courier New"/>
                <w:bCs/>
                <w:color w:val="auto"/>
              </w:rPr>
            </w:pPr>
            <w:r>
              <w:rPr>
                <w:rFonts w:hint="eastAsia" w:hAnsi="宋体" w:cs="Courier New"/>
                <w:bCs/>
                <w:color w:val="auto"/>
              </w:rPr>
              <w:t>售后服务承诺2小时响应，4小时解决问题，不影响教学使用的承诺函，有提供加2分，满分2分。</w:t>
            </w:r>
          </w:p>
          <w:p w14:paraId="0A6CA8EA">
            <w:pPr>
              <w:pStyle w:val="17"/>
              <w:spacing w:line="360" w:lineRule="auto"/>
              <w:ind w:firstLine="420" w:firstLineChars="200"/>
              <w:rPr>
                <w:rFonts w:hAnsi="宋体" w:cs="Courier New"/>
                <w:bCs/>
                <w:color w:val="auto"/>
              </w:rPr>
            </w:pPr>
            <w:r>
              <w:rPr>
                <w:rFonts w:hint="eastAsia" w:hAnsi="宋体" w:cs="Courier New"/>
                <w:bCs/>
                <w:color w:val="auto"/>
              </w:rPr>
              <w:t>（主要售后服务条款指货物需求一览表中标注▲号的售后服务条款）</w:t>
            </w:r>
          </w:p>
        </w:tc>
      </w:tr>
      <w:tr w14:paraId="7C32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525" w:type="dxa"/>
            <w:vMerge w:val="continue"/>
            <w:vAlign w:val="center"/>
          </w:tcPr>
          <w:p w14:paraId="7FB070CD">
            <w:pPr>
              <w:spacing w:line="360" w:lineRule="auto"/>
              <w:jc w:val="center"/>
              <w:rPr>
                <w:rFonts w:ascii="宋体" w:hAnsi="宋体"/>
                <w:b/>
                <w:color w:val="auto"/>
                <w:szCs w:val="21"/>
              </w:rPr>
            </w:pPr>
          </w:p>
        </w:tc>
        <w:tc>
          <w:tcPr>
            <w:tcW w:w="1216" w:type="dxa"/>
            <w:vMerge w:val="continue"/>
            <w:vAlign w:val="center"/>
          </w:tcPr>
          <w:p w14:paraId="74A0438C">
            <w:pPr>
              <w:spacing w:line="360" w:lineRule="auto"/>
              <w:jc w:val="center"/>
              <w:rPr>
                <w:rFonts w:ascii="宋体" w:hAnsi="宋体"/>
                <w:b/>
                <w:color w:val="auto"/>
                <w:szCs w:val="21"/>
              </w:rPr>
            </w:pPr>
          </w:p>
        </w:tc>
        <w:tc>
          <w:tcPr>
            <w:tcW w:w="1175" w:type="dxa"/>
            <w:tcMar>
              <w:left w:w="57" w:type="dxa"/>
              <w:right w:w="57" w:type="dxa"/>
            </w:tcMar>
            <w:vAlign w:val="center"/>
          </w:tcPr>
          <w:p w14:paraId="4A81C9F8">
            <w:pPr>
              <w:spacing w:line="360" w:lineRule="auto"/>
              <w:jc w:val="center"/>
              <w:rPr>
                <w:rFonts w:ascii="宋体" w:hAnsi="宋体"/>
                <w:bCs/>
                <w:color w:val="auto"/>
                <w:szCs w:val="21"/>
              </w:rPr>
            </w:pPr>
            <w:r>
              <w:rPr>
                <w:rFonts w:hint="eastAsia" w:ascii="宋体" w:hAnsi="宋体"/>
                <w:bCs/>
                <w:color w:val="auto"/>
                <w:szCs w:val="21"/>
              </w:rPr>
              <w:t>企业信誉分</w:t>
            </w:r>
          </w:p>
          <w:p w14:paraId="6F7BC4C7">
            <w:pPr>
              <w:spacing w:line="360" w:lineRule="auto"/>
              <w:jc w:val="center"/>
              <w:rPr>
                <w:rFonts w:ascii="宋体" w:hAnsi="宋体"/>
                <w:b/>
                <w:color w:val="auto"/>
                <w:szCs w:val="21"/>
              </w:rPr>
            </w:pPr>
            <w:r>
              <w:rPr>
                <w:rFonts w:hint="eastAsia" w:ascii="宋体" w:hAnsi="宋体"/>
                <w:bCs/>
                <w:color w:val="auto"/>
                <w:szCs w:val="21"/>
              </w:rPr>
              <w:t>（满分7分）</w:t>
            </w:r>
          </w:p>
        </w:tc>
        <w:tc>
          <w:tcPr>
            <w:tcW w:w="6534" w:type="dxa"/>
            <w:vAlign w:val="center"/>
          </w:tcPr>
          <w:p w14:paraId="3ABF123F">
            <w:pPr>
              <w:spacing w:line="360" w:lineRule="auto"/>
              <w:ind w:firstLine="420" w:firstLineChars="200"/>
              <w:rPr>
                <w:rFonts w:ascii="宋体" w:hAnsi="宋体" w:cs="Courier New"/>
                <w:color w:val="auto"/>
                <w:szCs w:val="21"/>
              </w:rPr>
            </w:pPr>
            <w:r>
              <w:rPr>
                <w:rFonts w:hint="eastAsia" w:ascii="宋体" w:hAnsi="宋体" w:cs="Courier New"/>
                <w:color w:val="auto"/>
                <w:szCs w:val="21"/>
              </w:rPr>
              <w:t>1.投标人或所投产品生产厂家提供</w:t>
            </w:r>
            <w:r>
              <w:rPr>
                <w:rFonts w:hint="eastAsia" w:ascii="宋体" w:hAnsi="宋体" w:cs="Courier New"/>
                <w:color w:val="auto"/>
                <w:szCs w:val="21"/>
                <w:lang w:val="en-US" w:eastAsia="zh-CN"/>
              </w:rPr>
              <w:t>ISO9001</w:t>
            </w:r>
            <w:r>
              <w:rPr>
                <w:rFonts w:hint="eastAsia" w:ascii="宋体" w:hAnsi="宋体" w:cs="Courier New"/>
                <w:color w:val="auto"/>
                <w:szCs w:val="21"/>
              </w:rPr>
              <w:t>质量管理体系认证证书；提供ISO14001环境管理体系认证证书；供ISO45001职业健康安全管理体系认证证书，每个得2分；共6分（提供相关证明文件复印件并加盖公章）；</w:t>
            </w:r>
          </w:p>
          <w:p w14:paraId="6FCC3CEF">
            <w:pPr>
              <w:spacing w:line="360" w:lineRule="auto"/>
              <w:ind w:firstLine="420" w:firstLineChars="200"/>
              <w:rPr>
                <w:color w:val="auto"/>
              </w:rPr>
            </w:pPr>
            <w:r>
              <w:rPr>
                <w:rFonts w:hint="eastAsia" w:ascii="宋体" w:hAnsi="宋体" w:cs="Courier New"/>
                <w:color w:val="auto"/>
                <w:szCs w:val="21"/>
              </w:rPr>
              <w:t>2.投标人或所投产品生产厂家</w:t>
            </w:r>
            <w:r>
              <w:rPr>
                <w:rFonts w:hint="eastAsia" w:ascii="宋体" w:hAnsi="宋体" w:cs="Courier New"/>
                <w:color w:val="auto"/>
                <w:szCs w:val="21"/>
                <w:lang w:val="en-US" w:eastAsia="zh-CN"/>
              </w:rPr>
              <w:t>具有</w:t>
            </w:r>
            <w:r>
              <w:rPr>
                <w:rFonts w:hint="eastAsia" w:ascii="宋体" w:hAnsi="宋体" w:cs="Courier New"/>
                <w:color w:val="auto"/>
                <w:szCs w:val="21"/>
              </w:rPr>
              <w:t>ISO27001信息安全管理体系认证的得1分；</w:t>
            </w:r>
          </w:p>
        </w:tc>
      </w:tr>
      <w:tr w14:paraId="6930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14:paraId="006F755D">
            <w:pPr>
              <w:spacing w:line="360" w:lineRule="auto"/>
              <w:jc w:val="center"/>
              <w:rPr>
                <w:rFonts w:ascii="宋体" w:hAnsi="宋体"/>
                <w:color w:val="auto"/>
                <w:szCs w:val="21"/>
              </w:rPr>
            </w:pPr>
          </w:p>
        </w:tc>
        <w:tc>
          <w:tcPr>
            <w:tcW w:w="1216" w:type="dxa"/>
            <w:vMerge w:val="continue"/>
            <w:vAlign w:val="center"/>
          </w:tcPr>
          <w:p w14:paraId="016BB15E">
            <w:pPr>
              <w:spacing w:line="360" w:lineRule="auto"/>
              <w:jc w:val="center"/>
              <w:rPr>
                <w:rFonts w:ascii="宋体" w:hAnsi="宋体"/>
                <w:b/>
                <w:color w:val="auto"/>
                <w:szCs w:val="21"/>
              </w:rPr>
            </w:pPr>
          </w:p>
        </w:tc>
        <w:tc>
          <w:tcPr>
            <w:tcW w:w="1175" w:type="dxa"/>
            <w:tcMar>
              <w:left w:w="57" w:type="dxa"/>
              <w:right w:w="57" w:type="dxa"/>
            </w:tcMar>
          </w:tcPr>
          <w:p w14:paraId="4E3C7796">
            <w:pPr>
              <w:pStyle w:val="17"/>
              <w:spacing w:line="360" w:lineRule="auto"/>
              <w:ind w:firstLine="105" w:firstLineChars="50"/>
              <w:jc w:val="center"/>
              <w:rPr>
                <w:rFonts w:hAnsi="宋体" w:cs="Courier New"/>
                <w:b/>
                <w:bCs/>
                <w:color w:val="auto"/>
              </w:rPr>
            </w:pPr>
            <w:r>
              <w:rPr>
                <w:rFonts w:hint="eastAsia" w:hAnsi="宋体" w:cs="Courier New"/>
                <w:color w:val="auto"/>
              </w:rPr>
              <w:t>业绩分（满分</w:t>
            </w:r>
            <w:r>
              <w:rPr>
                <w:rFonts w:hint="eastAsia" w:hAnsi="宋体"/>
                <w:color w:val="auto"/>
              </w:rPr>
              <w:t>7</w:t>
            </w:r>
            <w:r>
              <w:rPr>
                <w:rFonts w:hint="eastAsia" w:hAnsi="宋体" w:cs="Courier New"/>
                <w:color w:val="auto"/>
              </w:rPr>
              <w:t>分）</w:t>
            </w:r>
          </w:p>
        </w:tc>
        <w:tc>
          <w:tcPr>
            <w:tcW w:w="6534" w:type="dxa"/>
            <w:vAlign w:val="center"/>
          </w:tcPr>
          <w:p w14:paraId="17D59A0D">
            <w:pPr>
              <w:pStyle w:val="17"/>
              <w:spacing w:line="360" w:lineRule="auto"/>
              <w:ind w:firstLine="420" w:firstLineChars="200"/>
              <w:rPr>
                <w:rFonts w:hAnsi="宋体" w:cs="Courier New"/>
                <w:color w:val="auto"/>
                <w:szCs w:val="21"/>
              </w:rPr>
            </w:pPr>
            <w:r>
              <w:rPr>
                <w:rFonts w:hint="eastAsia" w:hAnsi="宋体" w:cs="Courier New"/>
                <w:color w:val="auto"/>
                <w:szCs w:val="21"/>
              </w:rPr>
              <w:t>1.投标人近三年以来具有同类业绩（以中标通知书或合同关键页复印件为准），每提供1项业绩1分，满分6分。</w:t>
            </w:r>
          </w:p>
          <w:p w14:paraId="5A8AE823">
            <w:pPr>
              <w:pStyle w:val="17"/>
              <w:spacing w:line="360" w:lineRule="auto"/>
              <w:ind w:firstLine="420" w:firstLineChars="200"/>
              <w:rPr>
                <w:rFonts w:hAnsi="宋体" w:cs="Courier New"/>
                <w:color w:val="auto"/>
                <w:szCs w:val="21"/>
              </w:rPr>
            </w:pPr>
            <w:r>
              <w:rPr>
                <w:rFonts w:hint="eastAsia" w:hAnsi="宋体" w:cs="Courier New"/>
                <w:color w:val="auto"/>
                <w:szCs w:val="21"/>
              </w:rPr>
              <w:t>业绩时间：2021年11月1日至投标截止日止。</w:t>
            </w:r>
          </w:p>
          <w:p w14:paraId="7CAF14C9">
            <w:pPr>
              <w:pStyle w:val="17"/>
              <w:spacing w:line="360" w:lineRule="auto"/>
              <w:ind w:firstLine="420" w:firstLineChars="200"/>
              <w:rPr>
                <w:rFonts w:hAnsi="宋体" w:cs="Courier New"/>
                <w:color w:val="auto"/>
                <w:szCs w:val="21"/>
              </w:rPr>
            </w:pPr>
            <w:r>
              <w:rPr>
                <w:rFonts w:hint="eastAsia" w:hAnsi="宋体" w:cs="Courier New"/>
                <w:color w:val="auto"/>
                <w:szCs w:val="21"/>
              </w:rPr>
              <w:t>2.投标产品近三年以来获</w:t>
            </w:r>
            <w:r>
              <w:rPr>
                <w:rFonts w:hint="eastAsia" w:hAnsi="宋体" w:cs="Courier New"/>
                <w:color w:val="auto"/>
                <w:szCs w:val="21"/>
                <w:lang w:val="en-US" w:eastAsia="zh-CN"/>
              </w:rPr>
              <w:t>得</w:t>
            </w:r>
            <w:r>
              <w:rPr>
                <w:rFonts w:hint="eastAsia" w:hAnsi="宋体" w:cs="Courier New"/>
                <w:color w:val="auto"/>
                <w:szCs w:val="21"/>
              </w:rPr>
              <w:t>行政</w:t>
            </w:r>
            <w:r>
              <w:rPr>
                <w:rFonts w:hint="eastAsia" w:hAnsi="宋体" w:cs="Courier New"/>
                <w:color w:val="auto"/>
                <w:szCs w:val="21"/>
                <w:lang w:val="en-US" w:eastAsia="zh-CN"/>
              </w:rPr>
              <w:t>主管</w:t>
            </w:r>
            <w:r>
              <w:rPr>
                <w:rFonts w:hint="eastAsia" w:hAnsi="宋体" w:cs="Courier New"/>
                <w:color w:val="auto"/>
                <w:szCs w:val="21"/>
              </w:rPr>
              <w:t>部门颁发</w:t>
            </w:r>
            <w:r>
              <w:rPr>
                <w:rFonts w:hint="eastAsia" w:hAnsi="宋体" w:cs="Courier New"/>
                <w:color w:val="auto"/>
                <w:szCs w:val="21"/>
                <w:lang w:val="en-US" w:eastAsia="zh-CN"/>
              </w:rPr>
              <w:t>的</w:t>
            </w:r>
            <w:r>
              <w:rPr>
                <w:rFonts w:hint="eastAsia" w:hAnsi="宋体" w:cs="Courier New"/>
                <w:color w:val="auto"/>
                <w:szCs w:val="21"/>
              </w:rPr>
              <w:t>质量荣誉证书的得1分（提交证书复印件）。</w:t>
            </w:r>
          </w:p>
        </w:tc>
      </w:tr>
      <w:tr w14:paraId="29A2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315B5D36">
            <w:pPr>
              <w:spacing w:line="360" w:lineRule="auto"/>
              <w:jc w:val="center"/>
              <w:rPr>
                <w:rFonts w:ascii="宋体" w:hAnsi="宋体"/>
                <w:b/>
                <w:color w:val="auto"/>
                <w:szCs w:val="21"/>
              </w:rPr>
            </w:pPr>
            <w:r>
              <w:rPr>
                <w:rFonts w:hint="eastAsia" w:ascii="宋体" w:hAnsi="宋体"/>
                <w:b/>
                <w:color w:val="auto"/>
                <w:szCs w:val="21"/>
              </w:rPr>
              <w:t>4</w:t>
            </w:r>
          </w:p>
        </w:tc>
        <w:tc>
          <w:tcPr>
            <w:tcW w:w="1216" w:type="dxa"/>
            <w:vAlign w:val="center"/>
          </w:tcPr>
          <w:p w14:paraId="09340E29">
            <w:pPr>
              <w:spacing w:line="360" w:lineRule="auto"/>
              <w:jc w:val="center"/>
              <w:rPr>
                <w:rFonts w:ascii="宋体" w:hAnsi="宋体"/>
                <w:b/>
                <w:color w:val="auto"/>
                <w:szCs w:val="21"/>
              </w:rPr>
            </w:pPr>
            <w:r>
              <w:rPr>
                <w:rFonts w:hint="eastAsia" w:ascii="宋体" w:hAnsi="宋体"/>
                <w:b/>
                <w:color w:val="auto"/>
                <w:szCs w:val="21"/>
              </w:rPr>
              <w:t>政策功能分（满分2分）</w:t>
            </w:r>
          </w:p>
        </w:tc>
        <w:tc>
          <w:tcPr>
            <w:tcW w:w="7709" w:type="dxa"/>
            <w:gridSpan w:val="2"/>
            <w:vAlign w:val="center"/>
          </w:tcPr>
          <w:p w14:paraId="49EE751B">
            <w:pPr>
              <w:pStyle w:val="17"/>
              <w:spacing w:line="360" w:lineRule="auto"/>
              <w:ind w:firstLine="420" w:firstLineChars="200"/>
              <w:rPr>
                <w:rFonts w:hAnsi="宋体" w:cs="Courier New"/>
                <w:bCs/>
                <w:color w:val="auto"/>
              </w:rPr>
            </w:pPr>
            <w:r>
              <w:rPr>
                <w:rFonts w:hint="eastAsia" w:hAnsi="宋体" w:cs="Courier New"/>
                <w:bCs/>
                <w:color w:val="auto"/>
              </w:rPr>
              <w:t>（1）属于财政部《节能产品政府采购品目清单》内优先采购（清单内未标注“★”的品目）的产品[投标文件中提供有效的认证证书复印件及品目清单（标注出投标产品在品目清单中所属的品目），并加盖供应商公章]，根据项目中节能产品合计金额所占该项目（或分标）总报价金额三分之一比例得1分，满1分。</w:t>
            </w:r>
          </w:p>
          <w:p w14:paraId="61853007">
            <w:pPr>
              <w:pStyle w:val="17"/>
              <w:spacing w:line="360" w:lineRule="auto"/>
              <w:ind w:firstLine="420" w:firstLineChars="200"/>
              <w:rPr>
                <w:rFonts w:hAnsi="宋体" w:cs="Courier New"/>
                <w:bCs/>
                <w:color w:val="auto"/>
              </w:rPr>
            </w:pPr>
            <w:r>
              <w:rPr>
                <w:rFonts w:hint="eastAsia" w:hAnsi="宋体" w:cs="Courier New"/>
                <w:bCs/>
                <w:color w:val="auto"/>
              </w:rPr>
              <w:t>（2）属于财政部《环境标志产品政府采购品目清单》内的产品[投标文件中提供有效的认证证书复印件及品目清单（标注出投标产品在品目清单中所属的品目），并加盖供应商公章]，根据项目中环保产品合计金额所占该项目（或分标）总报价金额三分之一比例得1分，满1分。</w:t>
            </w:r>
          </w:p>
        </w:tc>
      </w:tr>
      <w:tr w14:paraId="20E3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7F53A050">
            <w:pPr>
              <w:spacing w:line="360" w:lineRule="auto"/>
              <w:jc w:val="center"/>
              <w:rPr>
                <w:rFonts w:ascii="宋体" w:hAnsi="宋体"/>
                <w:b/>
                <w:color w:val="auto"/>
                <w:szCs w:val="21"/>
              </w:rPr>
            </w:pPr>
            <w:r>
              <w:rPr>
                <w:rFonts w:hint="eastAsia" w:ascii="宋体" w:hAnsi="宋体"/>
                <w:b/>
                <w:color w:val="auto"/>
                <w:szCs w:val="21"/>
              </w:rPr>
              <w:t>5</w:t>
            </w:r>
          </w:p>
        </w:tc>
        <w:tc>
          <w:tcPr>
            <w:tcW w:w="1216" w:type="dxa"/>
            <w:vAlign w:val="center"/>
          </w:tcPr>
          <w:p w14:paraId="367E68F0">
            <w:pPr>
              <w:spacing w:line="360" w:lineRule="auto"/>
              <w:jc w:val="center"/>
              <w:rPr>
                <w:rFonts w:ascii="宋体" w:hAnsi="宋体"/>
                <w:b/>
                <w:color w:val="auto"/>
                <w:szCs w:val="21"/>
              </w:rPr>
            </w:pPr>
            <w:r>
              <w:rPr>
                <w:rFonts w:hint="eastAsia" w:ascii="宋体" w:hAnsi="宋体"/>
                <w:b/>
                <w:color w:val="auto"/>
                <w:szCs w:val="21"/>
              </w:rPr>
              <w:t>诚信分（满分0分）</w:t>
            </w:r>
          </w:p>
        </w:tc>
        <w:tc>
          <w:tcPr>
            <w:tcW w:w="7709" w:type="dxa"/>
            <w:gridSpan w:val="2"/>
            <w:vAlign w:val="center"/>
          </w:tcPr>
          <w:p w14:paraId="6A32B1F9">
            <w:pPr>
              <w:pStyle w:val="17"/>
              <w:spacing w:line="360" w:lineRule="auto"/>
              <w:ind w:firstLine="420" w:firstLineChars="200"/>
              <w:rPr>
                <w:rFonts w:hAnsi="宋体" w:cs="Courier New"/>
                <w:bCs/>
                <w:color w:val="auto"/>
              </w:rPr>
            </w:pPr>
            <w:r>
              <w:rPr>
                <w:rFonts w:hint="eastAsia" w:hAnsi="宋体" w:cs="Courier New"/>
                <w:bCs/>
                <w:color w:val="auto"/>
              </w:rPr>
              <w:t>投标人在截标日前1年内在政府采购活动中存在违约违规情形的（以财政部门出具的书面材料为评分依据），每次扣除3分，最高扣分6分。</w:t>
            </w:r>
          </w:p>
        </w:tc>
      </w:tr>
      <w:tr w14:paraId="3C09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vAlign w:val="center"/>
          </w:tcPr>
          <w:p w14:paraId="788D485E">
            <w:pPr>
              <w:pStyle w:val="17"/>
              <w:spacing w:line="360" w:lineRule="auto"/>
              <w:ind w:firstLine="420"/>
              <w:rPr>
                <w:rFonts w:hAnsi="宋体" w:cs="Courier New"/>
                <w:bCs/>
                <w:color w:val="auto"/>
              </w:rPr>
            </w:pPr>
            <w:r>
              <w:rPr>
                <w:rFonts w:hint="eastAsia" w:hAnsi="宋体" w:cs="Courier New"/>
                <w:b/>
                <w:bCs/>
                <w:color w:val="auto"/>
              </w:rPr>
              <w:t>总得分=1+2+3+4+5。</w:t>
            </w:r>
          </w:p>
        </w:tc>
      </w:tr>
    </w:tbl>
    <w:p w14:paraId="155E9190">
      <w:pPr>
        <w:pStyle w:val="17"/>
        <w:spacing w:line="460" w:lineRule="exact"/>
        <w:jc w:val="left"/>
        <w:rPr>
          <w:rFonts w:hAnsi="宋体"/>
          <w:bCs/>
          <w:color w:val="auto"/>
        </w:rPr>
      </w:pPr>
      <w:r>
        <w:rPr>
          <w:rFonts w:hint="eastAsia" w:hAnsi="宋体"/>
          <w:bCs/>
          <w:color w:val="auto"/>
        </w:rPr>
        <w:t>注：计分方法按四舍五入取至百分位。</w:t>
      </w:r>
    </w:p>
    <w:p w14:paraId="15480B7E">
      <w:pPr>
        <w:spacing w:line="460" w:lineRule="exact"/>
        <w:jc w:val="center"/>
        <w:rPr>
          <w:color w:val="auto"/>
        </w:rPr>
      </w:pPr>
      <w:r>
        <w:rPr>
          <w:color w:val="auto"/>
        </w:rPr>
        <w:br w:type="page"/>
      </w:r>
    </w:p>
    <w:p w14:paraId="79A3D43E">
      <w:pPr>
        <w:pStyle w:val="17"/>
        <w:spacing w:line="360" w:lineRule="auto"/>
        <w:ind w:firstLine="420"/>
        <w:rPr>
          <w:rFonts w:hAnsi="宋体"/>
          <w:b/>
          <w:color w:val="auto"/>
        </w:rPr>
      </w:pPr>
      <w:r>
        <w:rPr>
          <w:rFonts w:hint="eastAsia" w:hAnsi="宋体"/>
          <w:b/>
          <w:color w:val="auto"/>
        </w:rPr>
        <w:t>本评分办法适用于3分标。</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216"/>
        <w:gridCol w:w="1175"/>
        <w:gridCol w:w="6534"/>
      </w:tblGrid>
      <w:tr w14:paraId="2BF3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gridSpan w:val="2"/>
            <w:vAlign w:val="center"/>
          </w:tcPr>
          <w:p w14:paraId="1476FFC2">
            <w:pPr>
              <w:adjustRightInd w:val="0"/>
              <w:spacing w:line="360" w:lineRule="auto"/>
              <w:jc w:val="center"/>
              <w:textAlignment w:val="baseline"/>
              <w:rPr>
                <w:rFonts w:ascii="宋体" w:hAnsi="宋体"/>
                <w:color w:val="auto"/>
                <w:szCs w:val="21"/>
              </w:rPr>
            </w:pPr>
            <w:r>
              <w:rPr>
                <w:rFonts w:hint="eastAsia" w:ascii="宋体" w:hAnsi="宋体"/>
                <w:b/>
                <w:color w:val="auto"/>
                <w:szCs w:val="21"/>
              </w:rPr>
              <w:t>序号</w:t>
            </w:r>
          </w:p>
        </w:tc>
        <w:tc>
          <w:tcPr>
            <w:tcW w:w="1175" w:type="dxa"/>
            <w:vAlign w:val="center"/>
          </w:tcPr>
          <w:p w14:paraId="616618CC">
            <w:pPr>
              <w:adjustRightInd w:val="0"/>
              <w:spacing w:line="360" w:lineRule="auto"/>
              <w:jc w:val="center"/>
              <w:textAlignment w:val="baseline"/>
              <w:rPr>
                <w:rFonts w:ascii="宋体" w:hAnsi="宋体"/>
                <w:color w:val="auto"/>
                <w:szCs w:val="21"/>
              </w:rPr>
            </w:pPr>
            <w:r>
              <w:rPr>
                <w:rFonts w:hint="eastAsia" w:ascii="宋体" w:hAnsi="宋体"/>
                <w:b/>
                <w:color w:val="auto"/>
                <w:szCs w:val="21"/>
              </w:rPr>
              <w:t>评审因素</w:t>
            </w:r>
          </w:p>
        </w:tc>
        <w:tc>
          <w:tcPr>
            <w:tcW w:w="6534" w:type="dxa"/>
            <w:vAlign w:val="center"/>
          </w:tcPr>
          <w:p w14:paraId="0D7E413B">
            <w:pPr>
              <w:adjustRightInd w:val="0"/>
              <w:spacing w:line="360" w:lineRule="auto"/>
              <w:jc w:val="center"/>
              <w:textAlignment w:val="baseline"/>
              <w:rPr>
                <w:rFonts w:ascii="宋体" w:hAnsi="宋体"/>
                <w:color w:val="auto"/>
                <w:szCs w:val="21"/>
              </w:rPr>
            </w:pPr>
            <w:r>
              <w:rPr>
                <w:rFonts w:hint="eastAsia" w:ascii="宋体" w:hAnsi="宋体"/>
                <w:b/>
                <w:color w:val="auto"/>
                <w:szCs w:val="21"/>
              </w:rPr>
              <w:t>评标标准</w:t>
            </w:r>
          </w:p>
        </w:tc>
      </w:tr>
      <w:tr w14:paraId="6265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1114E18D">
            <w:pPr>
              <w:adjustRightInd w:val="0"/>
              <w:spacing w:line="360" w:lineRule="auto"/>
              <w:jc w:val="center"/>
              <w:textAlignment w:val="baseline"/>
              <w:rPr>
                <w:rFonts w:ascii="宋体" w:hAnsi="宋体"/>
                <w:b/>
                <w:color w:val="auto"/>
                <w:szCs w:val="21"/>
              </w:rPr>
            </w:pPr>
            <w:r>
              <w:rPr>
                <w:rFonts w:hint="eastAsia" w:ascii="宋体" w:hAnsi="宋体"/>
                <w:b/>
                <w:color w:val="auto"/>
                <w:szCs w:val="21"/>
              </w:rPr>
              <w:t>1</w:t>
            </w:r>
          </w:p>
        </w:tc>
        <w:tc>
          <w:tcPr>
            <w:tcW w:w="1216" w:type="dxa"/>
            <w:vAlign w:val="center"/>
          </w:tcPr>
          <w:p w14:paraId="6537D435">
            <w:pPr>
              <w:adjustRightInd w:val="0"/>
              <w:spacing w:line="360" w:lineRule="auto"/>
              <w:jc w:val="center"/>
              <w:textAlignment w:val="baseline"/>
              <w:rPr>
                <w:rFonts w:ascii="宋体" w:hAnsi="宋体"/>
                <w:b/>
                <w:color w:val="auto"/>
                <w:szCs w:val="21"/>
              </w:rPr>
            </w:pPr>
            <w:r>
              <w:rPr>
                <w:rFonts w:hint="eastAsia" w:ascii="宋体" w:hAnsi="宋体"/>
                <w:b/>
                <w:color w:val="auto"/>
                <w:szCs w:val="21"/>
              </w:rPr>
              <w:t>价格分</w:t>
            </w:r>
          </w:p>
          <w:p w14:paraId="6616300A">
            <w:pPr>
              <w:adjustRightInd w:val="0"/>
              <w:spacing w:line="360" w:lineRule="auto"/>
              <w:jc w:val="center"/>
              <w:textAlignment w:val="baseline"/>
              <w:rPr>
                <w:rFonts w:ascii="宋体" w:hAnsi="宋体"/>
                <w:color w:val="auto"/>
                <w:szCs w:val="21"/>
              </w:rPr>
            </w:pPr>
            <w:r>
              <w:rPr>
                <w:rFonts w:hint="eastAsia" w:ascii="宋体" w:hAnsi="宋体"/>
                <w:b/>
                <w:bCs/>
                <w:color w:val="auto"/>
                <w:szCs w:val="21"/>
              </w:rPr>
              <w:t>（满分30分）</w:t>
            </w:r>
          </w:p>
        </w:tc>
        <w:tc>
          <w:tcPr>
            <w:tcW w:w="1175" w:type="dxa"/>
            <w:vAlign w:val="center"/>
          </w:tcPr>
          <w:p w14:paraId="558A8673">
            <w:pPr>
              <w:adjustRightInd w:val="0"/>
              <w:spacing w:line="360" w:lineRule="auto"/>
              <w:jc w:val="center"/>
              <w:textAlignment w:val="baseline"/>
              <w:rPr>
                <w:rFonts w:ascii="宋体" w:hAnsi="宋体"/>
                <w:b/>
                <w:color w:val="auto"/>
                <w:szCs w:val="21"/>
              </w:rPr>
            </w:pPr>
            <w:r>
              <w:rPr>
                <w:rFonts w:hint="eastAsia" w:ascii="宋体" w:hAnsi="宋体"/>
                <w:b/>
                <w:color w:val="auto"/>
                <w:szCs w:val="21"/>
              </w:rPr>
              <w:t>投标报价</w:t>
            </w:r>
          </w:p>
        </w:tc>
        <w:tc>
          <w:tcPr>
            <w:tcW w:w="6534" w:type="dxa"/>
            <w:vAlign w:val="center"/>
          </w:tcPr>
          <w:p w14:paraId="1460CB30">
            <w:pPr>
              <w:snapToGrid w:val="0"/>
              <w:spacing w:line="360" w:lineRule="auto"/>
              <w:ind w:firstLine="443" w:firstLineChars="211"/>
              <w:rPr>
                <w:rFonts w:ascii="宋体" w:hAnsi="宋体"/>
                <w:color w:val="auto"/>
                <w:szCs w:val="21"/>
              </w:rPr>
            </w:pPr>
            <w:r>
              <w:rPr>
                <w:rFonts w:hint="eastAsia" w:ascii="宋体" w:hAnsi="宋体"/>
                <w:color w:val="auto"/>
                <w:szCs w:val="21"/>
              </w:rPr>
              <w:t>（1）评标价为投标人的投标报价进行政策性扣除后的价格，评标价只是作为评标时使用。最终中标人的中标金额＝投标报价。</w:t>
            </w:r>
          </w:p>
          <w:p w14:paraId="682C132B">
            <w:pPr>
              <w:snapToGrid w:val="0"/>
              <w:spacing w:line="360" w:lineRule="auto"/>
              <w:ind w:firstLine="443" w:firstLineChars="211"/>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）以进入综合评分环节的最低的评标报价为基准价，基准价报价得分为30分。</w:t>
            </w:r>
          </w:p>
          <w:p w14:paraId="4661AE6B">
            <w:pPr>
              <w:snapToGrid w:val="0"/>
              <w:spacing w:line="360" w:lineRule="auto"/>
              <w:ind w:firstLine="443" w:firstLineChars="211"/>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）价格分计算公式：</w:t>
            </w:r>
          </w:p>
          <w:p w14:paraId="57D12F81">
            <w:pPr>
              <w:snapToGrid w:val="0"/>
              <w:spacing w:line="360" w:lineRule="auto"/>
              <w:ind w:firstLine="443" w:firstLineChars="211"/>
              <w:rPr>
                <w:rFonts w:hAnsi="宋体" w:cs="Courier New"/>
                <w:bCs/>
                <w:color w:val="auto"/>
              </w:rPr>
            </w:pPr>
            <w:r>
              <w:rPr>
                <w:rFonts w:hint="eastAsia" w:ascii="宋体" w:hAnsi="宋体"/>
                <w:color w:val="auto"/>
                <w:szCs w:val="21"/>
              </w:rPr>
              <w:t>某投标人价格分=基准价/某投标人评标报价金额×30分</w:t>
            </w:r>
          </w:p>
        </w:tc>
      </w:tr>
      <w:tr w14:paraId="4C9F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restart"/>
            <w:vAlign w:val="center"/>
          </w:tcPr>
          <w:p w14:paraId="3EE1A907">
            <w:pPr>
              <w:adjustRightInd w:val="0"/>
              <w:spacing w:line="360" w:lineRule="auto"/>
              <w:jc w:val="center"/>
              <w:textAlignment w:val="baseline"/>
              <w:rPr>
                <w:rFonts w:ascii="宋体" w:hAnsi="宋体"/>
                <w:b/>
                <w:color w:val="auto"/>
                <w:szCs w:val="21"/>
              </w:rPr>
            </w:pPr>
            <w:r>
              <w:rPr>
                <w:rFonts w:hint="eastAsia" w:ascii="宋体" w:hAnsi="宋体"/>
                <w:b/>
                <w:color w:val="auto"/>
                <w:szCs w:val="21"/>
              </w:rPr>
              <w:t>2</w:t>
            </w:r>
          </w:p>
        </w:tc>
        <w:tc>
          <w:tcPr>
            <w:tcW w:w="1216" w:type="dxa"/>
            <w:vMerge w:val="restart"/>
            <w:vAlign w:val="center"/>
          </w:tcPr>
          <w:p w14:paraId="1F7B48EB">
            <w:pPr>
              <w:adjustRightInd w:val="0"/>
              <w:spacing w:line="360" w:lineRule="auto"/>
              <w:ind w:left="-105" w:leftChars="-50" w:right="-105" w:rightChars="-50"/>
              <w:jc w:val="center"/>
              <w:textAlignment w:val="baseline"/>
              <w:rPr>
                <w:rFonts w:ascii="宋体" w:hAnsi="宋体"/>
                <w:b/>
                <w:bCs/>
                <w:color w:val="auto"/>
                <w:szCs w:val="21"/>
              </w:rPr>
            </w:pPr>
            <w:r>
              <w:rPr>
                <w:rFonts w:hint="eastAsia" w:ascii="宋体" w:hAnsi="宋体"/>
                <w:b/>
                <w:bCs/>
                <w:color w:val="auto"/>
                <w:szCs w:val="21"/>
              </w:rPr>
              <w:t>技术分</w:t>
            </w:r>
          </w:p>
          <w:p w14:paraId="75DF3190">
            <w:pPr>
              <w:adjustRightInd w:val="0"/>
              <w:spacing w:line="360" w:lineRule="auto"/>
              <w:ind w:left="-105" w:leftChars="-50" w:right="-105" w:rightChars="-50"/>
              <w:jc w:val="center"/>
              <w:textAlignment w:val="baseline"/>
              <w:rPr>
                <w:rFonts w:ascii="宋体" w:hAnsi="宋体"/>
                <w:b/>
                <w:bCs/>
                <w:color w:val="auto"/>
                <w:spacing w:val="-18"/>
                <w:szCs w:val="21"/>
              </w:rPr>
            </w:pPr>
            <w:r>
              <w:rPr>
                <w:rFonts w:hint="eastAsia" w:ascii="宋体" w:hAnsi="宋体"/>
                <w:b/>
                <w:bCs/>
                <w:color w:val="auto"/>
                <w:szCs w:val="21"/>
              </w:rPr>
              <w:t>（满分45分）</w:t>
            </w:r>
          </w:p>
        </w:tc>
        <w:tc>
          <w:tcPr>
            <w:tcW w:w="1175" w:type="dxa"/>
            <w:vAlign w:val="center"/>
          </w:tcPr>
          <w:p w14:paraId="69166C46">
            <w:pPr>
              <w:adjustRightInd w:val="0"/>
              <w:spacing w:line="360" w:lineRule="auto"/>
              <w:jc w:val="center"/>
              <w:textAlignment w:val="baseline"/>
              <w:rPr>
                <w:rFonts w:ascii="宋体" w:hAnsi="宋体"/>
                <w:color w:val="auto"/>
                <w:szCs w:val="21"/>
                <w:u w:val="single"/>
              </w:rPr>
            </w:pPr>
            <w:r>
              <w:rPr>
                <w:rFonts w:hint="eastAsia" w:ascii="宋体" w:hAnsi="宋体"/>
                <w:color w:val="auto"/>
                <w:szCs w:val="21"/>
              </w:rPr>
              <w:t>基本分（满分20分）</w:t>
            </w:r>
          </w:p>
        </w:tc>
        <w:tc>
          <w:tcPr>
            <w:tcW w:w="6534" w:type="dxa"/>
            <w:vAlign w:val="center"/>
          </w:tcPr>
          <w:p w14:paraId="1079CE8F">
            <w:pPr>
              <w:pStyle w:val="17"/>
              <w:spacing w:line="360" w:lineRule="auto"/>
              <w:ind w:firstLine="420" w:firstLineChars="200"/>
              <w:rPr>
                <w:rFonts w:hAnsi="宋体" w:cs="Courier New"/>
                <w:bCs/>
                <w:color w:val="auto"/>
              </w:rPr>
            </w:pPr>
            <w:r>
              <w:rPr>
                <w:rFonts w:hint="eastAsia"/>
                <w:color w:val="auto"/>
              </w:rPr>
              <w:t>技术基本分得20分，除主要技术参数外的技术参数及性能配置不符合招标文件的，每有1项不符合扣4分，最高可扣20分。</w:t>
            </w:r>
          </w:p>
        </w:tc>
      </w:tr>
      <w:tr w14:paraId="39AD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vAlign w:val="center"/>
          </w:tcPr>
          <w:p w14:paraId="7F1D752B">
            <w:pPr>
              <w:adjustRightInd w:val="0"/>
              <w:spacing w:line="360" w:lineRule="auto"/>
              <w:jc w:val="center"/>
              <w:textAlignment w:val="baseline"/>
              <w:rPr>
                <w:rFonts w:ascii="宋体" w:hAnsi="宋体"/>
                <w:b/>
                <w:color w:val="auto"/>
                <w:szCs w:val="21"/>
              </w:rPr>
            </w:pPr>
          </w:p>
        </w:tc>
        <w:tc>
          <w:tcPr>
            <w:tcW w:w="1216" w:type="dxa"/>
            <w:vMerge w:val="continue"/>
            <w:vAlign w:val="center"/>
          </w:tcPr>
          <w:p w14:paraId="271AFCE5">
            <w:pPr>
              <w:adjustRightInd w:val="0"/>
              <w:spacing w:line="360" w:lineRule="auto"/>
              <w:ind w:left="-105" w:leftChars="-50" w:right="-105" w:rightChars="-50"/>
              <w:jc w:val="center"/>
              <w:textAlignment w:val="baseline"/>
              <w:rPr>
                <w:rFonts w:ascii="宋体" w:hAnsi="宋体"/>
                <w:b/>
                <w:bCs/>
                <w:color w:val="auto"/>
                <w:szCs w:val="21"/>
              </w:rPr>
            </w:pPr>
          </w:p>
        </w:tc>
        <w:tc>
          <w:tcPr>
            <w:tcW w:w="1175" w:type="dxa"/>
            <w:vAlign w:val="center"/>
          </w:tcPr>
          <w:p w14:paraId="444203D4">
            <w:pPr>
              <w:adjustRightInd w:val="0"/>
              <w:spacing w:line="360" w:lineRule="auto"/>
              <w:jc w:val="center"/>
              <w:textAlignment w:val="baseline"/>
              <w:rPr>
                <w:rFonts w:ascii="宋体" w:hAnsi="宋体"/>
                <w:color w:val="auto"/>
                <w:szCs w:val="21"/>
              </w:rPr>
            </w:pPr>
            <w:r>
              <w:rPr>
                <w:rFonts w:hint="eastAsia" w:ascii="宋体" w:hAnsi="宋体"/>
                <w:color w:val="auto"/>
                <w:szCs w:val="21"/>
              </w:rPr>
              <w:t>技术参数及性能配置分（满分15分）</w:t>
            </w:r>
          </w:p>
        </w:tc>
        <w:tc>
          <w:tcPr>
            <w:tcW w:w="6534" w:type="dxa"/>
            <w:vAlign w:val="center"/>
          </w:tcPr>
          <w:p w14:paraId="5876A772">
            <w:pPr>
              <w:pStyle w:val="17"/>
              <w:spacing w:line="360" w:lineRule="auto"/>
              <w:ind w:firstLine="420" w:firstLineChars="200"/>
              <w:rPr>
                <w:rFonts w:hAnsi="宋体"/>
                <w:color w:val="auto"/>
                <w:szCs w:val="21"/>
              </w:rPr>
            </w:pPr>
            <w:r>
              <w:rPr>
                <w:rFonts w:hint="eastAsia" w:hAnsi="宋体"/>
                <w:color w:val="auto"/>
                <w:szCs w:val="21"/>
              </w:rPr>
              <w:t>投标人对13项“▲”参数提供功能截图、承诺文件，仅响应“▲”参数不提供功能截图的，每有1项不符合扣2分，最高可扣15分。</w:t>
            </w:r>
          </w:p>
        </w:tc>
      </w:tr>
      <w:tr w14:paraId="6DA4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vAlign w:val="center"/>
          </w:tcPr>
          <w:p w14:paraId="21845E57">
            <w:pPr>
              <w:adjustRightInd w:val="0"/>
              <w:spacing w:line="360" w:lineRule="auto"/>
              <w:jc w:val="center"/>
              <w:textAlignment w:val="baseline"/>
              <w:rPr>
                <w:rFonts w:ascii="宋体" w:hAnsi="宋体"/>
                <w:b/>
                <w:color w:val="auto"/>
                <w:szCs w:val="21"/>
              </w:rPr>
            </w:pPr>
          </w:p>
        </w:tc>
        <w:tc>
          <w:tcPr>
            <w:tcW w:w="1216" w:type="dxa"/>
            <w:vMerge w:val="continue"/>
            <w:vAlign w:val="center"/>
          </w:tcPr>
          <w:p w14:paraId="38B51895">
            <w:pPr>
              <w:adjustRightInd w:val="0"/>
              <w:spacing w:line="360" w:lineRule="auto"/>
              <w:ind w:left="-105" w:leftChars="-50" w:right="-105" w:rightChars="-50"/>
              <w:jc w:val="center"/>
              <w:textAlignment w:val="baseline"/>
              <w:rPr>
                <w:rFonts w:ascii="宋体" w:hAnsi="宋体"/>
                <w:b/>
                <w:bCs/>
                <w:color w:val="auto"/>
                <w:szCs w:val="21"/>
              </w:rPr>
            </w:pPr>
          </w:p>
        </w:tc>
        <w:tc>
          <w:tcPr>
            <w:tcW w:w="1175" w:type="dxa"/>
            <w:vAlign w:val="center"/>
          </w:tcPr>
          <w:p w14:paraId="1AB46B42">
            <w:pPr>
              <w:adjustRightInd w:val="0"/>
              <w:spacing w:line="360" w:lineRule="auto"/>
              <w:jc w:val="center"/>
              <w:textAlignment w:val="baseline"/>
              <w:rPr>
                <w:rFonts w:ascii="宋体" w:hAnsi="宋体"/>
                <w:color w:val="auto"/>
                <w:szCs w:val="21"/>
              </w:rPr>
            </w:pPr>
            <w:r>
              <w:rPr>
                <w:rFonts w:hint="eastAsia" w:ascii="宋体" w:hAnsi="宋体"/>
                <w:color w:val="auto"/>
                <w:szCs w:val="21"/>
              </w:rPr>
              <w:t>项目人员配置（满分10分）</w:t>
            </w:r>
          </w:p>
        </w:tc>
        <w:tc>
          <w:tcPr>
            <w:tcW w:w="6534" w:type="dxa"/>
            <w:vAlign w:val="center"/>
          </w:tcPr>
          <w:p w14:paraId="5EA61C6C">
            <w:pPr>
              <w:spacing w:line="480" w:lineRule="exact"/>
              <w:ind w:firstLine="420" w:firstLineChars="200"/>
              <w:rPr>
                <w:rFonts w:hAnsi="宋体" w:cs="Courier New"/>
                <w:bCs/>
                <w:color w:val="auto"/>
              </w:rPr>
            </w:pPr>
            <w:r>
              <w:rPr>
                <w:rFonts w:hint="eastAsia" w:hAnsi="宋体" w:cs="Courier New"/>
                <w:bCs/>
                <w:color w:val="auto"/>
              </w:rPr>
              <w:t>由评标委员会</w:t>
            </w:r>
            <w:r>
              <w:rPr>
                <w:rFonts w:hint="eastAsia" w:ascii="宋体" w:hAnsi="宋体" w:cs="Courier New"/>
                <w:bCs/>
                <w:color w:val="auto"/>
                <w:szCs w:val="20"/>
                <w:lang w:bidi="ar"/>
              </w:rPr>
              <w:t>根据投标人提供本项目的人员配置方案，</w:t>
            </w:r>
            <w:r>
              <w:rPr>
                <w:rFonts w:hint="eastAsia" w:hAnsi="宋体" w:cs="Courier New"/>
                <w:bCs/>
                <w:color w:val="auto"/>
              </w:rPr>
              <w:t>独立打分：</w:t>
            </w:r>
          </w:p>
          <w:p w14:paraId="36CB6C93">
            <w:pPr>
              <w:spacing w:line="480" w:lineRule="exact"/>
              <w:ind w:firstLine="420" w:firstLineChars="200"/>
              <w:rPr>
                <w:rFonts w:ascii="宋体" w:hAnsi="宋体"/>
                <w:color w:val="auto"/>
                <w:szCs w:val="21"/>
              </w:rPr>
            </w:pPr>
            <w:r>
              <w:rPr>
                <w:rFonts w:hint="eastAsia" w:ascii="宋体" w:hAnsi="宋体"/>
                <w:color w:val="auto"/>
                <w:szCs w:val="21"/>
              </w:rPr>
              <w:t>一档（4分）：投标人对项目实施配置有1位技术支持人员；要求同时具备本科及以上学历，技术人员具有三级以上（含）电子商务师职业技能等级证书；</w:t>
            </w:r>
          </w:p>
          <w:p w14:paraId="70BACB7F">
            <w:pPr>
              <w:spacing w:line="480" w:lineRule="exact"/>
              <w:ind w:firstLine="420" w:firstLineChars="200"/>
              <w:rPr>
                <w:rFonts w:ascii="宋体" w:hAnsi="宋体"/>
                <w:color w:val="auto"/>
                <w:szCs w:val="21"/>
              </w:rPr>
            </w:pPr>
            <w:r>
              <w:rPr>
                <w:rFonts w:hint="eastAsia" w:ascii="宋体" w:hAnsi="宋体"/>
                <w:color w:val="auto"/>
                <w:szCs w:val="21"/>
              </w:rPr>
              <w:t>二档（7分）：投标人对项目实施配置1位技术支持人员、1位项目管理人员；技术支持人员要求同时具备本科及以上学历，三级以上（含）电子商务师职业技能等级证书；项目管理人员要求同时具备本科及以上学历具有二级以上（含）电子商务师职业技能等级证书；</w:t>
            </w:r>
          </w:p>
          <w:p w14:paraId="4BFA8BE7">
            <w:pPr>
              <w:spacing w:line="480" w:lineRule="exact"/>
              <w:ind w:firstLine="420" w:firstLineChars="200"/>
              <w:rPr>
                <w:rFonts w:ascii="宋体" w:hAnsi="宋体"/>
                <w:color w:val="auto"/>
                <w:szCs w:val="21"/>
              </w:rPr>
            </w:pPr>
            <w:r>
              <w:rPr>
                <w:rFonts w:hint="eastAsia" w:ascii="宋体" w:hAnsi="宋体"/>
                <w:color w:val="auto"/>
                <w:szCs w:val="21"/>
              </w:rPr>
              <w:t>三档（10分）：投标人对项目实施至少配置有1位技术支持人员、1位项目管理人员、1位课程资源管理人员，并制定人员规划安排表，人员总数配备5人及以上。所有人员均要求本科及以上学历，技术支持人员具有三级以上（含）电子商务师职业技能等级证书，项目管理人员、课程资源管理人员具有二级以上（含）电子商务师职业技能等级证书；</w:t>
            </w:r>
          </w:p>
          <w:p w14:paraId="718CC5D6">
            <w:pPr>
              <w:pStyle w:val="30"/>
              <w:ind w:firstLine="420" w:firstLineChars="200"/>
              <w:jc w:val="left"/>
              <w:rPr>
                <w:color w:val="auto"/>
              </w:rPr>
            </w:pPr>
            <w:r>
              <w:rPr>
                <w:rFonts w:hint="eastAsia" w:ascii="宋体" w:hAnsi="宋体"/>
                <w:b w:val="0"/>
                <w:bCs w:val="0"/>
                <w:color w:val="auto"/>
                <w:sz w:val="21"/>
                <w:szCs w:val="21"/>
              </w:rPr>
              <w:t>未提供证明材料不得分。</w:t>
            </w:r>
          </w:p>
        </w:tc>
      </w:tr>
      <w:tr w14:paraId="4BB4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525" w:type="dxa"/>
            <w:vMerge w:val="restart"/>
            <w:vAlign w:val="center"/>
          </w:tcPr>
          <w:p w14:paraId="74CBCBD1">
            <w:pPr>
              <w:spacing w:line="360" w:lineRule="auto"/>
              <w:jc w:val="center"/>
              <w:rPr>
                <w:rFonts w:ascii="宋体" w:hAnsi="宋体"/>
                <w:b/>
                <w:color w:val="auto"/>
                <w:szCs w:val="21"/>
              </w:rPr>
            </w:pPr>
            <w:r>
              <w:rPr>
                <w:rFonts w:hint="eastAsia" w:ascii="宋体" w:hAnsi="宋体"/>
                <w:b/>
                <w:color w:val="auto"/>
                <w:szCs w:val="21"/>
              </w:rPr>
              <w:t>3</w:t>
            </w:r>
          </w:p>
        </w:tc>
        <w:tc>
          <w:tcPr>
            <w:tcW w:w="1216" w:type="dxa"/>
            <w:vMerge w:val="restart"/>
            <w:vAlign w:val="center"/>
          </w:tcPr>
          <w:p w14:paraId="0770CC83">
            <w:pPr>
              <w:spacing w:line="360" w:lineRule="auto"/>
              <w:jc w:val="center"/>
              <w:rPr>
                <w:rFonts w:ascii="宋体" w:hAnsi="宋体"/>
                <w:b/>
                <w:color w:val="auto"/>
                <w:szCs w:val="21"/>
              </w:rPr>
            </w:pPr>
            <w:r>
              <w:rPr>
                <w:rFonts w:hint="eastAsia" w:ascii="宋体" w:hAnsi="宋体"/>
                <w:b/>
                <w:color w:val="auto"/>
                <w:szCs w:val="21"/>
              </w:rPr>
              <w:t>商务分</w:t>
            </w:r>
          </w:p>
          <w:p w14:paraId="05803D7F">
            <w:pPr>
              <w:spacing w:line="360" w:lineRule="auto"/>
              <w:jc w:val="center"/>
              <w:rPr>
                <w:rFonts w:ascii="宋体" w:hAnsi="宋体"/>
                <w:b/>
                <w:color w:val="auto"/>
                <w:szCs w:val="21"/>
              </w:rPr>
            </w:pPr>
            <w:r>
              <w:rPr>
                <w:rFonts w:hint="eastAsia" w:ascii="宋体" w:hAnsi="宋体"/>
                <w:b/>
                <w:color w:val="auto"/>
                <w:szCs w:val="21"/>
              </w:rPr>
              <w:t>（满分</w:t>
            </w:r>
            <w:r>
              <w:rPr>
                <w:rFonts w:hint="eastAsia" w:ascii="宋体" w:hAnsi="宋体"/>
                <w:b/>
                <w:color w:val="auto"/>
                <w:szCs w:val="21"/>
                <w:lang w:val="en-US" w:eastAsia="zh-CN"/>
              </w:rPr>
              <w:t>23</w:t>
            </w:r>
            <w:r>
              <w:rPr>
                <w:rFonts w:hint="eastAsia" w:ascii="宋体" w:hAnsi="宋体"/>
                <w:b/>
                <w:color w:val="auto"/>
                <w:szCs w:val="21"/>
              </w:rPr>
              <w:t>分）</w:t>
            </w:r>
          </w:p>
        </w:tc>
        <w:tc>
          <w:tcPr>
            <w:tcW w:w="1175" w:type="dxa"/>
            <w:tcMar>
              <w:left w:w="57" w:type="dxa"/>
              <w:right w:w="57" w:type="dxa"/>
            </w:tcMar>
            <w:vAlign w:val="center"/>
          </w:tcPr>
          <w:p w14:paraId="30B23220">
            <w:pPr>
              <w:adjustRightInd w:val="0"/>
              <w:spacing w:line="360" w:lineRule="auto"/>
              <w:jc w:val="center"/>
              <w:textAlignment w:val="baseline"/>
              <w:rPr>
                <w:rFonts w:ascii="宋体" w:hAnsi="宋体"/>
                <w:color w:val="auto"/>
                <w:szCs w:val="21"/>
              </w:rPr>
            </w:pPr>
            <w:r>
              <w:rPr>
                <w:rFonts w:hint="eastAsia" w:ascii="宋体" w:hAnsi="宋体"/>
                <w:color w:val="auto"/>
                <w:szCs w:val="21"/>
              </w:rPr>
              <w:t>售后服务方案分（满分8分）</w:t>
            </w:r>
          </w:p>
        </w:tc>
        <w:tc>
          <w:tcPr>
            <w:tcW w:w="6534" w:type="dxa"/>
            <w:vAlign w:val="center"/>
          </w:tcPr>
          <w:p w14:paraId="434D8F3A">
            <w:pPr>
              <w:pStyle w:val="17"/>
              <w:spacing w:line="360" w:lineRule="auto"/>
              <w:ind w:firstLine="420" w:firstLineChars="200"/>
              <w:rPr>
                <w:rFonts w:hAnsi="宋体" w:cs="Courier New"/>
                <w:bCs/>
                <w:color w:val="auto"/>
              </w:rPr>
            </w:pPr>
            <w:r>
              <w:rPr>
                <w:rFonts w:hint="eastAsia" w:hAnsi="宋体" w:cs="Courier New"/>
                <w:bCs/>
                <w:color w:val="auto"/>
              </w:rPr>
              <w:t>1.基本分</w:t>
            </w:r>
          </w:p>
          <w:p w14:paraId="06B40DF0">
            <w:pPr>
              <w:pStyle w:val="17"/>
              <w:spacing w:line="360" w:lineRule="auto"/>
              <w:ind w:firstLine="420" w:firstLineChars="200"/>
              <w:rPr>
                <w:rFonts w:hAnsi="宋体" w:cs="Courier New"/>
                <w:bCs/>
                <w:color w:val="auto"/>
              </w:rPr>
            </w:pPr>
            <w:r>
              <w:rPr>
                <w:rFonts w:hint="eastAsia" w:hAnsi="宋体" w:cs="Courier New"/>
                <w:bCs/>
                <w:color w:val="auto"/>
              </w:rPr>
              <w:t>售后服务基本分，满足售后服务基础条款的得6分，满分6分；</w:t>
            </w:r>
          </w:p>
          <w:p w14:paraId="286AB487">
            <w:pPr>
              <w:pStyle w:val="17"/>
              <w:spacing w:line="360" w:lineRule="auto"/>
              <w:ind w:firstLine="420" w:firstLineChars="200"/>
              <w:rPr>
                <w:rFonts w:hAnsi="宋体" w:cs="Courier New"/>
                <w:bCs/>
                <w:color w:val="auto"/>
              </w:rPr>
            </w:pPr>
            <w:r>
              <w:rPr>
                <w:rFonts w:hint="eastAsia" w:hAnsi="宋体" w:cs="Courier New"/>
                <w:bCs/>
                <w:color w:val="auto"/>
              </w:rPr>
              <w:t>2.售后服务条款加分</w:t>
            </w:r>
          </w:p>
          <w:p w14:paraId="5C4F1B0F">
            <w:pPr>
              <w:pStyle w:val="17"/>
              <w:spacing w:line="360" w:lineRule="auto"/>
              <w:ind w:firstLine="420" w:firstLineChars="200"/>
              <w:rPr>
                <w:rFonts w:hAnsi="宋体" w:cs="Courier New"/>
                <w:bCs/>
                <w:color w:val="auto"/>
              </w:rPr>
            </w:pPr>
            <w:r>
              <w:rPr>
                <w:rFonts w:hint="eastAsia" w:hAnsi="宋体" w:cs="Courier New"/>
                <w:bCs/>
                <w:color w:val="auto"/>
              </w:rPr>
              <w:t>主要售后服务条款优于招标文件且评标时被评标委员会接受的，每提升一项加0.5分，满分2分。</w:t>
            </w:r>
          </w:p>
        </w:tc>
      </w:tr>
      <w:tr w14:paraId="57C0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25" w:type="dxa"/>
            <w:vMerge w:val="continue"/>
            <w:vAlign w:val="center"/>
          </w:tcPr>
          <w:p w14:paraId="28701721">
            <w:pPr>
              <w:spacing w:line="360" w:lineRule="auto"/>
              <w:jc w:val="center"/>
              <w:rPr>
                <w:rFonts w:ascii="宋体" w:hAnsi="宋体"/>
                <w:b/>
                <w:color w:val="auto"/>
                <w:szCs w:val="21"/>
              </w:rPr>
            </w:pPr>
          </w:p>
        </w:tc>
        <w:tc>
          <w:tcPr>
            <w:tcW w:w="1216" w:type="dxa"/>
            <w:vMerge w:val="continue"/>
            <w:vAlign w:val="center"/>
          </w:tcPr>
          <w:p w14:paraId="04DD93B0">
            <w:pPr>
              <w:spacing w:line="360" w:lineRule="auto"/>
              <w:jc w:val="center"/>
              <w:rPr>
                <w:rFonts w:ascii="宋体" w:hAnsi="宋体"/>
                <w:b/>
                <w:color w:val="auto"/>
                <w:szCs w:val="21"/>
              </w:rPr>
            </w:pPr>
          </w:p>
        </w:tc>
        <w:tc>
          <w:tcPr>
            <w:tcW w:w="1175" w:type="dxa"/>
            <w:tcMar>
              <w:left w:w="57" w:type="dxa"/>
              <w:right w:w="57" w:type="dxa"/>
            </w:tcMar>
            <w:vAlign w:val="center"/>
          </w:tcPr>
          <w:p w14:paraId="7ACEDCCC">
            <w:pPr>
              <w:spacing w:line="360" w:lineRule="auto"/>
              <w:jc w:val="center"/>
              <w:rPr>
                <w:rFonts w:ascii="宋体" w:hAnsi="宋体"/>
                <w:b/>
                <w:color w:val="auto"/>
                <w:szCs w:val="21"/>
              </w:rPr>
            </w:pPr>
            <w:r>
              <w:rPr>
                <w:rFonts w:hint="eastAsia" w:ascii="宋体" w:hAnsi="宋体"/>
                <w:bCs/>
                <w:color w:val="auto"/>
                <w:szCs w:val="21"/>
              </w:rPr>
              <w:t>教学成果转换（满分</w:t>
            </w:r>
            <w:r>
              <w:rPr>
                <w:rFonts w:hint="eastAsia" w:ascii="宋体" w:hAnsi="宋体"/>
                <w:bCs/>
                <w:color w:val="auto"/>
                <w:szCs w:val="21"/>
                <w:lang w:val="en-US" w:eastAsia="zh-CN"/>
              </w:rPr>
              <w:t>10</w:t>
            </w:r>
            <w:r>
              <w:rPr>
                <w:rFonts w:hint="eastAsia" w:ascii="宋体" w:hAnsi="宋体"/>
                <w:bCs/>
                <w:color w:val="auto"/>
                <w:szCs w:val="21"/>
              </w:rPr>
              <w:t>分）</w:t>
            </w:r>
          </w:p>
        </w:tc>
        <w:tc>
          <w:tcPr>
            <w:tcW w:w="6534" w:type="dxa"/>
            <w:vAlign w:val="center"/>
          </w:tcPr>
          <w:p w14:paraId="24A0F872">
            <w:pPr>
              <w:spacing w:line="360" w:lineRule="auto"/>
              <w:ind w:firstLine="420" w:firstLineChars="200"/>
              <w:rPr>
                <w:rFonts w:ascii="宋体" w:hAnsi="宋体" w:cs="Courier New"/>
                <w:color w:val="auto"/>
                <w:szCs w:val="21"/>
              </w:rPr>
            </w:pPr>
            <w:r>
              <w:rPr>
                <w:rFonts w:ascii="宋体" w:hAnsi="宋体" w:cs="Courier New"/>
                <w:color w:val="auto"/>
                <w:szCs w:val="21"/>
              </w:rPr>
              <w:t>为提高专业建设质量，投标人或所投产品生产厂家具有联合申报及建设国家级教学资源库的能力，以提高本专业资源开发及教学成果转化，提供教学资源库</w:t>
            </w:r>
            <w:r>
              <w:rPr>
                <w:rFonts w:hint="eastAsia" w:ascii="宋体" w:hAnsi="宋体" w:cs="Courier New"/>
                <w:color w:val="auto"/>
                <w:szCs w:val="21"/>
              </w:rPr>
              <w:t>联合申报与技术支持合作单位证书</w:t>
            </w:r>
            <w:r>
              <w:rPr>
                <w:rFonts w:ascii="宋体" w:hAnsi="宋体" w:cs="Courier New"/>
                <w:color w:val="auto"/>
                <w:szCs w:val="21"/>
              </w:rPr>
              <w:t>。每提供一项得2分，本项最高得</w:t>
            </w:r>
            <w:r>
              <w:rPr>
                <w:rFonts w:hint="eastAsia" w:ascii="宋体" w:hAnsi="宋体" w:cs="Courier New"/>
                <w:color w:val="auto"/>
                <w:szCs w:val="21"/>
                <w:lang w:val="en-US" w:eastAsia="zh-CN"/>
              </w:rPr>
              <w:t>10</w:t>
            </w:r>
            <w:r>
              <w:rPr>
                <w:rFonts w:ascii="宋体" w:hAnsi="宋体" w:cs="Courier New"/>
                <w:color w:val="auto"/>
                <w:szCs w:val="21"/>
              </w:rPr>
              <w:t>分。</w:t>
            </w:r>
          </w:p>
        </w:tc>
      </w:tr>
      <w:tr w14:paraId="2567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14:paraId="57F0EF01">
            <w:pPr>
              <w:spacing w:line="360" w:lineRule="auto"/>
              <w:jc w:val="center"/>
              <w:rPr>
                <w:rFonts w:ascii="宋体" w:hAnsi="宋体"/>
                <w:color w:val="auto"/>
                <w:szCs w:val="21"/>
              </w:rPr>
            </w:pPr>
          </w:p>
        </w:tc>
        <w:tc>
          <w:tcPr>
            <w:tcW w:w="1216" w:type="dxa"/>
            <w:vMerge w:val="continue"/>
            <w:vAlign w:val="center"/>
          </w:tcPr>
          <w:p w14:paraId="7E380072">
            <w:pPr>
              <w:spacing w:line="360" w:lineRule="auto"/>
              <w:jc w:val="center"/>
              <w:rPr>
                <w:rFonts w:ascii="宋体" w:hAnsi="宋体"/>
                <w:b/>
                <w:color w:val="auto"/>
                <w:szCs w:val="21"/>
              </w:rPr>
            </w:pPr>
          </w:p>
        </w:tc>
        <w:tc>
          <w:tcPr>
            <w:tcW w:w="1175" w:type="dxa"/>
            <w:tcMar>
              <w:left w:w="57" w:type="dxa"/>
              <w:right w:w="57" w:type="dxa"/>
            </w:tcMar>
          </w:tcPr>
          <w:p w14:paraId="6335DFAD">
            <w:pPr>
              <w:pStyle w:val="17"/>
              <w:spacing w:line="360" w:lineRule="auto"/>
              <w:ind w:firstLine="105" w:firstLineChars="50"/>
              <w:jc w:val="center"/>
              <w:rPr>
                <w:rFonts w:hAnsi="宋体" w:cs="Courier New"/>
                <w:b/>
                <w:bCs/>
                <w:color w:val="auto"/>
              </w:rPr>
            </w:pPr>
            <w:r>
              <w:rPr>
                <w:rFonts w:hint="eastAsia" w:hAnsi="宋体" w:cs="Courier New"/>
                <w:color w:val="auto"/>
              </w:rPr>
              <w:t>业绩分（满分</w:t>
            </w:r>
            <w:r>
              <w:rPr>
                <w:rFonts w:hint="eastAsia" w:hAnsi="宋体"/>
                <w:color w:val="auto"/>
              </w:rPr>
              <w:t>5</w:t>
            </w:r>
            <w:r>
              <w:rPr>
                <w:rFonts w:hint="eastAsia" w:hAnsi="宋体" w:cs="Courier New"/>
                <w:color w:val="auto"/>
              </w:rPr>
              <w:t>分）</w:t>
            </w:r>
          </w:p>
        </w:tc>
        <w:tc>
          <w:tcPr>
            <w:tcW w:w="6534" w:type="dxa"/>
            <w:vAlign w:val="center"/>
          </w:tcPr>
          <w:p w14:paraId="5569629D">
            <w:pPr>
              <w:pStyle w:val="17"/>
              <w:spacing w:line="360" w:lineRule="auto"/>
              <w:ind w:firstLine="420" w:firstLineChars="200"/>
              <w:rPr>
                <w:rFonts w:hAnsi="宋体" w:cs="Courier New"/>
                <w:color w:val="auto"/>
                <w:szCs w:val="21"/>
              </w:rPr>
            </w:pPr>
            <w:r>
              <w:rPr>
                <w:rFonts w:hint="eastAsia" w:hAnsi="宋体" w:cs="Courier New"/>
                <w:color w:val="auto"/>
                <w:szCs w:val="21"/>
              </w:rPr>
              <w:t>1.投标人三年以来具有同类业绩（以中标通知书或合同关键页复印件为准），每提供1项业绩1分，满分5分。</w:t>
            </w:r>
          </w:p>
          <w:p w14:paraId="5D601778">
            <w:pPr>
              <w:pStyle w:val="17"/>
              <w:spacing w:line="360" w:lineRule="auto"/>
              <w:ind w:firstLine="420" w:firstLineChars="200"/>
              <w:rPr>
                <w:rFonts w:hAnsi="宋体" w:cs="Courier New"/>
                <w:color w:val="auto"/>
                <w:szCs w:val="21"/>
              </w:rPr>
            </w:pPr>
            <w:r>
              <w:rPr>
                <w:rFonts w:hint="eastAsia" w:hAnsi="宋体" w:cs="Courier New"/>
                <w:color w:val="auto"/>
                <w:szCs w:val="21"/>
              </w:rPr>
              <w:t>业绩时间：2021年11月1日至投标截止日止。</w:t>
            </w:r>
          </w:p>
        </w:tc>
      </w:tr>
      <w:tr w14:paraId="6A75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35849EE1">
            <w:pPr>
              <w:spacing w:line="360" w:lineRule="auto"/>
              <w:jc w:val="center"/>
              <w:rPr>
                <w:rFonts w:ascii="宋体" w:hAnsi="宋体"/>
                <w:color w:val="auto"/>
                <w:szCs w:val="21"/>
              </w:rPr>
            </w:pPr>
            <w:r>
              <w:rPr>
                <w:rFonts w:hint="eastAsia" w:ascii="宋体" w:hAnsi="宋体"/>
                <w:b/>
                <w:color w:val="auto"/>
                <w:szCs w:val="21"/>
              </w:rPr>
              <w:t>4</w:t>
            </w:r>
          </w:p>
        </w:tc>
        <w:tc>
          <w:tcPr>
            <w:tcW w:w="1216" w:type="dxa"/>
            <w:vAlign w:val="center"/>
          </w:tcPr>
          <w:p w14:paraId="492C227B">
            <w:pPr>
              <w:spacing w:line="360" w:lineRule="auto"/>
              <w:jc w:val="center"/>
              <w:rPr>
                <w:rFonts w:ascii="宋体" w:hAnsi="宋体"/>
                <w:b/>
                <w:color w:val="auto"/>
                <w:szCs w:val="21"/>
              </w:rPr>
            </w:pPr>
            <w:r>
              <w:rPr>
                <w:rFonts w:hint="eastAsia" w:ascii="宋体" w:hAnsi="宋体"/>
                <w:b/>
                <w:color w:val="auto"/>
                <w:szCs w:val="21"/>
              </w:rPr>
              <w:t>政策功能分（满分2分）</w:t>
            </w:r>
          </w:p>
        </w:tc>
        <w:tc>
          <w:tcPr>
            <w:tcW w:w="7709" w:type="dxa"/>
            <w:gridSpan w:val="2"/>
            <w:tcMar>
              <w:left w:w="57" w:type="dxa"/>
              <w:right w:w="57" w:type="dxa"/>
            </w:tcMar>
            <w:vAlign w:val="center"/>
          </w:tcPr>
          <w:p w14:paraId="5162B07E">
            <w:pPr>
              <w:pStyle w:val="17"/>
              <w:spacing w:line="360" w:lineRule="auto"/>
              <w:ind w:firstLine="420" w:firstLineChars="200"/>
              <w:jc w:val="left"/>
              <w:rPr>
                <w:rFonts w:hAnsi="宋体" w:cs="Courier New"/>
                <w:bCs/>
                <w:color w:val="auto"/>
              </w:rPr>
            </w:pPr>
            <w:r>
              <w:rPr>
                <w:rFonts w:hint="eastAsia" w:hAnsi="宋体" w:cs="Courier New"/>
                <w:bCs/>
                <w:color w:val="auto"/>
              </w:rPr>
              <w:t>（1）属于财政部《节能产品政府采购品目清单》内优先采购（清单内未标注“★”的品目）的产品[投标文件中提供有效的认证证书复印件及品目清单（标注出投标产品在品目清单中所属的品目），并加盖供应商公章]，根据项目中节能产品合计金额所占该项目（或分标）总报价金额三分之一比例得1分，满1分。</w:t>
            </w:r>
          </w:p>
          <w:p w14:paraId="489A1B77">
            <w:pPr>
              <w:spacing w:line="360" w:lineRule="auto"/>
              <w:jc w:val="left"/>
              <w:rPr>
                <w:rFonts w:hint="eastAsia" w:hAnsi="宋体" w:cs="Courier New"/>
                <w:color w:val="auto"/>
                <w:szCs w:val="21"/>
              </w:rPr>
            </w:pPr>
            <w:r>
              <w:rPr>
                <w:rFonts w:hint="eastAsia" w:hAnsi="宋体" w:cs="Courier New"/>
                <w:bCs/>
                <w:color w:val="auto"/>
              </w:rPr>
              <w:t>（2）属于财政部《环境标志产品政府采购品目清单》内的产品[投标文件中提供有效的认证证书复印件及品目清单（标注出投标产品在品目清单中所属的品目），并加盖供应商公章]，根据项目中环保产品合计金额所占该项目（或分标）总报价金额三分之一比例得1分，满1分。</w:t>
            </w:r>
          </w:p>
        </w:tc>
      </w:tr>
      <w:tr w14:paraId="0BE9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06EB2ED9">
            <w:pPr>
              <w:spacing w:line="360" w:lineRule="auto"/>
              <w:jc w:val="center"/>
              <w:rPr>
                <w:rFonts w:ascii="宋体" w:hAnsi="宋体"/>
                <w:color w:val="auto"/>
                <w:szCs w:val="21"/>
              </w:rPr>
            </w:pPr>
            <w:r>
              <w:rPr>
                <w:rFonts w:hint="eastAsia" w:ascii="宋体" w:hAnsi="宋体"/>
                <w:b/>
                <w:color w:val="auto"/>
                <w:szCs w:val="21"/>
              </w:rPr>
              <w:t>5</w:t>
            </w:r>
          </w:p>
        </w:tc>
        <w:tc>
          <w:tcPr>
            <w:tcW w:w="1216" w:type="dxa"/>
            <w:vAlign w:val="center"/>
          </w:tcPr>
          <w:p w14:paraId="4A98BF85">
            <w:pPr>
              <w:spacing w:line="360" w:lineRule="auto"/>
              <w:jc w:val="center"/>
              <w:rPr>
                <w:rFonts w:ascii="宋体" w:hAnsi="宋体"/>
                <w:b/>
                <w:color w:val="auto"/>
                <w:szCs w:val="21"/>
              </w:rPr>
            </w:pPr>
            <w:r>
              <w:rPr>
                <w:rFonts w:hint="eastAsia" w:ascii="宋体" w:hAnsi="宋体"/>
                <w:b/>
                <w:color w:val="auto"/>
                <w:szCs w:val="21"/>
              </w:rPr>
              <w:t>诚信分（满分0分）</w:t>
            </w:r>
          </w:p>
        </w:tc>
        <w:tc>
          <w:tcPr>
            <w:tcW w:w="7709" w:type="dxa"/>
            <w:gridSpan w:val="2"/>
            <w:tcMar>
              <w:left w:w="57" w:type="dxa"/>
              <w:right w:w="57" w:type="dxa"/>
            </w:tcMar>
            <w:vAlign w:val="center"/>
          </w:tcPr>
          <w:p w14:paraId="7AA9FD30">
            <w:pPr>
              <w:pStyle w:val="17"/>
              <w:ind w:firstLine="420" w:firstLineChars="200"/>
              <w:jc w:val="left"/>
              <w:rPr>
                <w:rFonts w:hint="eastAsia" w:hAnsi="宋体" w:cs="Courier New"/>
                <w:color w:val="auto"/>
                <w:szCs w:val="21"/>
              </w:rPr>
            </w:pPr>
            <w:r>
              <w:rPr>
                <w:rFonts w:hint="eastAsia" w:hAnsi="宋体" w:cs="Courier New"/>
                <w:bCs/>
                <w:color w:val="auto"/>
              </w:rPr>
              <w:t>投标人在截标日前1年内在政府采购活动中存在违约违规情形的（以财政部门出具的书面材料为评分依据），每次扣除3分，最高扣分6分。</w:t>
            </w:r>
          </w:p>
        </w:tc>
      </w:tr>
      <w:tr w14:paraId="52C8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vAlign w:val="center"/>
          </w:tcPr>
          <w:p w14:paraId="7FCE536E">
            <w:pPr>
              <w:pStyle w:val="17"/>
              <w:spacing w:line="360" w:lineRule="auto"/>
              <w:ind w:firstLine="420"/>
              <w:rPr>
                <w:rFonts w:hAnsi="宋体" w:cs="Courier New"/>
                <w:bCs/>
                <w:color w:val="auto"/>
              </w:rPr>
            </w:pPr>
            <w:r>
              <w:rPr>
                <w:rFonts w:hint="eastAsia" w:hAnsi="宋体" w:cs="Courier New"/>
                <w:b/>
                <w:bCs/>
                <w:color w:val="auto"/>
              </w:rPr>
              <w:t>总得分=1+2+3</w:t>
            </w:r>
            <w:r>
              <w:rPr>
                <w:rFonts w:hint="eastAsia" w:hAnsi="宋体" w:cs="Courier New"/>
                <w:b/>
                <w:bCs/>
                <w:color w:val="auto"/>
                <w:lang w:val="en-US" w:eastAsia="zh-CN"/>
              </w:rPr>
              <w:t>+4+5</w:t>
            </w:r>
            <w:r>
              <w:rPr>
                <w:rFonts w:hint="eastAsia" w:hAnsi="宋体" w:cs="Courier New"/>
                <w:b/>
                <w:bCs/>
                <w:color w:val="auto"/>
              </w:rPr>
              <w:t>。</w:t>
            </w:r>
          </w:p>
        </w:tc>
      </w:tr>
    </w:tbl>
    <w:p w14:paraId="3CE5541E">
      <w:pPr>
        <w:pStyle w:val="17"/>
        <w:spacing w:line="460" w:lineRule="exact"/>
        <w:jc w:val="left"/>
        <w:rPr>
          <w:rFonts w:hAnsi="宋体"/>
          <w:bCs/>
          <w:color w:val="auto"/>
        </w:rPr>
      </w:pPr>
      <w:r>
        <w:rPr>
          <w:rFonts w:hint="eastAsia" w:hAnsi="宋体"/>
          <w:bCs/>
          <w:color w:val="auto"/>
        </w:rPr>
        <w:t>注：计分方法按四舍五入取至百分位。</w:t>
      </w:r>
    </w:p>
    <w:p w14:paraId="38FC1001">
      <w:pPr>
        <w:pStyle w:val="17"/>
        <w:spacing w:line="460" w:lineRule="exact"/>
        <w:jc w:val="center"/>
        <w:rPr>
          <w:b/>
          <w:color w:val="auto"/>
          <w:sz w:val="30"/>
          <w:szCs w:val="30"/>
        </w:rPr>
      </w:pPr>
      <w:r>
        <w:rPr>
          <w:color w:val="auto"/>
        </w:rPr>
        <w:br w:type="page"/>
      </w:r>
      <w:bookmarkStart w:id="133" w:name="_Toc80093007"/>
      <w:r>
        <w:rPr>
          <w:rFonts w:hint="eastAsia"/>
          <w:b/>
          <w:color w:val="auto"/>
          <w:sz w:val="30"/>
          <w:szCs w:val="30"/>
        </w:rPr>
        <w:t>第四节 中标候选人推荐原则</w:t>
      </w:r>
      <w:bookmarkEnd w:id="133"/>
    </w:p>
    <w:p w14:paraId="598C4A6A">
      <w:pPr>
        <w:pStyle w:val="17"/>
        <w:numPr>
          <w:ilvl w:val="0"/>
          <w:numId w:val="1"/>
        </w:numPr>
        <w:spacing w:line="360" w:lineRule="auto"/>
        <w:contextualSpacing/>
        <w:rPr>
          <w:rFonts w:hAnsi="宋体"/>
          <w:b/>
          <w:bCs/>
          <w:color w:val="auto"/>
          <w:sz w:val="24"/>
          <w:szCs w:val="24"/>
        </w:rPr>
      </w:pPr>
      <w:r>
        <w:rPr>
          <w:rFonts w:hint="eastAsia" w:hAnsi="宋体"/>
          <w:b/>
          <w:bCs/>
          <w:color w:val="auto"/>
          <w:sz w:val="24"/>
          <w:szCs w:val="24"/>
        </w:rPr>
        <w:t>综合评分法</w:t>
      </w:r>
    </w:p>
    <w:p w14:paraId="10CF7B07">
      <w:pPr>
        <w:pStyle w:val="17"/>
        <w:spacing w:line="360" w:lineRule="auto"/>
        <w:ind w:firstLine="420" w:firstLineChars="200"/>
        <w:contextualSpacing/>
        <w:rPr>
          <w:rFonts w:hAnsi="宋体"/>
          <w:color w:val="auto"/>
        </w:rPr>
      </w:pPr>
      <w:r>
        <w:rPr>
          <w:rFonts w:hint="eastAsia" w:hAnsi="宋体"/>
          <w:color w:val="auto"/>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51C027B4">
      <w:pPr>
        <w:pStyle w:val="17"/>
        <w:spacing w:line="360" w:lineRule="auto"/>
        <w:ind w:firstLine="482" w:firstLineChars="200"/>
        <w:contextualSpacing/>
        <w:rPr>
          <w:rFonts w:hAnsi="宋体"/>
          <w:color w:val="auto"/>
        </w:rPr>
      </w:pPr>
      <w:r>
        <w:rPr>
          <w:rFonts w:hint="eastAsia" w:hAnsi="宋体"/>
          <w:b/>
          <w:bCs/>
          <w:color w:val="auto"/>
          <w:sz w:val="24"/>
          <w:szCs w:val="24"/>
        </w:rPr>
        <w:t>（二）最低评标报价法</w:t>
      </w:r>
    </w:p>
    <w:p w14:paraId="65B6F597">
      <w:pPr>
        <w:pStyle w:val="17"/>
        <w:tabs>
          <w:tab w:val="left" w:pos="2472"/>
        </w:tabs>
        <w:spacing w:line="480" w:lineRule="exact"/>
        <w:ind w:firstLine="420" w:firstLineChars="200"/>
        <w:rPr>
          <w:color w:val="auto"/>
        </w:rPr>
      </w:pPr>
      <w:r>
        <w:rPr>
          <w:rFonts w:hint="eastAsia" w:hAnsi="宋体"/>
          <w:color w:val="auto"/>
        </w:rPr>
        <w:t>评标委员会将按照有效报价从低到高排序并推荐中标候选人。</w:t>
      </w:r>
      <w:r>
        <w:rPr>
          <w:rFonts w:hint="eastAsia"/>
          <w:color w:val="auto"/>
        </w:rPr>
        <w:t>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w:t>
      </w:r>
      <w:r>
        <w:rPr>
          <w:color w:val="auto"/>
        </w:rPr>
        <w:t>1</w:t>
      </w:r>
      <w:r>
        <w:rPr>
          <w:rFonts w:hint="eastAsia"/>
          <w:color w:val="auto"/>
        </w:rPr>
        <w:t>家中标供应商。</w:t>
      </w:r>
    </w:p>
    <w:p w14:paraId="7403988A">
      <w:pPr>
        <w:pStyle w:val="3"/>
        <w:spacing w:before="0" w:after="0" w:line="360" w:lineRule="auto"/>
        <w:ind w:firstLine="600" w:firstLineChars="200"/>
        <w:jc w:val="center"/>
        <w:rPr>
          <w:b w:val="0"/>
          <w:color w:val="auto"/>
          <w:sz w:val="30"/>
          <w:szCs w:val="30"/>
        </w:rPr>
      </w:pPr>
      <w:bookmarkStart w:id="134" w:name="_Toc80093008"/>
      <w:r>
        <w:rPr>
          <w:rFonts w:hint="eastAsia"/>
          <w:b w:val="0"/>
          <w:color w:val="auto"/>
          <w:sz w:val="30"/>
          <w:szCs w:val="30"/>
        </w:rPr>
        <w:t>第五节 评标报告</w:t>
      </w:r>
      <w:bookmarkEnd w:id="134"/>
    </w:p>
    <w:p w14:paraId="7CA57B40">
      <w:pPr>
        <w:pStyle w:val="91"/>
        <w:spacing w:before="0"/>
        <w:ind w:firstLine="482"/>
        <w:rPr>
          <w:rFonts w:ascii="宋体" w:hAnsi="宋体"/>
          <w:b/>
          <w:bCs/>
          <w:color w:val="auto"/>
          <w:szCs w:val="24"/>
        </w:rPr>
      </w:pPr>
      <w:r>
        <w:rPr>
          <w:rFonts w:hint="eastAsia" w:ascii="宋体" w:hAnsi="宋体"/>
          <w:b/>
          <w:bCs/>
          <w:color w:val="auto"/>
          <w:szCs w:val="24"/>
        </w:rPr>
        <w:t>（一）评标报告与推荐中标候选人</w:t>
      </w:r>
    </w:p>
    <w:p w14:paraId="622301B2">
      <w:pPr>
        <w:pStyle w:val="17"/>
        <w:tabs>
          <w:tab w:val="left" w:pos="2472"/>
        </w:tabs>
        <w:spacing w:line="360" w:lineRule="auto"/>
        <w:ind w:firstLine="420" w:firstLineChars="200"/>
        <w:rPr>
          <w:rFonts w:hAnsi="宋体"/>
          <w:color w:val="auto"/>
        </w:rPr>
      </w:pPr>
      <w:r>
        <w:rPr>
          <w:rFonts w:hint="eastAsia" w:hAnsi="宋体"/>
          <w:color w:val="auto"/>
        </w:rPr>
        <w:t>评标委员会根据原始评标记录和评标结果编写评标报告，并通过电子交易平台向采购人、采购代理机构提交。</w:t>
      </w:r>
    </w:p>
    <w:p w14:paraId="57F00731">
      <w:pPr>
        <w:widowControl/>
        <w:spacing w:line="360" w:lineRule="auto"/>
        <w:ind w:firstLine="482" w:firstLineChars="200"/>
        <w:jc w:val="left"/>
        <w:rPr>
          <w:rFonts w:ascii="宋体" w:hAnsi="宋体"/>
          <w:b/>
          <w:bCs/>
          <w:color w:val="auto"/>
          <w:sz w:val="24"/>
        </w:rPr>
      </w:pPr>
      <w:r>
        <w:rPr>
          <w:rFonts w:hint="eastAsia" w:ascii="宋体" w:hAnsi="宋体"/>
          <w:b/>
          <w:bCs/>
          <w:color w:val="auto"/>
          <w:sz w:val="24"/>
        </w:rPr>
        <w:t>（二）评标争议事项处理</w:t>
      </w:r>
    </w:p>
    <w:p w14:paraId="06E68160">
      <w:pPr>
        <w:pStyle w:val="17"/>
        <w:tabs>
          <w:tab w:val="left" w:pos="2472"/>
        </w:tabs>
        <w:spacing w:line="360" w:lineRule="auto"/>
        <w:ind w:firstLine="420" w:firstLineChars="200"/>
        <w:rPr>
          <w:rFonts w:hAnsi="宋体"/>
          <w:color w:val="auto"/>
        </w:rPr>
      </w:pPr>
      <w:r>
        <w:rPr>
          <w:rFonts w:hint="eastAsia" w:hAnsi="宋体"/>
          <w:color w:val="auto"/>
        </w:rPr>
        <w:t>评标委员会成员对需要共同认定的事项存在争议的，应当按照少数服从多数的原则作出结论。持不同意见的评标委员会成员应当在评标报告上签署不同意见及理由，否则视为同意评标报告。</w:t>
      </w:r>
    </w:p>
    <w:p w14:paraId="33A989F6">
      <w:pPr>
        <w:pStyle w:val="17"/>
        <w:tabs>
          <w:tab w:val="left" w:pos="2472"/>
        </w:tabs>
        <w:spacing w:line="460" w:lineRule="exact"/>
        <w:rPr>
          <w:rFonts w:ascii="Times New Roman" w:hAnsi="Times New Roman"/>
          <w:b/>
          <w:color w:val="auto"/>
          <w:sz w:val="36"/>
        </w:rPr>
        <w:sectPr>
          <w:pgSz w:w="11906" w:h="16838"/>
          <w:pgMar w:top="1134" w:right="1134" w:bottom="1134" w:left="1134" w:header="720" w:footer="720" w:gutter="0"/>
          <w:cols w:space="720" w:num="1"/>
          <w:docGrid w:type="lines" w:linePitch="331" w:charSpace="0"/>
        </w:sectPr>
      </w:pPr>
    </w:p>
    <w:p w14:paraId="54742984">
      <w:pPr>
        <w:pStyle w:val="17"/>
        <w:tabs>
          <w:tab w:val="left" w:pos="2472"/>
        </w:tabs>
        <w:spacing w:line="460" w:lineRule="exact"/>
        <w:jc w:val="center"/>
        <w:rPr>
          <w:rFonts w:ascii="Times New Roman" w:hAnsi="Times New Roman"/>
          <w:b/>
          <w:color w:val="auto"/>
          <w:sz w:val="36"/>
        </w:rPr>
      </w:pPr>
    </w:p>
    <w:p w14:paraId="35C447E0">
      <w:pPr>
        <w:pStyle w:val="17"/>
        <w:tabs>
          <w:tab w:val="left" w:pos="2472"/>
        </w:tabs>
        <w:spacing w:line="460" w:lineRule="exact"/>
        <w:jc w:val="center"/>
        <w:rPr>
          <w:rFonts w:ascii="Times New Roman" w:hAnsi="Times New Roman"/>
          <w:b/>
          <w:color w:val="auto"/>
          <w:sz w:val="36"/>
        </w:rPr>
      </w:pPr>
    </w:p>
    <w:p w14:paraId="6984C327">
      <w:pPr>
        <w:pStyle w:val="17"/>
        <w:tabs>
          <w:tab w:val="left" w:pos="2472"/>
        </w:tabs>
        <w:spacing w:line="460" w:lineRule="exact"/>
        <w:jc w:val="center"/>
        <w:rPr>
          <w:rFonts w:ascii="Times New Roman" w:hAnsi="Times New Roman"/>
          <w:b/>
          <w:color w:val="auto"/>
          <w:sz w:val="36"/>
        </w:rPr>
      </w:pPr>
    </w:p>
    <w:p w14:paraId="3D5708FC">
      <w:pPr>
        <w:pStyle w:val="17"/>
        <w:tabs>
          <w:tab w:val="left" w:pos="2472"/>
        </w:tabs>
        <w:spacing w:line="460" w:lineRule="exact"/>
        <w:jc w:val="center"/>
        <w:rPr>
          <w:rFonts w:ascii="Times New Roman" w:hAnsi="Times New Roman"/>
          <w:b/>
          <w:color w:val="auto"/>
          <w:sz w:val="36"/>
        </w:rPr>
      </w:pPr>
    </w:p>
    <w:p w14:paraId="51EB29D5">
      <w:pPr>
        <w:pStyle w:val="17"/>
        <w:tabs>
          <w:tab w:val="left" w:pos="2472"/>
        </w:tabs>
        <w:spacing w:line="460" w:lineRule="exact"/>
        <w:jc w:val="center"/>
        <w:rPr>
          <w:rFonts w:ascii="Times New Roman" w:hAnsi="Times New Roman"/>
          <w:b/>
          <w:color w:val="auto"/>
          <w:sz w:val="36"/>
        </w:rPr>
      </w:pPr>
    </w:p>
    <w:p w14:paraId="5F848E4E">
      <w:pPr>
        <w:pStyle w:val="17"/>
        <w:tabs>
          <w:tab w:val="left" w:pos="2472"/>
        </w:tabs>
        <w:spacing w:line="460" w:lineRule="exact"/>
        <w:jc w:val="center"/>
        <w:rPr>
          <w:rFonts w:ascii="Times New Roman" w:hAnsi="Times New Roman"/>
          <w:b/>
          <w:color w:val="auto"/>
          <w:sz w:val="36"/>
        </w:rPr>
      </w:pPr>
    </w:p>
    <w:p w14:paraId="62B37016">
      <w:pPr>
        <w:pStyle w:val="17"/>
        <w:tabs>
          <w:tab w:val="left" w:pos="2472"/>
        </w:tabs>
        <w:spacing w:line="460" w:lineRule="exact"/>
        <w:jc w:val="center"/>
        <w:rPr>
          <w:rFonts w:ascii="Times New Roman" w:hAnsi="Times New Roman"/>
          <w:b/>
          <w:color w:val="auto"/>
          <w:sz w:val="36"/>
        </w:rPr>
      </w:pPr>
    </w:p>
    <w:p w14:paraId="67FC4670">
      <w:pPr>
        <w:pStyle w:val="17"/>
        <w:tabs>
          <w:tab w:val="left" w:pos="2472"/>
        </w:tabs>
        <w:spacing w:line="460" w:lineRule="exact"/>
        <w:jc w:val="center"/>
        <w:rPr>
          <w:rFonts w:ascii="Times New Roman" w:hAnsi="Times New Roman"/>
          <w:b/>
          <w:color w:val="auto"/>
          <w:sz w:val="36"/>
        </w:rPr>
      </w:pPr>
    </w:p>
    <w:p w14:paraId="419F123A">
      <w:pPr>
        <w:pStyle w:val="17"/>
        <w:tabs>
          <w:tab w:val="left" w:pos="2472"/>
        </w:tabs>
        <w:spacing w:line="460" w:lineRule="exact"/>
        <w:jc w:val="center"/>
        <w:rPr>
          <w:rFonts w:ascii="Times New Roman" w:hAnsi="Times New Roman"/>
          <w:b/>
          <w:color w:val="auto"/>
          <w:sz w:val="36"/>
        </w:rPr>
      </w:pPr>
    </w:p>
    <w:p w14:paraId="63E1F407">
      <w:pPr>
        <w:pStyle w:val="17"/>
        <w:tabs>
          <w:tab w:val="left" w:pos="2472"/>
        </w:tabs>
        <w:spacing w:line="460" w:lineRule="exact"/>
        <w:jc w:val="center"/>
        <w:rPr>
          <w:rFonts w:ascii="Times New Roman" w:hAnsi="Times New Roman"/>
          <w:b/>
          <w:color w:val="auto"/>
          <w:sz w:val="36"/>
        </w:rPr>
      </w:pPr>
    </w:p>
    <w:p w14:paraId="4CFDD45A">
      <w:pPr>
        <w:pStyle w:val="17"/>
        <w:tabs>
          <w:tab w:val="left" w:pos="2472"/>
        </w:tabs>
        <w:spacing w:line="460" w:lineRule="exact"/>
        <w:jc w:val="center"/>
        <w:rPr>
          <w:rFonts w:ascii="Times New Roman" w:hAnsi="Times New Roman"/>
          <w:b/>
          <w:color w:val="auto"/>
          <w:sz w:val="36"/>
        </w:rPr>
      </w:pPr>
    </w:p>
    <w:p w14:paraId="3CC692D0">
      <w:pPr>
        <w:pStyle w:val="17"/>
        <w:tabs>
          <w:tab w:val="left" w:pos="2472"/>
        </w:tabs>
        <w:spacing w:line="460" w:lineRule="exact"/>
        <w:jc w:val="center"/>
        <w:rPr>
          <w:rFonts w:ascii="Times New Roman" w:hAnsi="Times New Roman"/>
          <w:b/>
          <w:color w:val="auto"/>
          <w:sz w:val="36"/>
        </w:rPr>
      </w:pPr>
    </w:p>
    <w:p w14:paraId="38AC7BA8">
      <w:pPr>
        <w:pStyle w:val="17"/>
        <w:tabs>
          <w:tab w:val="left" w:pos="2472"/>
        </w:tabs>
        <w:spacing w:line="460" w:lineRule="exact"/>
        <w:jc w:val="center"/>
        <w:rPr>
          <w:rFonts w:ascii="Times New Roman" w:hAnsi="Times New Roman"/>
          <w:b/>
          <w:color w:val="auto"/>
          <w:sz w:val="36"/>
        </w:rPr>
      </w:pPr>
    </w:p>
    <w:p w14:paraId="779AFCE2">
      <w:pPr>
        <w:pStyle w:val="17"/>
        <w:tabs>
          <w:tab w:val="left" w:pos="2472"/>
        </w:tabs>
        <w:spacing w:line="460" w:lineRule="exact"/>
        <w:jc w:val="center"/>
        <w:outlineLvl w:val="0"/>
        <w:rPr>
          <w:rFonts w:ascii="Times New Roman" w:hAnsi="Times New Roman"/>
          <w:b/>
          <w:color w:val="auto"/>
          <w:sz w:val="36"/>
        </w:rPr>
      </w:pPr>
      <w:bookmarkStart w:id="135" w:name="_Toc80093009"/>
      <w:r>
        <w:rPr>
          <w:rFonts w:hint="eastAsia" w:ascii="Times New Roman" w:hAnsi="Times New Roman"/>
          <w:b/>
          <w:color w:val="auto"/>
          <w:sz w:val="36"/>
        </w:rPr>
        <w:t>第五章 拟签订的合同文本</w:t>
      </w:r>
      <w:bookmarkEnd w:id="135"/>
    </w:p>
    <w:p w14:paraId="28663E6E">
      <w:pPr>
        <w:pStyle w:val="17"/>
        <w:tabs>
          <w:tab w:val="left" w:pos="720"/>
        </w:tabs>
        <w:spacing w:line="460" w:lineRule="exact"/>
        <w:rPr>
          <w:bCs/>
          <w:color w:val="auto"/>
        </w:rPr>
        <w:sectPr>
          <w:pgSz w:w="11906" w:h="16838"/>
          <w:pgMar w:top="1134" w:right="1134" w:bottom="1134" w:left="1134" w:header="720" w:footer="720" w:gutter="0"/>
          <w:cols w:space="720" w:num="1"/>
          <w:docGrid w:type="lines" w:linePitch="331" w:charSpace="0"/>
        </w:sectPr>
      </w:pPr>
    </w:p>
    <w:p w14:paraId="67852374">
      <w:pPr>
        <w:spacing w:line="360" w:lineRule="auto"/>
        <w:rPr>
          <w:rFonts w:ascii="仿宋_GB2312" w:hAnsi="楷体" w:eastAsia="仿宋_GB2312"/>
          <w:color w:val="auto"/>
          <w:sz w:val="24"/>
          <w:u w:val="single"/>
        </w:rPr>
      </w:pPr>
      <w:r>
        <w:rPr>
          <w:rFonts w:hint="eastAsia" w:ascii="仿宋_GB2312" w:hAnsi="楷体" w:eastAsia="仿宋_GB2312"/>
          <w:color w:val="auto"/>
          <w:sz w:val="24"/>
          <w:lang w:eastAsia="zh-CN"/>
        </w:rPr>
        <w:t>广西政府采购云平台</w:t>
      </w:r>
      <w:r>
        <w:rPr>
          <w:rFonts w:hint="eastAsia" w:ascii="仿宋_GB2312" w:hAnsi="楷体" w:eastAsia="仿宋_GB2312"/>
          <w:color w:val="auto"/>
          <w:sz w:val="24"/>
        </w:rPr>
        <w:t>合同编号：</w:t>
      </w:r>
      <w:r>
        <w:rPr>
          <w:rFonts w:hint="eastAsia" w:ascii="仿宋_GB2312" w:hAnsi="楷体" w:eastAsia="仿宋_GB2312"/>
          <w:color w:val="auto"/>
          <w:sz w:val="24"/>
          <w:u w:val="single"/>
        </w:rPr>
        <w:t xml:space="preserve">           </w:t>
      </w:r>
    </w:p>
    <w:p w14:paraId="7E696753">
      <w:pPr>
        <w:spacing w:line="360" w:lineRule="auto"/>
        <w:jc w:val="center"/>
        <w:rPr>
          <w:rFonts w:ascii="宋体"/>
          <w:b/>
          <w:bCs/>
          <w:color w:val="auto"/>
          <w:sz w:val="52"/>
        </w:rPr>
      </w:pPr>
      <w:r>
        <w:rPr>
          <w:rFonts w:hint="eastAsia" w:ascii="宋体"/>
          <w:b/>
          <w:bCs/>
          <w:color w:val="auto"/>
          <w:sz w:val="52"/>
        </w:rPr>
        <w:t>南 宁 市 政 府 采 购</w:t>
      </w:r>
    </w:p>
    <w:p w14:paraId="2DA48607">
      <w:pPr>
        <w:spacing w:line="360" w:lineRule="auto"/>
        <w:ind w:firstLine="420" w:firstLineChars="200"/>
        <w:rPr>
          <w:rFonts w:ascii="宋体"/>
          <w:color w:val="auto"/>
        </w:rPr>
      </w:pPr>
    </w:p>
    <w:p w14:paraId="45A8C1E9">
      <w:pPr>
        <w:spacing w:line="360" w:lineRule="auto"/>
        <w:ind w:firstLine="420" w:firstLineChars="200"/>
        <w:rPr>
          <w:rFonts w:ascii="宋体"/>
          <w:color w:val="auto"/>
        </w:rPr>
      </w:pPr>
      <w:r>
        <w:rPr>
          <w:rFonts w:hint="eastAsia" w:ascii="宋体"/>
          <w:color w:val="auto"/>
        </w:rPr>
        <w:t xml:space="preserve">                                                 </w:t>
      </w:r>
    </w:p>
    <w:p w14:paraId="3D9F999C">
      <w:pPr>
        <w:spacing w:line="360" w:lineRule="auto"/>
        <w:jc w:val="center"/>
        <w:rPr>
          <w:rFonts w:ascii="宋体"/>
          <w:b/>
          <w:bCs/>
          <w:color w:val="auto"/>
          <w:sz w:val="44"/>
        </w:rPr>
      </w:pPr>
      <w:r>
        <w:rPr>
          <w:rFonts w:hint="eastAsia" w:ascii="宋体"/>
          <w:b/>
          <w:bCs/>
          <w:color w:val="auto"/>
          <w:sz w:val="44"/>
          <w:u w:val="single"/>
        </w:rPr>
        <w:t xml:space="preserve">         （项目名称）         </w:t>
      </w:r>
      <w:r>
        <w:rPr>
          <w:rFonts w:hint="eastAsia" w:ascii="宋体"/>
          <w:b/>
          <w:bCs/>
          <w:color w:val="auto"/>
          <w:sz w:val="44"/>
        </w:rPr>
        <w:t>合同</w:t>
      </w:r>
    </w:p>
    <w:p w14:paraId="3C5AD7E9">
      <w:pPr>
        <w:spacing w:line="360" w:lineRule="auto"/>
        <w:jc w:val="center"/>
        <w:rPr>
          <w:rFonts w:ascii="宋体"/>
          <w:b/>
          <w:bCs/>
          <w:color w:val="auto"/>
          <w:sz w:val="44"/>
        </w:rPr>
      </w:pPr>
    </w:p>
    <w:p w14:paraId="174F1112">
      <w:pPr>
        <w:spacing w:line="360" w:lineRule="auto"/>
        <w:jc w:val="center"/>
        <w:rPr>
          <w:rFonts w:ascii="宋体"/>
          <w:b/>
          <w:bCs/>
          <w:color w:val="auto"/>
          <w:sz w:val="44"/>
        </w:rPr>
      </w:pPr>
    </w:p>
    <w:p w14:paraId="0BA25D23">
      <w:pPr>
        <w:spacing w:line="360" w:lineRule="auto"/>
        <w:ind w:firstLine="3507" w:firstLineChars="794"/>
        <w:rPr>
          <w:rFonts w:ascii="宋体"/>
          <w:b/>
          <w:bCs/>
          <w:color w:val="auto"/>
          <w:sz w:val="44"/>
        </w:rPr>
      </w:pPr>
    </w:p>
    <w:p w14:paraId="3106AF20">
      <w:pPr>
        <w:spacing w:line="360" w:lineRule="auto"/>
        <w:ind w:firstLine="3507" w:firstLineChars="794"/>
        <w:rPr>
          <w:rFonts w:ascii="宋体"/>
          <w:b/>
          <w:bCs/>
          <w:color w:val="auto"/>
          <w:sz w:val="44"/>
        </w:rPr>
      </w:pPr>
    </w:p>
    <w:p w14:paraId="22700C58">
      <w:pPr>
        <w:ind w:firstLine="1995" w:firstLineChars="552"/>
        <w:rPr>
          <w:rFonts w:ascii="宋体" w:hAnsi="宋体"/>
          <w:b/>
          <w:color w:val="auto"/>
          <w:sz w:val="36"/>
          <w:szCs w:val="36"/>
        </w:rPr>
      </w:pPr>
      <w:r>
        <w:rPr>
          <w:rFonts w:hint="eastAsia" w:ascii="宋体" w:hAnsi="宋体"/>
          <w:b/>
          <w:color w:val="auto"/>
          <w:sz w:val="36"/>
          <w:szCs w:val="36"/>
        </w:rPr>
        <w:t>项目编号：</w:t>
      </w:r>
      <w:r>
        <w:rPr>
          <w:rFonts w:hint="eastAsia" w:ascii="宋体" w:hAnsi="宋体"/>
          <w:b/>
          <w:color w:val="auto"/>
          <w:sz w:val="36"/>
          <w:szCs w:val="36"/>
          <w:u w:val="single"/>
        </w:rPr>
        <w:t xml:space="preserve">                     </w:t>
      </w:r>
    </w:p>
    <w:p w14:paraId="4097E514">
      <w:pPr>
        <w:ind w:firstLine="1995" w:firstLineChars="552"/>
        <w:rPr>
          <w:rFonts w:ascii="宋体" w:hAnsi="宋体"/>
          <w:b/>
          <w:color w:val="auto"/>
          <w:sz w:val="36"/>
          <w:szCs w:val="36"/>
        </w:rPr>
      </w:pPr>
      <w:r>
        <w:rPr>
          <w:rFonts w:hint="eastAsia" w:ascii="宋体" w:hAnsi="宋体"/>
          <w:b/>
          <w:color w:val="auto"/>
          <w:sz w:val="36"/>
          <w:szCs w:val="36"/>
        </w:rPr>
        <w:t>计划编号：</w:t>
      </w:r>
      <w:r>
        <w:rPr>
          <w:rFonts w:hint="eastAsia" w:ascii="宋体" w:hAnsi="宋体"/>
          <w:b/>
          <w:color w:val="auto"/>
          <w:sz w:val="36"/>
          <w:szCs w:val="36"/>
          <w:u w:val="single"/>
        </w:rPr>
        <w:t xml:space="preserve">                     </w:t>
      </w:r>
    </w:p>
    <w:p w14:paraId="45163C34">
      <w:pPr>
        <w:ind w:firstLine="1970" w:firstLineChars="545"/>
        <w:rPr>
          <w:rFonts w:ascii="宋体" w:hAnsi="宋体"/>
          <w:b/>
          <w:color w:val="auto"/>
          <w:sz w:val="36"/>
          <w:szCs w:val="36"/>
          <w:u w:val="single"/>
        </w:rPr>
      </w:pPr>
    </w:p>
    <w:p w14:paraId="77F0EFCE">
      <w:pPr>
        <w:ind w:firstLine="1995" w:firstLineChars="552"/>
        <w:rPr>
          <w:rFonts w:ascii="宋体" w:hAnsi="宋体"/>
          <w:b/>
          <w:color w:val="auto"/>
          <w:sz w:val="36"/>
          <w:szCs w:val="36"/>
          <w:u w:val="single"/>
        </w:rPr>
      </w:pPr>
    </w:p>
    <w:p w14:paraId="6779A02F">
      <w:pPr>
        <w:ind w:firstLine="1995" w:firstLineChars="552"/>
        <w:rPr>
          <w:rFonts w:ascii="宋体" w:hAnsi="宋体"/>
          <w:b/>
          <w:color w:val="auto"/>
          <w:sz w:val="36"/>
          <w:szCs w:val="36"/>
          <w:u w:val="single"/>
        </w:rPr>
      </w:pPr>
    </w:p>
    <w:p w14:paraId="5677EFB0">
      <w:pPr>
        <w:tabs>
          <w:tab w:val="left" w:pos="7200"/>
        </w:tabs>
        <w:spacing w:line="360" w:lineRule="auto"/>
        <w:ind w:firstLine="1995" w:firstLineChars="552"/>
        <w:rPr>
          <w:rFonts w:ascii="宋体" w:hAnsi="宋体"/>
          <w:b/>
          <w:color w:val="auto"/>
          <w:sz w:val="36"/>
          <w:szCs w:val="36"/>
          <w:u w:val="single"/>
        </w:rPr>
      </w:pPr>
      <w:r>
        <w:rPr>
          <w:rFonts w:hint="eastAsia" w:ascii="宋体" w:hAnsi="宋体"/>
          <w:b/>
          <w:color w:val="auto"/>
          <w:sz w:val="36"/>
          <w:szCs w:val="36"/>
        </w:rPr>
        <w:t>采购人：</w:t>
      </w:r>
      <w:r>
        <w:rPr>
          <w:rFonts w:hint="eastAsia" w:ascii="宋体" w:hAnsi="宋体"/>
          <w:b/>
          <w:color w:val="auto"/>
          <w:sz w:val="36"/>
          <w:szCs w:val="36"/>
          <w:u w:val="single"/>
        </w:rPr>
        <w:t xml:space="preserve">                       </w:t>
      </w:r>
    </w:p>
    <w:p w14:paraId="12D800B1">
      <w:pPr>
        <w:tabs>
          <w:tab w:val="left" w:pos="7380"/>
        </w:tabs>
        <w:spacing w:line="360" w:lineRule="auto"/>
        <w:ind w:firstLine="1995" w:firstLineChars="552"/>
        <w:rPr>
          <w:rFonts w:ascii="宋体"/>
          <w:b/>
          <w:bCs/>
          <w:color w:val="auto"/>
          <w:sz w:val="44"/>
        </w:rPr>
      </w:pPr>
      <w:r>
        <w:rPr>
          <w:rFonts w:hint="eastAsia" w:ascii="宋体" w:hAnsi="宋体"/>
          <w:b/>
          <w:color w:val="auto"/>
          <w:sz w:val="36"/>
          <w:szCs w:val="36"/>
        </w:rPr>
        <w:t>中标供应商：</w:t>
      </w:r>
      <w:r>
        <w:rPr>
          <w:rFonts w:hint="eastAsia" w:ascii="宋体" w:hAnsi="宋体"/>
          <w:b/>
          <w:color w:val="auto"/>
          <w:sz w:val="36"/>
          <w:szCs w:val="36"/>
          <w:u w:val="single"/>
        </w:rPr>
        <w:t xml:space="preserve">                   </w:t>
      </w:r>
    </w:p>
    <w:p w14:paraId="049D7A0B">
      <w:pPr>
        <w:tabs>
          <w:tab w:val="left" w:pos="7380"/>
        </w:tabs>
        <w:spacing w:line="360" w:lineRule="auto"/>
        <w:rPr>
          <w:rFonts w:ascii="宋体"/>
          <w:b/>
          <w:bCs/>
          <w:color w:val="auto"/>
          <w:sz w:val="44"/>
        </w:rPr>
      </w:pPr>
    </w:p>
    <w:p w14:paraId="642F5690">
      <w:pPr>
        <w:spacing w:before="120" w:line="360" w:lineRule="auto"/>
        <w:ind w:firstLine="960" w:firstLineChars="400"/>
        <w:rPr>
          <w:rFonts w:ascii="仿宋_GB2312" w:hAnsi="楷体" w:eastAsia="仿宋_GB2312"/>
          <w:color w:val="auto"/>
          <w:sz w:val="24"/>
        </w:rPr>
      </w:pPr>
    </w:p>
    <w:p w14:paraId="2E427DD0">
      <w:pPr>
        <w:spacing w:before="120" w:line="360" w:lineRule="auto"/>
        <w:ind w:firstLine="960" w:firstLineChars="400"/>
        <w:rPr>
          <w:rFonts w:ascii="仿宋_GB2312" w:hAnsi="楷体" w:eastAsia="仿宋_GB2312"/>
          <w:color w:val="auto"/>
          <w:sz w:val="24"/>
        </w:rPr>
      </w:pPr>
    </w:p>
    <w:p w14:paraId="3164D333">
      <w:pPr>
        <w:spacing w:before="120" w:line="360" w:lineRule="auto"/>
        <w:ind w:firstLine="2280" w:firstLineChars="950"/>
        <w:rPr>
          <w:rFonts w:ascii="仿宋_GB2312" w:hAnsi="楷体" w:eastAsia="仿宋_GB2312"/>
          <w:color w:val="auto"/>
          <w:sz w:val="24"/>
          <w:u w:val="single"/>
        </w:rPr>
      </w:pPr>
      <w:r>
        <w:rPr>
          <w:rFonts w:hint="eastAsia" w:ascii="仿宋_GB2312" w:hAnsi="楷体" w:eastAsia="仿宋_GB2312"/>
          <w:color w:val="auto"/>
          <w:sz w:val="24"/>
        </w:rPr>
        <w:t>签订日期：</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年</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月</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日</w:t>
      </w:r>
    </w:p>
    <w:p w14:paraId="797CEE4A">
      <w:pPr>
        <w:pStyle w:val="96"/>
        <w:ind w:firstLine="883"/>
        <w:jc w:val="center"/>
        <w:rPr>
          <w:rFonts w:ascii="宋体"/>
          <w:b/>
          <w:bCs/>
          <w:color w:val="auto"/>
          <w:sz w:val="44"/>
        </w:rPr>
      </w:pPr>
    </w:p>
    <w:p w14:paraId="07A5A8DF">
      <w:pPr>
        <w:snapToGrid w:val="0"/>
        <w:spacing w:line="360" w:lineRule="auto"/>
        <w:jc w:val="center"/>
        <w:rPr>
          <w:rFonts w:ascii="仿宋_GB2312" w:hAnsi="楷体" w:eastAsia="仿宋_GB2312"/>
          <w:b/>
          <w:color w:val="auto"/>
          <w:sz w:val="24"/>
        </w:rPr>
      </w:pPr>
      <w:r>
        <w:rPr>
          <w:rFonts w:hint="eastAsia" w:ascii="宋体"/>
          <w:b/>
          <w:bCs/>
          <w:color w:val="auto"/>
          <w:sz w:val="44"/>
        </w:rPr>
        <w:br w:type="page"/>
      </w:r>
      <w:r>
        <w:rPr>
          <w:rFonts w:hint="eastAsia" w:ascii="仿宋_GB2312" w:hAnsi="楷体" w:eastAsia="仿宋_GB2312"/>
          <w:b/>
          <w:color w:val="auto"/>
          <w:sz w:val="24"/>
        </w:rPr>
        <w:t>合同目录</w:t>
      </w:r>
    </w:p>
    <w:p w14:paraId="142F7F62">
      <w:pPr>
        <w:snapToGrid w:val="0"/>
        <w:spacing w:line="360" w:lineRule="auto"/>
        <w:jc w:val="center"/>
        <w:rPr>
          <w:rFonts w:ascii="宋体"/>
          <w:b/>
          <w:bCs/>
          <w:color w:val="auto"/>
          <w:sz w:val="44"/>
        </w:rPr>
      </w:pPr>
    </w:p>
    <w:p w14:paraId="59898516">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一、</w:t>
      </w:r>
      <w:r>
        <w:rPr>
          <w:rFonts w:hint="eastAsia" w:ascii="仿宋_GB2312" w:hAnsi="仿宋" w:eastAsia="仿宋_GB2312"/>
          <w:color w:val="auto"/>
          <w:sz w:val="24"/>
        </w:rPr>
        <w:t>第一部分 合同书</w:t>
      </w:r>
      <w:r>
        <w:rPr>
          <w:rFonts w:hint="eastAsia" w:ascii="仿宋_GB2312" w:hAnsi="仿宋" w:eastAsia="仿宋_GB2312" w:cs="仿宋_GB2312"/>
          <w:color w:val="auto"/>
          <w:kern w:val="0"/>
          <w:sz w:val="24"/>
        </w:rPr>
        <w:t>……………………………………………………………（页码）</w:t>
      </w:r>
    </w:p>
    <w:p w14:paraId="2914E1C6">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二、第二部分 合同一般条款……………………………………………………（页码）</w:t>
      </w:r>
    </w:p>
    <w:p w14:paraId="51C615FA">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三、第三部分 合同专用条款……………………………………………………（页码）</w:t>
      </w:r>
    </w:p>
    <w:p w14:paraId="3813D4DB">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四、</w:t>
      </w:r>
      <w:r>
        <w:rPr>
          <w:rFonts w:hint="eastAsia" w:ascii="仿宋_GB2312" w:hAnsi="仿宋" w:eastAsia="仿宋_GB2312"/>
          <w:color w:val="auto"/>
          <w:sz w:val="24"/>
        </w:rPr>
        <w:t>第四部分 合同附件</w:t>
      </w:r>
      <w:r>
        <w:rPr>
          <w:rFonts w:hint="eastAsia" w:ascii="仿宋_GB2312" w:hAnsi="仿宋" w:eastAsia="仿宋_GB2312" w:cs="仿宋_GB2312"/>
          <w:color w:val="auto"/>
          <w:kern w:val="0"/>
          <w:sz w:val="24"/>
        </w:rPr>
        <w:t>…………………………………………………………（页码）</w:t>
      </w:r>
    </w:p>
    <w:p w14:paraId="2CB3814F">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4.1中标通知书 …………………………………………………………………（页码）</w:t>
      </w:r>
    </w:p>
    <w:p w14:paraId="4ECBA0E4">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4.2招标文件货物需求一览表 …………………………………………………（页码）</w:t>
      </w:r>
    </w:p>
    <w:p w14:paraId="3030727F">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4.3招标文件的更改通知（如有） ……………………………………………（页码）</w:t>
      </w:r>
    </w:p>
    <w:p w14:paraId="2F7E3DAA">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4.4投标函 ………………………………………………………………………（页码）</w:t>
      </w:r>
    </w:p>
    <w:p w14:paraId="65A0225A">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4.5报价表 ………………………………………………………………………（页码）</w:t>
      </w:r>
    </w:p>
    <w:p w14:paraId="14449370">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4.6投标货物技术资料表 ………………………………………………………（页码）</w:t>
      </w:r>
    </w:p>
    <w:p w14:paraId="46144D8E">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4.7商务条款偏离表 ……………………………………………………………（页码）</w:t>
      </w:r>
    </w:p>
    <w:p w14:paraId="216CEC8C">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4.8中标供应商澄清函（如有请提供） ………………………………………（页码）</w:t>
      </w:r>
    </w:p>
    <w:p w14:paraId="4241D0E8">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4.9其他与本合同相关的资料（如有请提供） ………………………………（页码）</w:t>
      </w:r>
    </w:p>
    <w:p w14:paraId="5E4412CD">
      <w:pPr>
        <w:snapToGrid w:val="0"/>
        <w:spacing w:line="360" w:lineRule="auto"/>
        <w:rPr>
          <w:rFonts w:ascii="仿宋_GB2312" w:hAnsi="仿宋" w:eastAsia="仿宋_GB2312" w:cs="仿宋_GB2312"/>
          <w:color w:val="auto"/>
          <w:kern w:val="0"/>
          <w:sz w:val="24"/>
        </w:rPr>
      </w:pPr>
    </w:p>
    <w:p w14:paraId="1C08CD0E">
      <w:pPr>
        <w:pStyle w:val="14"/>
        <w:rPr>
          <w:color w:val="auto"/>
        </w:rPr>
        <w:sectPr>
          <w:pgSz w:w="11906" w:h="16838"/>
          <w:pgMar w:top="1134" w:right="1134" w:bottom="1134" w:left="1134" w:header="720" w:footer="720" w:gutter="0"/>
          <w:cols w:space="720" w:num="1"/>
          <w:docGrid w:type="lines" w:linePitch="331" w:charSpace="0"/>
        </w:sectPr>
      </w:pPr>
    </w:p>
    <w:p w14:paraId="3A02BE24">
      <w:pPr>
        <w:pStyle w:val="96"/>
        <w:spacing w:after="0"/>
        <w:ind w:firstLine="562"/>
        <w:jc w:val="center"/>
        <w:rPr>
          <w:rFonts w:ascii="仿宋_GB2312" w:hAnsi="楷体" w:eastAsia="仿宋_GB2312"/>
          <w:b/>
          <w:color w:val="auto"/>
          <w:sz w:val="28"/>
          <w:szCs w:val="28"/>
        </w:rPr>
      </w:pPr>
      <w:r>
        <w:rPr>
          <w:rFonts w:hint="eastAsia" w:ascii="仿宋_GB2312" w:hAnsi="楷体" w:eastAsia="仿宋_GB2312"/>
          <w:b/>
          <w:color w:val="auto"/>
          <w:sz w:val="28"/>
          <w:szCs w:val="28"/>
        </w:rPr>
        <w:t>第一部分 合同书</w:t>
      </w:r>
    </w:p>
    <w:p w14:paraId="25E15D15">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u w:val="single"/>
          <w:lang w:val="zh-CN"/>
        </w:rPr>
        <w:t xml:space="preserve">     </w:t>
      </w:r>
      <w:r>
        <w:rPr>
          <w:rFonts w:hint="eastAsia" w:ascii="仿宋_GB2312" w:hAnsi="楷体" w:eastAsia="仿宋_GB2312"/>
          <w:color w:val="auto"/>
          <w:sz w:val="24"/>
          <w:lang w:val="zh-CN"/>
        </w:rPr>
        <w:t>年</w:t>
      </w:r>
      <w:r>
        <w:rPr>
          <w:rFonts w:hint="eastAsia" w:ascii="仿宋_GB2312" w:hAnsi="楷体" w:eastAsia="仿宋_GB2312"/>
          <w:color w:val="auto"/>
          <w:sz w:val="24"/>
          <w:u w:val="single"/>
          <w:lang w:val="zh-CN"/>
        </w:rPr>
        <w:t xml:space="preserve">    </w:t>
      </w:r>
      <w:r>
        <w:rPr>
          <w:rFonts w:hint="eastAsia" w:ascii="仿宋_GB2312" w:hAnsi="楷体" w:eastAsia="仿宋_GB2312"/>
          <w:color w:val="auto"/>
          <w:sz w:val="24"/>
          <w:lang w:val="zh-CN"/>
        </w:rPr>
        <w:t>月</w:t>
      </w:r>
      <w:r>
        <w:rPr>
          <w:rFonts w:hint="eastAsia" w:ascii="仿宋_GB2312" w:hAnsi="楷体" w:eastAsia="仿宋_GB2312"/>
          <w:color w:val="auto"/>
          <w:sz w:val="24"/>
          <w:u w:val="single"/>
          <w:lang w:val="zh-CN"/>
        </w:rPr>
        <w:t xml:space="preserve">    </w:t>
      </w:r>
      <w:r>
        <w:rPr>
          <w:rFonts w:hint="eastAsia" w:ascii="仿宋_GB2312" w:hAnsi="楷体" w:eastAsia="仿宋_GB2312"/>
          <w:color w:val="auto"/>
          <w:sz w:val="24"/>
          <w:lang w:val="zh-CN"/>
        </w:rPr>
        <w:t>日</w:t>
      </w:r>
      <w:r>
        <w:rPr>
          <w:rFonts w:hint="eastAsia" w:ascii="仿宋_GB2312" w:hAnsi="楷体" w:eastAsia="仿宋_GB2312"/>
          <w:color w:val="auto"/>
          <w:sz w:val="24"/>
        </w:rPr>
        <w:t>，</w:t>
      </w:r>
      <w:r>
        <w:rPr>
          <w:rFonts w:hint="eastAsia" w:ascii="仿宋_GB2312" w:hAnsi="仿宋" w:eastAsia="仿宋_GB2312"/>
          <w:color w:val="auto"/>
          <w:sz w:val="24"/>
          <w:u w:val="single"/>
        </w:rPr>
        <w:t xml:space="preserve">  （采购人名称）  </w:t>
      </w:r>
      <w:r>
        <w:rPr>
          <w:rFonts w:ascii="仿宋_GB2312" w:hAnsi="仿宋" w:eastAsia="仿宋_GB2312"/>
          <w:color w:val="auto"/>
          <w:sz w:val="24"/>
          <w:u w:val="single"/>
        </w:rPr>
        <w:t xml:space="preserve"> </w:t>
      </w:r>
      <w:r>
        <w:rPr>
          <w:rFonts w:hint="eastAsia" w:ascii="仿宋_GB2312" w:hAnsi="仿宋" w:eastAsia="仿宋_GB2312"/>
          <w:color w:val="auto"/>
          <w:sz w:val="24"/>
        </w:rPr>
        <w:t>以</w:t>
      </w:r>
      <w:r>
        <w:rPr>
          <w:rFonts w:hint="eastAsia" w:ascii="仿宋_GB2312" w:hAnsi="仿宋" w:eastAsia="仿宋_GB2312"/>
          <w:color w:val="auto"/>
          <w:sz w:val="24"/>
          <w:u w:val="single"/>
        </w:rPr>
        <w:t xml:space="preserve">   公开招标方式  </w:t>
      </w:r>
      <w:r>
        <w:rPr>
          <w:rFonts w:hint="eastAsia" w:ascii="仿宋_GB2312" w:hAnsi="仿宋" w:eastAsia="仿宋_GB2312"/>
          <w:color w:val="auto"/>
          <w:sz w:val="24"/>
        </w:rPr>
        <w:t>对</w:t>
      </w:r>
      <w:r>
        <w:rPr>
          <w:rFonts w:hint="eastAsia" w:ascii="仿宋_GB2312" w:hAnsi="仿宋" w:eastAsia="仿宋_GB2312"/>
          <w:color w:val="auto"/>
          <w:sz w:val="24"/>
          <w:u w:val="single"/>
        </w:rPr>
        <w:t xml:space="preserve">        </w:t>
      </w:r>
      <w:r>
        <w:rPr>
          <w:rFonts w:hint="eastAsia" w:ascii="仿宋_GB2312" w:hAnsi="楷体" w:eastAsia="仿宋_GB2312"/>
          <w:color w:val="auto"/>
          <w:sz w:val="24"/>
        </w:rPr>
        <w:t>项目进行了采购。经</w:t>
      </w:r>
      <w:r>
        <w:rPr>
          <w:rFonts w:hint="eastAsia" w:ascii="仿宋_GB2312" w:hAnsi="楷体" w:eastAsia="仿宋_GB2312"/>
          <w:color w:val="auto"/>
          <w:sz w:val="24"/>
          <w:u w:val="single"/>
        </w:rPr>
        <w:t xml:space="preserve">   （相关评定主体名称）   </w:t>
      </w:r>
      <w:r>
        <w:rPr>
          <w:rFonts w:hint="eastAsia" w:ascii="仿宋_GB2312" w:hAnsi="楷体" w:eastAsia="仿宋_GB2312"/>
          <w:color w:val="auto"/>
          <w:sz w:val="24"/>
        </w:rPr>
        <w:t>评定，</w:t>
      </w:r>
      <w:r>
        <w:rPr>
          <w:rFonts w:hint="eastAsia" w:ascii="仿宋_GB2312" w:hAnsi="楷体" w:eastAsia="仿宋_GB2312"/>
          <w:color w:val="auto"/>
          <w:sz w:val="24"/>
          <w:u w:val="single"/>
        </w:rPr>
        <w:t xml:space="preserve">   （中标人名称）</w:t>
      </w:r>
      <w:r>
        <w:rPr>
          <w:rFonts w:hint="eastAsia" w:ascii="仿宋_GB2312" w:hAnsi="楷体" w:eastAsia="仿宋_GB2312"/>
          <w:color w:val="auto"/>
          <w:sz w:val="24"/>
        </w:rPr>
        <w:t>为该项目中标人。现于中标通知书发出之日起三十日内，按照采购文件确定的事项签订本合同。</w:t>
      </w:r>
    </w:p>
    <w:p w14:paraId="37A39E0C">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color w:val="auto"/>
          <w:sz w:val="24"/>
          <w:u w:val="single"/>
        </w:rPr>
        <w:t xml:space="preserve">   （采购人名称）   </w:t>
      </w:r>
      <w:r>
        <w:rPr>
          <w:rFonts w:hint="eastAsia" w:ascii="仿宋_GB2312" w:hAnsi="楷体" w:eastAsia="仿宋_GB2312"/>
          <w:color w:val="auto"/>
          <w:sz w:val="24"/>
          <w:lang w:val="zh-CN"/>
        </w:rPr>
        <w:t>(以下简称：甲方)和</w:t>
      </w:r>
      <w:r>
        <w:rPr>
          <w:rFonts w:hint="eastAsia" w:ascii="仿宋_GB2312" w:hAnsi="楷体" w:eastAsia="仿宋_GB2312"/>
          <w:color w:val="auto"/>
          <w:sz w:val="24"/>
          <w:u w:val="single"/>
        </w:rPr>
        <w:t xml:space="preserve">   （中标人名称）   </w:t>
      </w:r>
      <w:r>
        <w:rPr>
          <w:rFonts w:hint="eastAsia" w:ascii="仿宋_GB2312" w:hAnsi="楷体" w:eastAsia="仿宋_GB2312"/>
          <w:color w:val="auto"/>
          <w:sz w:val="24"/>
          <w:lang w:val="zh-CN"/>
        </w:rPr>
        <w:t>(以下简称：乙方)协商一致，约定以下合同</w:t>
      </w:r>
      <w:r>
        <w:rPr>
          <w:rFonts w:hint="eastAsia" w:ascii="仿宋_GB2312" w:hAnsi="楷体" w:eastAsia="仿宋_GB2312"/>
          <w:color w:val="auto"/>
          <w:sz w:val="24"/>
        </w:rPr>
        <w:t>条款，以兹共同遵守、全面履行。</w:t>
      </w:r>
    </w:p>
    <w:p w14:paraId="5D9E167E">
      <w:pPr>
        <w:spacing w:line="360" w:lineRule="auto"/>
        <w:ind w:firstLine="482" w:firstLineChars="200"/>
        <w:rPr>
          <w:rFonts w:ascii="仿宋_GB2312" w:hAnsi="楷体" w:eastAsia="仿宋_GB2312"/>
          <w:b/>
          <w:color w:val="auto"/>
          <w:sz w:val="24"/>
        </w:rPr>
      </w:pPr>
      <w:bookmarkStart w:id="136" w:name="_Toc2232"/>
      <w:bookmarkStart w:id="137" w:name="_Toc3029"/>
      <w:bookmarkStart w:id="138" w:name="_Toc24059"/>
      <w:r>
        <w:rPr>
          <w:rFonts w:hint="eastAsia" w:ascii="仿宋_GB2312" w:hAnsi="楷体" w:eastAsia="仿宋_GB2312"/>
          <w:b/>
          <w:color w:val="auto"/>
          <w:sz w:val="24"/>
        </w:rPr>
        <w:t>1.1 合同组成部分</w:t>
      </w:r>
      <w:bookmarkEnd w:id="136"/>
      <w:bookmarkEnd w:id="137"/>
      <w:bookmarkEnd w:id="138"/>
    </w:p>
    <w:p w14:paraId="01771FF0">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052FD81F">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1.1.1 本合同及其补充合同、变更协议；</w:t>
      </w:r>
    </w:p>
    <w:p w14:paraId="610ECC20">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1.1.2 中标通知书；</w:t>
      </w:r>
    </w:p>
    <w:p w14:paraId="1CB3684F">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1.1.3 投标文件及“投标报价”（含澄清或者说明文件）；</w:t>
      </w:r>
    </w:p>
    <w:p w14:paraId="22A06968">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1.1.4 招标文件（含澄清或者修改文件）；</w:t>
      </w:r>
    </w:p>
    <w:p w14:paraId="55878D12">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1.1.5 其他相关采购文件。</w:t>
      </w:r>
    </w:p>
    <w:p w14:paraId="0F6DCA07">
      <w:pPr>
        <w:spacing w:line="360" w:lineRule="auto"/>
        <w:ind w:firstLine="482" w:firstLineChars="200"/>
        <w:rPr>
          <w:rFonts w:ascii="仿宋_GB2312" w:hAnsi="楷体" w:eastAsia="仿宋_GB2312"/>
          <w:b/>
          <w:color w:val="auto"/>
          <w:sz w:val="24"/>
        </w:rPr>
      </w:pPr>
      <w:bookmarkStart w:id="139" w:name="_Toc27126"/>
      <w:bookmarkStart w:id="140" w:name="_Toc21295"/>
      <w:bookmarkStart w:id="141" w:name="_Toc24300"/>
      <w:r>
        <w:rPr>
          <w:rFonts w:hint="eastAsia" w:ascii="仿宋_GB2312" w:hAnsi="楷体" w:eastAsia="仿宋_GB2312"/>
          <w:b/>
          <w:color w:val="auto"/>
          <w:sz w:val="24"/>
        </w:rPr>
        <w:t>1.2 标的物</w:t>
      </w:r>
      <w:bookmarkEnd w:id="139"/>
      <w:bookmarkEnd w:id="140"/>
      <w:bookmarkEnd w:id="141"/>
    </w:p>
    <w:p w14:paraId="2C5AE8AF">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1.2.1 标的物1信息</w:t>
      </w:r>
    </w:p>
    <w:p w14:paraId="7778A13F">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rPr>
        <w:t>1.2.1.1名称：</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w:t>
      </w:r>
    </w:p>
    <w:p w14:paraId="3179C616">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rPr>
        <w:t>1.2.1.2数量：</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w:t>
      </w:r>
    </w:p>
    <w:p w14:paraId="37719334">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1.2.1.3质量：</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w:t>
      </w:r>
    </w:p>
    <w:p w14:paraId="52821687">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w:t>
      </w:r>
    </w:p>
    <w:p w14:paraId="45B89FC5">
      <w:pPr>
        <w:spacing w:line="360" w:lineRule="auto"/>
        <w:ind w:firstLine="482" w:firstLineChars="200"/>
        <w:rPr>
          <w:rFonts w:ascii="仿宋_GB2312" w:hAnsi="楷体" w:eastAsia="仿宋_GB2312"/>
          <w:b/>
          <w:color w:val="auto"/>
          <w:sz w:val="24"/>
        </w:rPr>
      </w:pPr>
      <w:bookmarkStart w:id="142" w:name="_Toc21631"/>
      <w:bookmarkStart w:id="143" w:name="_Toc23292"/>
      <w:bookmarkStart w:id="144" w:name="_Toc21551"/>
      <w:r>
        <w:rPr>
          <w:rFonts w:hint="eastAsia" w:ascii="仿宋_GB2312" w:hAnsi="楷体" w:eastAsia="仿宋_GB2312"/>
          <w:b/>
          <w:color w:val="auto"/>
          <w:sz w:val="24"/>
        </w:rPr>
        <w:t>1.3 价款</w:t>
      </w:r>
      <w:bookmarkEnd w:id="142"/>
      <w:bookmarkEnd w:id="143"/>
      <w:bookmarkEnd w:id="144"/>
    </w:p>
    <w:p w14:paraId="185107ED">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本合同总价为：人民币</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元（大写：</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元人民币，含税）。</w:t>
      </w:r>
    </w:p>
    <w:p w14:paraId="02729E5F">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rPr>
        <w:t>分项价格：</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9BCE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DC6B07F">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序号</w:t>
            </w:r>
          </w:p>
        </w:tc>
        <w:tc>
          <w:tcPr>
            <w:tcW w:w="3402" w:type="dxa"/>
            <w:vAlign w:val="center"/>
          </w:tcPr>
          <w:p w14:paraId="445F9ECC">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分项名称</w:t>
            </w:r>
          </w:p>
        </w:tc>
        <w:tc>
          <w:tcPr>
            <w:tcW w:w="2552" w:type="dxa"/>
            <w:vAlign w:val="center"/>
          </w:tcPr>
          <w:p w14:paraId="41E71333">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分项价格</w:t>
            </w:r>
          </w:p>
        </w:tc>
      </w:tr>
      <w:tr w14:paraId="5C5D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481BA7">
            <w:pPr>
              <w:spacing w:line="360" w:lineRule="auto"/>
              <w:ind w:firstLine="480" w:firstLineChars="200"/>
              <w:rPr>
                <w:rFonts w:ascii="仿宋_GB2312" w:hAnsi="楷体" w:eastAsia="仿宋_GB2312"/>
                <w:color w:val="auto"/>
                <w:sz w:val="24"/>
              </w:rPr>
            </w:pPr>
          </w:p>
        </w:tc>
        <w:tc>
          <w:tcPr>
            <w:tcW w:w="3402" w:type="dxa"/>
            <w:vAlign w:val="center"/>
          </w:tcPr>
          <w:p w14:paraId="0B2A272C">
            <w:pPr>
              <w:spacing w:line="360" w:lineRule="auto"/>
              <w:ind w:firstLine="480" w:firstLineChars="200"/>
              <w:rPr>
                <w:rFonts w:ascii="仿宋_GB2312" w:hAnsi="楷体" w:eastAsia="仿宋_GB2312"/>
                <w:color w:val="auto"/>
                <w:sz w:val="24"/>
              </w:rPr>
            </w:pPr>
          </w:p>
        </w:tc>
        <w:tc>
          <w:tcPr>
            <w:tcW w:w="2552" w:type="dxa"/>
            <w:vAlign w:val="center"/>
          </w:tcPr>
          <w:p w14:paraId="3555EF74">
            <w:pPr>
              <w:spacing w:line="360" w:lineRule="auto"/>
              <w:ind w:firstLine="480" w:firstLineChars="200"/>
              <w:rPr>
                <w:rFonts w:ascii="仿宋_GB2312" w:hAnsi="楷体" w:eastAsia="仿宋_GB2312"/>
                <w:color w:val="auto"/>
                <w:sz w:val="24"/>
              </w:rPr>
            </w:pPr>
          </w:p>
        </w:tc>
      </w:tr>
      <w:tr w14:paraId="5055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08BBAFF">
            <w:pPr>
              <w:spacing w:line="360" w:lineRule="auto"/>
              <w:ind w:firstLine="480" w:firstLineChars="200"/>
              <w:rPr>
                <w:rFonts w:ascii="仿宋_GB2312" w:hAnsi="楷体" w:eastAsia="仿宋_GB2312"/>
                <w:color w:val="auto"/>
                <w:sz w:val="24"/>
              </w:rPr>
            </w:pPr>
          </w:p>
        </w:tc>
        <w:tc>
          <w:tcPr>
            <w:tcW w:w="3402" w:type="dxa"/>
            <w:vAlign w:val="center"/>
          </w:tcPr>
          <w:p w14:paraId="01F43B8D">
            <w:pPr>
              <w:spacing w:line="360" w:lineRule="auto"/>
              <w:ind w:firstLine="480" w:firstLineChars="200"/>
              <w:rPr>
                <w:rFonts w:ascii="仿宋_GB2312" w:hAnsi="楷体" w:eastAsia="仿宋_GB2312"/>
                <w:color w:val="auto"/>
                <w:sz w:val="24"/>
              </w:rPr>
            </w:pPr>
          </w:p>
        </w:tc>
        <w:tc>
          <w:tcPr>
            <w:tcW w:w="2552" w:type="dxa"/>
            <w:vAlign w:val="center"/>
          </w:tcPr>
          <w:p w14:paraId="4C842ADE">
            <w:pPr>
              <w:spacing w:line="360" w:lineRule="auto"/>
              <w:ind w:firstLine="480" w:firstLineChars="200"/>
              <w:rPr>
                <w:rFonts w:ascii="仿宋_GB2312" w:hAnsi="楷体" w:eastAsia="仿宋_GB2312"/>
                <w:color w:val="auto"/>
                <w:sz w:val="24"/>
              </w:rPr>
            </w:pPr>
          </w:p>
        </w:tc>
      </w:tr>
      <w:tr w14:paraId="3FE6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4A158D">
            <w:pPr>
              <w:spacing w:line="360" w:lineRule="auto"/>
              <w:ind w:firstLine="480" w:firstLineChars="200"/>
              <w:rPr>
                <w:rFonts w:ascii="仿宋_GB2312" w:hAnsi="楷体" w:eastAsia="仿宋_GB2312"/>
                <w:color w:val="auto"/>
                <w:sz w:val="24"/>
              </w:rPr>
            </w:pPr>
          </w:p>
        </w:tc>
        <w:tc>
          <w:tcPr>
            <w:tcW w:w="3402" w:type="dxa"/>
            <w:vAlign w:val="center"/>
          </w:tcPr>
          <w:p w14:paraId="7DA32E3F">
            <w:pPr>
              <w:spacing w:line="360" w:lineRule="auto"/>
              <w:ind w:firstLine="480" w:firstLineChars="200"/>
              <w:rPr>
                <w:rFonts w:ascii="仿宋_GB2312" w:hAnsi="楷体" w:eastAsia="仿宋_GB2312"/>
                <w:color w:val="auto"/>
                <w:sz w:val="24"/>
              </w:rPr>
            </w:pPr>
          </w:p>
        </w:tc>
        <w:tc>
          <w:tcPr>
            <w:tcW w:w="2552" w:type="dxa"/>
            <w:vAlign w:val="center"/>
          </w:tcPr>
          <w:p w14:paraId="72A49322">
            <w:pPr>
              <w:spacing w:line="360" w:lineRule="auto"/>
              <w:ind w:firstLine="480" w:firstLineChars="200"/>
              <w:rPr>
                <w:rFonts w:ascii="仿宋_GB2312" w:hAnsi="楷体" w:eastAsia="仿宋_GB2312"/>
                <w:color w:val="auto"/>
                <w:sz w:val="24"/>
              </w:rPr>
            </w:pPr>
          </w:p>
        </w:tc>
      </w:tr>
      <w:tr w14:paraId="1381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EEE647E">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总价</w:t>
            </w:r>
          </w:p>
        </w:tc>
        <w:tc>
          <w:tcPr>
            <w:tcW w:w="2552" w:type="dxa"/>
            <w:vAlign w:val="center"/>
          </w:tcPr>
          <w:p w14:paraId="59EED333">
            <w:pPr>
              <w:spacing w:line="360" w:lineRule="auto"/>
              <w:ind w:firstLine="480" w:firstLineChars="200"/>
              <w:rPr>
                <w:rFonts w:ascii="仿宋_GB2312" w:hAnsi="楷体" w:eastAsia="仿宋_GB2312"/>
                <w:color w:val="auto"/>
                <w:sz w:val="24"/>
              </w:rPr>
            </w:pPr>
          </w:p>
        </w:tc>
      </w:tr>
    </w:tbl>
    <w:p w14:paraId="0D27ECF6">
      <w:pPr>
        <w:spacing w:line="360" w:lineRule="auto"/>
        <w:ind w:firstLine="482" w:firstLineChars="200"/>
        <w:rPr>
          <w:rFonts w:ascii="仿宋_GB2312" w:hAnsi="楷体" w:eastAsia="仿宋_GB2312"/>
          <w:b/>
          <w:color w:val="auto"/>
          <w:sz w:val="24"/>
        </w:rPr>
      </w:pPr>
      <w:bookmarkStart w:id="145" w:name="_Toc10340"/>
      <w:bookmarkStart w:id="146" w:name="_Toc22618"/>
      <w:bookmarkStart w:id="147" w:name="_Toc1814"/>
      <w:r>
        <w:rPr>
          <w:rFonts w:hint="eastAsia" w:ascii="仿宋_GB2312" w:hAnsi="楷体" w:eastAsia="仿宋_GB2312"/>
          <w:b/>
          <w:color w:val="auto"/>
          <w:sz w:val="24"/>
        </w:rPr>
        <w:t>1.4 付款方式和发票开具方式</w:t>
      </w:r>
      <w:bookmarkEnd w:id="145"/>
      <w:bookmarkEnd w:id="146"/>
      <w:bookmarkEnd w:id="147"/>
    </w:p>
    <w:p w14:paraId="4FD6AD99">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1.4.1 付款方式：</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w:t>
      </w:r>
    </w:p>
    <w:p w14:paraId="405BFD2F">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1.4.2 发票开具方式：</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w:t>
      </w:r>
    </w:p>
    <w:p w14:paraId="71C8C1C4">
      <w:pPr>
        <w:spacing w:line="360" w:lineRule="auto"/>
        <w:ind w:firstLine="482" w:firstLineChars="200"/>
        <w:rPr>
          <w:rFonts w:ascii="仿宋_GB2312" w:hAnsi="楷体" w:eastAsia="仿宋_GB2312"/>
          <w:b/>
          <w:color w:val="auto"/>
          <w:sz w:val="24"/>
        </w:rPr>
      </w:pPr>
      <w:bookmarkStart w:id="148" w:name="_Toc32071"/>
      <w:bookmarkStart w:id="149" w:name="_Toc19304"/>
      <w:bookmarkStart w:id="150" w:name="_Toc2846"/>
      <w:r>
        <w:rPr>
          <w:rFonts w:hint="eastAsia" w:ascii="仿宋_GB2312" w:hAnsi="楷体" w:eastAsia="仿宋_GB2312"/>
          <w:b/>
          <w:color w:val="auto"/>
          <w:sz w:val="24"/>
        </w:rPr>
        <w:t>1.5 标的物交付期限、地点、方式</w:t>
      </w:r>
      <w:bookmarkEnd w:id="148"/>
      <w:bookmarkEnd w:id="149"/>
      <w:bookmarkEnd w:id="150"/>
      <w:r>
        <w:rPr>
          <w:rFonts w:hint="eastAsia" w:ascii="仿宋_GB2312" w:hAnsi="楷体" w:eastAsia="仿宋_GB2312"/>
          <w:b/>
          <w:color w:val="auto"/>
          <w:sz w:val="24"/>
        </w:rPr>
        <w:t>和货物期限</w:t>
      </w:r>
    </w:p>
    <w:p w14:paraId="770D0D77">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rPr>
        <w:t>1.5.1 交付期限：</w:t>
      </w:r>
      <w:r>
        <w:rPr>
          <w:rFonts w:hint="eastAsia" w:ascii="仿宋_GB2312" w:hAnsi="楷体" w:eastAsia="仿宋_GB2312"/>
          <w:color w:val="auto"/>
          <w:sz w:val="24"/>
          <w:u w:val="single"/>
        </w:rPr>
        <w:t xml:space="preserve">                                                 ；</w:t>
      </w:r>
    </w:p>
    <w:p w14:paraId="4A34E6DD">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1.5.2 交付地点：</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w:t>
      </w:r>
    </w:p>
    <w:p w14:paraId="1C1FA172">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1.5.3 交付方式：</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w:t>
      </w:r>
    </w:p>
    <w:p w14:paraId="0D994F68">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1.5.</w:t>
      </w:r>
      <w:r>
        <w:rPr>
          <w:rFonts w:ascii="仿宋_GB2312" w:hAnsi="楷体" w:eastAsia="仿宋_GB2312"/>
          <w:color w:val="auto"/>
          <w:sz w:val="24"/>
        </w:rPr>
        <w:t>4</w:t>
      </w:r>
      <w:r>
        <w:rPr>
          <w:rFonts w:hint="eastAsia" w:ascii="仿宋_GB2312" w:hAnsi="楷体" w:eastAsia="仿宋_GB2312"/>
          <w:color w:val="auto"/>
          <w:sz w:val="24"/>
        </w:rPr>
        <w:t xml:space="preserve"> 货物及质保期限：</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w:t>
      </w:r>
    </w:p>
    <w:p w14:paraId="60F7E087">
      <w:pPr>
        <w:spacing w:line="360" w:lineRule="auto"/>
        <w:ind w:firstLine="482" w:firstLineChars="200"/>
        <w:rPr>
          <w:rFonts w:ascii="仿宋_GB2312" w:hAnsi="楷体" w:eastAsia="仿宋_GB2312"/>
          <w:b/>
          <w:color w:val="auto"/>
          <w:sz w:val="24"/>
        </w:rPr>
      </w:pPr>
      <w:bookmarkStart w:id="151" w:name="_Toc21423"/>
      <w:bookmarkStart w:id="152" w:name="_Toc27250"/>
      <w:bookmarkStart w:id="153" w:name="_Toc19554"/>
      <w:r>
        <w:rPr>
          <w:rFonts w:hint="eastAsia" w:ascii="仿宋_GB2312" w:hAnsi="楷体" w:eastAsia="仿宋_GB2312"/>
          <w:b/>
          <w:color w:val="auto"/>
          <w:sz w:val="24"/>
        </w:rPr>
        <w:t>1.6 违约责任</w:t>
      </w:r>
      <w:bookmarkEnd w:id="151"/>
      <w:bookmarkEnd w:id="152"/>
      <w:bookmarkEnd w:id="153"/>
    </w:p>
    <w:p w14:paraId="22E1C341">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color w:val="auto"/>
          <w:sz w:val="24"/>
          <w:u w:val="single"/>
        </w:rPr>
        <w:t>万分之五</w:t>
      </w:r>
      <w:r>
        <w:rPr>
          <w:rFonts w:hint="eastAsia" w:ascii="仿宋_GB2312" w:hAnsi="楷体" w:eastAsia="仿宋_GB2312"/>
          <w:color w:val="auto"/>
          <w:sz w:val="24"/>
        </w:rPr>
        <w:t>（根据项目实际填写，一般为万分之五）计算，最高限额为本合同总价的</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 xml:space="preserve">%（根据项目实际填写，一般为20%）；迟延超过【 </w:t>
      </w:r>
      <w:r>
        <w:rPr>
          <w:rFonts w:ascii="仿宋_GB2312" w:hAnsi="楷体" w:eastAsia="仿宋_GB2312"/>
          <w:color w:val="auto"/>
          <w:sz w:val="24"/>
        </w:rPr>
        <w:t xml:space="preserve"> </w:t>
      </w:r>
      <w:r>
        <w:rPr>
          <w:rFonts w:hint="eastAsia" w:ascii="仿宋_GB2312" w:hAnsi="楷体" w:eastAsia="仿宋_GB2312"/>
          <w:color w:val="auto"/>
          <w:sz w:val="24"/>
        </w:rPr>
        <w:t>】日的，甲方有权在要求乙方支付违约金的同时，书面通知乙方解除本合同，乙方应退回全部已收取的合同价款并按合同总金额的</w:t>
      </w:r>
      <w:r>
        <w:rPr>
          <w:rFonts w:hint="eastAsia" w:ascii="仿宋_GB2312" w:hAnsi="楷体" w:eastAsia="仿宋_GB2312"/>
          <w:color w:val="auto"/>
          <w:sz w:val="24"/>
          <w:u w:val="single"/>
        </w:rPr>
        <w:t>2</w:t>
      </w:r>
      <w:r>
        <w:rPr>
          <w:rFonts w:ascii="仿宋_GB2312" w:hAnsi="楷体" w:eastAsia="仿宋_GB2312"/>
          <w:color w:val="auto"/>
          <w:sz w:val="24"/>
          <w:u w:val="single"/>
        </w:rPr>
        <w:t>0</w:t>
      </w:r>
      <w:r>
        <w:rPr>
          <w:rFonts w:hint="eastAsia" w:ascii="仿宋_GB2312" w:hAnsi="楷体" w:eastAsia="仿宋_GB2312"/>
          <w:color w:val="auto"/>
          <w:sz w:val="24"/>
          <w:u w:val="single"/>
        </w:rPr>
        <w:t>%</w:t>
      </w:r>
      <w:r>
        <w:rPr>
          <w:rFonts w:hint="eastAsia" w:ascii="仿宋_GB2312" w:hAnsi="楷体" w:eastAsia="仿宋_GB2312"/>
          <w:color w:val="auto"/>
          <w:sz w:val="24"/>
        </w:rPr>
        <w:t>（根据项目实际填写，一般为20%）向甲方支付违约金；</w:t>
      </w:r>
    </w:p>
    <w:p w14:paraId="4F956A4E">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color w:val="auto"/>
          <w:sz w:val="24"/>
          <w:u w:val="single"/>
        </w:rPr>
        <w:t>万分之五</w:t>
      </w:r>
      <w:r>
        <w:rPr>
          <w:rFonts w:hint="eastAsia" w:ascii="仿宋_GB2312" w:hAnsi="楷体" w:eastAsia="仿宋_GB2312"/>
          <w:color w:val="auto"/>
          <w:sz w:val="24"/>
        </w:rPr>
        <w:t>（根据项目实际填写，一般为万分之五）计算，最高限额为欠付金额的</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%（根据项目实际填写，一般为20%）；迟延付款的违约金计算数额达到前述最高限额之日起，乙方有权在要求甲方支付违约金的同时，书面通知甲方解除本合同；</w:t>
      </w:r>
    </w:p>
    <w:p w14:paraId="7E29156F">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49D0E09">
      <w:pPr>
        <w:spacing w:line="360" w:lineRule="auto"/>
        <w:ind w:firstLine="480" w:firstLineChars="200"/>
        <w:rPr>
          <w:rFonts w:ascii="仿宋" w:hAnsi="仿宋" w:eastAsia="仿宋" w:cs="仿宋"/>
          <w:color w:val="auto"/>
          <w:sz w:val="24"/>
        </w:rPr>
      </w:pPr>
      <w:r>
        <w:rPr>
          <w:rFonts w:hint="eastAsia" w:ascii="仿宋_GB2312" w:hAnsi="楷体" w:eastAsia="仿宋_GB2312"/>
          <w:color w:val="auto"/>
          <w:sz w:val="24"/>
        </w:rPr>
        <w:t>1.6.4</w:t>
      </w:r>
      <w:r>
        <w:rPr>
          <w:rFonts w:hint="eastAsia" w:ascii="仿宋" w:hAnsi="仿宋" w:eastAsia="仿宋" w:cs="仿宋"/>
          <w:color w:val="auto"/>
          <w:sz w:val="24"/>
        </w:rPr>
        <w:t>乙方在质保期内未按承诺提供售后等货物的，每发生一次向甲方支付</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（根据项目实际填写）</w:t>
      </w:r>
      <w:r>
        <w:rPr>
          <w:rFonts w:hint="eastAsia" w:ascii="仿宋" w:hAnsi="仿宋" w:eastAsia="仿宋" w:cs="仿宋"/>
          <w:color w:val="auto"/>
          <w:sz w:val="24"/>
        </w:rPr>
        <w:t>元的违约金。</w:t>
      </w:r>
    </w:p>
    <w:p w14:paraId="43903ECC">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C8A3961">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0424F10">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1.6.7 如果出现政府采购监督管理部门在处理投诉事项期间，书面通知甲方暂停采购活动的情形，或者询问或质疑事项可能影响中标结果的，导致甲方中止履行合同的情形，均不视为甲方违约。</w:t>
      </w:r>
    </w:p>
    <w:p w14:paraId="0D435B9D">
      <w:pPr>
        <w:spacing w:line="360" w:lineRule="auto"/>
        <w:ind w:firstLine="482" w:firstLineChars="200"/>
        <w:rPr>
          <w:rFonts w:ascii="仿宋_GB2312" w:hAnsi="楷体" w:eastAsia="仿宋_GB2312"/>
          <w:b/>
          <w:color w:val="auto"/>
          <w:sz w:val="24"/>
        </w:rPr>
      </w:pPr>
      <w:bookmarkStart w:id="154" w:name="_Toc28375"/>
      <w:bookmarkStart w:id="155" w:name="_Toc16021"/>
      <w:bookmarkStart w:id="156" w:name="_Toc15583"/>
      <w:r>
        <w:rPr>
          <w:rFonts w:hint="eastAsia" w:ascii="仿宋_GB2312" w:hAnsi="楷体" w:eastAsia="仿宋_GB2312"/>
          <w:b/>
          <w:color w:val="auto"/>
          <w:sz w:val="24"/>
        </w:rPr>
        <w:t>1.7 合同争议的解决</w:t>
      </w:r>
      <w:bookmarkEnd w:id="154"/>
      <w:bookmarkEnd w:id="155"/>
      <w:bookmarkEnd w:id="156"/>
    </w:p>
    <w:p w14:paraId="230E32E1">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本合同履行过程中发生的任何争议，双方当事人均应通过友好协商的方式和解或者调解解决；不愿和解、调解或者和解、调解不成的，可以选择下列第</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种方式解决：</w:t>
      </w:r>
    </w:p>
    <w:p w14:paraId="7A59E612">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1.7.1 将争议提交</w:t>
      </w:r>
      <w:r>
        <w:rPr>
          <w:rFonts w:hint="eastAsia" w:ascii="仿宋_GB2312" w:hAnsi="楷体" w:eastAsia="仿宋_GB2312"/>
          <w:color w:val="auto"/>
          <w:sz w:val="24"/>
          <w:u w:val="single"/>
        </w:rPr>
        <w:t>南宁市</w:t>
      </w:r>
      <w:r>
        <w:rPr>
          <w:rFonts w:hint="eastAsia" w:ascii="仿宋_GB2312" w:hAnsi="楷体" w:eastAsia="仿宋_GB2312"/>
          <w:color w:val="auto"/>
          <w:sz w:val="24"/>
        </w:rPr>
        <w:t>仲裁委员会依申请仲裁时其现行有效的仲裁规则裁决；</w:t>
      </w:r>
    </w:p>
    <w:p w14:paraId="2A451A6F">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1.7.2 向</w:t>
      </w:r>
      <w:r>
        <w:rPr>
          <w:rFonts w:hint="eastAsia" w:ascii="仿宋_GB2312" w:hAnsi="楷体" w:eastAsia="仿宋_GB2312"/>
          <w:color w:val="auto"/>
          <w:sz w:val="24"/>
          <w:u w:val="single"/>
        </w:rPr>
        <w:t xml:space="preserve">   甲方所在地    有管辖权的</w:t>
      </w:r>
      <w:r>
        <w:rPr>
          <w:rFonts w:hint="eastAsia" w:ascii="仿宋_GB2312" w:hAnsi="楷体" w:eastAsia="仿宋_GB2312"/>
          <w:color w:val="auto"/>
          <w:sz w:val="24"/>
        </w:rPr>
        <w:t>人民法院起诉。</w:t>
      </w:r>
    </w:p>
    <w:p w14:paraId="1C202466">
      <w:pPr>
        <w:spacing w:line="360" w:lineRule="auto"/>
        <w:ind w:firstLine="482" w:firstLineChars="200"/>
        <w:rPr>
          <w:rFonts w:ascii="仿宋_GB2312" w:hAnsi="楷体" w:eastAsia="仿宋_GB2312"/>
          <w:b/>
          <w:color w:val="auto"/>
          <w:sz w:val="24"/>
        </w:rPr>
      </w:pPr>
      <w:bookmarkStart w:id="157" w:name="_Toc15322"/>
      <w:bookmarkStart w:id="158" w:name="_Toc7245"/>
      <w:bookmarkStart w:id="159" w:name="_Toc11173"/>
      <w:r>
        <w:rPr>
          <w:rFonts w:hint="eastAsia" w:ascii="仿宋_GB2312" w:hAnsi="楷体" w:eastAsia="仿宋_GB2312"/>
          <w:b/>
          <w:color w:val="auto"/>
          <w:sz w:val="24"/>
        </w:rPr>
        <w:t>1.8 合同生效</w:t>
      </w:r>
      <w:bookmarkEnd w:id="157"/>
      <w:bookmarkEnd w:id="158"/>
      <w:bookmarkEnd w:id="159"/>
    </w:p>
    <w:p w14:paraId="786ACC23">
      <w:pPr>
        <w:spacing w:line="360" w:lineRule="auto"/>
        <w:ind w:firstLine="480" w:firstLineChars="200"/>
        <w:rPr>
          <w:rFonts w:ascii="仿宋_GB2312" w:hAnsi="楷体" w:eastAsia="仿宋_GB2312"/>
          <w:b/>
          <w:color w:val="auto"/>
          <w:sz w:val="24"/>
        </w:rPr>
      </w:pPr>
      <w:r>
        <w:rPr>
          <w:rFonts w:hint="eastAsia" w:ascii="仿宋_GB2312" w:hAnsi="楷体" w:eastAsia="仿宋_GB2312"/>
          <w:color w:val="auto"/>
          <w:sz w:val="24"/>
        </w:rPr>
        <w:t>本合同自双方当事人加盖有效电子公章时生效。</w:t>
      </w:r>
    </w:p>
    <w:p w14:paraId="2AE8F26E">
      <w:pPr>
        <w:spacing w:line="360" w:lineRule="auto"/>
        <w:ind w:firstLine="200"/>
        <w:rPr>
          <w:rFonts w:ascii="仿宋_GB2312" w:hAnsi="楷体" w:eastAsia="仿宋_GB2312"/>
          <w:color w:val="auto"/>
          <w:sz w:val="24"/>
          <w:lang w:val="zh-CN"/>
        </w:rPr>
      </w:pPr>
      <w:r>
        <w:rPr>
          <w:rFonts w:hint="eastAsia" w:ascii="仿宋_GB2312" w:hAnsi="楷体" w:eastAsia="仿宋_GB2312"/>
          <w:color w:val="auto"/>
          <w:sz w:val="24"/>
          <w:lang w:val="zh-CN"/>
        </w:rPr>
        <w:t>甲方：                                   乙方：</w:t>
      </w:r>
    </w:p>
    <w:p w14:paraId="6E92E1EA">
      <w:pPr>
        <w:spacing w:line="360" w:lineRule="auto"/>
        <w:ind w:firstLine="200"/>
        <w:rPr>
          <w:rFonts w:ascii="仿宋_GB2312" w:hAnsi="楷体" w:eastAsia="仿宋_GB2312"/>
          <w:color w:val="auto"/>
          <w:sz w:val="24"/>
          <w:lang w:val="zh-CN"/>
        </w:rPr>
      </w:pPr>
      <w:r>
        <w:rPr>
          <w:rFonts w:hint="eastAsia" w:ascii="仿宋_GB2312" w:hAnsi="楷体" w:eastAsia="仿宋_GB2312"/>
          <w:color w:val="auto"/>
          <w:sz w:val="24"/>
          <w:lang w:val="zh-CN"/>
        </w:rPr>
        <w:t>统一社会信用代码：                        统一社会信用代码或身份证号码：</w:t>
      </w:r>
    </w:p>
    <w:p w14:paraId="7492C3C1">
      <w:pPr>
        <w:spacing w:line="360" w:lineRule="auto"/>
        <w:ind w:firstLine="200"/>
        <w:rPr>
          <w:rFonts w:ascii="仿宋_GB2312" w:hAnsi="楷体" w:eastAsia="仿宋_GB2312"/>
          <w:color w:val="auto"/>
          <w:sz w:val="24"/>
          <w:lang w:val="zh-CN"/>
        </w:rPr>
      </w:pPr>
    </w:p>
    <w:p w14:paraId="7555BD9E">
      <w:pPr>
        <w:spacing w:line="360" w:lineRule="auto"/>
        <w:ind w:firstLine="200"/>
        <w:rPr>
          <w:rFonts w:ascii="仿宋_GB2312" w:hAnsi="楷体" w:eastAsia="仿宋_GB2312"/>
          <w:color w:val="auto"/>
          <w:sz w:val="24"/>
          <w:lang w:val="zh-CN"/>
        </w:rPr>
      </w:pPr>
      <w:r>
        <w:rPr>
          <w:rFonts w:hint="eastAsia" w:ascii="仿宋_GB2312" w:hAnsi="楷体" w:eastAsia="仿宋_GB2312"/>
          <w:color w:val="auto"/>
          <w:sz w:val="24"/>
          <w:lang w:val="zh-CN"/>
        </w:rPr>
        <w:t>住所：                                   住所：</w:t>
      </w:r>
    </w:p>
    <w:p w14:paraId="193E374C">
      <w:pPr>
        <w:spacing w:line="360" w:lineRule="auto"/>
        <w:ind w:firstLine="200"/>
        <w:rPr>
          <w:rFonts w:ascii="仿宋_GB2312" w:hAnsi="楷体" w:eastAsia="仿宋_GB2312"/>
          <w:color w:val="auto"/>
          <w:sz w:val="24"/>
          <w:lang w:val="zh-CN"/>
        </w:rPr>
      </w:pPr>
      <w:r>
        <w:rPr>
          <w:rFonts w:hint="eastAsia" w:ascii="仿宋_GB2312" w:hAnsi="楷体" w:eastAsia="仿宋_GB2312"/>
          <w:color w:val="auto"/>
          <w:sz w:val="24"/>
          <w:lang w:val="zh-CN"/>
        </w:rPr>
        <w:t>法定代表人或                             法定代表人</w:t>
      </w:r>
    </w:p>
    <w:p w14:paraId="7DC7EB39">
      <w:pPr>
        <w:spacing w:line="360" w:lineRule="auto"/>
        <w:ind w:firstLine="200"/>
        <w:rPr>
          <w:rFonts w:ascii="仿宋_GB2312" w:hAnsi="楷体" w:eastAsia="仿宋_GB2312"/>
          <w:color w:val="auto"/>
          <w:sz w:val="24"/>
          <w:lang w:val="zh-CN"/>
        </w:rPr>
      </w:pPr>
      <w:r>
        <w:rPr>
          <w:rFonts w:hint="eastAsia" w:ascii="仿宋_GB2312" w:hAnsi="楷体" w:eastAsia="仿宋_GB2312"/>
          <w:color w:val="auto"/>
          <w:sz w:val="24"/>
          <w:lang w:val="zh-CN"/>
        </w:rPr>
        <w:t xml:space="preserve">授权代表（签字）：                       或授权代表（签字）: </w:t>
      </w:r>
    </w:p>
    <w:p w14:paraId="4B0105EA">
      <w:pPr>
        <w:spacing w:line="360" w:lineRule="auto"/>
        <w:ind w:firstLine="200"/>
        <w:rPr>
          <w:rFonts w:ascii="仿宋_GB2312" w:hAnsi="楷体" w:eastAsia="仿宋_GB2312"/>
          <w:color w:val="auto"/>
          <w:sz w:val="24"/>
          <w:lang w:val="zh-CN"/>
        </w:rPr>
      </w:pPr>
      <w:r>
        <w:rPr>
          <w:rFonts w:hint="eastAsia" w:ascii="仿宋_GB2312" w:hAnsi="楷体" w:eastAsia="仿宋_GB2312"/>
          <w:color w:val="auto"/>
          <w:sz w:val="24"/>
          <w:lang w:val="zh-CN"/>
        </w:rPr>
        <w:t>联系人：                                 联系人：</w:t>
      </w:r>
    </w:p>
    <w:p w14:paraId="5291A140">
      <w:pPr>
        <w:spacing w:line="360" w:lineRule="auto"/>
        <w:ind w:firstLine="200"/>
        <w:rPr>
          <w:rFonts w:ascii="仿宋_GB2312" w:hAnsi="楷体" w:eastAsia="仿宋_GB2312"/>
          <w:color w:val="auto"/>
          <w:sz w:val="24"/>
          <w:lang w:val="zh-CN"/>
        </w:rPr>
      </w:pPr>
      <w:r>
        <w:rPr>
          <w:rFonts w:hint="eastAsia" w:ascii="仿宋_GB2312" w:hAnsi="楷体" w:eastAsia="仿宋_GB2312"/>
          <w:color w:val="auto"/>
          <w:sz w:val="24"/>
          <w:lang w:val="zh-CN"/>
        </w:rPr>
        <w:t>约定送达地址：                           约定送达地址：</w:t>
      </w:r>
    </w:p>
    <w:p w14:paraId="10C002C9">
      <w:pPr>
        <w:spacing w:line="360" w:lineRule="auto"/>
        <w:ind w:firstLine="200"/>
        <w:rPr>
          <w:rFonts w:ascii="仿宋_GB2312" w:hAnsi="楷体" w:eastAsia="仿宋_GB2312"/>
          <w:color w:val="auto"/>
          <w:sz w:val="24"/>
          <w:lang w:val="zh-CN"/>
        </w:rPr>
      </w:pPr>
      <w:r>
        <w:rPr>
          <w:rFonts w:hint="eastAsia" w:ascii="仿宋_GB2312" w:hAnsi="楷体" w:eastAsia="仿宋_GB2312"/>
          <w:color w:val="auto"/>
          <w:sz w:val="24"/>
          <w:lang w:val="zh-CN"/>
        </w:rPr>
        <w:t>邮政编码：                               邮政编码：</w:t>
      </w:r>
    </w:p>
    <w:p w14:paraId="0C7461BA">
      <w:pPr>
        <w:spacing w:line="360" w:lineRule="auto"/>
        <w:ind w:firstLine="200"/>
        <w:rPr>
          <w:rFonts w:ascii="仿宋_GB2312" w:hAnsi="楷体" w:eastAsia="仿宋_GB2312"/>
          <w:color w:val="auto"/>
          <w:sz w:val="24"/>
          <w:lang w:val="zh-CN"/>
        </w:rPr>
      </w:pPr>
      <w:r>
        <w:rPr>
          <w:rFonts w:hint="eastAsia" w:ascii="仿宋_GB2312" w:hAnsi="楷体" w:eastAsia="仿宋_GB2312"/>
          <w:color w:val="auto"/>
          <w:sz w:val="24"/>
          <w:lang w:val="zh-CN"/>
        </w:rPr>
        <w:t xml:space="preserve">电话:                                    电话: </w:t>
      </w:r>
    </w:p>
    <w:p w14:paraId="56316A01">
      <w:pPr>
        <w:spacing w:line="360" w:lineRule="auto"/>
        <w:ind w:firstLine="200"/>
        <w:rPr>
          <w:rFonts w:ascii="仿宋_GB2312" w:hAnsi="楷体" w:eastAsia="仿宋_GB2312"/>
          <w:color w:val="auto"/>
          <w:sz w:val="24"/>
          <w:lang w:val="zh-CN"/>
        </w:rPr>
      </w:pPr>
      <w:r>
        <w:rPr>
          <w:rFonts w:hint="eastAsia" w:ascii="仿宋_GB2312" w:hAnsi="楷体" w:eastAsia="仿宋_GB2312"/>
          <w:color w:val="auto"/>
          <w:sz w:val="24"/>
          <w:lang w:val="zh-CN"/>
        </w:rPr>
        <w:t>传真:                                    传真:</w:t>
      </w:r>
    </w:p>
    <w:p w14:paraId="33E132C5">
      <w:pPr>
        <w:spacing w:line="360" w:lineRule="auto"/>
        <w:ind w:firstLine="200"/>
        <w:rPr>
          <w:rFonts w:ascii="仿宋_GB2312" w:hAnsi="楷体" w:eastAsia="仿宋_GB2312"/>
          <w:color w:val="auto"/>
          <w:sz w:val="24"/>
        </w:rPr>
      </w:pPr>
      <w:r>
        <w:rPr>
          <w:rFonts w:hint="eastAsia" w:ascii="仿宋_GB2312" w:hAnsi="楷体" w:eastAsia="仿宋_GB2312"/>
          <w:color w:val="auto"/>
          <w:sz w:val="24"/>
          <w:lang w:val="zh-CN"/>
        </w:rPr>
        <w:t>电子邮箱：                               电子邮箱：</w:t>
      </w:r>
    </w:p>
    <w:p w14:paraId="71CE5E17">
      <w:pPr>
        <w:spacing w:line="360" w:lineRule="auto"/>
        <w:ind w:firstLine="200"/>
        <w:rPr>
          <w:rFonts w:ascii="仿宋_GB2312" w:hAnsi="楷体" w:eastAsia="仿宋_GB2312"/>
          <w:color w:val="auto"/>
          <w:sz w:val="24"/>
        </w:rPr>
      </w:pPr>
      <w:r>
        <w:rPr>
          <w:rFonts w:hint="eastAsia" w:ascii="仿宋_GB2312" w:hAnsi="楷体" w:eastAsia="仿宋_GB2312"/>
          <w:color w:val="auto"/>
          <w:sz w:val="24"/>
        </w:rPr>
        <w:t xml:space="preserve">开户银行：                               开户银行： </w:t>
      </w:r>
    </w:p>
    <w:p w14:paraId="2DF9D169">
      <w:pPr>
        <w:spacing w:line="360" w:lineRule="auto"/>
        <w:ind w:firstLine="200"/>
        <w:rPr>
          <w:rFonts w:ascii="仿宋_GB2312" w:hAnsi="楷体" w:eastAsia="仿宋_GB2312"/>
          <w:color w:val="auto"/>
          <w:sz w:val="24"/>
        </w:rPr>
      </w:pPr>
      <w:r>
        <w:rPr>
          <w:rFonts w:hint="eastAsia" w:ascii="仿宋_GB2312" w:hAnsi="楷体" w:eastAsia="仿宋_GB2312"/>
          <w:color w:val="auto"/>
          <w:sz w:val="24"/>
        </w:rPr>
        <w:t xml:space="preserve">开户名称：                               开户名称： </w:t>
      </w:r>
    </w:p>
    <w:p w14:paraId="28971DCB">
      <w:pPr>
        <w:spacing w:line="360" w:lineRule="auto"/>
        <w:ind w:firstLine="200"/>
        <w:rPr>
          <w:rFonts w:ascii="仿宋_GB2312" w:hAnsi="楷体" w:eastAsia="仿宋_GB2312"/>
          <w:color w:val="auto"/>
          <w:sz w:val="24"/>
        </w:rPr>
      </w:pPr>
      <w:r>
        <w:rPr>
          <w:rFonts w:hint="eastAsia" w:ascii="仿宋_GB2312" w:hAnsi="楷体" w:eastAsia="仿宋_GB2312"/>
          <w:color w:val="auto"/>
          <w:sz w:val="24"/>
        </w:rPr>
        <w:t>开户账号：</w:t>
      </w:r>
      <w:r>
        <w:rPr>
          <w:rFonts w:hint="eastAsia" w:ascii="仿宋_GB2312" w:hAnsi="楷体" w:eastAsia="仿宋_GB2312"/>
          <w:color w:val="auto"/>
          <w:sz w:val="24"/>
          <w:lang w:val="zh-CN"/>
        </w:rPr>
        <w:t xml:space="preserve">                               </w:t>
      </w:r>
      <w:r>
        <w:rPr>
          <w:rFonts w:hint="eastAsia" w:ascii="仿宋_GB2312" w:hAnsi="楷体" w:eastAsia="仿宋_GB2312"/>
          <w:color w:val="auto"/>
          <w:sz w:val="24"/>
        </w:rPr>
        <w:t>开户账号：</w:t>
      </w:r>
    </w:p>
    <w:p w14:paraId="6994C25C">
      <w:pPr>
        <w:spacing w:line="360" w:lineRule="auto"/>
        <w:ind w:firstLine="200"/>
        <w:jc w:val="center"/>
        <w:rPr>
          <w:rFonts w:ascii="仿宋_GB2312" w:hAnsi="楷体" w:eastAsia="仿宋_GB2312"/>
          <w:b/>
          <w:color w:val="auto"/>
          <w:sz w:val="28"/>
          <w:szCs w:val="28"/>
        </w:rPr>
      </w:pPr>
      <w:bookmarkStart w:id="160" w:name="_Toc331685783"/>
      <w:r>
        <w:rPr>
          <w:rFonts w:hint="eastAsia" w:ascii="仿宋_GB2312" w:hAnsi="楷体" w:eastAsia="仿宋_GB2312"/>
          <w:b/>
          <w:color w:val="auto"/>
        </w:rPr>
        <w:br w:type="page"/>
      </w:r>
      <w:r>
        <w:rPr>
          <w:rFonts w:hint="eastAsia" w:ascii="仿宋_GB2312" w:hAnsi="楷体" w:eastAsia="仿宋_GB2312"/>
          <w:b/>
          <w:color w:val="auto"/>
          <w:sz w:val="28"/>
          <w:szCs w:val="28"/>
        </w:rPr>
        <w:t>第二部分 合同一般条款</w:t>
      </w:r>
      <w:bookmarkEnd w:id="160"/>
    </w:p>
    <w:p w14:paraId="75BF14BF">
      <w:pPr>
        <w:spacing w:line="360" w:lineRule="auto"/>
        <w:ind w:firstLine="482" w:firstLineChars="200"/>
        <w:rPr>
          <w:rFonts w:ascii="仿宋_GB2312" w:hAnsi="楷体" w:eastAsia="仿宋_GB2312"/>
          <w:b/>
          <w:color w:val="auto"/>
          <w:sz w:val="24"/>
        </w:rPr>
      </w:pPr>
      <w:bookmarkStart w:id="161" w:name="_Ref467379214"/>
      <w:bookmarkStart w:id="162" w:name="_Ref467379195"/>
      <w:bookmarkStart w:id="163" w:name="_Ref467379205"/>
      <w:bookmarkStart w:id="164" w:name="_Toc19614"/>
      <w:bookmarkStart w:id="165" w:name="_Ref467378499"/>
      <w:bookmarkStart w:id="166" w:name="_Ref467379109"/>
      <w:bookmarkStart w:id="167" w:name="_Ref467379094"/>
      <w:bookmarkStart w:id="168" w:name="_Toc16917"/>
      <w:bookmarkStart w:id="169" w:name="_Ref467378463"/>
      <w:bookmarkStart w:id="170" w:name="_Toc259093669"/>
      <w:bookmarkStart w:id="171" w:name="_Toc487900349"/>
      <w:bookmarkStart w:id="172" w:name="_Toc28763"/>
      <w:bookmarkStart w:id="173" w:name="_Ref467379225"/>
      <w:bookmarkStart w:id="174" w:name="_Ref467379101"/>
      <w:bookmarkStart w:id="175" w:name="_Ref467378404"/>
      <w:bookmarkStart w:id="176" w:name="_Toc279701240"/>
      <w:r>
        <w:rPr>
          <w:rFonts w:hint="eastAsia" w:ascii="仿宋_GB2312" w:hAnsi="楷体" w:eastAsia="仿宋_GB2312"/>
          <w:b/>
          <w:color w:val="auto"/>
          <w:sz w:val="24"/>
        </w:rPr>
        <w:t>2.1 定义</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42A708F5">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本合同中的下列词语应按以下内容进行解释：</w:t>
      </w:r>
    </w:p>
    <w:p w14:paraId="50C1144D">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2.1.1 “合同”系指采购人和中标人签订的载明双方当事人所达成的协议，并包括所有的附件、附录和构成合同的其他文件。</w:t>
      </w:r>
    </w:p>
    <w:p w14:paraId="09875803">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2.1.2 “合同价”系指根据合同约定，中标人在完全履行合同义务后，采购人应支付给中标人的价格。</w:t>
      </w:r>
    </w:p>
    <w:p w14:paraId="097F035D">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76365F7D">
      <w:pPr>
        <w:spacing w:line="360" w:lineRule="auto"/>
        <w:ind w:firstLine="480" w:firstLineChars="200"/>
        <w:rPr>
          <w:rFonts w:ascii="仿宋_GB2312" w:hAnsi="楷体" w:eastAsia="仿宋_GB2312"/>
          <w:color w:val="auto"/>
          <w:sz w:val="24"/>
        </w:rPr>
      </w:pPr>
      <w:bookmarkStart w:id="177" w:name="_Ref467378840"/>
      <w:r>
        <w:rPr>
          <w:rFonts w:hint="eastAsia" w:ascii="仿宋_GB2312" w:hAnsi="楷体" w:eastAsia="仿宋_GB2312"/>
          <w:color w:val="auto"/>
          <w:sz w:val="24"/>
        </w:rPr>
        <w:t>2.1.4 “甲方”系指与中标人签署合同的采购人</w:t>
      </w:r>
      <w:bookmarkEnd w:id="177"/>
      <w:r>
        <w:rPr>
          <w:rFonts w:hint="eastAsia" w:ascii="仿宋_GB2312" w:hAnsi="楷体" w:eastAsia="仿宋_GB2312"/>
          <w:color w:val="auto"/>
          <w:sz w:val="24"/>
        </w:rPr>
        <w:t>；采购人委托采购机构代表其与乙方签订合同的，采购人的授权委托书作为合同附件。</w:t>
      </w:r>
    </w:p>
    <w:p w14:paraId="4D181FD1">
      <w:pPr>
        <w:spacing w:line="360" w:lineRule="auto"/>
        <w:ind w:firstLine="480" w:firstLineChars="200"/>
        <w:rPr>
          <w:rFonts w:ascii="仿宋_GB2312" w:hAnsi="楷体" w:eastAsia="仿宋_GB2312"/>
          <w:color w:val="auto"/>
          <w:sz w:val="24"/>
        </w:rPr>
      </w:pPr>
      <w:bookmarkStart w:id="178" w:name="_Ref467379400"/>
      <w:r>
        <w:rPr>
          <w:rFonts w:hint="eastAsia" w:ascii="仿宋_GB2312" w:hAnsi="楷体" w:eastAsia="仿宋_GB2312"/>
          <w:color w:val="auto"/>
          <w:sz w:val="24"/>
        </w:rPr>
        <w:t>2.1.5 “乙方”系指根据合同约定交付标的物的</w:t>
      </w:r>
      <w:bookmarkEnd w:id="178"/>
      <w:r>
        <w:rPr>
          <w:rFonts w:hint="eastAsia" w:ascii="仿宋_GB2312" w:hAnsi="楷体" w:eastAsia="仿宋_GB2312"/>
          <w:color w:val="auto"/>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1EA574C2">
      <w:pPr>
        <w:spacing w:line="360" w:lineRule="auto"/>
        <w:ind w:firstLine="480" w:firstLineChars="200"/>
        <w:rPr>
          <w:rFonts w:ascii="仿宋_GB2312" w:hAnsi="楷体" w:eastAsia="仿宋_GB2312"/>
          <w:color w:val="auto"/>
          <w:sz w:val="24"/>
        </w:rPr>
      </w:pPr>
      <w:bookmarkStart w:id="179" w:name="_Ref467379436"/>
      <w:r>
        <w:rPr>
          <w:rFonts w:hint="eastAsia" w:ascii="仿宋_GB2312" w:hAnsi="楷体" w:eastAsia="仿宋_GB2312"/>
          <w:color w:val="auto"/>
          <w:sz w:val="24"/>
        </w:rPr>
        <w:t>2.1.6 “现场”系指合同约定标的物将要运至或者实施或者安装的地点。</w:t>
      </w:r>
      <w:bookmarkEnd w:id="179"/>
    </w:p>
    <w:p w14:paraId="13718E6C">
      <w:pPr>
        <w:spacing w:line="360" w:lineRule="auto"/>
        <w:ind w:firstLine="482" w:firstLineChars="200"/>
        <w:rPr>
          <w:rFonts w:ascii="仿宋_GB2312" w:hAnsi="楷体" w:eastAsia="仿宋_GB2312"/>
          <w:b/>
          <w:color w:val="auto"/>
          <w:sz w:val="24"/>
        </w:rPr>
      </w:pPr>
      <w:bookmarkStart w:id="180" w:name="_Toc487900350"/>
      <w:bookmarkStart w:id="181" w:name="_Toc279701241"/>
      <w:bookmarkStart w:id="182" w:name="_Toc27635"/>
      <w:bookmarkStart w:id="183" w:name="_Toc259093670"/>
      <w:bookmarkStart w:id="184" w:name="_Toc32504"/>
      <w:bookmarkStart w:id="185" w:name="_Toc13336"/>
      <w:r>
        <w:rPr>
          <w:rFonts w:hint="eastAsia" w:ascii="仿宋_GB2312" w:hAnsi="楷体" w:eastAsia="仿宋_GB2312"/>
          <w:b/>
          <w:color w:val="auto"/>
          <w:sz w:val="24"/>
        </w:rPr>
        <w:t>2.2 技术规范</w:t>
      </w:r>
      <w:bookmarkEnd w:id="180"/>
      <w:bookmarkEnd w:id="181"/>
      <w:bookmarkEnd w:id="182"/>
      <w:bookmarkEnd w:id="183"/>
      <w:bookmarkEnd w:id="184"/>
      <w:bookmarkEnd w:id="185"/>
    </w:p>
    <w:p w14:paraId="3876EF26">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7127FBC3">
      <w:pPr>
        <w:spacing w:line="360" w:lineRule="auto"/>
        <w:ind w:firstLine="482" w:firstLineChars="200"/>
        <w:rPr>
          <w:rFonts w:ascii="仿宋_GB2312" w:hAnsi="楷体" w:eastAsia="仿宋_GB2312"/>
          <w:b/>
          <w:color w:val="auto"/>
          <w:sz w:val="24"/>
        </w:rPr>
      </w:pPr>
      <w:bookmarkStart w:id="186" w:name="_Toc259093671"/>
      <w:bookmarkStart w:id="187" w:name="_Toc9829"/>
      <w:bookmarkStart w:id="188" w:name="_Toc279701242"/>
      <w:bookmarkStart w:id="189" w:name="_Toc27853"/>
      <w:bookmarkStart w:id="190" w:name="_Toc487900351"/>
      <w:bookmarkStart w:id="191" w:name="_Toc31634"/>
      <w:r>
        <w:rPr>
          <w:rFonts w:hint="eastAsia" w:ascii="仿宋_GB2312" w:hAnsi="楷体" w:eastAsia="仿宋_GB2312"/>
          <w:b/>
          <w:color w:val="auto"/>
          <w:sz w:val="24"/>
        </w:rPr>
        <w:t>2.3 知识产权</w:t>
      </w:r>
      <w:bookmarkEnd w:id="186"/>
      <w:bookmarkEnd w:id="187"/>
      <w:bookmarkEnd w:id="188"/>
      <w:bookmarkEnd w:id="189"/>
      <w:bookmarkEnd w:id="190"/>
      <w:bookmarkEnd w:id="191"/>
    </w:p>
    <w:p w14:paraId="4C1EEE60">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175F71FA">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2.3.2具有知识产权的计算机软件等标的物的知识产权归属，详见</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w:t>
      </w:r>
    </w:p>
    <w:p w14:paraId="30A54E2C">
      <w:pPr>
        <w:spacing w:line="360" w:lineRule="auto"/>
        <w:ind w:firstLine="482" w:firstLineChars="200"/>
        <w:rPr>
          <w:rFonts w:ascii="仿宋_GB2312" w:hAnsi="楷体" w:eastAsia="仿宋_GB2312"/>
          <w:b/>
          <w:color w:val="auto"/>
          <w:sz w:val="24"/>
        </w:rPr>
      </w:pPr>
      <w:bookmarkStart w:id="192" w:name="_Toc11932"/>
      <w:bookmarkStart w:id="193" w:name="_Toc29149"/>
      <w:bookmarkStart w:id="194" w:name="_Toc4194"/>
      <w:r>
        <w:rPr>
          <w:rFonts w:hint="eastAsia" w:ascii="仿宋_GB2312" w:hAnsi="楷体" w:eastAsia="仿宋_GB2312"/>
          <w:b/>
          <w:color w:val="auto"/>
          <w:sz w:val="24"/>
        </w:rPr>
        <w:t>2.4 包装和装运</w:t>
      </w:r>
      <w:bookmarkEnd w:id="192"/>
      <w:bookmarkEnd w:id="193"/>
      <w:bookmarkEnd w:id="194"/>
    </w:p>
    <w:p w14:paraId="33E57DF2">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2.4.1除</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5773B1BF">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2.4.2 装运标的物的要求和通知，详见</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w:t>
      </w:r>
    </w:p>
    <w:p w14:paraId="263E2300">
      <w:pPr>
        <w:spacing w:line="360" w:lineRule="auto"/>
        <w:ind w:firstLine="482" w:firstLineChars="200"/>
        <w:rPr>
          <w:rFonts w:ascii="仿宋_GB2312" w:hAnsi="楷体" w:eastAsia="仿宋_GB2312"/>
          <w:b/>
          <w:color w:val="auto"/>
          <w:sz w:val="24"/>
        </w:rPr>
      </w:pPr>
      <w:bookmarkStart w:id="195" w:name="_Ref467379527"/>
      <w:bookmarkStart w:id="196" w:name="_Toc487900354"/>
      <w:bookmarkStart w:id="197" w:name="_Ref467378541"/>
      <w:bookmarkStart w:id="198" w:name="_Ref467379536"/>
      <w:bookmarkStart w:id="199" w:name="_Ref467378591"/>
      <w:bookmarkStart w:id="200" w:name="_Ref467379542"/>
      <w:bookmarkStart w:id="201" w:name="_Toc279701245"/>
      <w:bookmarkStart w:id="202" w:name="_Toc259093674"/>
      <w:bookmarkStart w:id="203" w:name="_Toc30272"/>
      <w:bookmarkStart w:id="204" w:name="_Toc26182"/>
      <w:bookmarkStart w:id="205" w:name="_Toc19074"/>
      <w:r>
        <w:rPr>
          <w:rFonts w:hint="eastAsia" w:ascii="仿宋_GB2312" w:hAnsi="楷体" w:eastAsia="仿宋_GB2312"/>
          <w:b/>
          <w:color w:val="auto"/>
          <w:sz w:val="24"/>
        </w:rPr>
        <w:t>2.</w:t>
      </w:r>
      <w:bookmarkEnd w:id="195"/>
      <w:bookmarkEnd w:id="196"/>
      <w:bookmarkEnd w:id="197"/>
      <w:bookmarkEnd w:id="198"/>
      <w:bookmarkEnd w:id="199"/>
      <w:bookmarkEnd w:id="200"/>
      <w:bookmarkEnd w:id="201"/>
      <w:bookmarkEnd w:id="202"/>
      <w:r>
        <w:rPr>
          <w:rFonts w:hint="eastAsia" w:ascii="仿宋_GB2312" w:hAnsi="楷体" w:eastAsia="仿宋_GB2312"/>
          <w:b/>
          <w:color w:val="auto"/>
          <w:sz w:val="24"/>
        </w:rPr>
        <w:t>5 履约检查和问题反馈</w:t>
      </w:r>
      <w:bookmarkEnd w:id="203"/>
      <w:bookmarkEnd w:id="204"/>
      <w:bookmarkEnd w:id="205"/>
    </w:p>
    <w:p w14:paraId="2D1A8C26">
      <w:pPr>
        <w:spacing w:line="360" w:lineRule="auto"/>
        <w:ind w:firstLine="480" w:firstLineChars="200"/>
        <w:rPr>
          <w:rFonts w:ascii="仿宋_GB2312" w:hAnsi="楷体" w:eastAsia="仿宋_GB2312"/>
          <w:color w:val="auto"/>
          <w:sz w:val="24"/>
        </w:rPr>
      </w:pPr>
      <w:bookmarkStart w:id="206" w:name="_Ref467379657"/>
      <w:r>
        <w:rPr>
          <w:rFonts w:hint="eastAsia" w:ascii="仿宋_GB2312" w:hAnsi="楷体" w:eastAsia="仿宋_GB2312"/>
          <w:color w:val="auto"/>
          <w:sz w:val="24"/>
        </w:rPr>
        <w:t>2.5.1</w:t>
      </w:r>
      <w:bookmarkEnd w:id="206"/>
      <w:bookmarkStart w:id="207" w:name="_Toc186431854"/>
      <w:bookmarkStart w:id="208" w:name="_Toc279701247"/>
      <w:bookmarkStart w:id="209" w:name="_Toc259093676"/>
      <w:bookmarkStart w:id="210" w:name="_Toc487900357"/>
      <w:bookmarkStart w:id="211" w:name="_Ref467379793"/>
      <w:bookmarkStart w:id="212" w:name="_Ref467379807"/>
      <w:r>
        <w:rPr>
          <w:rFonts w:hint="eastAsia" w:ascii="仿宋_GB2312" w:hAnsi="楷体" w:eastAsia="仿宋_GB2312"/>
          <w:color w:val="auto"/>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65621241">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2.5.2 合同履行期间，甲方有权将履行过程中出现的问题反馈给乙方，双方当事人应以书面形式约定需要完善和改进的内容</w:t>
      </w:r>
      <w:bookmarkEnd w:id="207"/>
      <w:bookmarkStart w:id="213" w:name="_Toc186431855"/>
      <w:r>
        <w:rPr>
          <w:rFonts w:hint="eastAsia" w:ascii="仿宋_GB2312" w:hAnsi="楷体" w:eastAsia="仿宋_GB2312"/>
          <w:color w:val="auto"/>
          <w:sz w:val="24"/>
        </w:rPr>
        <w:t>。</w:t>
      </w:r>
    </w:p>
    <w:bookmarkEnd w:id="213"/>
    <w:p w14:paraId="1B38D762">
      <w:pPr>
        <w:spacing w:line="360" w:lineRule="auto"/>
        <w:ind w:firstLine="482" w:firstLineChars="200"/>
        <w:rPr>
          <w:rFonts w:ascii="仿宋_GB2312" w:hAnsi="楷体" w:eastAsia="仿宋_GB2312"/>
          <w:b/>
          <w:color w:val="auto"/>
          <w:sz w:val="24"/>
        </w:rPr>
      </w:pPr>
      <w:bookmarkStart w:id="214" w:name="_Toc7836"/>
      <w:bookmarkStart w:id="215" w:name="_Toc19219"/>
      <w:bookmarkStart w:id="216" w:name="_Toc28451"/>
      <w:r>
        <w:rPr>
          <w:rFonts w:hint="eastAsia" w:ascii="仿宋_GB2312" w:hAnsi="楷体" w:eastAsia="仿宋_GB2312"/>
          <w:b/>
          <w:color w:val="auto"/>
          <w:sz w:val="24"/>
        </w:rPr>
        <w:t>2.6 结算方式和付款条件</w:t>
      </w:r>
      <w:bookmarkEnd w:id="208"/>
      <w:bookmarkEnd w:id="209"/>
      <w:bookmarkEnd w:id="210"/>
      <w:bookmarkEnd w:id="211"/>
      <w:bookmarkEnd w:id="212"/>
      <w:bookmarkEnd w:id="214"/>
      <w:bookmarkEnd w:id="215"/>
      <w:bookmarkEnd w:id="216"/>
    </w:p>
    <w:p w14:paraId="32C66958">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详见</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w:t>
      </w:r>
    </w:p>
    <w:p w14:paraId="7BCE55D9">
      <w:pPr>
        <w:spacing w:line="360" w:lineRule="auto"/>
        <w:ind w:firstLine="482" w:firstLineChars="200"/>
        <w:rPr>
          <w:rFonts w:ascii="仿宋_GB2312" w:hAnsi="楷体" w:eastAsia="仿宋_GB2312"/>
          <w:b/>
          <w:color w:val="auto"/>
          <w:sz w:val="24"/>
        </w:rPr>
      </w:pPr>
      <w:bookmarkStart w:id="217" w:name="_Toc259093677"/>
      <w:bookmarkStart w:id="218" w:name="_Ref467379863"/>
      <w:bookmarkStart w:id="219" w:name="_Ref467379923"/>
      <w:bookmarkStart w:id="220" w:name="_Toc279701248"/>
      <w:bookmarkStart w:id="221" w:name="_Ref467379852"/>
      <w:bookmarkStart w:id="222" w:name="_Toc487900358"/>
      <w:bookmarkStart w:id="223" w:name="_Toc774"/>
      <w:bookmarkStart w:id="224" w:name="_Toc3225"/>
      <w:bookmarkStart w:id="225" w:name="_Toc16110"/>
      <w:r>
        <w:rPr>
          <w:rFonts w:hint="eastAsia" w:ascii="仿宋_GB2312" w:hAnsi="楷体" w:eastAsia="仿宋_GB2312"/>
          <w:b/>
          <w:color w:val="auto"/>
          <w:sz w:val="24"/>
        </w:rPr>
        <w:t>2.7 技术资料</w:t>
      </w:r>
      <w:bookmarkEnd w:id="217"/>
      <w:bookmarkEnd w:id="218"/>
      <w:bookmarkEnd w:id="219"/>
      <w:bookmarkEnd w:id="220"/>
      <w:bookmarkEnd w:id="221"/>
      <w:bookmarkEnd w:id="222"/>
      <w:r>
        <w:rPr>
          <w:rFonts w:hint="eastAsia" w:ascii="仿宋_GB2312" w:hAnsi="楷体" w:eastAsia="仿宋_GB2312"/>
          <w:b/>
          <w:color w:val="auto"/>
          <w:sz w:val="24"/>
        </w:rPr>
        <w:t>和保密义务</w:t>
      </w:r>
      <w:bookmarkEnd w:id="223"/>
      <w:bookmarkEnd w:id="224"/>
      <w:bookmarkEnd w:id="225"/>
    </w:p>
    <w:p w14:paraId="464DECC5">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2.7.1 乙方有权依据合同约定和项目需要，向甲方了解有关情况，调阅有关资料等，甲方应予积极配合；</w:t>
      </w:r>
    </w:p>
    <w:p w14:paraId="22159E11">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2.7.2 乙方有义务妥善保管和保护由甲方提供的前款信息和资料等；</w:t>
      </w:r>
    </w:p>
    <w:p w14:paraId="655B5EF3">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7109D002">
      <w:pPr>
        <w:spacing w:line="360" w:lineRule="auto"/>
        <w:ind w:firstLine="482" w:firstLineChars="200"/>
        <w:rPr>
          <w:rFonts w:ascii="仿宋_GB2312" w:hAnsi="楷体" w:eastAsia="仿宋_GB2312"/>
          <w:b/>
          <w:color w:val="auto"/>
          <w:sz w:val="24"/>
        </w:rPr>
      </w:pPr>
      <w:bookmarkStart w:id="226" w:name="_Toc7860"/>
      <w:r>
        <w:rPr>
          <w:rFonts w:hint="eastAsia" w:ascii="仿宋_GB2312" w:hAnsi="楷体" w:eastAsia="仿宋_GB2312"/>
          <w:b/>
          <w:color w:val="auto"/>
          <w:sz w:val="24"/>
        </w:rPr>
        <w:t>2.8 质量保证</w:t>
      </w:r>
      <w:bookmarkEnd w:id="226"/>
    </w:p>
    <w:p w14:paraId="17C1E79D">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2.8.1 乙方应建立和完善履行合同的内部质量保证体系，并提供相关内部规章制度给甲方，以便甲方进行监督检查；</w:t>
      </w:r>
    </w:p>
    <w:p w14:paraId="23FFC437">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2.8.2 乙方应保证履行合同的人员数量和素质、软件和硬件设备的配置、场地、环境和设施等满足全面履行合同的要求，并应接受甲方的监督检查。</w:t>
      </w:r>
    </w:p>
    <w:p w14:paraId="201951BA">
      <w:pPr>
        <w:spacing w:line="360" w:lineRule="auto"/>
        <w:ind w:firstLine="480" w:firstLineChars="200"/>
        <w:rPr>
          <w:rFonts w:ascii="仿宋_GB2312" w:hAnsi="仿宋" w:eastAsia="仿宋_GB2312" w:cs="仿宋_GB2312"/>
          <w:color w:val="auto"/>
          <w:kern w:val="0"/>
          <w:sz w:val="24"/>
        </w:rPr>
      </w:pPr>
      <w:r>
        <w:rPr>
          <w:rFonts w:hint="eastAsia" w:ascii="仿宋_GB2312" w:hAnsi="仿宋" w:eastAsia="仿宋_GB2312"/>
          <w:color w:val="auto"/>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color w:val="auto"/>
          <w:kern w:val="0"/>
          <w:sz w:val="24"/>
        </w:rPr>
        <w:t>甲方有权放弃或终止合同，并没收履约保证金。</w:t>
      </w:r>
    </w:p>
    <w:p w14:paraId="2230A901">
      <w:pPr>
        <w:spacing w:line="360" w:lineRule="auto"/>
        <w:ind w:firstLine="480" w:firstLineChars="200"/>
        <w:rPr>
          <w:rFonts w:ascii="仿宋_GB2312" w:hAnsi="楷体" w:eastAsia="仿宋_GB2312"/>
          <w:color w:val="auto"/>
          <w:sz w:val="24"/>
        </w:rPr>
      </w:pPr>
      <w:r>
        <w:rPr>
          <w:rFonts w:hint="eastAsia" w:ascii="仿宋_GB2312" w:hAnsi="仿宋" w:eastAsia="仿宋_GB2312"/>
          <w:color w:val="auto"/>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color w:val="auto"/>
          <w:sz w:val="24"/>
          <w:u w:val="single"/>
        </w:rPr>
        <w:t>30%</w:t>
      </w:r>
      <w:r>
        <w:rPr>
          <w:rFonts w:hint="eastAsia" w:ascii="仿宋_GB2312" w:hAnsi="仿宋" w:eastAsia="仿宋_GB2312"/>
          <w:color w:val="auto"/>
          <w:sz w:val="24"/>
        </w:rPr>
        <w:t>（根据项目实际情况填写，一般为30%）。</w:t>
      </w:r>
    </w:p>
    <w:p w14:paraId="27F662D6">
      <w:pPr>
        <w:spacing w:line="360" w:lineRule="auto"/>
        <w:ind w:firstLine="482" w:firstLineChars="200"/>
        <w:rPr>
          <w:rFonts w:ascii="仿宋_GB2312" w:hAnsi="楷体" w:eastAsia="仿宋_GB2312"/>
          <w:b/>
          <w:color w:val="auto"/>
          <w:sz w:val="24"/>
        </w:rPr>
      </w:pPr>
      <w:bookmarkStart w:id="227" w:name="_Toc17244"/>
      <w:bookmarkStart w:id="228" w:name="_Toc259093681"/>
      <w:bookmarkStart w:id="229" w:name="_Toc487900362"/>
      <w:bookmarkStart w:id="230" w:name="_Toc279701252"/>
      <w:r>
        <w:rPr>
          <w:rFonts w:hint="eastAsia" w:ascii="仿宋_GB2312" w:hAnsi="楷体" w:eastAsia="仿宋_GB2312"/>
          <w:b/>
          <w:color w:val="auto"/>
          <w:sz w:val="24"/>
        </w:rPr>
        <w:t>2.9 标的物的风险负担</w:t>
      </w:r>
      <w:bookmarkEnd w:id="227"/>
    </w:p>
    <w:p w14:paraId="1FD9B19F">
      <w:pPr>
        <w:spacing w:line="360" w:lineRule="auto"/>
        <w:ind w:firstLine="480" w:firstLineChars="200"/>
        <w:rPr>
          <w:rFonts w:ascii="仿宋_GB2312" w:hAnsi="楷体" w:eastAsia="仿宋_GB2312"/>
          <w:b/>
          <w:color w:val="auto"/>
          <w:sz w:val="24"/>
        </w:rPr>
      </w:pPr>
      <w:r>
        <w:rPr>
          <w:rFonts w:hint="eastAsia" w:ascii="仿宋_GB2312" w:hAnsi="楷体" w:eastAsia="仿宋_GB2312"/>
          <w:color w:val="auto"/>
          <w:sz w:val="24"/>
        </w:rPr>
        <w:t>标的物或者在途标的物或者交付给第一承运人后的标的物毁损、灭失的风险负担详见</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w:t>
      </w:r>
    </w:p>
    <w:p w14:paraId="528812B7">
      <w:pPr>
        <w:spacing w:line="360" w:lineRule="auto"/>
        <w:ind w:firstLine="482" w:firstLineChars="200"/>
        <w:rPr>
          <w:rFonts w:ascii="仿宋_GB2312" w:hAnsi="楷体" w:eastAsia="仿宋_GB2312"/>
          <w:b/>
          <w:color w:val="auto"/>
          <w:sz w:val="24"/>
        </w:rPr>
      </w:pPr>
      <w:bookmarkStart w:id="231" w:name="_Toc14055"/>
      <w:r>
        <w:rPr>
          <w:rFonts w:hint="eastAsia" w:ascii="仿宋_GB2312" w:hAnsi="楷体" w:eastAsia="仿宋_GB2312"/>
          <w:b/>
          <w:color w:val="auto"/>
          <w:sz w:val="24"/>
        </w:rPr>
        <w:t>2.10 延迟交货</w:t>
      </w:r>
      <w:bookmarkEnd w:id="228"/>
      <w:bookmarkEnd w:id="229"/>
      <w:bookmarkEnd w:id="230"/>
      <w:bookmarkEnd w:id="231"/>
      <w:r>
        <w:rPr>
          <w:rFonts w:hint="eastAsia" w:ascii="仿宋_GB2312" w:hAnsi="楷体" w:eastAsia="仿宋_GB2312"/>
          <w:b/>
          <w:color w:val="auto"/>
          <w:sz w:val="24"/>
        </w:rPr>
        <w:t>/交付</w:t>
      </w:r>
    </w:p>
    <w:p w14:paraId="24C555CF">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60B31563">
      <w:pPr>
        <w:spacing w:line="360" w:lineRule="auto"/>
        <w:ind w:firstLine="482" w:firstLineChars="200"/>
        <w:rPr>
          <w:rFonts w:ascii="仿宋_GB2312" w:hAnsi="楷体" w:eastAsia="仿宋_GB2312"/>
          <w:b/>
          <w:color w:val="auto"/>
          <w:sz w:val="24"/>
        </w:rPr>
      </w:pPr>
      <w:bookmarkStart w:id="232" w:name="_Toc7502"/>
      <w:bookmarkStart w:id="233" w:name="_Toc259093683"/>
      <w:bookmarkStart w:id="234" w:name="_Toc279701254"/>
      <w:bookmarkStart w:id="235" w:name="_Ref467378121"/>
      <w:bookmarkStart w:id="236" w:name="_Toc487900364"/>
      <w:r>
        <w:rPr>
          <w:rFonts w:hint="eastAsia" w:ascii="仿宋_GB2312" w:hAnsi="楷体" w:eastAsia="仿宋_GB2312"/>
          <w:b/>
          <w:color w:val="auto"/>
          <w:sz w:val="24"/>
        </w:rPr>
        <w:t>2.11 合同变更</w:t>
      </w:r>
      <w:bookmarkEnd w:id="232"/>
    </w:p>
    <w:p w14:paraId="76889A2C">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707133AA">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2.11.2 合同继续履行将损害国家利益和社会公共利益的，双方当事人应当以书面形式变更合同。有过错的一方应当承担赔偿责任，双方当事人都有过错的，各自承担相应的责任。</w:t>
      </w:r>
      <w:bookmarkStart w:id="237" w:name="_Toc259093688"/>
      <w:bookmarkStart w:id="238" w:name="_Toc487900369"/>
      <w:bookmarkStart w:id="239" w:name="_Toc279701259"/>
    </w:p>
    <w:p w14:paraId="62F156EA">
      <w:pPr>
        <w:spacing w:line="360" w:lineRule="auto"/>
        <w:ind w:firstLine="482" w:firstLineChars="200"/>
        <w:rPr>
          <w:rFonts w:ascii="仿宋_GB2312" w:hAnsi="楷体" w:eastAsia="仿宋_GB2312"/>
          <w:b/>
          <w:color w:val="auto"/>
          <w:sz w:val="24"/>
        </w:rPr>
      </w:pPr>
      <w:bookmarkStart w:id="240" w:name="_Toc15237"/>
      <w:bookmarkStart w:id="241" w:name="_Toc10366"/>
      <w:bookmarkStart w:id="242" w:name="_Toc22955"/>
      <w:r>
        <w:rPr>
          <w:rFonts w:hint="eastAsia" w:ascii="仿宋_GB2312" w:hAnsi="楷体" w:eastAsia="仿宋_GB2312"/>
          <w:b/>
          <w:color w:val="auto"/>
          <w:sz w:val="24"/>
        </w:rPr>
        <w:t>2.12 合同转让</w:t>
      </w:r>
      <w:bookmarkEnd w:id="237"/>
      <w:bookmarkEnd w:id="238"/>
      <w:bookmarkEnd w:id="239"/>
      <w:r>
        <w:rPr>
          <w:rFonts w:hint="eastAsia" w:ascii="仿宋_GB2312" w:hAnsi="楷体" w:eastAsia="仿宋_GB2312"/>
          <w:b/>
          <w:color w:val="auto"/>
          <w:sz w:val="24"/>
        </w:rPr>
        <w:t>和分包</w:t>
      </w:r>
      <w:bookmarkEnd w:id="240"/>
      <w:bookmarkEnd w:id="241"/>
      <w:bookmarkEnd w:id="242"/>
    </w:p>
    <w:p w14:paraId="04A43A98">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128E2203">
      <w:pPr>
        <w:spacing w:line="360" w:lineRule="auto"/>
        <w:ind w:firstLine="482" w:firstLineChars="200"/>
        <w:rPr>
          <w:rFonts w:ascii="仿宋_GB2312" w:hAnsi="楷体" w:eastAsia="仿宋_GB2312"/>
          <w:b/>
          <w:color w:val="auto"/>
          <w:sz w:val="24"/>
        </w:rPr>
      </w:pPr>
      <w:bookmarkStart w:id="243" w:name="_Toc16508"/>
      <w:bookmarkStart w:id="244" w:name="_Toc13566"/>
      <w:bookmarkStart w:id="245" w:name="_Toc14066"/>
      <w:r>
        <w:rPr>
          <w:rFonts w:hint="eastAsia" w:ascii="仿宋_GB2312" w:hAnsi="楷体" w:eastAsia="仿宋_GB2312"/>
          <w:b/>
          <w:color w:val="auto"/>
          <w:sz w:val="24"/>
        </w:rPr>
        <w:t>2.13 不可抗力</w:t>
      </w:r>
      <w:bookmarkEnd w:id="243"/>
      <w:bookmarkEnd w:id="244"/>
      <w:bookmarkEnd w:id="245"/>
    </w:p>
    <w:p w14:paraId="06FB2511">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2.13.1如果任何一方遭遇法律规定的不可抗力，致使合同履行受阻时，履行合同的期限应予延长，延长的期限应相当于不可抗力所影响的时间；</w:t>
      </w:r>
    </w:p>
    <w:p w14:paraId="19D81F5B">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2.13.2受不可抗力影响的一方在不可抗力发生后，应在</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约定时间内以书面形式通知对方当事人，并在</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约定时间内，将有关部门出具的证明文件送达对方当事人。</w:t>
      </w:r>
    </w:p>
    <w:p w14:paraId="5140C9B9">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2.13.3 因不可抗力致使不能实现合同目的的，当事人可以解除合同；</w:t>
      </w:r>
    </w:p>
    <w:p w14:paraId="6B220D35">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2.13.4 因不可抗力致使合同有变更必要的，双方当事人应在</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约定时间内以书面形式变更合同；</w:t>
      </w:r>
    </w:p>
    <w:p w14:paraId="0902FE65">
      <w:pPr>
        <w:spacing w:line="360" w:lineRule="auto"/>
        <w:ind w:firstLine="482" w:firstLineChars="200"/>
        <w:rPr>
          <w:rFonts w:ascii="仿宋_GB2312" w:hAnsi="楷体" w:eastAsia="仿宋_GB2312"/>
          <w:b/>
          <w:color w:val="auto"/>
          <w:sz w:val="24"/>
        </w:rPr>
      </w:pPr>
      <w:bookmarkStart w:id="246" w:name="_Toc279701255"/>
      <w:bookmarkStart w:id="247" w:name="_Toc259093684"/>
      <w:bookmarkStart w:id="248" w:name="_Toc30676"/>
      <w:bookmarkStart w:id="249" w:name="_Toc487900365"/>
      <w:bookmarkStart w:id="250" w:name="_Toc689"/>
      <w:bookmarkStart w:id="251" w:name="_Toc6969"/>
      <w:r>
        <w:rPr>
          <w:rFonts w:hint="eastAsia" w:ascii="仿宋_GB2312" w:hAnsi="楷体" w:eastAsia="仿宋_GB2312"/>
          <w:b/>
          <w:color w:val="auto"/>
          <w:sz w:val="24"/>
        </w:rPr>
        <w:t>2.14 税费</w:t>
      </w:r>
      <w:bookmarkEnd w:id="246"/>
      <w:bookmarkEnd w:id="247"/>
      <w:bookmarkEnd w:id="248"/>
      <w:bookmarkEnd w:id="249"/>
      <w:bookmarkEnd w:id="250"/>
      <w:bookmarkEnd w:id="251"/>
    </w:p>
    <w:p w14:paraId="0255666D">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与合同有关的一切税费，均按照中华人民共和国法律的相关规定执行。</w:t>
      </w:r>
    </w:p>
    <w:p w14:paraId="10AFD4CB">
      <w:pPr>
        <w:spacing w:line="360" w:lineRule="auto"/>
        <w:ind w:firstLine="482" w:firstLineChars="200"/>
        <w:rPr>
          <w:rFonts w:ascii="仿宋_GB2312" w:hAnsi="楷体" w:eastAsia="仿宋_GB2312"/>
          <w:b/>
          <w:color w:val="auto"/>
          <w:sz w:val="24"/>
        </w:rPr>
      </w:pPr>
      <w:bookmarkStart w:id="252" w:name="_Toc487900368"/>
      <w:bookmarkStart w:id="253" w:name="_Toc7102"/>
      <w:bookmarkStart w:id="254" w:name="_Toc16959"/>
      <w:bookmarkStart w:id="255" w:name="_Toc279701258"/>
      <w:bookmarkStart w:id="256" w:name="_Toc259093687"/>
      <w:bookmarkStart w:id="257" w:name="_Toc8298"/>
      <w:r>
        <w:rPr>
          <w:rFonts w:hint="eastAsia" w:ascii="仿宋_GB2312" w:hAnsi="楷体" w:eastAsia="仿宋_GB2312"/>
          <w:b/>
          <w:color w:val="auto"/>
          <w:sz w:val="24"/>
        </w:rPr>
        <w:t>2.15 乙方破产</w:t>
      </w:r>
      <w:bookmarkEnd w:id="252"/>
      <w:bookmarkEnd w:id="253"/>
      <w:bookmarkEnd w:id="254"/>
      <w:bookmarkEnd w:id="255"/>
      <w:bookmarkEnd w:id="256"/>
      <w:bookmarkEnd w:id="257"/>
    </w:p>
    <w:p w14:paraId="4BE0DFC6">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C737C1D">
      <w:pPr>
        <w:spacing w:line="360" w:lineRule="auto"/>
        <w:ind w:firstLine="482" w:firstLineChars="200"/>
        <w:rPr>
          <w:rFonts w:ascii="仿宋_GB2312" w:hAnsi="楷体" w:eastAsia="仿宋_GB2312"/>
          <w:b/>
          <w:color w:val="auto"/>
          <w:sz w:val="24"/>
        </w:rPr>
      </w:pPr>
      <w:bookmarkStart w:id="258" w:name="_Toc29333"/>
      <w:bookmarkStart w:id="259" w:name="_Toc15387"/>
      <w:bookmarkStart w:id="260" w:name="_Toc6134"/>
      <w:r>
        <w:rPr>
          <w:rFonts w:hint="eastAsia" w:ascii="仿宋_GB2312" w:hAnsi="楷体" w:eastAsia="仿宋_GB2312"/>
          <w:b/>
          <w:color w:val="auto"/>
          <w:sz w:val="24"/>
        </w:rPr>
        <w:t>2.16 合同中止、终止</w:t>
      </w:r>
      <w:bookmarkEnd w:id="258"/>
      <w:bookmarkEnd w:id="259"/>
      <w:bookmarkEnd w:id="260"/>
    </w:p>
    <w:p w14:paraId="68910025">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2.16.1 双方当事人不得擅自中止或者终止合同；</w:t>
      </w:r>
    </w:p>
    <w:p w14:paraId="3C1C3A56">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2.16.2合同继续履行将损害国家利益和社会公共利益的，双方当事人应当中止或者终止合同。有过错的一方应当承担赔偿责任，双方当事人都有过错的，各自承担相应的责任。</w:t>
      </w:r>
    </w:p>
    <w:p w14:paraId="2B638CB4">
      <w:pPr>
        <w:spacing w:line="360" w:lineRule="auto"/>
        <w:ind w:firstLine="482" w:firstLineChars="200"/>
        <w:rPr>
          <w:rFonts w:ascii="仿宋_GB2312" w:hAnsi="楷体" w:eastAsia="仿宋_GB2312"/>
          <w:b/>
          <w:color w:val="auto"/>
          <w:sz w:val="24"/>
        </w:rPr>
      </w:pPr>
      <w:bookmarkStart w:id="261" w:name="_Toc1125"/>
      <w:bookmarkStart w:id="262" w:name="_Toc6596"/>
      <w:bookmarkStart w:id="263" w:name="_Toc14563"/>
      <w:r>
        <w:rPr>
          <w:rFonts w:hint="eastAsia" w:ascii="仿宋_GB2312" w:hAnsi="楷体" w:eastAsia="仿宋_GB2312"/>
          <w:b/>
          <w:color w:val="auto"/>
          <w:sz w:val="24"/>
        </w:rPr>
        <w:t>2.17 检验和验收</w:t>
      </w:r>
      <w:bookmarkEnd w:id="261"/>
      <w:bookmarkEnd w:id="262"/>
      <w:bookmarkEnd w:id="263"/>
    </w:p>
    <w:p w14:paraId="49542169">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约定时间内组织验收，并可依法邀请相关方参加，验收应出具验收书。</w:t>
      </w:r>
    </w:p>
    <w:p w14:paraId="0EE675AA">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75AEDC7C">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2.17.3 检验和验收标准、程序等具体内容以及前述验收书的效力详见</w:t>
      </w:r>
      <w:r>
        <w:rPr>
          <w:rFonts w:hint="eastAsia" w:ascii="仿宋_GB2312" w:hAnsi="楷体" w:eastAsia="仿宋_GB2312"/>
          <w:b/>
          <w:i/>
          <w:color w:val="auto"/>
          <w:sz w:val="24"/>
          <w:u w:val="single"/>
        </w:rPr>
        <w:t>合同专用条款</w:t>
      </w:r>
      <w:r>
        <w:rPr>
          <w:rFonts w:hint="eastAsia" w:ascii="仿宋_GB2312" w:hAnsi="楷体" w:eastAsia="仿宋_GB2312"/>
          <w:i/>
          <w:color w:val="auto"/>
          <w:sz w:val="24"/>
        </w:rPr>
        <w:t>。</w:t>
      </w:r>
    </w:p>
    <w:bookmarkEnd w:id="233"/>
    <w:bookmarkEnd w:id="234"/>
    <w:bookmarkEnd w:id="235"/>
    <w:bookmarkEnd w:id="236"/>
    <w:p w14:paraId="303BFE76">
      <w:pPr>
        <w:spacing w:line="360" w:lineRule="auto"/>
        <w:ind w:firstLine="482" w:firstLineChars="200"/>
        <w:rPr>
          <w:rFonts w:ascii="仿宋_GB2312" w:hAnsi="楷体" w:eastAsia="仿宋_GB2312"/>
          <w:b/>
          <w:color w:val="auto"/>
          <w:sz w:val="24"/>
        </w:rPr>
      </w:pPr>
      <w:bookmarkStart w:id="264" w:name="_Toc279701261"/>
      <w:bookmarkStart w:id="265" w:name="_Toc487900371"/>
      <w:bookmarkStart w:id="266" w:name="_Toc259093690"/>
      <w:bookmarkStart w:id="267" w:name="_Toc11284"/>
      <w:bookmarkStart w:id="268" w:name="_Toc19604"/>
      <w:bookmarkStart w:id="269" w:name="_Toc25182"/>
      <w:r>
        <w:rPr>
          <w:rFonts w:hint="eastAsia" w:ascii="仿宋_GB2312" w:hAnsi="楷体" w:eastAsia="仿宋_GB2312"/>
          <w:b/>
          <w:color w:val="auto"/>
          <w:sz w:val="24"/>
        </w:rPr>
        <w:t>2.18 通知</w:t>
      </w:r>
      <w:bookmarkEnd w:id="264"/>
      <w:bookmarkEnd w:id="265"/>
      <w:bookmarkEnd w:id="266"/>
      <w:r>
        <w:rPr>
          <w:rFonts w:hint="eastAsia" w:ascii="仿宋_GB2312" w:hAnsi="楷体" w:eastAsia="仿宋_GB2312"/>
          <w:b/>
          <w:color w:val="auto"/>
          <w:sz w:val="24"/>
        </w:rPr>
        <w:t>和送达</w:t>
      </w:r>
      <w:bookmarkEnd w:id="267"/>
      <w:bookmarkEnd w:id="268"/>
      <w:bookmarkEnd w:id="269"/>
    </w:p>
    <w:p w14:paraId="4E9031F5">
      <w:pPr>
        <w:spacing w:line="360" w:lineRule="auto"/>
        <w:ind w:firstLine="480" w:firstLineChars="200"/>
        <w:rPr>
          <w:rFonts w:ascii="仿宋_GB2312" w:hAnsi="楷体" w:eastAsia="仿宋_GB2312"/>
          <w:color w:val="auto"/>
          <w:sz w:val="24"/>
        </w:rPr>
      </w:pPr>
      <w:bookmarkStart w:id="270" w:name="_Toc3135"/>
      <w:bookmarkStart w:id="271" w:name="_Toc6698"/>
      <w:bookmarkStart w:id="272" w:name="_Toc279701262"/>
      <w:bookmarkStart w:id="273" w:name="_Toc487900372"/>
      <w:bookmarkStart w:id="274" w:name="_Toc259093691"/>
      <w:r>
        <w:rPr>
          <w:rFonts w:hint="eastAsia" w:ascii="仿宋_GB2312" w:hAnsi="楷体" w:eastAsia="仿宋_GB2312"/>
          <w:color w:val="auto"/>
          <w:sz w:val="24"/>
        </w:rPr>
        <w:t>2.18.1 任何一方因履行合同而以合同第一部分尾部所列明的</w:t>
      </w:r>
      <w:r>
        <w:rPr>
          <w:rFonts w:hint="eastAsia" w:ascii="仿宋_GB2312" w:hAnsi="楷体" w:eastAsia="仿宋_GB2312"/>
          <w:color w:val="auto"/>
          <w:sz w:val="24"/>
          <w:u w:val="single"/>
        </w:rPr>
        <w:t>“约定送达地址”</w:t>
      </w:r>
      <w:r>
        <w:rPr>
          <w:rFonts w:hint="eastAsia" w:ascii="仿宋_GB2312" w:hAnsi="楷体" w:eastAsia="仿宋_GB2312"/>
          <w:color w:val="auto"/>
          <w:sz w:val="24"/>
        </w:rPr>
        <w:t>为收件地址的所有通知、文件、材料，均视为已向对方当事人送达；任何一方变更上述送达方式或者地址的，应于</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个工作日内书面通知对方当事人，在对方当事人收到有关变更通知之前，变更前的约定送达方式或者地址仍视为有效。</w:t>
      </w:r>
      <w:bookmarkEnd w:id="270"/>
      <w:bookmarkEnd w:id="271"/>
    </w:p>
    <w:p w14:paraId="04730461">
      <w:pPr>
        <w:spacing w:line="360" w:lineRule="auto"/>
        <w:ind w:firstLine="480" w:firstLineChars="200"/>
        <w:rPr>
          <w:rFonts w:ascii="仿宋_GB2312" w:hAnsi="楷体" w:eastAsia="仿宋_GB2312"/>
          <w:color w:val="auto"/>
          <w:sz w:val="24"/>
        </w:rPr>
      </w:pPr>
      <w:bookmarkStart w:id="275" w:name="_Toc23294"/>
      <w:bookmarkStart w:id="276" w:name="_Toc23128"/>
      <w:r>
        <w:rPr>
          <w:rFonts w:hint="eastAsia" w:ascii="仿宋_GB2312" w:hAnsi="楷体" w:eastAsia="仿宋_GB2312"/>
          <w:color w:val="auto"/>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5"/>
      <w:bookmarkEnd w:id="276"/>
    </w:p>
    <w:p w14:paraId="344DCB36">
      <w:pPr>
        <w:spacing w:line="360" w:lineRule="auto"/>
        <w:ind w:firstLine="482" w:firstLineChars="200"/>
        <w:rPr>
          <w:rFonts w:ascii="仿宋_GB2312" w:hAnsi="楷体" w:eastAsia="仿宋_GB2312"/>
          <w:b/>
          <w:color w:val="auto"/>
          <w:sz w:val="24"/>
        </w:rPr>
      </w:pPr>
      <w:bookmarkStart w:id="277" w:name="_Toc30599"/>
      <w:bookmarkStart w:id="278" w:name="_Toc18540"/>
      <w:bookmarkStart w:id="279" w:name="_Toc4355"/>
      <w:r>
        <w:rPr>
          <w:rFonts w:hint="eastAsia" w:ascii="仿宋_GB2312" w:hAnsi="楷体" w:eastAsia="仿宋_GB2312"/>
          <w:b/>
          <w:color w:val="auto"/>
          <w:sz w:val="24"/>
        </w:rPr>
        <w:t>2.19 计量单位</w:t>
      </w:r>
      <w:bookmarkEnd w:id="272"/>
      <w:bookmarkEnd w:id="273"/>
      <w:bookmarkEnd w:id="274"/>
      <w:bookmarkEnd w:id="277"/>
      <w:bookmarkEnd w:id="278"/>
      <w:bookmarkEnd w:id="279"/>
    </w:p>
    <w:p w14:paraId="228DF3A2">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除技术规范中另有规定外,合同的计量单位均使用国家法定计量单位。</w:t>
      </w:r>
    </w:p>
    <w:p w14:paraId="35E28376">
      <w:pPr>
        <w:spacing w:line="360" w:lineRule="auto"/>
        <w:ind w:firstLine="482" w:firstLineChars="200"/>
        <w:rPr>
          <w:rFonts w:ascii="仿宋_GB2312" w:hAnsi="楷体" w:eastAsia="仿宋_GB2312"/>
          <w:b/>
          <w:color w:val="auto"/>
          <w:sz w:val="24"/>
        </w:rPr>
      </w:pPr>
      <w:bookmarkStart w:id="280" w:name="_Toc279701263"/>
      <w:bookmarkStart w:id="281" w:name="_Toc12773"/>
      <w:bookmarkStart w:id="282" w:name="_Toc18567"/>
      <w:bookmarkStart w:id="283" w:name="_Toc487900373"/>
      <w:bookmarkStart w:id="284" w:name="_Toc259093692"/>
      <w:bookmarkStart w:id="285" w:name="_Toc10330"/>
      <w:r>
        <w:rPr>
          <w:rFonts w:hint="eastAsia" w:ascii="仿宋_GB2312" w:hAnsi="楷体" w:eastAsia="仿宋_GB2312"/>
          <w:b/>
          <w:color w:val="auto"/>
          <w:sz w:val="24"/>
        </w:rPr>
        <w:t>2.20 合同使用的文字和适用的法律</w:t>
      </w:r>
      <w:bookmarkEnd w:id="280"/>
      <w:bookmarkEnd w:id="281"/>
      <w:bookmarkEnd w:id="282"/>
      <w:bookmarkEnd w:id="283"/>
      <w:bookmarkEnd w:id="284"/>
      <w:bookmarkEnd w:id="285"/>
    </w:p>
    <w:p w14:paraId="684E8C75">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2.20.1 合同使用汉语书就、变更和解释；</w:t>
      </w:r>
    </w:p>
    <w:p w14:paraId="5695D480">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2.20.2 合同适用中华人民共和国法律。</w:t>
      </w:r>
    </w:p>
    <w:p w14:paraId="488402E1">
      <w:pPr>
        <w:spacing w:line="360" w:lineRule="auto"/>
        <w:ind w:firstLine="482" w:firstLineChars="200"/>
        <w:rPr>
          <w:rFonts w:ascii="仿宋_GB2312" w:hAnsi="楷体" w:eastAsia="仿宋_GB2312"/>
          <w:b/>
          <w:color w:val="auto"/>
          <w:sz w:val="24"/>
        </w:rPr>
      </w:pPr>
      <w:bookmarkStart w:id="286" w:name="_Toc279701264"/>
      <w:bookmarkStart w:id="287" w:name="_Toc3148"/>
      <w:bookmarkStart w:id="288" w:name="_Toc259093693"/>
      <w:bookmarkStart w:id="289" w:name="_Toc12004"/>
      <w:bookmarkStart w:id="290" w:name="_Toc16673"/>
      <w:bookmarkStart w:id="291" w:name="_Toc487900374"/>
      <w:r>
        <w:rPr>
          <w:rFonts w:hint="eastAsia" w:ascii="仿宋_GB2312" w:hAnsi="楷体" w:eastAsia="仿宋_GB2312"/>
          <w:b/>
          <w:color w:val="auto"/>
          <w:sz w:val="24"/>
        </w:rPr>
        <w:t>2.21 履约保证金</w:t>
      </w:r>
      <w:bookmarkEnd w:id="286"/>
      <w:bookmarkEnd w:id="287"/>
      <w:bookmarkEnd w:id="288"/>
      <w:bookmarkEnd w:id="289"/>
      <w:bookmarkEnd w:id="290"/>
    </w:p>
    <w:p w14:paraId="10F6005D">
      <w:pPr>
        <w:spacing w:line="360" w:lineRule="auto"/>
        <w:ind w:firstLine="480" w:firstLineChars="200"/>
        <w:rPr>
          <w:rFonts w:ascii="仿宋_GB2312" w:hAnsi="仿宋" w:eastAsia="仿宋_GB2312" w:cs="Arial"/>
          <w:snapToGrid w:val="0"/>
          <w:color w:val="auto"/>
          <w:kern w:val="0"/>
          <w:sz w:val="24"/>
        </w:rPr>
      </w:pPr>
      <w:r>
        <w:rPr>
          <w:rFonts w:hint="eastAsia" w:ascii="仿宋_GB2312" w:hAnsi="楷体" w:eastAsia="仿宋_GB2312"/>
          <w:color w:val="auto"/>
          <w:sz w:val="24"/>
        </w:rPr>
        <w:t>本项目不收取履约保证金</w:t>
      </w:r>
    </w:p>
    <w:p w14:paraId="44A30AB1">
      <w:pPr>
        <w:spacing w:line="360" w:lineRule="auto"/>
        <w:ind w:firstLine="482" w:firstLineChars="200"/>
        <w:rPr>
          <w:rFonts w:ascii="仿宋_GB2312" w:hAnsi="仿宋" w:eastAsia="仿宋_GB2312"/>
          <w:color w:val="auto"/>
          <w:kern w:val="0"/>
          <w:sz w:val="24"/>
          <w:lang w:val="zh-CN"/>
        </w:rPr>
      </w:pPr>
      <w:r>
        <w:rPr>
          <w:rFonts w:hint="eastAsia" w:ascii="仿宋_GB2312" w:hAnsi="楷体" w:eastAsia="仿宋_GB2312"/>
          <w:b/>
          <w:color w:val="auto"/>
          <w:sz w:val="24"/>
        </w:rPr>
        <w:t>2.22 中小企业政策</w:t>
      </w:r>
    </w:p>
    <w:p w14:paraId="5B2E1B65">
      <w:pPr>
        <w:spacing w:line="360" w:lineRule="auto"/>
        <w:ind w:firstLine="480" w:firstLineChars="200"/>
        <w:rPr>
          <w:rFonts w:ascii="仿宋_GB2312" w:hAnsi="仿宋" w:eastAsia="仿宋_GB2312"/>
          <w:color w:val="auto"/>
          <w:kern w:val="0"/>
          <w:sz w:val="24"/>
          <w:lang w:val="zh-CN"/>
        </w:rPr>
      </w:pPr>
      <w:r>
        <w:rPr>
          <w:rFonts w:hint="eastAsia" w:ascii="仿宋_GB2312" w:hAnsi="仿宋" w:eastAsia="仿宋_GB2312"/>
          <w:color w:val="auto"/>
          <w:kern w:val="0"/>
          <w:sz w:val="24"/>
          <w:lang w:val="zh-CN"/>
        </w:rPr>
        <w:t>2.22.1本合同（□是  □否）为可融资合同，关于中小企业信用融资事项见采购文件“投标人须知正文”。</w:t>
      </w:r>
    </w:p>
    <w:p w14:paraId="7B9C98AA">
      <w:pPr>
        <w:spacing w:line="360" w:lineRule="auto"/>
        <w:ind w:firstLine="480" w:firstLineChars="200"/>
        <w:rPr>
          <w:rFonts w:ascii="仿宋_GB2312" w:hAnsi="仿宋" w:eastAsia="仿宋_GB2312"/>
          <w:color w:val="auto"/>
          <w:kern w:val="0"/>
          <w:sz w:val="24"/>
          <w:lang w:val="zh-CN"/>
        </w:rPr>
      </w:pPr>
      <w:r>
        <w:rPr>
          <w:rFonts w:hint="eastAsia" w:ascii="仿宋_GB2312" w:hAnsi="仿宋" w:eastAsia="仿宋_GB2312"/>
          <w:color w:val="auto"/>
          <w:kern w:val="0"/>
          <w:sz w:val="24"/>
          <w:lang w:val="zh-CN"/>
        </w:rPr>
        <w:t>2.22.2</w:t>
      </w:r>
      <w:r>
        <w:rPr>
          <w:rFonts w:ascii="仿宋_GB2312" w:hAnsi="仿宋" w:eastAsia="仿宋_GB2312"/>
          <w:color w:val="auto"/>
          <w:kern w:val="0"/>
          <w:sz w:val="24"/>
          <w:lang w:val="zh-CN"/>
        </w:rPr>
        <w:t xml:space="preserve">本合同（□是  </w:t>
      </w:r>
      <w:r>
        <w:rPr>
          <w:rFonts w:hint="eastAsia" w:ascii="仿宋_GB2312" w:hAnsi="仿宋" w:eastAsia="仿宋_GB2312"/>
          <w:color w:val="auto"/>
          <w:kern w:val="0"/>
          <w:sz w:val="24"/>
          <w:lang w:val="zh-CN"/>
        </w:rPr>
        <w:t>□否）为中小企业预留合同。</w:t>
      </w:r>
    </w:p>
    <w:bookmarkEnd w:id="291"/>
    <w:p w14:paraId="35A3EE0B">
      <w:pPr>
        <w:spacing w:line="360" w:lineRule="auto"/>
        <w:ind w:firstLine="482" w:firstLineChars="200"/>
        <w:rPr>
          <w:rFonts w:ascii="仿宋_GB2312" w:hAnsi="楷体" w:eastAsia="仿宋_GB2312"/>
          <w:b/>
          <w:color w:val="auto"/>
          <w:sz w:val="24"/>
        </w:rPr>
      </w:pPr>
      <w:bookmarkStart w:id="292" w:name="_Toc14001"/>
      <w:bookmarkStart w:id="293" w:name="_Toc19890"/>
      <w:bookmarkStart w:id="294" w:name="_Toc6885"/>
      <w:r>
        <w:rPr>
          <w:rFonts w:hint="eastAsia" w:ascii="仿宋_GB2312" w:hAnsi="楷体" w:eastAsia="仿宋_GB2312"/>
          <w:b/>
          <w:color w:val="auto"/>
          <w:sz w:val="24"/>
        </w:rPr>
        <w:t>2.23 合同份数</w:t>
      </w:r>
      <w:bookmarkEnd w:id="292"/>
      <w:bookmarkEnd w:id="293"/>
      <w:bookmarkEnd w:id="294"/>
    </w:p>
    <w:p w14:paraId="107FEC20">
      <w:pPr>
        <w:spacing w:line="360" w:lineRule="auto"/>
        <w:ind w:firstLine="480" w:firstLineChars="200"/>
        <w:rPr>
          <w:rFonts w:ascii="仿宋_GB2312" w:hAnsi="楷体" w:eastAsia="仿宋_GB2312"/>
          <w:color w:val="auto"/>
          <w:sz w:val="24"/>
        </w:rPr>
      </w:pPr>
      <w:r>
        <w:rPr>
          <w:rFonts w:hint="eastAsia" w:ascii="仿宋_GB2312" w:hAnsi="宋体" w:eastAsia="仿宋_GB2312"/>
          <w:color w:val="auto"/>
          <w:sz w:val="24"/>
        </w:rPr>
        <w:t>本合同壹式</w:t>
      </w:r>
      <w:r>
        <w:rPr>
          <w:rFonts w:hint="eastAsia" w:ascii="仿宋_GB2312" w:hAnsi="宋体" w:eastAsia="仿宋_GB2312"/>
          <w:color w:val="auto"/>
          <w:sz w:val="24"/>
          <w:u w:val="single"/>
        </w:rPr>
        <w:t xml:space="preserve">  </w:t>
      </w:r>
      <w:r>
        <w:rPr>
          <w:rFonts w:hint="eastAsia" w:ascii="仿宋_GB2312" w:hAnsi="仿宋" w:eastAsia="仿宋_GB2312"/>
          <w:color w:val="auto"/>
          <w:sz w:val="24"/>
          <w:u w:val="single"/>
        </w:rPr>
        <w:t xml:space="preserve"> </w:t>
      </w:r>
      <w:r>
        <w:rPr>
          <w:rFonts w:hint="eastAsia" w:ascii="仿宋_GB2312" w:hAnsi="宋体" w:eastAsia="仿宋_GB2312"/>
          <w:color w:val="auto"/>
          <w:sz w:val="24"/>
        </w:rPr>
        <w:t>份，甲方执</w:t>
      </w:r>
      <w:r>
        <w:rPr>
          <w:rFonts w:hint="eastAsia" w:ascii="仿宋_GB2312" w:hAnsi="宋体" w:eastAsia="仿宋_GB2312"/>
          <w:color w:val="auto"/>
          <w:sz w:val="24"/>
          <w:u w:val="single"/>
        </w:rPr>
        <w:t xml:space="preserve">  </w:t>
      </w:r>
      <w:r>
        <w:rPr>
          <w:rFonts w:hint="eastAsia" w:ascii="仿宋_GB2312" w:hAnsi="仿宋" w:eastAsia="仿宋_GB2312"/>
          <w:color w:val="auto"/>
          <w:sz w:val="24"/>
          <w:u w:val="single"/>
        </w:rPr>
        <w:t xml:space="preserve"> </w:t>
      </w:r>
      <w:r>
        <w:rPr>
          <w:rFonts w:hint="eastAsia" w:ascii="仿宋_GB2312" w:hAnsi="宋体" w:eastAsia="仿宋_GB2312"/>
          <w:color w:val="auto"/>
          <w:sz w:val="24"/>
        </w:rPr>
        <w:t>份，乙方执</w:t>
      </w:r>
      <w:r>
        <w:rPr>
          <w:rFonts w:hint="eastAsia" w:ascii="仿宋_GB2312" w:hAnsi="仿宋" w:eastAsia="仿宋_GB2312"/>
          <w:color w:val="auto"/>
          <w:sz w:val="24"/>
          <w:u w:val="single"/>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w:t>
      </w:r>
      <w:r>
        <w:rPr>
          <w:rFonts w:hint="eastAsia" w:ascii="仿宋_GB2312" w:hAnsi="楷体" w:eastAsia="仿宋_GB2312"/>
          <w:color w:val="auto"/>
          <w:sz w:val="24"/>
        </w:rPr>
        <w:t>每份均具有同等法律效力。</w:t>
      </w:r>
    </w:p>
    <w:p w14:paraId="5DC4DBFB">
      <w:pPr>
        <w:spacing w:line="360" w:lineRule="auto"/>
        <w:jc w:val="center"/>
        <w:rPr>
          <w:rFonts w:ascii="仿宋_GB2312" w:hAnsi="楷体" w:eastAsia="仿宋_GB2312"/>
          <w:b/>
          <w:color w:val="auto"/>
          <w:sz w:val="28"/>
          <w:szCs w:val="28"/>
        </w:rPr>
      </w:pPr>
      <w:r>
        <w:rPr>
          <w:rFonts w:hint="eastAsia" w:ascii="仿宋_GB2312" w:hAnsi="楷体" w:eastAsia="仿宋_GB2312"/>
          <w:color w:val="auto"/>
        </w:rPr>
        <w:br w:type="page"/>
      </w:r>
      <w:bookmarkStart w:id="295" w:name="_Toc331685784"/>
      <w:r>
        <w:rPr>
          <w:rFonts w:hint="eastAsia" w:ascii="仿宋_GB2312" w:hAnsi="楷体" w:eastAsia="仿宋_GB2312"/>
          <w:b/>
          <w:color w:val="auto"/>
          <w:sz w:val="28"/>
          <w:szCs w:val="28"/>
        </w:rPr>
        <w:t>第三部分  合同专用条款</w:t>
      </w:r>
      <w:bookmarkEnd w:id="295"/>
    </w:p>
    <w:p w14:paraId="7CDFEDD3">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3E60C90E">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2.3.2具有知识产权的标的物知识产权归属：</w:t>
      </w:r>
    </w:p>
    <w:p w14:paraId="724C4BF2">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 xml:space="preserve">           </w:t>
      </w:r>
    </w:p>
    <w:p w14:paraId="6DA9A52E">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2.4.1包装和装运专用条款（如果有）：</w:t>
      </w:r>
    </w:p>
    <w:p w14:paraId="73DCEA20">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u w:val="single"/>
        </w:rPr>
        <w:t xml:space="preserve">                                                                     </w:t>
      </w:r>
    </w:p>
    <w:p w14:paraId="522F02C8">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2.4.2装运标的物的要求和通知：</w:t>
      </w:r>
    </w:p>
    <w:p w14:paraId="4ECC3318">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u w:val="single"/>
        </w:rPr>
        <w:t xml:space="preserve">                                                                     </w:t>
      </w:r>
    </w:p>
    <w:p w14:paraId="0A8628CD">
      <w:pPr>
        <w:spacing w:line="360" w:lineRule="auto"/>
        <w:ind w:firstLine="480" w:firstLineChars="200"/>
        <w:rPr>
          <w:rFonts w:ascii="仿宋_GB2312" w:hAnsi="楷体" w:eastAsia="仿宋_GB2312"/>
          <w:b/>
          <w:color w:val="auto"/>
          <w:sz w:val="24"/>
        </w:rPr>
      </w:pPr>
      <w:r>
        <w:rPr>
          <w:rFonts w:hint="eastAsia" w:ascii="仿宋_GB2312" w:hAnsi="楷体" w:eastAsia="仿宋_GB2312"/>
          <w:color w:val="auto"/>
          <w:sz w:val="24"/>
        </w:rPr>
        <w:t>2.6</w:t>
      </w:r>
      <w:r>
        <w:rPr>
          <w:rFonts w:hint="eastAsia" w:ascii="仿宋_GB2312" w:hAnsi="楷体" w:eastAsia="仿宋_GB2312"/>
          <w:b/>
          <w:color w:val="auto"/>
          <w:sz w:val="24"/>
        </w:rPr>
        <w:t>结算方式和付款条件</w:t>
      </w:r>
    </w:p>
    <w:p w14:paraId="132FFC14">
      <w:pPr>
        <w:spacing w:line="360" w:lineRule="auto"/>
        <w:ind w:firstLine="480" w:firstLineChars="200"/>
        <w:rPr>
          <w:rFonts w:ascii="仿宋_GB2312" w:eastAsia="仿宋_GB2312" w:cs="仿宋_GB2312"/>
          <w:color w:val="auto"/>
          <w:kern w:val="0"/>
          <w:sz w:val="24"/>
          <w:lang w:val="zh-CN"/>
        </w:rPr>
      </w:pPr>
      <w:r>
        <w:rPr>
          <w:rFonts w:hint="eastAsia" w:ascii="仿宋_GB2312" w:eastAsia="仿宋_GB2312" w:cs="仿宋_GB2312"/>
          <w:color w:val="auto"/>
          <w:kern w:val="0"/>
          <w:sz w:val="24"/>
          <w:lang w:val="zh-CN"/>
        </w:rPr>
        <w:t>本次项目合同总价为大写人民币</w:t>
      </w:r>
      <w:r>
        <w:rPr>
          <w:rFonts w:hint="eastAsia" w:ascii="仿宋_GB2312" w:eastAsia="仿宋_GB2312" w:cs="仿宋_GB2312"/>
          <w:color w:val="auto"/>
          <w:kern w:val="0"/>
          <w:sz w:val="24"/>
          <w:u w:val="single"/>
          <w:lang w:val="zh-CN"/>
        </w:rPr>
        <w:t xml:space="preserve">            （</w:t>
      </w:r>
      <w:r>
        <w:rPr>
          <w:rFonts w:hint="eastAsia" w:ascii="仿宋_GB2312" w:eastAsia="仿宋_GB2312" w:cs="仿宋_GB2312"/>
          <w:color w:val="auto"/>
          <w:kern w:val="0"/>
          <w:sz w:val="24"/>
          <w:lang w:val="zh-CN"/>
        </w:rPr>
        <w:t>￥    元）。本项目采用以下勾选结算方式进行支付：</w:t>
      </w:r>
    </w:p>
    <w:p w14:paraId="01828A6F">
      <w:pPr>
        <w:spacing w:line="360" w:lineRule="auto"/>
        <w:ind w:firstLine="480" w:firstLineChars="200"/>
        <w:rPr>
          <w:rFonts w:ascii="仿宋_GB2312" w:eastAsia="仿宋_GB2312" w:cs="仿宋_GB2312"/>
          <w:color w:val="auto"/>
          <w:kern w:val="0"/>
          <w:sz w:val="24"/>
          <w:lang w:val="zh-CN"/>
        </w:rPr>
      </w:pPr>
      <w:r>
        <w:rPr>
          <w:rFonts w:hint="eastAsia" w:ascii="仿宋_GB2312" w:eastAsia="仿宋_GB2312" w:cs="仿宋_GB2312"/>
          <w:color w:val="auto"/>
          <w:kern w:val="0"/>
          <w:sz w:val="24"/>
          <w:lang w:val="zh-CN"/>
        </w:rPr>
        <w:t>□采用一次性支付方式，付款条件为：</w:t>
      </w:r>
      <w:r>
        <w:rPr>
          <w:rFonts w:hint="eastAsia" w:ascii="仿宋_GB2312" w:eastAsia="仿宋_GB2312" w:cs="仿宋_GB2312"/>
          <w:color w:val="auto"/>
          <w:kern w:val="0"/>
          <w:sz w:val="24"/>
          <w:u w:val="single"/>
        </w:rPr>
        <w:t xml:space="preserve">           </w:t>
      </w:r>
    </w:p>
    <w:p w14:paraId="11DB090F">
      <w:pPr>
        <w:spacing w:line="360" w:lineRule="auto"/>
        <w:ind w:firstLine="480" w:firstLineChars="200"/>
        <w:rPr>
          <w:rFonts w:ascii="仿宋_GB2312" w:eastAsia="仿宋_GB2312" w:cs="仿宋_GB2312"/>
          <w:color w:val="auto"/>
          <w:kern w:val="0"/>
          <w:sz w:val="24"/>
        </w:rPr>
      </w:pPr>
      <w:r>
        <w:rPr>
          <w:rFonts w:hint="eastAsia" w:ascii="仿宋_GB2312" w:eastAsia="仿宋_GB2312" w:cs="仿宋_GB2312"/>
          <w:color w:val="auto"/>
          <w:kern w:val="0"/>
          <w:sz w:val="24"/>
          <w:lang w:val="zh-CN"/>
        </w:rPr>
        <w:t>□采用分期付款方式，付款条件为</w:t>
      </w:r>
      <w:r>
        <w:rPr>
          <w:rFonts w:hint="eastAsia" w:ascii="仿宋_GB2312" w:eastAsia="仿宋_GB2312" w:cs="仿宋_GB2312"/>
          <w:color w:val="auto"/>
          <w:kern w:val="0"/>
          <w:sz w:val="24"/>
        </w:rPr>
        <w:t>：</w:t>
      </w:r>
    </w:p>
    <w:p w14:paraId="3135539B">
      <w:pPr>
        <w:spacing w:line="360" w:lineRule="auto"/>
        <w:ind w:firstLine="480" w:firstLineChars="200"/>
        <w:rPr>
          <w:rFonts w:ascii="仿宋_GB2312" w:eastAsia="仿宋_GB2312" w:cs="仿宋_GB2312"/>
          <w:color w:val="auto"/>
          <w:kern w:val="0"/>
          <w:sz w:val="24"/>
        </w:rPr>
      </w:pPr>
      <w:r>
        <w:rPr>
          <w:rFonts w:hint="eastAsia" w:ascii="仿宋_GB2312" w:eastAsia="仿宋_GB2312" w:cs="仿宋_GB2312"/>
          <w:color w:val="auto"/>
          <w:kern w:val="0"/>
          <w:sz w:val="24"/>
          <w:lang w:val="zh-CN"/>
        </w:rPr>
        <w:t>第一期付款</w:t>
      </w:r>
      <w:r>
        <w:rPr>
          <w:rFonts w:hint="eastAsia" w:ascii="仿宋_GB2312" w:eastAsia="仿宋_GB2312" w:cs="仿宋_GB2312"/>
          <w:color w:val="auto"/>
          <w:kern w:val="0"/>
          <w:sz w:val="24"/>
        </w:rPr>
        <w:t>：</w:t>
      </w:r>
      <w:r>
        <w:rPr>
          <w:rFonts w:hint="eastAsia" w:ascii="仿宋_GB2312" w:eastAsia="仿宋_GB2312" w:cs="仿宋_GB2312"/>
          <w:color w:val="auto"/>
          <w:kern w:val="0"/>
          <w:sz w:val="24"/>
          <w:u w:val="single"/>
        </w:rPr>
        <w:t xml:space="preserve">                                        </w:t>
      </w:r>
    </w:p>
    <w:p w14:paraId="575D1D90">
      <w:pPr>
        <w:spacing w:line="360" w:lineRule="auto"/>
        <w:ind w:firstLine="480" w:firstLineChars="200"/>
        <w:rPr>
          <w:rFonts w:ascii="仿宋_GB2312" w:eastAsia="仿宋_GB2312" w:cs="仿宋_GB2312"/>
          <w:color w:val="auto"/>
          <w:kern w:val="0"/>
          <w:sz w:val="24"/>
          <w:u w:val="single"/>
        </w:rPr>
      </w:pPr>
      <w:r>
        <w:rPr>
          <w:rFonts w:hint="eastAsia" w:ascii="仿宋_GB2312" w:eastAsia="仿宋_GB2312" w:cs="仿宋_GB2312"/>
          <w:color w:val="auto"/>
          <w:kern w:val="0"/>
          <w:sz w:val="24"/>
          <w:lang w:val="zh-CN"/>
        </w:rPr>
        <w:t>第</w:t>
      </w:r>
      <w:r>
        <w:rPr>
          <w:rFonts w:hint="eastAsia" w:ascii="仿宋_GB2312" w:eastAsia="仿宋_GB2312" w:cs="仿宋_GB2312"/>
          <w:color w:val="auto"/>
          <w:kern w:val="0"/>
          <w:sz w:val="24"/>
        </w:rPr>
        <w:t>二</w:t>
      </w:r>
      <w:r>
        <w:rPr>
          <w:rFonts w:hint="eastAsia" w:ascii="仿宋_GB2312" w:eastAsia="仿宋_GB2312" w:cs="仿宋_GB2312"/>
          <w:color w:val="auto"/>
          <w:kern w:val="0"/>
          <w:sz w:val="24"/>
          <w:lang w:val="zh-CN"/>
        </w:rPr>
        <w:t>期付款</w:t>
      </w:r>
      <w:r>
        <w:rPr>
          <w:rFonts w:hint="eastAsia" w:ascii="仿宋_GB2312" w:eastAsia="仿宋_GB2312" w:cs="仿宋_GB2312"/>
          <w:color w:val="auto"/>
          <w:kern w:val="0"/>
          <w:sz w:val="24"/>
        </w:rPr>
        <w:t>：</w:t>
      </w:r>
      <w:r>
        <w:rPr>
          <w:rFonts w:hint="eastAsia" w:ascii="仿宋_GB2312" w:eastAsia="仿宋_GB2312" w:cs="仿宋_GB2312"/>
          <w:color w:val="auto"/>
          <w:kern w:val="0"/>
          <w:sz w:val="24"/>
          <w:u w:val="single"/>
        </w:rPr>
        <w:t xml:space="preserve">                                        </w:t>
      </w:r>
    </w:p>
    <w:p w14:paraId="066EA093">
      <w:pPr>
        <w:spacing w:line="360" w:lineRule="auto"/>
        <w:ind w:firstLine="480" w:firstLineChars="200"/>
        <w:rPr>
          <w:rFonts w:ascii="仿宋_GB2312" w:eastAsia="仿宋_GB2312" w:cs="仿宋_GB2312"/>
          <w:color w:val="auto"/>
          <w:kern w:val="0"/>
          <w:sz w:val="24"/>
        </w:rPr>
      </w:pPr>
      <w:r>
        <w:rPr>
          <w:rFonts w:hint="eastAsia" w:ascii="仿宋_GB2312" w:eastAsia="仿宋_GB2312" w:cs="仿宋_GB2312"/>
          <w:color w:val="auto"/>
          <w:kern w:val="0"/>
          <w:sz w:val="24"/>
        </w:rPr>
        <w:t>……</w:t>
      </w:r>
    </w:p>
    <w:p w14:paraId="465995A8">
      <w:pPr>
        <w:spacing w:line="360" w:lineRule="auto"/>
        <w:ind w:firstLine="480" w:firstLineChars="200"/>
        <w:rPr>
          <w:rFonts w:ascii="仿宋_GB2312" w:eastAsia="仿宋_GB2312" w:cs="仿宋_GB2312"/>
          <w:color w:val="auto"/>
          <w:kern w:val="0"/>
          <w:sz w:val="24"/>
          <w:lang w:val="zh-CN"/>
        </w:rPr>
      </w:pPr>
      <w:r>
        <w:rPr>
          <w:rFonts w:hint="eastAsia" w:ascii="仿宋_GB2312" w:hAnsi="仿宋" w:eastAsia="仿宋_GB2312"/>
          <w:color w:val="auto"/>
          <w:sz w:val="24"/>
        </w:rPr>
        <w:t>甲方无故逾期支付货物费用的，按照每逾期一日支付欠付货物费额度的</w:t>
      </w:r>
      <w:r>
        <w:rPr>
          <w:rFonts w:hint="eastAsia" w:ascii="仿宋_GB2312" w:hAnsi="仿宋" w:eastAsia="仿宋_GB2312"/>
          <w:color w:val="auto"/>
          <w:sz w:val="24"/>
          <w:u w:val="single"/>
        </w:rPr>
        <w:t>万分之五</w:t>
      </w:r>
      <w:r>
        <w:rPr>
          <w:rFonts w:hint="eastAsia" w:ascii="仿宋_GB2312" w:hAnsi="仿宋" w:eastAsia="仿宋_GB2312"/>
          <w:color w:val="auto"/>
          <w:sz w:val="24"/>
        </w:rPr>
        <w:t>（</w:t>
      </w:r>
      <w:r>
        <w:rPr>
          <w:rFonts w:hint="eastAsia" w:ascii="仿宋_GB2312" w:hAnsi="楷体" w:eastAsia="仿宋_GB2312"/>
          <w:color w:val="auto"/>
          <w:sz w:val="24"/>
        </w:rPr>
        <w:t>根据项目实际填写，一般为万分之五</w:t>
      </w:r>
      <w:r>
        <w:rPr>
          <w:rFonts w:hint="eastAsia" w:ascii="仿宋_GB2312" w:hAnsi="仿宋" w:eastAsia="仿宋_GB2312"/>
          <w:color w:val="auto"/>
          <w:sz w:val="24"/>
        </w:rPr>
        <w:t>）承担违约责任，违约金上限按照《合同书》约定执行。</w:t>
      </w:r>
    </w:p>
    <w:p w14:paraId="0FE98D2B">
      <w:pPr>
        <w:spacing w:line="360" w:lineRule="auto"/>
        <w:ind w:firstLine="480" w:firstLineChars="200"/>
        <w:rPr>
          <w:rFonts w:ascii="仿宋_GB2312" w:hAnsi="楷体" w:eastAsia="仿宋_GB2312"/>
          <w:b/>
          <w:color w:val="auto"/>
          <w:sz w:val="24"/>
        </w:rPr>
      </w:pPr>
      <w:r>
        <w:rPr>
          <w:rFonts w:hint="eastAsia" w:ascii="仿宋_GB2312" w:hAnsi="楷体" w:eastAsia="仿宋_GB2312"/>
          <w:color w:val="auto"/>
          <w:sz w:val="24"/>
        </w:rPr>
        <w:t>2.9</w:t>
      </w:r>
      <w:r>
        <w:rPr>
          <w:rFonts w:hint="eastAsia" w:ascii="仿宋_GB2312" w:hAnsi="楷体" w:eastAsia="仿宋_GB2312"/>
          <w:b/>
          <w:color w:val="auto"/>
          <w:sz w:val="24"/>
        </w:rPr>
        <w:t>标的物的风险负担</w:t>
      </w:r>
    </w:p>
    <w:p w14:paraId="7B7D91EB">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标的物或者在途标的物或者交付给第一承运人后的标的物毁损、灭失的风险负担：</w:t>
      </w:r>
    </w:p>
    <w:p w14:paraId="0A5ACD4B">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u w:val="single"/>
        </w:rPr>
        <w:t xml:space="preserve">乙方                                                                       </w:t>
      </w:r>
    </w:p>
    <w:p w14:paraId="0932B2B5">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2.13.2受不可抗力影响的一方在不可抗力发生后，应在</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日内以书面形式通知对方当事人，并在</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日内，将有关部门出具的证明文件送达对方当事人。</w:t>
      </w:r>
    </w:p>
    <w:p w14:paraId="61A9D2B6">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2.13.4因不可抗力致使合同有变更必要的，双方当事人应在</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日内以书面形式变更合同；</w:t>
      </w:r>
    </w:p>
    <w:p w14:paraId="28EFBB63">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日内发起验收，并可依法邀请相关方参加，验收应出具验收书。</w:t>
      </w:r>
    </w:p>
    <w:p w14:paraId="04FD6647">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2.17.3 检验和验收标准、程序等具体内容以及前述验收书的效力：</w:t>
      </w:r>
    </w:p>
    <w:p w14:paraId="3F63D1F8">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u w:val="single"/>
        </w:rPr>
        <w:t xml:space="preserve">                                                                       </w:t>
      </w:r>
    </w:p>
    <w:p w14:paraId="26CA772C">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3.1 其他：</w:t>
      </w:r>
    </w:p>
    <w:p w14:paraId="26162C33">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项目验收：</w:t>
      </w:r>
    </w:p>
    <w:p w14:paraId="4904C391">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4B17D5B5">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351D5CF8">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48F9AF8F">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4、验收产生的费用首次验收费用由甲方承担，如首次验收不合格，后续验收费用由乙方支付。</w:t>
      </w:r>
    </w:p>
    <w:p w14:paraId="37A3A7E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5、验收内容及资料要求：</w:t>
      </w:r>
    </w:p>
    <w:p w14:paraId="48E3E46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根根据采购文件确定的技术指标或者货物要求确定验收指标和标准。未进行相应约定的，应当符合国家强制性规定、政策要求、安全标准、行业或企业有关标准等。</w:t>
      </w:r>
    </w:p>
    <w:p w14:paraId="5A491E8F">
      <w:pPr>
        <w:tabs>
          <w:tab w:val="left" w:pos="904"/>
        </w:tabs>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5.1验收内容</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07A5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4666AD5D">
            <w:pPr>
              <w:widowControl/>
              <w:spacing w:line="360" w:lineRule="auto"/>
              <w:ind w:firstLine="200"/>
              <w:jc w:val="center"/>
              <w:rPr>
                <w:rFonts w:ascii="仿宋" w:hAnsi="仿宋" w:eastAsia="仿宋" w:cs="仿宋"/>
                <w:bCs/>
                <w:color w:val="auto"/>
                <w:kern w:val="0"/>
                <w:sz w:val="24"/>
              </w:rPr>
            </w:pPr>
            <w:r>
              <w:rPr>
                <w:rFonts w:hint="eastAsia" w:ascii="仿宋" w:hAnsi="仿宋" w:eastAsia="仿宋" w:cs="仿宋"/>
                <w:bCs/>
                <w:color w:val="auto"/>
                <w:kern w:val="0"/>
                <w:sz w:val="24"/>
              </w:rPr>
              <w:t>序号</w:t>
            </w:r>
          </w:p>
        </w:tc>
        <w:tc>
          <w:tcPr>
            <w:tcW w:w="1914" w:type="dxa"/>
            <w:vAlign w:val="center"/>
          </w:tcPr>
          <w:p w14:paraId="37C04D7C">
            <w:pPr>
              <w:widowControl/>
              <w:spacing w:line="360" w:lineRule="auto"/>
              <w:ind w:firstLine="200"/>
              <w:jc w:val="center"/>
              <w:rPr>
                <w:rFonts w:ascii="仿宋" w:hAnsi="仿宋" w:eastAsia="仿宋" w:cs="仿宋"/>
                <w:bCs/>
                <w:color w:val="auto"/>
                <w:kern w:val="0"/>
                <w:sz w:val="24"/>
              </w:rPr>
            </w:pPr>
            <w:r>
              <w:rPr>
                <w:rFonts w:hint="eastAsia" w:ascii="仿宋" w:hAnsi="仿宋" w:eastAsia="仿宋" w:cs="仿宋"/>
                <w:bCs/>
                <w:color w:val="auto"/>
                <w:kern w:val="0"/>
                <w:sz w:val="24"/>
              </w:rPr>
              <w:t>验收内容</w:t>
            </w:r>
          </w:p>
        </w:tc>
        <w:tc>
          <w:tcPr>
            <w:tcW w:w="5930" w:type="dxa"/>
            <w:vAlign w:val="center"/>
          </w:tcPr>
          <w:p w14:paraId="15483A24">
            <w:pPr>
              <w:widowControl/>
              <w:spacing w:line="360" w:lineRule="auto"/>
              <w:ind w:firstLine="200"/>
              <w:jc w:val="center"/>
              <w:rPr>
                <w:rFonts w:ascii="仿宋" w:hAnsi="仿宋" w:eastAsia="仿宋" w:cs="仿宋"/>
                <w:bCs/>
                <w:color w:val="auto"/>
                <w:kern w:val="0"/>
                <w:sz w:val="24"/>
              </w:rPr>
            </w:pPr>
            <w:r>
              <w:rPr>
                <w:rFonts w:hint="eastAsia" w:ascii="仿宋" w:hAnsi="仿宋" w:eastAsia="仿宋" w:cs="仿宋"/>
                <w:bCs/>
                <w:color w:val="auto"/>
                <w:kern w:val="0"/>
                <w:sz w:val="24"/>
              </w:rPr>
              <w:t xml:space="preserve"> 验收标准</w:t>
            </w:r>
          </w:p>
        </w:tc>
      </w:tr>
      <w:tr w14:paraId="021E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vAlign w:val="center"/>
          </w:tcPr>
          <w:p w14:paraId="18630236">
            <w:pPr>
              <w:widowControl/>
              <w:spacing w:line="360" w:lineRule="auto"/>
              <w:ind w:firstLine="200"/>
              <w:jc w:val="center"/>
              <w:rPr>
                <w:rFonts w:ascii="仿宋" w:hAnsi="仿宋" w:eastAsia="仿宋" w:cs="仿宋"/>
                <w:bCs/>
                <w:color w:val="auto"/>
                <w:kern w:val="0"/>
                <w:sz w:val="24"/>
              </w:rPr>
            </w:pPr>
            <w:r>
              <w:rPr>
                <w:rFonts w:hint="eastAsia" w:ascii="仿宋" w:hAnsi="仿宋" w:eastAsia="仿宋" w:cs="仿宋"/>
                <w:bCs/>
                <w:color w:val="auto"/>
                <w:kern w:val="0"/>
                <w:sz w:val="24"/>
              </w:rPr>
              <w:t>1</w:t>
            </w:r>
          </w:p>
        </w:tc>
        <w:tc>
          <w:tcPr>
            <w:tcW w:w="1914" w:type="dxa"/>
            <w:vAlign w:val="center"/>
          </w:tcPr>
          <w:p w14:paraId="13867E61">
            <w:pPr>
              <w:widowControl/>
              <w:spacing w:line="360" w:lineRule="auto"/>
              <w:ind w:firstLine="200"/>
              <w:jc w:val="center"/>
              <w:rPr>
                <w:rFonts w:ascii="仿宋" w:hAnsi="仿宋" w:eastAsia="仿宋" w:cs="仿宋"/>
                <w:bCs/>
                <w:color w:val="auto"/>
                <w:kern w:val="0"/>
                <w:sz w:val="24"/>
              </w:rPr>
            </w:pPr>
            <w:r>
              <w:rPr>
                <w:rFonts w:hint="eastAsia" w:ascii="仿宋" w:hAnsi="仿宋" w:eastAsia="仿宋" w:cs="仿宋"/>
                <w:bCs/>
                <w:color w:val="auto"/>
                <w:kern w:val="0"/>
                <w:sz w:val="24"/>
              </w:rPr>
              <w:t>交货产品数量</w:t>
            </w:r>
          </w:p>
        </w:tc>
        <w:tc>
          <w:tcPr>
            <w:tcW w:w="5930" w:type="dxa"/>
            <w:vAlign w:val="center"/>
          </w:tcPr>
          <w:p w14:paraId="20FDD0E3">
            <w:pPr>
              <w:widowControl/>
              <w:spacing w:line="360" w:lineRule="auto"/>
              <w:ind w:firstLine="200"/>
              <w:jc w:val="center"/>
              <w:rPr>
                <w:rFonts w:ascii="仿宋" w:hAnsi="仿宋" w:eastAsia="仿宋" w:cs="仿宋"/>
                <w:color w:val="auto"/>
                <w:kern w:val="0"/>
                <w:sz w:val="24"/>
              </w:rPr>
            </w:pPr>
          </w:p>
        </w:tc>
      </w:tr>
      <w:tr w14:paraId="32F7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vAlign w:val="center"/>
          </w:tcPr>
          <w:p w14:paraId="027C5DE6">
            <w:pPr>
              <w:widowControl/>
              <w:spacing w:line="360" w:lineRule="auto"/>
              <w:ind w:firstLine="200"/>
              <w:jc w:val="center"/>
              <w:rPr>
                <w:rFonts w:ascii="仿宋" w:hAnsi="仿宋" w:eastAsia="仿宋" w:cs="仿宋"/>
                <w:bCs/>
                <w:color w:val="auto"/>
                <w:kern w:val="0"/>
                <w:sz w:val="24"/>
              </w:rPr>
            </w:pPr>
            <w:r>
              <w:rPr>
                <w:rFonts w:hint="eastAsia" w:ascii="仿宋" w:hAnsi="仿宋" w:eastAsia="仿宋" w:cs="仿宋"/>
                <w:bCs/>
                <w:color w:val="auto"/>
                <w:kern w:val="0"/>
                <w:sz w:val="24"/>
              </w:rPr>
              <w:t>2</w:t>
            </w:r>
          </w:p>
        </w:tc>
        <w:tc>
          <w:tcPr>
            <w:tcW w:w="1914" w:type="dxa"/>
            <w:vAlign w:val="center"/>
          </w:tcPr>
          <w:p w14:paraId="239F4436">
            <w:pPr>
              <w:widowControl/>
              <w:spacing w:line="360" w:lineRule="auto"/>
              <w:ind w:firstLine="200"/>
              <w:jc w:val="center"/>
              <w:rPr>
                <w:rFonts w:ascii="仿宋" w:hAnsi="仿宋" w:eastAsia="仿宋" w:cs="仿宋"/>
                <w:bCs/>
                <w:color w:val="auto"/>
                <w:kern w:val="0"/>
                <w:sz w:val="24"/>
              </w:rPr>
            </w:pPr>
            <w:r>
              <w:rPr>
                <w:rFonts w:hint="eastAsia" w:ascii="仿宋" w:hAnsi="仿宋" w:eastAsia="仿宋" w:cs="仿宋"/>
                <w:bCs/>
                <w:color w:val="auto"/>
                <w:kern w:val="0"/>
                <w:sz w:val="24"/>
              </w:rPr>
              <w:t>交货产品的质量文件</w:t>
            </w:r>
          </w:p>
        </w:tc>
        <w:tc>
          <w:tcPr>
            <w:tcW w:w="5930" w:type="dxa"/>
            <w:vAlign w:val="center"/>
          </w:tcPr>
          <w:p w14:paraId="37CF7C8F">
            <w:pPr>
              <w:widowControl/>
              <w:spacing w:line="360" w:lineRule="auto"/>
              <w:ind w:firstLine="200"/>
              <w:jc w:val="center"/>
              <w:rPr>
                <w:rFonts w:ascii="仿宋" w:hAnsi="仿宋" w:eastAsia="仿宋" w:cs="仿宋"/>
                <w:color w:val="auto"/>
                <w:kern w:val="0"/>
                <w:sz w:val="24"/>
              </w:rPr>
            </w:pPr>
          </w:p>
        </w:tc>
      </w:tr>
      <w:tr w14:paraId="0C81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vAlign w:val="center"/>
          </w:tcPr>
          <w:p w14:paraId="66B902E3">
            <w:pPr>
              <w:widowControl/>
              <w:spacing w:line="360" w:lineRule="auto"/>
              <w:ind w:firstLine="200"/>
              <w:jc w:val="center"/>
              <w:rPr>
                <w:rFonts w:ascii="仿宋" w:hAnsi="仿宋" w:eastAsia="仿宋" w:cs="仿宋"/>
                <w:bCs/>
                <w:color w:val="auto"/>
                <w:kern w:val="0"/>
                <w:sz w:val="24"/>
              </w:rPr>
            </w:pPr>
            <w:r>
              <w:rPr>
                <w:rFonts w:hint="eastAsia" w:ascii="仿宋" w:hAnsi="仿宋" w:eastAsia="仿宋" w:cs="仿宋"/>
                <w:bCs/>
                <w:color w:val="auto"/>
                <w:kern w:val="0"/>
                <w:sz w:val="24"/>
              </w:rPr>
              <w:t>4</w:t>
            </w:r>
          </w:p>
        </w:tc>
        <w:tc>
          <w:tcPr>
            <w:tcW w:w="1914" w:type="dxa"/>
            <w:vAlign w:val="center"/>
          </w:tcPr>
          <w:p w14:paraId="26E5DF20">
            <w:pPr>
              <w:spacing w:line="360" w:lineRule="auto"/>
              <w:ind w:firstLine="200"/>
              <w:jc w:val="center"/>
              <w:rPr>
                <w:rFonts w:ascii="仿宋" w:hAnsi="仿宋" w:eastAsia="仿宋" w:cs="仿宋"/>
                <w:bCs/>
                <w:color w:val="auto"/>
                <w:kern w:val="0"/>
                <w:sz w:val="24"/>
              </w:rPr>
            </w:pPr>
            <w:r>
              <w:rPr>
                <w:rFonts w:hint="eastAsia" w:ascii="仿宋" w:hAnsi="仿宋" w:eastAsia="仿宋" w:cs="仿宋"/>
                <w:bCs/>
                <w:color w:val="auto"/>
                <w:kern w:val="0"/>
                <w:sz w:val="24"/>
              </w:rPr>
              <w:t xml:space="preserve">交货产品技术、性能指标 </w:t>
            </w:r>
          </w:p>
        </w:tc>
        <w:tc>
          <w:tcPr>
            <w:tcW w:w="5930" w:type="dxa"/>
            <w:vAlign w:val="center"/>
          </w:tcPr>
          <w:p w14:paraId="40859F95">
            <w:pPr>
              <w:pStyle w:val="13"/>
              <w:spacing w:after="0" w:line="360" w:lineRule="auto"/>
              <w:ind w:firstLine="200"/>
              <w:jc w:val="left"/>
              <w:rPr>
                <w:rFonts w:ascii="仿宋" w:hAnsi="仿宋" w:eastAsia="仿宋" w:cs="仿宋"/>
                <w:color w:val="auto"/>
              </w:rPr>
            </w:pPr>
          </w:p>
        </w:tc>
      </w:tr>
      <w:tr w14:paraId="2748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vAlign w:val="center"/>
          </w:tcPr>
          <w:p w14:paraId="43FE0E1B">
            <w:pPr>
              <w:widowControl/>
              <w:spacing w:line="360" w:lineRule="auto"/>
              <w:ind w:firstLine="200"/>
              <w:jc w:val="center"/>
              <w:rPr>
                <w:rFonts w:ascii="仿宋" w:hAnsi="仿宋" w:eastAsia="仿宋" w:cs="仿宋"/>
                <w:color w:val="auto"/>
                <w:kern w:val="0"/>
                <w:sz w:val="24"/>
              </w:rPr>
            </w:pPr>
            <w:r>
              <w:rPr>
                <w:rFonts w:hint="eastAsia" w:ascii="仿宋" w:hAnsi="仿宋" w:eastAsia="仿宋" w:cs="仿宋"/>
                <w:color w:val="auto"/>
                <w:kern w:val="0"/>
                <w:sz w:val="24"/>
              </w:rPr>
              <w:t>5</w:t>
            </w:r>
          </w:p>
        </w:tc>
        <w:tc>
          <w:tcPr>
            <w:tcW w:w="1914" w:type="dxa"/>
            <w:vAlign w:val="center"/>
          </w:tcPr>
          <w:p w14:paraId="5B5E69F7">
            <w:pPr>
              <w:spacing w:line="360" w:lineRule="auto"/>
              <w:ind w:firstLine="200"/>
              <w:jc w:val="center"/>
              <w:rPr>
                <w:rFonts w:ascii="仿宋" w:hAnsi="仿宋" w:eastAsia="仿宋" w:cs="仿宋"/>
                <w:color w:val="auto"/>
                <w:sz w:val="24"/>
              </w:rPr>
            </w:pPr>
            <w:r>
              <w:rPr>
                <w:rFonts w:hint="eastAsia" w:ascii="仿宋" w:hAnsi="仿宋" w:eastAsia="仿宋" w:cs="仿宋"/>
                <w:color w:val="auto"/>
                <w:sz w:val="24"/>
              </w:rPr>
              <w:t>售后货物</w:t>
            </w:r>
          </w:p>
          <w:p w14:paraId="60D06516">
            <w:pPr>
              <w:widowControl/>
              <w:spacing w:line="360" w:lineRule="auto"/>
              <w:ind w:firstLine="200"/>
              <w:jc w:val="center"/>
              <w:rPr>
                <w:rFonts w:ascii="仿宋" w:hAnsi="仿宋" w:eastAsia="仿宋" w:cs="仿宋"/>
                <w:bCs/>
                <w:color w:val="auto"/>
                <w:kern w:val="0"/>
                <w:sz w:val="24"/>
              </w:rPr>
            </w:pPr>
            <w:r>
              <w:rPr>
                <w:rFonts w:hint="eastAsia" w:ascii="仿宋" w:hAnsi="仿宋" w:eastAsia="仿宋" w:cs="仿宋"/>
                <w:color w:val="auto"/>
                <w:sz w:val="24"/>
              </w:rPr>
              <w:t>承诺</w:t>
            </w:r>
          </w:p>
        </w:tc>
        <w:tc>
          <w:tcPr>
            <w:tcW w:w="5930" w:type="dxa"/>
            <w:vAlign w:val="center"/>
          </w:tcPr>
          <w:p w14:paraId="570B41C5">
            <w:pPr>
              <w:widowControl/>
              <w:spacing w:line="360" w:lineRule="auto"/>
              <w:ind w:firstLine="200"/>
              <w:jc w:val="center"/>
              <w:rPr>
                <w:rFonts w:ascii="仿宋" w:hAnsi="仿宋" w:eastAsia="仿宋" w:cs="仿宋"/>
                <w:color w:val="auto"/>
                <w:kern w:val="0"/>
                <w:sz w:val="24"/>
              </w:rPr>
            </w:pPr>
          </w:p>
        </w:tc>
      </w:tr>
      <w:tr w14:paraId="1D7C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vAlign w:val="center"/>
          </w:tcPr>
          <w:p w14:paraId="243E37A2">
            <w:pPr>
              <w:widowControl/>
              <w:spacing w:line="360" w:lineRule="auto"/>
              <w:ind w:firstLine="200"/>
              <w:jc w:val="center"/>
              <w:rPr>
                <w:rFonts w:ascii="仿宋" w:hAnsi="仿宋" w:eastAsia="仿宋" w:cs="仿宋"/>
                <w:bCs/>
                <w:color w:val="auto"/>
                <w:kern w:val="0"/>
                <w:sz w:val="24"/>
              </w:rPr>
            </w:pPr>
            <w:r>
              <w:rPr>
                <w:rFonts w:hint="eastAsia" w:ascii="仿宋" w:hAnsi="仿宋" w:eastAsia="仿宋" w:cs="仿宋"/>
                <w:bCs/>
                <w:color w:val="auto"/>
                <w:kern w:val="0"/>
                <w:sz w:val="24"/>
              </w:rPr>
              <w:t>6</w:t>
            </w:r>
          </w:p>
        </w:tc>
        <w:tc>
          <w:tcPr>
            <w:tcW w:w="1914" w:type="dxa"/>
            <w:vAlign w:val="center"/>
          </w:tcPr>
          <w:p w14:paraId="217636C5">
            <w:pPr>
              <w:widowControl/>
              <w:spacing w:line="360" w:lineRule="auto"/>
              <w:ind w:firstLine="200"/>
              <w:jc w:val="center"/>
              <w:rPr>
                <w:rFonts w:ascii="仿宋" w:hAnsi="仿宋" w:eastAsia="仿宋" w:cs="仿宋"/>
                <w:bCs/>
                <w:color w:val="auto"/>
                <w:kern w:val="0"/>
                <w:sz w:val="24"/>
              </w:rPr>
            </w:pPr>
            <w:r>
              <w:rPr>
                <w:rFonts w:hint="eastAsia" w:ascii="仿宋" w:hAnsi="仿宋" w:eastAsia="仿宋" w:cs="仿宋"/>
                <w:bCs/>
                <w:color w:val="auto"/>
                <w:kern w:val="0"/>
                <w:sz w:val="24"/>
              </w:rPr>
              <w:t>其他工作</w:t>
            </w:r>
          </w:p>
        </w:tc>
        <w:tc>
          <w:tcPr>
            <w:tcW w:w="5930" w:type="dxa"/>
            <w:vAlign w:val="center"/>
          </w:tcPr>
          <w:p w14:paraId="187B2026">
            <w:pPr>
              <w:widowControl/>
              <w:spacing w:line="360" w:lineRule="auto"/>
              <w:ind w:firstLine="200"/>
              <w:jc w:val="left"/>
              <w:rPr>
                <w:rFonts w:ascii="仿宋" w:hAnsi="仿宋" w:eastAsia="仿宋" w:cs="仿宋"/>
                <w:color w:val="auto"/>
                <w:kern w:val="0"/>
                <w:sz w:val="24"/>
              </w:rPr>
            </w:pPr>
          </w:p>
        </w:tc>
      </w:tr>
    </w:tbl>
    <w:p w14:paraId="00E0FF19">
      <w:pPr>
        <w:tabs>
          <w:tab w:val="left" w:pos="904"/>
        </w:tabs>
        <w:snapToGrid w:val="0"/>
        <w:spacing w:line="360" w:lineRule="auto"/>
        <w:ind w:firstLine="480" w:firstLineChars="200"/>
        <w:jc w:val="left"/>
        <w:rPr>
          <w:rFonts w:ascii="仿宋" w:hAnsi="仿宋" w:eastAsia="仿宋" w:cs="仿宋"/>
          <w:color w:val="auto"/>
          <w:sz w:val="24"/>
        </w:rPr>
      </w:pPr>
    </w:p>
    <w:p w14:paraId="402727E9">
      <w:pPr>
        <w:tabs>
          <w:tab w:val="left" w:pos="904"/>
        </w:tabs>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5.2验收资料要求</w:t>
      </w:r>
    </w:p>
    <w:p w14:paraId="041ED9D5">
      <w:pPr>
        <w:tabs>
          <w:tab w:val="left" w:pos="904"/>
        </w:tabs>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验收资料要求包括（不限于）以下内容：</w:t>
      </w:r>
    </w:p>
    <w:p w14:paraId="69EE2D18">
      <w:pPr>
        <w:tabs>
          <w:tab w:val="left" w:pos="904"/>
        </w:tabs>
        <w:adjustRightInd w:val="0"/>
        <w:snapToGrid w:val="0"/>
        <w:spacing w:line="360" w:lineRule="auto"/>
        <w:ind w:firstLine="240" w:firstLineChars="100"/>
        <w:jc w:val="left"/>
        <w:rPr>
          <w:rFonts w:ascii="仿宋" w:hAnsi="仿宋" w:eastAsia="仿宋" w:cs="仿宋"/>
          <w:color w:val="auto"/>
          <w:sz w:val="24"/>
        </w:rPr>
      </w:pPr>
      <w:r>
        <w:rPr>
          <w:rFonts w:hint="eastAsia" w:ascii="仿宋" w:hAnsi="仿宋" w:eastAsia="仿宋" w:cs="仿宋"/>
          <w:color w:val="auto"/>
          <w:sz w:val="24"/>
        </w:rPr>
        <w:t>（1）采购文件；</w:t>
      </w:r>
    </w:p>
    <w:p w14:paraId="26DDE2C7">
      <w:pPr>
        <w:tabs>
          <w:tab w:val="left" w:pos="904"/>
        </w:tabs>
        <w:adjustRightInd w:val="0"/>
        <w:snapToGrid w:val="0"/>
        <w:spacing w:line="360" w:lineRule="auto"/>
        <w:ind w:firstLine="240" w:firstLineChars="100"/>
        <w:jc w:val="left"/>
        <w:rPr>
          <w:rFonts w:ascii="仿宋" w:hAnsi="仿宋" w:eastAsia="仿宋" w:cs="仿宋"/>
          <w:color w:val="auto"/>
          <w:sz w:val="24"/>
        </w:rPr>
      </w:pPr>
      <w:r>
        <w:rPr>
          <w:rFonts w:hint="eastAsia" w:ascii="仿宋" w:hAnsi="仿宋" w:eastAsia="仿宋" w:cs="仿宋"/>
          <w:color w:val="auto"/>
          <w:sz w:val="24"/>
        </w:rPr>
        <w:t>（2）投标文件；</w:t>
      </w:r>
    </w:p>
    <w:p w14:paraId="1496AB51">
      <w:pPr>
        <w:tabs>
          <w:tab w:val="left" w:pos="904"/>
        </w:tabs>
        <w:adjustRightInd w:val="0"/>
        <w:snapToGrid w:val="0"/>
        <w:spacing w:line="360" w:lineRule="auto"/>
        <w:ind w:firstLine="240" w:firstLineChars="100"/>
        <w:jc w:val="left"/>
        <w:rPr>
          <w:rFonts w:ascii="仿宋" w:hAnsi="仿宋" w:eastAsia="仿宋" w:cs="仿宋"/>
          <w:color w:val="auto"/>
          <w:sz w:val="24"/>
        </w:rPr>
      </w:pPr>
      <w:r>
        <w:rPr>
          <w:rFonts w:hint="eastAsia" w:ascii="仿宋" w:hAnsi="仿宋" w:eastAsia="仿宋" w:cs="仿宋"/>
          <w:color w:val="auto"/>
          <w:sz w:val="24"/>
        </w:rPr>
        <w:t>（3）采购合同；</w:t>
      </w:r>
    </w:p>
    <w:p w14:paraId="654EAEF2">
      <w:pPr>
        <w:tabs>
          <w:tab w:val="left" w:pos="904"/>
        </w:tabs>
        <w:adjustRightInd w:val="0"/>
        <w:snapToGrid w:val="0"/>
        <w:spacing w:line="360" w:lineRule="auto"/>
        <w:ind w:firstLine="240" w:firstLineChars="100"/>
        <w:jc w:val="left"/>
        <w:rPr>
          <w:rFonts w:ascii="仿宋" w:hAnsi="仿宋" w:eastAsia="仿宋" w:cs="仿宋"/>
          <w:color w:val="auto"/>
          <w:sz w:val="24"/>
        </w:rPr>
      </w:pPr>
      <w:r>
        <w:rPr>
          <w:rFonts w:hint="eastAsia" w:ascii="仿宋" w:hAnsi="仿宋" w:eastAsia="仿宋" w:cs="仿宋"/>
          <w:color w:val="auto"/>
          <w:sz w:val="24"/>
        </w:rPr>
        <w:t>（4）到货核验单（需采购核验人、复核人及乙方交货人三方签字盖章）、产品拍照图片、产品说明书、产品合格证、质量保证书原件</w:t>
      </w:r>
      <w:r>
        <w:rPr>
          <w:rFonts w:hint="eastAsia" w:ascii="仿宋" w:hAnsi="仿宋" w:eastAsia="仿宋" w:cs="仿宋"/>
          <w:bCs/>
          <w:color w:val="auto"/>
          <w:sz w:val="24"/>
        </w:rPr>
        <w:t>、</w:t>
      </w:r>
      <w:r>
        <w:rPr>
          <w:rFonts w:hint="eastAsia" w:ascii="仿宋" w:hAnsi="仿宋" w:eastAsia="仿宋" w:cs="仿宋"/>
          <w:color w:val="auto"/>
          <w:sz w:val="24"/>
        </w:rPr>
        <w:t>三包凭证、产品的检测报告、原厂质保承诺函等；</w:t>
      </w:r>
    </w:p>
    <w:p w14:paraId="0F9046B1">
      <w:pPr>
        <w:tabs>
          <w:tab w:val="left" w:pos="904"/>
        </w:tabs>
        <w:adjustRightInd w:val="0"/>
        <w:snapToGrid w:val="0"/>
        <w:spacing w:line="360" w:lineRule="auto"/>
        <w:ind w:firstLine="240" w:firstLineChars="100"/>
        <w:jc w:val="left"/>
        <w:rPr>
          <w:rFonts w:ascii="仿宋" w:hAnsi="仿宋" w:eastAsia="仿宋" w:cs="仿宋"/>
          <w:color w:val="auto"/>
          <w:sz w:val="24"/>
        </w:rPr>
      </w:pPr>
      <w:r>
        <w:rPr>
          <w:rFonts w:hint="eastAsia" w:ascii="仿宋" w:hAnsi="仿宋" w:eastAsia="仿宋" w:cs="仿宋"/>
          <w:color w:val="auto"/>
          <w:sz w:val="24"/>
        </w:rPr>
        <w:t>（5）其他需提供的相关材料。</w:t>
      </w:r>
    </w:p>
    <w:p w14:paraId="03C820D5">
      <w:pPr>
        <w:widowControl/>
        <w:ind w:firstLine="720" w:firstLineChars="300"/>
        <w:jc w:val="left"/>
        <w:rPr>
          <w:rFonts w:ascii="仿宋" w:hAnsi="仿宋" w:eastAsia="仿宋"/>
          <w:bCs/>
          <w:color w:val="auto"/>
          <w:sz w:val="24"/>
        </w:rPr>
      </w:pPr>
    </w:p>
    <w:p w14:paraId="70FA4D31">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u w:val="single"/>
        </w:rPr>
        <w:t xml:space="preserve">                                                                       </w:t>
      </w:r>
    </w:p>
    <w:p w14:paraId="7AC7F76F">
      <w:pPr>
        <w:spacing w:line="360" w:lineRule="auto"/>
        <w:ind w:left="720" w:firstLine="723" w:firstLineChars="200"/>
        <w:outlineLvl w:val="0"/>
        <w:rPr>
          <w:rFonts w:ascii="仿宋" w:hAnsi="仿宋" w:eastAsia="仿宋" w:cs="仿宋_GB2312"/>
          <w:b/>
          <w:color w:val="auto"/>
          <w:sz w:val="36"/>
          <w:szCs w:val="20"/>
        </w:rPr>
      </w:pPr>
    </w:p>
    <w:p w14:paraId="4936DFFD">
      <w:pPr>
        <w:spacing w:line="360" w:lineRule="auto"/>
        <w:ind w:left="720" w:firstLine="723" w:firstLineChars="200"/>
        <w:outlineLvl w:val="0"/>
        <w:rPr>
          <w:rFonts w:ascii="仿宋" w:hAnsi="仿宋" w:eastAsia="仿宋" w:cs="仿宋_GB2312"/>
          <w:b/>
          <w:color w:val="auto"/>
          <w:sz w:val="36"/>
          <w:szCs w:val="20"/>
        </w:rPr>
      </w:pPr>
    </w:p>
    <w:p w14:paraId="16A9960B">
      <w:pPr>
        <w:spacing w:line="360" w:lineRule="auto"/>
        <w:ind w:left="720" w:firstLine="723" w:firstLineChars="200"/>
        <w:outlineLvl w:val="0"/>
        <w:rPr>
          <w:rFonts w:ascii="仿宋" w:hAnsi="仿宋" w:eastAsia="仿宋" w:cs="仿宋_GB2312"/>
          <w:b/>
          <w:color w:val="auto"/>
          <w:sz w:val="36"/>
          <w:szCs w:val="20"/>
        </w:rPr>
      </w:pPr>
    </w:p>
    <w:p w14:paraId="1CA74EE7">
      <w:pPr>
        <w:spacing w:line="360" w:lineRule="auto"/>
        <w:ind w:left="720" w:firstLine="723" w:firstLineChars="200"/>
        <w:outlineLvl w:val="0"/>
        <w:rPr>
          <w:rFonts w:ascii="仿宋" w:hAnsi="仿宋" w:eastAsia="仿宋" w:cs="仿宋_GB2312"/>
          <w:b/>
          <w:color w:val="auto"/>
          <w:sz w:val="36"/>
          <w:szCs w:val="20"/>
        </w:rPr>
      </w:pPr>
    </w:p>
    <w:p w14:paraId="0D103A3D">
      <w:pPr>
        <w:tabs>
          <w:tab w:val="left" w:pos="7380"/>
        </w:tabs>
        <w:spacing w:line="360" w:lineRule="auto"/>
        <w:jc w:val="center"/>
        <w:rPr>
          <w:rFonts w:hAnsi="宋体"/>
          <w:color w:val="auto"/>
        </w:rPr>
        <w:sectPr>
          <w:pgSz w:w="11906" w:h="16838"/>
          <w:pgMar w:top="1134" w:right="1134" w:bottom="1134" w:left="1134" w:header="720" w:footer="720" w:gutter="0"/>
          <w:cols w:space="720" w:num="1"/>
          <w:docGrid w:type="lines" w:linePitch="331" w:charSpace="0"/>
        </w:sectPr>
      </w:pPr>
    </w:p>
    <w:p w14:paraId="3A3499BC">
      <w:pPr>
        <w:pStyle w:val="17"/>
        <w:spacing w:line="360" w:lineRule="auto"/>
        <w:ind w:left="178" w:leftChars="85"/>
        <w:rPr>
          <w:rFonts w:hAnsi="宋体"/>
          <w:color w:val="auto"/>
        </w:rPr>
      </w:pPr>
    </w:p>
    <w:p w14:paraId="64339FBF">
      <w:pPr>
        <w:pStyle w:val="17"/>
        <w:tabs>
          <w:tab w:val="left" w:pos="2472"/>
        </w:tabs>
        <w:spacing w:line="460" w:lineRule="exact"/>
        <w:jc w:val="center"/>
        <w:rPr>
          <w:rFonts w:ascii="Times New Roman" w:hAnsi="Times New Roman"/>
          <w:b/>
          <w:color w:val="auto"/>
          <w:sz w:val="36"/>
        </w:rPr>
      </w:pPr>
    </w:p>
    <w:p w14:paraId="030D0E31">
      <w:pPr>
        <w:pStyle w:val="17"/>
        <w:tabs>
          <w:tab w:val="left" w:pos="2472"/>
        </w:tabs>
        <w:spacing w:line="460" w:lineRule="exact"/>
        <w:jc w:val="center"/>
        <w:rPr>
          <w:rFonts w:ascii="Times New Roman" w:hAnsi="Times New Roman"/>
          <w:b/>
          <w:color w:val="auto"/>
          <w:sz w:val="36"/>
        </w:rPr>
      </w:pPr>
    </w:p>
    <w:p w14:paraId="093DCC8B">
      <w:pPr>
        <w:pStyle w:val="17"/>
        <w:tabs>
          <w:tab w:val="left" w:pos="2472"/>
        </w:tabs>
        <w:spacing w:line="460" w:lineRule="exact"/>
        <w:jc w:val="center"/>
        <w:rPr>
          <w:rFonts w:ascii="Times New Roman" w:hAnsi="Times New Roman"/>
          <w:b/>
          <w:color w:val="auto"/>
          <w:sz w:val="36"/>
        </w:rPr>
      </w:pPr>
    </w:p>
    <w:p w14:paraId="46ADC571">
      <w:pPr>
        <w:pStyle w:val="17"/>
        <w:tabs>
          <w:tab w:val="left" w:pos="2472"/>
        </w:tabs>
        <w:spacing w:line="460" w:lineRule="exact"/>
        <w:jc w:val="center"/>
        <w:rPr>
          <w:rFonts w:ascii="Times New Roman" w:hAnsi="Times New Roman"/>
          <w:b/>
          <w:color w:val="auto"/>
          <w:sz w:val="36"/>
        </w:rPr>
      </w:pPr>
    </w:p>
    <w:p w14:paraId="6F8D1521">
      <w:pPr>
        <w:pStyle w:val="17"/>
        <w:tabs>
          <w:tab w:val="left" w:pos="2472"/>
        </w:tabs>
        <w:spacing w:line="460" w:lineRule="exact"/>
        <w:jc w:val="center"/>
        <w:rPr>
          <w:rFonts w:ascii="Times New Roman" w:hAnsi="Times New Roman"/>
          <w:b/>
          <w:color w:val="auto"/>
          <w:sz w:val="36"/>
        </w:rPr>
      </w:pPr>
    </w:p>
    <w:p w14:paraId="14836105">
      <w:pPr>
        <w:pStyle w:val="17"/>
        <w:tabs>
          <w:tab w:val="left" w:pos="2472"/>
        </w:tabs>
        <w:spacing w:line="460" w:lineRule="exact"/>
        <w:jc w:val="center"/>
        <w:rPr>
          <w:rFonts w:ascii="Times New Roman" w:hAnsi="Times New Roman"/>
          <w:b/>
          <w:color w:val="auto"/>
          <w:sz w:val="36"/>
        </w:rPr>
      </w:pPr>
    </w:p>
    <w:p w14:paraId="24808285">
      <w:pPr>
        <w:pStyle w:val="17"/>
        <w:tabs>
          <w:tab w:val="left" w:pos="2472"/>
        </w:tabs>
        <w:spacing w:line="460" w:lineRule="exact"/>
        <w:jc w:val="center"/>
        <w:rPr>
          <w:rFonts w:ascii="Times New Roman" w:hAnsi="Times New Roman"/>
          <w:b/>
          <w:color w:val="auto"/>
          <w:sz w:val="36"/>
        </w:rPr>
      </w:pPr>
    </w:p>
    <w:p w14:paraId="76E6469C">
      <w:pPr>
        <w:pStyle w:val="17"/>
        <w:tabs>
          <w:tab w:val="left" w:pos="2472"/>
        </w:tabs>
        <w:spacing w:line="460" w:lineRule="exact"/>
        <w:jc w:val="center"/>
        <w:rPr>
          <w:rFonts w:ascii="Times New Roman" w:hAnsi="Times New Roman"/>
          <w:b/>
          <w:color w:val="auto"/>
          <w:sz w:val="36"/>
        </w:rPr>
      </w:pPr>
    </w:p>
    <w:p w14:paraId="55DF8377">
      <w:pPr>
        <w:pStyle w:val="17"/>
        <w:tabs>
          <w:tab w:val="left" w:pos="2472"/>
        </w:tabs>
        <w:spacing w:line="460" w:lineRule="exact"/>
        <w:jc w:val="center"/>
        <w:rPr>
          <w:rFonts w:ascii="Times New Roman" w:hAnsi="Times New Roman"/>
          <w:b/>
          <w:color w:val="auto"/>
          <w:sz w:val="36"/>
        </w:rPr>
      </w:pPr>
    </w:p>
    <w:p w14:paraId="571BE9C6">
      <w:pPr>
        <w:pStyle w:val="17"/>
        <w:tabs>
          <w:tab w:val="left" w:pos="2472"/>
        </w:tabs>
        <w:spacing w:line="460" w:lineRule="exact"/>
        <w:jc w:val="center"/>
        <w:outlineLvl w:val="0"/>
        <w:rPr>
          <w:rFonts w:ascii="Times New Roman" w:hAnsi="Times New Roman"/>
          <w:b/>
          <w:color w:val="auto"/>
          <w:sz w:val="36"/>
        </w:rPr>
      </w:pPr>
      <w:bookmarkStart w:id="296" w:name="_Toc80093010"/>
      <w:r>
        <w:rPr>
          <w:rFonts w:hint="eastAsia" w:ascii="Times New Roman" w:hAnsi="Times New Roman"/>
          <w:b/>
          <w:color w:val="auto"/>
          <w:sz w:val="36"/>
        </w:rPr>
        <w:t>第六章 投标文件格式</w:t>
      </w:r>
      <w:bookmarkEnd w:id="296"/>
    </w:p>
    <w:p w14:paraId="3F3A302A">
      <w:pPr>
        <w:pStyle w:val="17"/>
        <w:spacing w:line="360" w:lineRule="auto"/>
        <w:rPr>
          <w:rFonts w:hAnsi="宋体"/>
          <w:color w:val="auto"/>
        </w:rPr>
        <w:sectPr>
          <w:pgSz w:w="11906" w:h="16838"/>
          <w:pgMar w:top="1134" w:right="1134" w:bottom="1134" w:left="1134" w:header="720" w:footer="720" w:gutter="0"/>
          <w:cols w:space="720" w:num="1"/>
          <w:docGrid w:type="lines" w:linePitch="331" w:charSpace="0"/>
        </w:sectPr>
      </w:pPr>
    </w:p>
    <w:p w14:paraId="65F00EAB">
      <w:pPr>
        <w:pStyle w:val="17"/>
        <w:ind w:firstLine="551" w:firstLineChars="196"/>
        <w:jc w:val="center"/>
        <w:outlineLvl w:val="1"/>
        <w:rPr>
          <w:rFonts w:hAnsi="宋体"/>
          <w:b/>
          <w:bCs/>
          <w:color w:val="auto"/>
          <w:sz w:val="28"/>
          <w:szCs w:val="28"/>
        </w:rPr>
      </w:pPr>
      <w:bookmarkStart w:id="297" w:name="_Toc80093011"/>
      <w:r>
        <w:rPr>
          <w:rFonts w:hint="eastAsia" w:hAnsi="宋体"/>
          <w:b/>
          <w:bCs/>
          <w:color w:val="auto"/>
          <w:sz w:val="28"/>
          <w:szCs w:val="28"/>
        </w:rPr>
        <w:t>第一节 投标文件外层包装封面格式</w:t>
      </w:r>
      <w:bookmarkEnd w:id="297"/>
    </w:p>
    <w:p w14:paraId="73387265">
      <w:pPr>
        <w:pStyle w:val="17"/>
        <w:ind w:firstLine="551" w:firstLineChars="196"/>
        <w:jc w:val="center"/>
        <w:rPr>
          <w:rFonts w:hAnsi="宋体"/>
          <w:b/>
          <w:bCs/>
          <w:color w:val="auto"/>
          <w:sz w:val="28"/>
          <w:szCs w:val="28"/>
        </w:rPr>
      </w:pPr>
      <w:r>
        <w:rPr>
          <w:rFonts w:hint="eastAsia" w:hAnsi="宋体"/>
          <w:b/>
          <w:bCs/>
          <w:color w:val="auto"/>
          <w:sz w:val="28"/>
          <w:szCs w:val="28"/>
        </w:rPr>
        <w:t>（</w:t>
      </w:r>
      <w:r>
        <w:rPr>
          <w:rFonts w:hint="eastAsia" w:hAnsi="宋体" w:cs="宋体"/>
          <w:color w:val="auto"/>
          <w:sz w:val="28"/>
          <w:szCs w:val="28"/>
        </w:rPr>
        <w:t>公开、邀请招标货物类投标文件格式范本</w:t>
      </w:r>
      <w:r>
        <w:rPr>
          <w:rFonts w:hint="eastAsia" w:hAnsi="宋体"/>
          <w:b/>
          <w:bCs/>
          <w:color w:val="auto"/>
          <w:sz w:val="28"/>
          <w:szCs w:val="28"/>
        </w:rPr>
        <w:t>）</w:t>
      </w:r>
    </w:p>
    <w:p w14:paraId="45CDE869">
      <w:pPr>
        <w:spacing w:before="120" w:beforeLines="50" w:after="120" w:afterLines="50"/>
        <w:jc w:val="center"/>
        <w:rPr>
          <w:rFonts w:ascii="宋体" w:hAnsi="宋体" w:cs="宋体"/>
          <w:color w:val="auto"/>
          <w:spacing w:val="20"/>
          <w:sz w:val="44"/>
          <w:szCs w:val="44"/>
        </w:rPr>
      </w:pPr>
    </w:p>
    <w:p w14:paraId="4E8F6139">
      <w:pPr>
        <w:spacing w:before="120" w:beforeLines="50" w:after="120" w:afterLines="50"/>
        <w:jc w:val="center"/>
        <w:rPr>
          <w:rFonts w:ascii="宋体" w:hAnsi="宋体" w:cs="宋体"/>
          <w:color w:val="auto"/>
          <w:spacing w:val="20"/>
          <w:sz w:val="44"/>
          <w:szCs w:val="44"/>
        </w:rPr>
      </w:pPr>
    </w:p>
    <w:p w14:paraId="269AAFB8">
      <w:pPr>
        <w:spacing w:before="120" w:beforeLines="50" w:after="120" w:afterLines="50"/>
        <w:jc w:val="center"/>
        <w:rPr>
          <w:rFonts w:ascii="宋体" w:hAnsi="宋体" w:cs="宋体"/>
          <w:color w:val="auto"/>
          <w:spacing w:val="20"/>
          <w:sz w:val="44"/>
          <w:szCs w:val="44"/>
        </w:rPr>
      </w:pPr>
    </w:p>
    <w:p w14:paraId="68E1E881">
      <w:pPr>
        <w:spacing w:before="120" w:beforeLines="50" w:after="120" w:afterLines="50"/>
        <w:jc w:val="center"/>
        <w:rPr>
          <w:rFonts w:ascii="宋体" w:hAnsi="宋体" w:cs="宋体"/>
          <w:color w:val="auto"/>
          <w:spacing w:val="20"/>
          <w:sz w:val="44"/>
          <w:szCs w:val="44"/>
        </w:rPr>
      </w:pPr>
    </w:p>
    <w:p w14:paraId="5772DD91">
      <w:pPr>
        <w:spacing w:before="120" w:beforeLines="50" w:after="120" w:afterLines="50"/>
        <w:jc w:val="center"/>
        <w:rPr>
          <w:rFonts w:ascii="宋体" w:hAnsi="宋体" w:cs="宋体"/>
          <w:color w:val="auto"/>
          <w:spacing w:val="20"/>
          <w:sz w:val="44"/>
          <w:szCs w:val="44"/>
        </w:rPr>
      </w:pPr>
      <w:r>
        <w:rPr>
          <w:rFonts w:hint="eastAsia" w:ascii="宋体" w:hAnsi="宋体" w:cs="宋体"/>
          <w:color w:val="auto"/>
          <w:spacing w:val="20"/>
          <w:sz w:val="44"/>
          <w:szCs w:val="44"/>
        </w:rPr>
        <w:t>XXXXX（项目名称）</w:t>
      </w:r>
    </w:p>
    <w:p w14:paraId="2DD70EE3">
      <w:pPr>
        <w:spacing w:before="120" w:beforeLines="50" w:after="120" w:afterLines="50"/>
        <w:jc w:val="center"/>
        <w:rPr>
          <w:rFonts w:ascii="宋体" w:hAnsi="宋体" w:cs="宋体"/>
          <w:color w:val="auto"/>
          <w:spacing w:val="40"/>
          <w:w w:val="110"/>
          <w:sz w:val="44"/>
          <w:szCs w:val="44"/>
        </w:rPr>
      </w:pPr>
      <w:r>
        <w:rPr>
          <w:rFonts w:hint="eastAsia" w:ascii="宋体" w:hAnsi="宋体" w:cs="宋体"/>
          <w:color w:val="auto"/>
          <w:spacing w:val="40"/>
          <w:w w:val="110"/>
          <w:sz w:val="44"/>
          <w:szCs w:val="44"/>
        </w:rPr>
        <w:t>投标文件</w:t>
      </w:r>
    </w:p>
    <w:p w14:paraId="5068F6F7">
      <w:pPr>
        <w:jc w:val="center"/>
        <w:rPr>
          <w:rFonts w:ascii="宋体" w:hAnsi="宋体" w:cs="宋体"/>
          <w:color w:val="auto"/>
          <w:sz w:val="24"/>
        </w:rPr>
      </w:pPr>
      <w:r>
        <w:rPr>
          <w:rFonts w:hint="eastAsia" w:ascii="宋体" w:hAnsi="宋体" w:cs="宋体"/>
          <w:color w:val="auto"/>
          <w:sz w:val="24"/>
        </w:rPr>
        <w:t>（电子投标文件）</w:t>
      </w:r>
    </w:p>
    <w:tbl>
      <w:tblPr>
        <w:tblStyle w:val="34"/>
        <w:tblW w:w="0" w:type="auto"/>
        <w:jc w:val="center"/>
        <w:tblLayout w:type="fixed"/>
        <w:tblCellMar>
          <w:top w:w="0" w:type="dxa"/>
          <w:left w:w="108" w:type="dxa"/>
          <w:bottom w:w="0" w:type="dxa"/>
          <w:right w:w="108" w:type="dxa"/>
        </w:tblCellMar>
      </w:tblPr>
      <w:tblGrid>
        <w:gridCol w:w="1601"/>
        <w:gridCol w:w="6172"/>
      </w:tblGrid>
      <w:tr w14:paraId="2A251C11">
        <w:tblPrEx>
          <w:tblCellMar>
            <w:top w:w="0" w:type="dxa"/>
            <w:left w:w="108" w:type="dxa"/>
            <w:bottom w:w="0" w:type="dxa"/>
            <w:right w:w="108" w:type="dxa"/>
          </w:tblCellMar>
        </w:tblPrEx>
        <w:trPr>
          <w:jc w:val="center"/>
        </w:trPr>
        <w:tc>
          <w:tcPr>
            <w:tcW w:w="1601" w:type="dxa"/>
            <w:vAlign w:val="bottom"/>
          </w:tcPr>
          <w:p w14:paraId="1F3E6BC9">
            <w:pPr>
              <w:jc w:val="distribute"/>
              <w:rPr>
                <w:rFonts w:ascii="宋体" w:hAnsi="宋体" w:cs="宋体"/>
                <w:color w:val="auto"/>
                <w:sz w:val="24"/>
              </w:rPr>
            </w:pPr>
            <w:r>
              <w:rPr>
                <w:rFonts w:hint="eastAsia" w:ascii="宋体" w:hAnsi="宋体" w:cs="宋体"/>
                <w:color w:val="auto"/>
                <w:sz w:val="24"/>
              </w:rPr>
              <w:t>项目名称：</w:t>
            </w:r>
          </w:p>
        </w:tc>
        <w:tc>
          <w:tcPr>
            <w:tcW w:w="6172" w:type="dxa"/>
            <w:tcBorders>
              <w:bottom w:val="single" w:color="000000" w:sz="4" w:space="0"/>
            </w:tcBorders>
            <w:vAlign w:val="bottom"/>
          </w:tcPr>
          <w:p w14:paraId="12202EE7">
            <w:pPr>
              <w:jc w:val="left"/>
              <w:rPr>
                <w:rFonts w:ascii="宋体" w:hAnsi="宋体" w:cs="宋体"/>
                <w:color w:val="auto"/>
                <w:sz w:val="24"/>
              </w:rPr>
            </w:pPr>
          </w:p>
        </w:tc>
      </w:tr>
      <w:tr w14:paraId="38AE6C11">
        <w:tblPrEx>
          <w:tblCellMar>
            <w:top w:w="0" w:type="dxa"/>
            <w:left w:w="108" w:type="dxa"/>
            <w:bottom w:w="0" w:type="dxa"/>
            <w:right w:w="108" w:type="dxa"/>
          </w:tblCellMar>
        </w:tblPrEx>
        <w:trPr>
          <w:jc w:val="center"/>
        </w:trPr>
        <w:tc>
          <w:tcPr>
            <w:tcW w:w="1601" w:type="dxa"/>
            <w:vAlign w:val="bottom"/>
          </w:tcPr>
          <w:p w14:paraId="3FFDD9E2">
            <w:pPr>
              <w:jc w:val="distribute"/>
              <w:rPr>
                <w:rFonts w:ascii="宋体" w:hAnsi="宋体" w:cs="宋体"/>
                <w:color w:val="auto"/>
                <w:sz w:val="24"/>
              </w:rPr>
            </w:pPr>
            <w:r>
              <w:rPr>
                <w:rFonts w:hint="eastAsia" w:ascii="宋体" w:hAnsi="宋体" w:cs="宋体"/>
                <w:color w:val="auto"/>
                <w:sz w:val="24"/>
              </w:rPr>
              <w:t>采购方式：</w:t>
            </w:r>
          </w:p>
        </w:tc>
        <w:tc>
          <w:tcPr>
            <w:tcW w:w="6172" w:type="dxa"/>
            <w:tcBorders>
              <w:top w:val="single" w:color="000000" w:sz="4" w:space="0"/>
              <w:bottom w:val="single" w:color="000000" w:sz="4" w:space="0"/>
            </w:tcBorders>
            <w:vAlign w:val="bottom"/>
          </w:tcPr>
          <w:p w14:paraId="3281E2FA">
            <w:pPr>
              <w:jc w:val="left"/>
              <w:rPr>
                <w:rFonts w:ascii="宋体" w:hAnsi="宋体" w:cs="宋体"/>
                <w:color w:val="auto"/>
                <w:sz w:val="24"/>
              </w:rPr>
            </w:pPr>
          </w:p>
        </w:tc>
      </w:tr>
      <w:tr w14:paraId="2504D9BA">
        <w:tblPrEx>
          <w:tblCellMar>
            <w:top w:w="0" w:type="dxa"/>
            <w:left w:w="108" w:type="dxa"/>
            <w:bottom w:w="0" w:type="dxa"/>
            <w:right w:w="108" w:type="dxa"/>
          </w:tblCellMar>
        </w:tblPrEx>
        <w:trPr>
          <w:jc w:val="center"/>
        </w:trPr>
        <w:tc>
          <w:tcPr>
            <w:tcW w:w="1601" w:type="dxa"/>
            <w:vAlign w:val="bottom"/>
          </w:tcPr>
          <w:p w14:paraId="2E711568">
            <w:pPr>
              <w:jc w:val="distribute"/>
              <w:rPr>
                <w:rFonts w:ascii="宋体" w:hAnsi="宋体" w:cs="宋体"/>
                <w:color w:val="auto"/>
                <w:sz w:val="24"/>
              </w:rPr>
            </w:pPr>
            <w:r>
              <w:rPr>
                <w:rFonts w:hint="eastAsia" w:ascii="宋体" w:hAnsi="宋体" w:cs="宋体"/>
                <w:color w:val="auto"/>
                <w:sz w:val="24"/>
              </w:rPr>
              <w:t>项目编号：</w:t>
            </w:r>
          </w:p>
        </w:tc>
        <w:tc>
          <w:tcPr>
            <w:tcW w:w="6172" w:type="dxa"/>
            <w:tcBorders>
              <w:top w:val="single" w:color="000000" w:sz="4" w:space="0"/>
              <w:bottom w:val="single" w:color="000000" w:sz="4" w:space="0"/>
            </w:tcBorders>
            <w:vAlign w:val="bottom"/>
          </w:tcPr>
          <w:p w14:paraId="32C5E5A3">
            <w:pPr>
              <w:jc w:val="left"/>
              <w:rPr>
                <w:rFonts w:ascii="宋体" w:hAnsi="宋体" w:cs="宋体"/>
                <w:color w:val="auto"/>
                <w:sz w:val="24"/>
              </w:rPr>
            </w:pPr>
          </w:p>
        </w:tc>
      </w:tr>
      <w:tr w14:paraId="6DC67C56">
        <w:tblPrEx>
          <w:tblCellMar>
            <w:top w:w="0" w:type="dxa"/>
            <w:left w:w="108" w:type="dxa"/>
            <w:bottom w:w="0" w:type="dxa"/>
            <w:right w:w="108" w:type="dxa"/>
          </w:tblCellMar>
        </w:tblPrEx>
        <w:trPr>
          <w:jc w:val="center"/>
        </w:trPr>
        <w:tc>
          <w:tcPr>
            <w:tcW w:w="1601" w:type="dxa"/>
            <w:vAlign w:val="bottom"/>
          </w:tcPr>
          <w:p w14:paraId="7427C4CD">
            <w:pPr>
              <w:jc w:val="distribute"/>
              <w:rPr>
                <w:rFonts w:ascii="宋体" w:hAnsi="宋体" w:cs="宋体"/>
                <w:color w:val="auto"/>
                <w:sz w:val="24"/>
              </w:rPr>
            </w:pPr>
            <w:r>
              <w:rPr>
                <w:rFonts w:hint="eastAsia" w:ascii="宋体" w:hAnsi="宋体" w:cs="宋体"/>
                <w:color w:val="auto"/>
                <w:sz w:val="24"/>
              </w:rPr>
              <w:t>所投分标：</w:t>
            </w:r>
          </w:p>
        </w:tc>
        <w:tc>
          <w:tcPr>
            <w:tcW w:w="6172" w:type="dxa"/>
            <w:tcBorders>
              <w:top w:val="single" w:color="000000" w:sz="4" w:space="0"/>
              <w:bottom w:val="single" w:color="000000" w:sz="4" w:space="0"/>
            </w:tcBorders>
            <w:vAlign w:val="bottom"/>
          </w:tcPr>
          <w:p w14:paraId="5B20C89B">
            <w:pPr>
              <w:jc w:val="left"/>
              <w:rPr>
                <w:rFonts w:ascii="宋体" w:hAnsi="宋体" w:cs="宋体"/>
                <w:color w:val="auto"/>
                <w:sz w:val="24"/>
              </w:rPr>
            </w:pPr>
          </w:p>
        </w:tc>
      </w:tr>
      <w:tr w14:paraId="1A8F5627">
        <w:tblPrEx>
          <w:tblCellMar>
            <w:top w:w="0" w:type="dxa"/>
            <w:left w:w="108" w:type="dxa"/>
            <w:bottom w:w="0" w:type="dxa"/>
            <w:right w:w="108" w:type="dxa"/>
          </w:tblCellMar>
        </w:tblPrEx>
        <w:trPr>
          <w:jc w:val="center"/>
        </w:trPr>
        <w:tc>
          <w:tcPr>
            <w:tcW w:w="1601" w:type="dxa"/>
            <w:vAlign w:val="bottom"/>
          </w:tcPr>
          <w:p w14:paraId="36CDF7C8">
            <w:pPr>
              <w:jc w:val="distribute"/>
              <w:rPr>
                <w:rFonts w:ascii="宋体" w:hAnsi="宋体" w:cs="宋体"/>
                <w:color w:val="auto"/>
                <w:sz w:val="24"/>
              </w:rPr>
            </w:pPr>
            <w:r>
              <w:rPr>
                <w:rFonts w:hint="eastAsia" w:ascii="宋体" w:hAnsi="宋体" w:cs="宋体"/>
                <w:color w:val="auto"/>
                <w:sz w:val="24"/>
              </w:rPr>
              <w:t>投标人名称：</w:t>
            </w:r>
          </w:p>
        </w:tc>
        <w:tc>
          <w:tcPr>
            <w:tcW w:w="6172" w:type="dxa"/>
            <w:tcBorders>
              <w:top w:val="single" w:color="000000" w:sz="4" w:space="0"/>
              <w:bottom w:val="single" w:color="000000" w:sz="4" w:space="0"/>
            </w:tcBorders>
            <w:vAlign w:val="bottom"/>
          </w:tcPr>
          <w:p w14:paraId="144CC86A">
            <w:pPr>
              <w:jc w:val="left"/>
              <w:rPr>
                <w:rFonts w:ascii="宋体" w:hAnsi="宋体" w:cs="宋体"/>
                <w:color w:val="auto"/>
                <w:sz w:val="24"/>
              </w:rPr>
            </w:pPr>
          </w:p>
        </w:tc>
      </w:tr>
      <w:tr w14:paraId="26D7C76B">
        <w:tblPrEx>
          <w:tblCellMar>
            <w:top w:w="0" w:type="dxa"/>
            <w:left w:w="108" w:type="dxa"/>
            <w:bottom w:w="0" w:type="dxa"/>
            <w:right w:w="108" w:type="dxa"/>
          </w:tblCellMar>
        </w:tblPrEx>
        <w:trPr>
          <w:jc w:val="center"/>
        </w:trPr>
        <w:tc>
          <w:tcPr>
            <w:tcW w:w="1601" w:type="dxa"/>
            <w:vAlign w:val="bottom"/>
          </w:tcPr>
          <w:p w14:paraId="4CCDC585">
            <w:pPr>
              <w:jc w:val="distribute"/>
              <w:rPr>
                <w:rFonts w:ascii="宋体" w:hAnsi="宋体" w:cs="宋体"/>
                <w:color w:val="auto"/>
                <w:sz w:val="24"/>
              </w:rPr>
            </w:pPr>
            <w:r>
              <w:rPr>
                <w:rFonts w:hint="eastAsia" w:ascii="宋体" w:hAnsi="宋体" w:cs="宋体"/>
                <w:color w:val="auto"/>
                <w:sz w:val="24"/>
              </w:rPr>
              <w:t>投标人地址：</w:t>
            </w:r>
          </w:p>
        </w:tc>
        <w:tc>
          <w:tcPr>
            <w:tcW w:w="6172" w:type="dxa"/>
            <w:tcBorders>
              <w:top w:val="single" w:color="000000" w:sz="4" w:space="0"/>
              <w:bottom w:val="single" w:color="000000" w:sz="4" w:space="0"/>
            </w:tcBorders>
            <w:vAlign w:val="bottom"/>
          </w:tcPr>
          <w:p w14:paraId="1B11FF84">
            <w:pPr>
              <w:jc w:val="left"/>
              <w:rPr>
                <w:rFonts w:ascii="宋体" w:hAnsi="宋体" w:cs="宋体"/>
                <w:color w:val="auto"/>
                <w:sz w:val="24"/>
              </w:rPr>
            </w:pPr>
          </w:p>
        </w:tc>
      </w:tr>
    </w:tbl>
    <w:p w14:paraId="57F8A522">
      <w:pPr>
        <w:ind w:firstLine="4200" w:firstLineChars="1750"/>
        <w:rPr>
          <w:rFonts w:ascii="宋体" w:hAnsi="宋体" w:cs="宋体"/>
          <w:color w:val="auto"/>
          <w:sz w:val="24"/>
        </w:rPr>
      </w:pPr>
    </w:p>
    <w:p w14:paraId="12CDB87E">
      <w:pPr>
        <w:ind w:firstLine="4200" w:firstLineChars="1750"/>
        <w:rPr>
          <w:rFonts w:ascii="宋体" w:hAnsi="宋体" w:cs="宋体"/>
          <w:color w:val="auto"/>
          <w:sz w:val="24"/>
        </w:rPr>
      </w:pPr>
    </w:p>
    <w:p w14:paraId="27683D94">
      <w:pPr>
        <w:ind w:firstLine="4200" w:firstLineChars="1750"/>
        <w:rPr>
          <w:rFonts w:ascii="宋体" w:hAnsi="宋体" w:cs="宋体"/>
          <w:color w:val="auto"/>
          <w:sz w:val="24"/>
        </w:rPr>
      </w:pPr>
    </w:p>
    <w:p w14:paraId="6A096C6C">
      <w:pPr>
        <w:ind w:firstLine="5880" w:firstLineChars="2450"/>
        <w:rPr>
          <w:rFonts w:ascii="宋体" w:hAnsi="宋体" w:cs="宋体"/>
          <w:color w:val="auto"/>
          <w:sz w:val="24"/>
        </w:rPr>
      </w:pPr>
      <w:r>
        <w:rPr>
          <w:rFonts w:hint="eastAsia" w:ascii="宋体" w:hAnsi="宋体" w:cs="宋体"/>
          <w:color w:val="auto"/>
          <w:sz w:val="24"/>
        </w:rPr>
        <w:t>投标截止时间前不得启封</w:t>
      </w:r>
    </w:p>
    <w:p w14:paraId="3A7299FA">
      <w:pPr>
        <w:ind w:firstLine="6480" w:firstLineChars="2700"/>
        <w:rPr>
          <w:rFonts w:ascii="宋体" w:hAnsi="宋体" w:cs="宋体"/>
          <w:color w:val="auto"/>
          <w:sz w:val="24"/>
        </w:rPr>
        <w:sectPr>
          <w:headerReference r:id="rId7" w:type="default"/>
          <w:footerReference r:id="rId8" w:type="default"/>
          <w:pgSz w:w="11907" w:h="16840"/>
          <w:pgMar w:top="1531" w:right="1418" w:bottom="1361" w:left="1418" w:header="720" w:footer="720" w:gutter="0"/>
          <w:cols w:space="720" w:num="1"/>
          <w:docGrid w:linePitch="285" w:charSpace="0"/>
        </w:sectPr>
      </w:pPr>
      <w:r>
        <w:rPr>
          <w:rFonts w:hint="eastAsia" w:ascii="宋体" w:hAnsi="宋体" w:cs="宋体"/>
          <w:color w:val="auto"/>
          <w:sz w:val="24"/>
        </w:rPr>
        <w:t>年   月   日</w:t>
      </w:r>
    </w:p>
    <w:p w14:paraId="3DCC7916">
      <w:pPr>
        <w:pStyle w:val="17"/>
        <w:jc w:val="center"/>
        <w:outlineLvl w:val="1"/>
        <w:rPr>
          <w:rFonts w:hAnsi="宋体"/>
          <w:b/>
          <w:bCs/>
          <w:color w:val="auto"/>
          <w:sz w:val="28"/>
          <w:szCs w:val="28"/>
        </w:rPr>
      </w:pPr>
      <w:bookmarkStart w:id="298" w:name="_Toc80093012"/>
      <w:r>
        <w:rPr>
          <w:rFonts w:hint="eastAsia" w:hAnsi="宋体"/>
          <w:b/>
          <w:bCs/>
          <w:color w:val="auto"/>
          <w:sz w:val="28"/>
          <w:szCs w:val="28"/>
        </w:rPr>
        <w:t>第二节 资格证明文件格式</w:t>
      </w:r>
      <w:bookmarkEnd w:id="298"/>
    </w:p>
    <w:p w14:paraId="3FB0BAE3">
      <w:pPr>
        <w:pStyle w:val="17"/>
        <w:spacing w:line="360" w:lineRule="auto"/>
        <w:ind w:firstLine="420"/>
        <w:rPr>
          <w:rFonts w:hAnsi="宋体"/>
          <w:color w:val="auto"/>
          <w:sz w:val="30"/>
        </w:rPr>
      </w:pPr>
    </w:p>
    <w:p w14:paraId="66211957">
      <w:pPr>
        <w:snapToGrid w:val="0"/>
        <w:spacing w:before="165" w:beforeLines="50" w:after="50"/>
        <w:rPr>
          <w:rFonts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电子投标文件</w:t>
      </w:r>
    </w:p>
    <w:p w14:paraId="2FECB01C">
      <w:pPr>
        <w:snapToGrid w:val="0"/>
        <w:spacing w:before="165" w:beforeLines="50" w:after="50"/>
        <w:rPr>
          <w:rFonts w:ascii="宋体" w:hAnsi="宋体"/>
          <w:color w:val="auto"/>
          <w:sz w:val="24"/>
          <w:szCs w:val="20"/>
        </w:rPr>
      </w:pPr>
    </w:p>
    <w:p w14:paraId="0E336A6D">
      <w:pPr>
        <w:snapToGrid w:val="0"/>
        <w:spacing w:before="165" w:beforeLines="50" w:after="50"/>
        <w:jc w:val="center"/>
        <w:rPr>
          <w:rFonts w:ascii="宋体" w:hAnsi="宋体"/>
          <w:b/>
          <w:color w:val="auto"/>
          <w:sz w:val="24"/>
          <w:szCs w:val="20"/>
        </w:rPr>
      </w:pPr>
      <w:r>
        <w:rPr>
          <w:rFonts w:hint="eastAsia" w:ascii="宋体" w:hAnsi="宋体"/>
          <w:b/>
          <w:color w:val="auto"/>
          <w:sz w:val="32"/>
          <w:szCs w:val="32"/>
        </w:rPr>
        <w:t>资格证明文件（封面）</w:t>
      </w:r>
    </w:p>
    <w:p w14:paraId="5810D4E8">
      <w:pPr>
        <w:snapToGrid w:val="0"/>
        <w:spacing w:before="165" w:beforeLines="50" w:after="50"/>
        <w:rPr>
          <w:rFonts w:ascii="宋体" w:hAnsi="宋体"/>
          <w:bCs/>
          <w:color w:val="auto"/>
          <w:sz w:val="24"/>
          <w:szCs w:val="20"/>
        </w:rPr>
      </w:pPr>
    </w:p>
    <w:p w14:paraId="3A7DA45A">
      <w:pPr>
        <w:snapToGrid w:val="0"/>
        <w:spacing w:before="165" w:beforeLines="50" w:after="50"/>
        <w:rPr>
          <w:rFonts w:ascii="宋体" w:hAnsi="宋体"/>
          <w:bCs/>
          <w:color w:val="auto"/>
          <w:sz w:val="24"/>
          <w:szCs w:val="20"/>
        </w:rPr>
      </w:pPr>
    </w:p>
    <w:p w14:paraId="36FCE381">
      <w:pPr>
        <w:snapToGrid w:val="0"/>
        <w:spacing w:before="165" w:beforeLines="50" w:after="50"/>
        <w:rPr>
          <w:rFonts w:ascii="宋体" w:hAnsi="宋体"/>
          <w:bCs/>
          <w:color w:val="auto"/>
          <w:sz w:val="24"/>
          <w:szCs w:val="20"/>
        </w:rPr>
      </w:pPr>
    </w:p>
    <w:p w14:paraId="5815B071">
      <w:pPr>
        <w:snapToGrid w:val="0"/>
        <w:spacing w:before="165" w:beforeLines="50" w:after="50"/>
        <w:rPr>
          <w:rFonts w:ascii="宋体" w:hAnsi="宋体"/>
          <w:bCs/>
          <w:color w:val="auto"/>
          <w:sz w:val="24"/>
          <w:szCs w:val="20"/>
        </w:rPr>
      </w:pPr>
    </w:p>
    <w:p w14:paraId="63D561BF">
      <w:pPr>
        <w:snapToGrid w:val="0"/>
        <w:spacing w:before="165" w:beforeLines="50" w:after="50"/>
        <w:rPr>
          <w:rFonts w:ascii="宋体" w:hAnsi="宋体"/>
          <w:bCs/>
          <w:color w:val="auto"/>
          <w:sz w:val="24"/>
          <w:szCs w:val="20"/>
        </w:rPr>
      </w:pPr>
    </w:p>
    <w:p w14:paraId="07A80B01">
      <w:pPr>
        <w:snapToGrid w:val="0"/>
        <w:spacing w:before="165" w:beforeLines="50" w:after="50"/>
        <w:rPr>
          <w:rFonts w:ascii="宋体" w:hAnsi="宋体"/>
          <w:bCs/>
          <w:color w:val="auto"/>
          <w:sz w:val="24"/>
          <w:szCs w:val="20"/>
        </w:rPr>
      </w:pPr>
    </w:p>
    <w:p w14:paraId="561ADAF0">
      <w:pPr>
        <w:snapToGrid w:val="0"/>
        <w:spacing w:before="165" w:beforeLines="50" w:after="50"/>
        <w:rPr>
          <w:rFonts w:ascii="宋体" w:hAnsi="宋体"/>
          <w:bCs/>
          <w:color w:val="auto"/>
          <w:sz w:val="24"/>
          <w:szCs w:val="20"/>
        </w:rPr>
      </w:pPr>
    </w:p>
    <w:p w14:paraId="1590286A">
      <w:pPr>
        <w:snapToGrid w:val="0"/>
        <w:spacing w:before="165" w:beforeLines="50" w:after="50"/>
        <w:ind w:firstLine="540" w:firstLineChars="225"/>
        <w:rPr>
          <w:rFonts w:ascii="宋体" w:hAnsi="宋体"/>
          <w:bCs/>
          <w:color w:val="auto"/>
          <w:sz w:val="24"/>
        </w:rPr>
      </w:pPr>
      <w:r>
        <w:rPr>
          <w:rFonts w:hint="eastAsia" w:ascii="宋体" w:hAnsi="宋体"/>
          <w:bCs/>
          <w:color w:val="auto"/>
          <w:sz w:val="24"/>
        </w:rPr>
        <w:t>项目名称：</w:t>
      </w:r>
    </w:p>
    <w:p w14:paraId="012C416F">
      <w:pPr>
        <w:snapToGrid w:val="0"/>
        <w:spacing w:before="165" w:beforeLines="50" w:after="50"/>
        <w:ind w:firstLine="540" w:firstLineChars="225"/>
        <w:rPr>
          <w:rFonts w:ascii="宋体" w:hAnsi="宋体"/>
          <w:bCs/>
          <w:color w:val="auto"/>
          <w:sz w:val="24"/>
          <w:szCs w:val="20"/>
        </w:rPr>
      </w:pPr>
    </w:p>
    <w:p w14:paraId="1BA47730">
      <w:pPr>
        <w:snapToGrid w:val="0"/>
        <w:spacing w:before="165" w:beforeLines="50" w:after="50"/>
        <w:ind w:firstLine="540" w:firstLineChars="225"/>
        <w:rPr>
          <w:rFonts w:ascii="宋体" w:hAnsi="宋体"/>
          <w:bCs/>
          <w:color w:val="auto"/>
          <w:sz w:val="24"/>
        </w:rPr>
      </w:pPr>
      <w:r>
        <w:rPr>
          <w:rFonts w:hint="eastAsia" w:ascii="宋体" w:hAnsi="宋体"/>
          <w:bCs/>
          <w:color w:val="auto"/>
          <w:sz w:val="24"/>
        </w:rPr>
        <w:t>项目编号：</w:t>
      </w:r>
    </w:p>
    <w:p w14:paraId="3828FD76">
      <w:pPr>
        <w:snapToGrid w:val="0"/>
        <w:spacing w:before="165" w:beforeLines="50" w:after="50"/>
        <w:ind w:firstLine="540" w:firstLineChars="225"/>
        <w:rPr>
          <w:rFonts w:ascii="宋体" w:hAnsi="宋体"/>
          <w:bCs/>
          <w:color w:val="auto"/>
          <w:sz w:val="24"/>
          <w:szCs w:val="20"/>
        </w:rPr>
      </w:pPr>
      <w:r>
        <w:rPr>
          <w:rFonts w:hint="eastAsia" w:ascii="宋体" w:hAnsi="宋体"/>
          <w:bCs/>
          <w:color w:val="auto"/>
          <w:sz w:val="24"/>
        </w:rPr>
        <w:t xml:space="preserve"> </w:t>
      </w:r>
    </w:p>
    <w:p w14:paraId="2413B529">
      <w:pPr>
        <w:snapToGrid w:val="0"/>
        <w:spacing w:before="165" w:beforeLines="50" w:after="50"/>
        <w:ind w:firstLine="540" w:firstLineChars="225"/>
        <w:rPr>
          <w:rFonts w:ascii="宋体" w:hAnsi="宋体"/>
          <w:bCs/>
          <w:color w:val="auto"/>
          <w:sz w:val="24"/>
        </w:rPr>
      </w:pPr>
      <w:r>
        <w:rPr>
          <w:rFonts w:hint="eastAsia" w:ascii="宋体" w:hAnsi="宋体"/>
          <w:bCs/>
          <w:color w:val="auto"/>
          <w:sz w:val="24"/>
        </w:rPr>
        <w:t>所投分标：</w:t>
      </w:r>
    </w:p>
    <w:p w14:paraId="20A54EDE">
      <w:pPr>
        <w:pStyle w:val="8"/>
        <w:snapToGrid w:val="0"/>
        <w:spacing w:before="50" w:after="50"/>
        <w:ind w:firstLine="540" w:firstLineChars="225"/>
        <w:rPr>
          <w:rFonts w:ascii="宋体" w:hAnsi="宋体"/>
          <w:bCs/>
          <w:color w:val="auto"/>
          <w:sz w:val="24"/>
          <w:szCs w:val="24"/>
        </w:rPr>
      </w:pPr>
    </w:p>
    <w:p w14:paraId="7635D005">
      <w:pPr>
        <w:pStyle w:val="8"/>
        <w:snapToGrid w:val="0"/>
        <w:spacing w:before="50" w:after="50"/>
        <w:ind w:firstLine="540" w:firstLineChars="225"/>
        <w:rPr>
          <w:rFonts w:ascii="宋体" w:hAnsi="宋体"/>
          <w:bCs/>
          <w:color w:val="auto"/>
          <w:sz w:val="24"/>
          <w:szCs w:val="24"/>
        </w:rPr>
      </w:pPr>
      <w:r>
        <w:rPr>
          <w:rFonts w:hint="eastAsia" w:ascii="宋体" w:hAnsi="宋体"/>
          <w:bCs/>
          <w:color w:val="auto"/>
          <w:sz w:val="24"/>
          <w:szCs w:val="24"/>
        </w:rPr>
        <w:t>投标人名称：</w:t>
      </w:r>
    </w:p>
    <w:p w14:paraId="2B9F5EB4">
      <w:pPr>
        <w:pStyle w:val="8"/>
        <w:snapToGrid w:val="0"/>
        <w:spacing w:before="50" w:after="50"/>
        <w:ind w:firstLine="540" w:firstLineChars="225"/>
        <w:rPr>
          <w:rFonts w:ascii="宋体" w:hAnsi="宋体"/>
          <w:bCs/>
          <w:color w:val="auto"/>
          <w:sz w:val="24"/>
          <w:szCs w:val="24"/>
        </w:rPr>
      </w:pPr>
    </w:p>
    <w:p w14:paraId="6EC152C5">
      <w:pPr>
        <w:pStyle w:val="8"/>
        <w:snapToGrid w:val="0"/>
        <w:spacing w:before="50" w:after="50"/>
        <w:ind w:firstLine="960" w:firstLineChars="400"/>
        <w:rPr>
          <w:rFonts w:ascii="宋体" w:hAnsi="宋体"/>
          <w:bCs/>
          <w:color w:val="auto"/>
          <w:sz w:val="24"/>
          <w:szCs w:val="24"/>
        </w:rPr>
      </w:pPr>
    </w:p>
    <w:p w14:paraId="19564B3D">
      <w:pPr>
        <w:snapToGrid w:val="0"/>
        <w:spacing w:before="165" w:beforeLines="50" w:after="50"/>
        <w:ind w:firstLine="645"/>
        <w:jc w:val="center"/>
        <w:rPr>
          <w:rFonts w:ascii="宋体" w:hAnsi="宋体"/>
          <w:color w:val="auto"/>
          <w:sz w:val="24"/>
        </w:rPr>
      </w:pPr>
      <w:r>
        <w:rPr>
          <w:rFonts w:hint="eastAsia" w:ascii="宋体" w:hAnsi="宋体"/>
          <w:color w:val="auto"/>
          <w:sz w:val="24"/>
        </w:rPr>
        <w:t>年  月  日</w:t>
      </w:r>
    </w:p>
    <w:p w14:paraId="20301BDE">
      <w:pPr>
        <w:pStyle w:val="17"/>
        <w:spacing w:line="360" w:lineRule="auto"/>
        <w:ind w:firstLine="420"/>
        <w:rPr>
          <w:rFonts w:hAnsi="宋体"/>
          <w:color w:val="auto"/>
          <w:sz w:val="30"/>
        </w:rPr>
        <w:sectPr>
          <w:pgSz w:w="11906" w:h="16838"/>
          <w:pgMar w:top="1134" w:right="1134" w:bottom="1134" w:left="1134" w:header="720" w:footer="720" w:gutter="0"/>
          <w:cols w:space="720" w:num="1"/>
          <w:docGrid w:type="lines" w:linePitch="331" w:charSpace="0"/>
        </w:sectPr>
      </w:pPr>
    </w:p>
    <w:p w14:paraId="2A0AE2E3">
      <w:pPr>
        <w:jc w:val="center"/>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资格证明文件目录</w:t>
      </w:r>
    </w:p>
    <w:p w14:paraId="18B60760">
      <w:pPr>
        <w:snapToGrid w:val="0"/>
        <w:spacing w:line="360" w:lineRule="auto"/>
        <w:rPr>
          <w:rFonts w:ascii="仿宋_GB2312" w:hAnsi="仿宋" w:eastAsia="仿宋_GB2312" w:cs="仿宋_GB2312"/>
          <w:color w:val="auto"/>
          <w:kern w:val="0"/>
          <w:sz w:val="24"/>
        </w:rPr>
      </w:pPr>
    </w:p>
    <w:p w14:paraId="50DAE3D0">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一、</w:t>
      </w:r>
      <w:r>
        <w:rPr>
          <w:rFonts w:hint="eastAsia" w:ascii="仿宋_GB2312" w:hAnsi="仿宋" w:eastAsia="仿宋_GB2312"/>
          <w:color w:val="auto"/>
          <w:sz w:val="24"/>
        </w:rPr>
        <w:t>营业执照(或事业法人登记证或其他工商等登记证明材料)复印件（投标人为自然人的，须提供</w:t>
      </w:r>
      <w:r>
        <w:rPr>
          <w:rFonts w:hint="eastAsia" w:ascii="仿宋_GB2312" w:hAnsi="仿宋" w:eastAsia="仿宋_GB2312" w:cs="Helvetica"/>
          <w:color w:val="auto"/>
          <w:kern w:val="0"/>
          <w:sz w:val="24"/>
        </w:rPr>
        <w:t>自然人的身份证明</w:t>
      </w:r>
      <w:r>
        <w:rPr>
          <w:rFonts w:hint="eastAsia" w:ascii="仿宋_GB2312" w:hAnsi="仿宋" w:eastAsia="仿宋_GB2312"/>
          <w:color w:val="auto"/>
          <w:sz w:val="24"/>
        </w:rPr>
        <w:t>）</w:t>
      </w:r>
      <w:r>
        <w:rPr>
          <w:rFonts w:hint="eastAsia" w:ascii="仿宋_GB2312" w:hAnsi="仿宋" w:eastAsia="仿宋_GB2312" w:cs="仿宋_GB2312"/>
          <w:color w:val="auto"/>
          <w:kern w:val="0"/>
          <w:sz w:val="24"/>
        </w:rPr>
        <w:t>……………………………………………………………（页码）</w:t>
      </w:r>
    </w:p>
    <w:p w14:paraId="383C9D2C">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二、符合参与政府采购活动的资格条件依法缴纳税收、社会保障资金等方面的材料…………………………………………………………………………………………（页码）</w:t>
      </w:r>
    </w:p>
    <w:p w14:paraId="0C5ECBD4">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三、财务状况报告方面的材料…………………………………………………………（页码）</w:t>
      </w:r>
    </w:p>
    <w:p w14:paraId="32529E93">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四、投标人直接控股股东信息</w:t>
      </w:r>
      <w:r>
        <w:rPr>
          <w:rFonts w:hint="eastAsia" w:ascii="仿宋_GB2312" w:hAnsi="仿宋" w:eastAsia="仿宋_GB2312" w:cs="仿宋_GB2312"/>
          <w:color w:val="auto"/>
          <w:kern w:val="0"/>
          <w:sz w:val="24"/>
        </w:rPr>
        <w:t>…………………………………………………………（页码）</w:t>
      </w:r>
    </w:p>
    <w:p w14:paraId="10B87D02">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五、投标人直接关联关系信息表</w:t>
      </w:r>
      <w:r>
        <w:rPr>
          <w:rFonts w:hint="eastAsia" w:ascii="仿宋_GB2312" w:hAnsi="仿宋" w:eastAsia="仿宋_GB2312" w:cs="仿宋_GB2312"/>
          <w:color w:val="auto"/>
          <w:kern w:val="0"/>
          <w:sz w:val="24"/>
        </w:rPr>
        <w:t>………………………………………………………（页码）</w:t>
      </w:r>
    </w:p>
    <w:p w14:paraId="63A35AB8">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六、投标资格声明函……………………………………………………………………（页码）</w:t>
      </w:r>
    </w:p>
    <w:p w14:paraId="7C897C30">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七、联合体协议书（</w:t>
      </w:r>
      <w:r>
        <w:rPr>
          <w:rFonts w:hint="eastAsia" w:ascii="仿宋_GB2312" w:hAnsi="仿宋" w:eastAsia="仿宋_GB2312" w:cs="仿宋_GB2312"/>
          <w:color w:val="auto"/>
          <w:sz w:val="24"/>
        </w:rPr>
        <w:t>以联合体形式投标的，提供联合体协议；本项目不接受联合体投标或者投标人不以联合体形式投标的，则不需要提供</w:t>
      </w:r>
      <w:r>
        <w:rPr>
          <w:rFonts w:hint="eastAsia" w:ascii="仿宋_GB2312" w:hAnsi="仿宋" w:eastAsia="仿宋_GB2312" w:cs="仿宋_GB2312"/>
          <w:color w:val="auto"/>
          <w:kern w:val="0"/>
          <w:sz w:val="24"/>
        </w:rPr>
        <w:t>）……………………………………（页码）</w:t>
      </w:r>
    </w:p>
    <w:p w14:paraId="138818C7">
      <w:pPr>
        <w:spacing w:line="360" w:lineRule="auto"/>
        <w:rPr>
          <w:rFonts w:hint="eastAsia" w:ascii="仿宋_GB2312" w:hAnsi="仿宋" w:eastAsia="仿宋_GB2312" w:cs="仿宋_GB2312"/>
          <w:color w:val="auto"/>
          <w:kern w:val="0"/>
          <w:sz w:val="24"/>
        </w:rPr>
      </w:pPr>
      <w:r>
        <w:rPr>
          <w:rFonts w:hint="eastAsia" w:ascii="仿宋_GB2312" w:hAnsi="仿宋" w:eastAsia="仿宋_GB2312" w:cs="仿宋_GB2312"/>
          <w:color w:val="auto"/>
          <w:sz w:val="24"/>
        </w:rPr>
        <w:t>八、符合特定资格条件（如有）的有关证明材料（复印件）</w:t>
      </w:r>
      <w:r>
        <w:rPr>
          <w:rFonts w:hint="eastAsia" w:ascii="仿宋_GB2312" w:hAnsi="仿宋" w:eastAsia="仿宋_GB2312" w:cs="仿宋_GB2312"/>
          <w:color w:val="auto"/>
          <w:kern w:val="0"/>
          <w:sz w:val="24"/>
        </w:rPr>
        <w:t>………………………（页码）</w:t>
      </w:r>
    </w:p>
    <w:p w14:paraId="279DECEE">
      <w:pPr>
        <w:spacing w:line="360" w:lineRule="auto"/>
        <w:rPr>
          <w:rFonts w:hint="eastAsia" w:ascii="仿宋_GB2312" w:hAnsi="仿宋" w:eastAsia="仿宋_GB2312" w:cs="仿宋_GB2312"/>
          <w:color w:val="auto"/>
          <w:sz w:val="24"/>
        </w:rPr>
      </w:pPr>
      <w:r>
        <w:rPr>
          <w:rFonts w:hint="eastAsia" w:ascii="仿宋_GB2312" w:hAnsi="仿宋" w:eastAsia="仿宋_GB2312" w:cs="仿宋_GB2312"/>
          <w:color w:val="auto"/>
          <w:sz w:val="24"/>
        </w:rPr>
        <w:t>九、除招标文件规定必须提供以外，投标人认为需要提供的其他证明材料。……（页码）</w:t>
      </w:r>
    </w:p>
    <w:p w14:paraId="6F5CF687">
      <w:pPr>
        <w:spacing w:line="360" w:lineRule="auto"/>
        <w:rPr>
          <w:rFonts w:ascii="仿宋_GB2312" w:hAnsi="仿宋" w:eastAsia="仿宋_GB2312" w:cs="仿宋_GB2312"/>
          <w:b/>
          <w:bCs/>
          <w:color w:val="auto"/>
          <w:sz w:val="24"/>
        </w:rPr>
      </w:pPr>
      <w:r>
        <w:rPr>
          <w:rFonts w:hint="eastAsia" w:ascii="仿宋_GB2312" w:hAnsi="仿宋" w:eastAsia="仿宋_GB2312" w:cs="仿宋_GB2312"/>
          <w:b/>
          <w:bCs/>
          <w:color w:val="auto"/>
          <w:sz w:val="24"/>
        </w:rPr>
        <w:t>注：以上目录是基本格式要求，各投标人可根据自身情况进一步向下增加内容或细化。</w:t>
      </w:r>
    </w:p>
    <w:p w14:paraId="1D69C5F5">
      <w:pPr>
        <w:pStyle w:val="17"/>
        <w:spacing w:line="360" w:lineRule="auto"/>
        <w:ind w:firstLine="420"/>
        <w:rPr>
          <w:rFonts w:hAnsi="宋体"/>
          <w:color w:val="auto"/>
          <w:sz w:val="30"/>
        </w:rPr>
        <w:sectPr>
          <w:pgSz w:w="11906" w:h="16838"/>
          <w:pgMar w:top="1134" w:right="1134" w:bottom="1134" w:left="1134" w:header="720" w:footer="720" w:gutter="0"/>
          <w:cols w:space="720" w:num="1"/>
          <w:docGrid w:type="lines" w:linePitch="331" w:charSpace="0"/>
        </w:sectPr>
      </w:pPr>
    </w:p>
    <w:p w14:paraId="6712B0C3">
      <w:pPr>
        <w:snapToGrid w:val="0"/>
        <w:spacing w:line="360" w:lineRule="auto"/>
        <w:rPr>
          <w:rFonts w:ascii="仿宋_GB2312" w:hAnsi="仿宋" w:eastAsia="仿宋_GB2312" w:cs="仿宋_GB2312"/>
          <w:b/>
          <w:color w:val="auto"/>
          <w:kern w:val="0"/>
          <w:sz w:val="32"/>
          <w:szCs w:val="32"/>
          <w:lang w:val="zh-CN"/>
        </w:rPr>
      </w:pPr>
    </w:p>
    <w:p w14:paraId="1AB4C081">
      <w:pPr>
        <w:spacing w:line="360" w:lineRule="auto"/>
        <w:jc w:val="center"/>
        <w:rPr>
          <w:rFonts w:ascii="仿宋_GB2312" w:hAnsi="仿宋" w:eastAsia="仿宋_GB2312" w:cs="仿宋_GB2312"/>
          <w:b/>
          <w:color w:val="auto"/>
          <w:sz w:val="30"/>
          <w:szCs w:val="30"/>
        </w:rPr>
      </w:pPr>
      <w:r>
        <w:rPr>
          <w:rFonts w:hint="eastAsia" w:ascii="仿宋_GB2312" w:hAnsi="仿宋" w:eastAsia="仿宋_GB2312" w:cs="仿宋_GB2312"/>
          <w:b/>
          <w:color w:val="auto"/>
          <w:kern w:val="0"/>
          <w:sz w:val="32"/>
          <w:szCs w:val="32"/>
          <w:lang w:val="zh-CN"/>
        </w:rPr>
        <w:t>一、</w:t>
      </w:r>
      <w:r>
        <w:rPr>
          <w:rFonts w:hint="eastAsia" w:ascii="仿宋_GB2312" w:hAnsi="仿宋" w:eastAsia="仿宋_GB2312" w:cs="仿宋_GB2312"/>
          <w:b/>
          <w:color w:val="auto"/>
          <w:sz w:val="30"/>
          <w:szCs w:val="30"/>
        </w:rPr>
        <w:t>营业执照(或事业法人登记证或其他工商等登记证明材料)复印件（投标人为自然人的，提供自然人的身份证明）</w:t>
      </w:r>
    </w:p>
    <w:p w14:paraId="7361F283">
      <w:pPr>
        <w:spacing w:line="360" w:lineRule="auto"/>
        <w:rPr>
          <w:rFonts w:ascii="仿宋_GB2312" w:hAnsi="仿宋" w:eastAsia="仿宋_GB2312" w:cs="仿宋_GB2312"/>
          <w:b/>
          <w:color w:val="auto"/>
          <w:sz w:val="30"/>
          <w:szCs w:val="30"/>
        </w:rPr>
      </w:pPr>
    </w:p>
    <w:p w14:paraId="0B36ACA2">
      <w:pPr>
        <w:snapToGrid w:val="0"/>
        <w:spacing w:line="360" w:lineRule="auto"/>
        <w:ind w:firstLine="576"/>
        <w:jc w:val="center"/>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 xml:space="preserve">               投标人名称(电子签章)：                              </w:t>
      </w:r>
    </w:p>
    <w:p w14:paraId="3994A732">
      <w:pPr>
        <w:spacing w:line="360" w:lineRule="auto"/>
        <w:jc w:val="center"/>
        <w:rPr>
          <w:rFonts w:ascii="仿宋_GB2312" w:hAnsi="仿宋" w:eastAsia="仿宋_GB2312" w:cs="仿宋_GB2312"/>
          <w:b/>
          <w:color w:val="auto"/>
          <w:sz w:val="30"/>
          <w:szCs w:val="30"/>
        </w:rPr>
      </w:pPr>
      <w:r>
        <w:rPr>
          <w:rFonts w:hint="eastAsia" w:ascii="仿宋_GB2312" w:hAnsi="仿宋" w:eastAsia="仿宋_GB2312" w:cs="仿宋_GB2312"/>
          <w:color w:val="auto"/>
          <w:kern w:val="0"/>
          <w:sz w:val="24"/>
          <w:lang w:val="zh-CN"/>
        </w:rPr>
        <w:t xml:space="preserve">                   日期：  年  月</w:t>
      </w:r>
    </w:p>
    <w:p w14:paraId="6269E7B3">
      <w:pPr>
        <w:spacing w:line="360" w:lineRule="auto"/>
        <w:jc w:val="center"/>
        <w:rPr>
          <w:rFonts w:ascii="仿宋_GB2312" w:hAnsi="仿宋" w:eastAsia="仿宋_GB2312" w:cs="仿宋_GB2312"/>
          <w:b/>
          <w:color w:val="auto"/>
          <w:sz w:val="30"/>
          <w:szCs w:val="30"/>
        </w:rPr>
      </w:pPr>
    </w:p>
    <w:p w14:paraId="0AC3E303">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sz w:val="30"/>
          <w:szCs w:val="30"/>
        </w:rPr>
        <w:t>二、</w:t>
      </w:r>
      <w:r>
        <w:rPr>
          <w:rFonts w:hint="eastAsia" w:ascii="仿宋_GB2312" w:hAnsi="仿宋" w:eastAsia="仿宋_GB2312" w:cs="仿宋_GB2312"/>
          <w:b/>
          <w:color w:val="auto"/>
          <w:kern w:val="0"/>
          <w:sz w:val="32"/>
          <w:szCs w:val="32"/>
        </w:rPr>
        <w:t>符合参与政府采购活动的资格条件依法缴纳税收、社会保障资金等方面的材料</w:t>
      </w:r>
    </w:p>
    <w:p w14:paraId="0016A968">
      <w:pPr>
        <w:snapToGrid w:val="0"/>
        <w:spacing w:line="360" w:lineRule="auto"/>
        <w:ind w:firstLine="480" w:firstLineChars="200"/>
        <w:rPr>
          <w:rFonts w:ascii="仿宋_GB2312" w:hAnsi="仿宋" w:eastAsia="仿宋_GB2312" w:cs="仿宋_GB2312"/>
          <w:color w:val="auto"/>
          <w:sz w:val="24"/>
        </w:rPr>
      </w:pPr>
    </w:p>
    <w:p w14:paraId="3C651C8D">
      <w:pPr>
        <w:snapToGrid w:val="0"/>
        <w:spacing w:line="360" w:lineRule="auto"/>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 xml:space="preserve">                                          </w:t>
      </w:r>
    </w:p>
    <w:p w14:paraId="19BFD39A">
      <w:pPr>
        <w:snapToGrid w:val="0"/>
        <w:spacing w:line="360" w:lineRule="auto"/>
        <w:ind w:firstLine="5040" w:firstLineChars="21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 xml:space="preserve"> 投标人名称(电子签章)：</w:t>
      </w:r>
    </w:p>
    <w:p w14:paraId="2F21501D">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479C7641">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sz w:val="30"/>
          <w:szCs w:val="30"/>
        </w:rPr>
        <w:t>三、</w:t>
      </w:r>
      <w:r>
        <w:rPr>
          <w:rFonts w:hint="eastAsia" w:ascii="仿宋_GB2312" w:hAnsi="仿宋" w:eastAsia="仿宋_GB2312" w:cs="仿宋_GB2312"/>
          <w:b/>
          <w:color w:val="auto"/>
          <w:kern w:val="0"/>
          <w:sz w:val="32"/>
          <w:szCs w:val="32"/>
        </w:rPr>
        <w:t>财务状况报告方面的材料</w:t>
      </w:r>
    </w:p>
    <w:p w14:paraId="29889D53">
      <w:pPr>
        <w:snapToGrid w:val="0"/>
        <w:spacing w:line="360" w:lineRule="auto"/>
        <w:ind w:firstLine="480" w:firstLineChars="200"/>
        <w:rPr>
          <w:rFonts w:ascii="仿宋_GB2312" w:hAnsi="仿宋" w:eastAsia="仿宋_GB2312" w:cs="仿宋_GB2312"/>
          <w:color w:val="auto"/>
          <w:sz w:val="24"/>
        </w:rPr>
      </w:pPr>
    </w:p>
    <w:p w14:paraId="05E73A29">
      <w:pPr>
        <w:snapToGrid w:val="0"/>
        <w:spacing w:line="360" w:lineRule="auto"/>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 xml:space="preserve">                                          </w:t>
      </w:r>
    </w:p>
    <w:p w14:paraId="65917AE5">
      <w:pPr>
        <w:snapToGrid w:val="0"/>
        <w:spacing w:line="360" w:lineRule="auto"/>
        <w:ind w:firstLine="5040" w:firstLineChars="21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 xml:space="preserve"> 投标人名称(电子签章)：</w:t>
      </w:r>
    </w:p>
    <w:p w14:paraId="12E7BA57">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3880CD6F">
      <w:pPr>
        <w:snapToGrid w:val="0"/>
        <w:spacing w:line="360" w:lineRule="auto"/>
        <w:ind w:firstLine="5160" w:firstLineChars="2150"/>
        <w:rPr>
          <w:rFonts w:ascii="仿宋_GB2312" w:hAnsi="仿宋" w:eastAsia="仿宋_GB2312" w:cs="仿宋_GB2312"/>
          <w:color w:val="auto"/>
          <w:kern w:val="0"/>
          <w:sz w:val="24"/>
          <w:lang w:val="zh-CN"/>
        </w:rPr>
      </w:pPr>
    </w:p>
    <w:p w14:paraId="4F5B9873">
      <w:pPr>
        <w:snapToGrid w:val="0"/>
        <w:spacing w:line="360" w:lineRule="auto"/>
        <w:ind w:right="480"/>
        <w:jc w:val="center"/>
        <w:rPr>
          <w:rFonts w:ascii="仿宋_GB2312" w:hAnsi="仿宋" w:eastAsia="仿宋_GB2312" w:cs="仿宋_GB2312"/>
          <w:b/>
          <w:color w:val="auto"/>
          <w:kern w:val="0"/>
          <w:sz w:val="32"/>
          <w:szCs w:val="32"/>
          <w:lang w:val="zh-CN"/>
        </w:rPr>
      </w:pPr>
    </w:p>
    <w:p w14:paraId="0331AE7A">
      <w:pPr>
        <w:snapToGrid w:val="0"/>
        <w:spacing w:line="360" w:lineRule="auto"/>
        <w:ind w:right="480"/>
        <w:jc w:val="center"/>
        <w:rPr>
          <w:rFonts w:ascii="宋体" w:hAnsi="宋体"/>
          <w:b/>
          <w:color w:val="auto"/>
          <w:sz w:val="28"/>
          <w:szCs w:val="28"/>
        </w:rPr>
      </w:pPr>
      <w:r>
        <w:rPr>
          <w:rFonts w:ascii="仿宋_GB2312" w:hAnsi="仿宋" w:eastAsia="仿宋_GB2312" w:cs="仿宋_GB2312"/>
          <w:b/>
          <w:color w:val="auto"/>
          <w:kern w:val="0"/>
          <w:sz w:val="32"/>
          <w:szCs w:val="32"/>
        </w:rPr>
        <w:br w:type="page"/>
      </w:r>
    </w:p>
    <w:p w14:paraId="3EC2075D">
      <w:pPr>
        <w:snapToGrid w:val="0"/>
        <w:spacing w:before="50" w:after="165" w:afterLines="50" w:line="360" w:lineRule="auto"/>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四、投标人直接控股股东信息表</w:t>
      </w:r>
    </w:p>
    <w:tbl>
      <w:tblPr>
        <w:tblStyle w:val="34"/>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329AFDB5">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DBB3AD0">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250566B">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AB56347">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B8AE9F3">
            <w:pPr>
              <w:spacing w:line="360" w:lineRule="auto"/>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5B4EA91">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14:paraId="4C4EBA0D">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4292A5">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1BB130">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AD7065">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8936A8">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94E5C8">
            <w:pPr>
              <w:spacing w:line="360" w:lineRule="auto"/>
              <w:jc w:val="center"/>
              <w:rPr>
                <w:rFonts w:ascii="宋体" w:hAnsi="宋体" w:cs="宋体"/>
                <w:color w:val="auto"/>
                <w:kern w:val="0"/>
                <w:sz w:val="24"/>
              </w:rPr>
            </w:pPr>
          </w:p>
        </w:tc>
      </w:tr>
      <w:tr w14:paraId="32E5C93D">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3DD859">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61D6C3">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1DA415">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5D45C8">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7B690B">
            <w:pPr>
              <w:spacing w:line="360" w:lineRule="auto"/>
              <w:jc w:val="center"/>
              <w:rPr>
                <w:rFonts w:ascii="宋体" w:hAnsi="宋体" w:cs="宋体"/>
                <w:color w:val="auto"/>
                <w:kern w:val="0"/>
                <w:sz w:val="24"/>
              </w:rPr>
            </w:pPr>
          </w:p>
        </w:tc>
      </w:tr>
      <w:tr w14:paraId="722245B8">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E110DE">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5C7906">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F00FA6">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53F1FE">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ACFA1A">
            <w:pPr>
              <w:spacing w:line="360" w:lineRule="auto"/>
              <w:jc w:val="center"/>
              <w:rPr>
                <w:rFonts w:ascii="宋体" w:hAnsi="宋体" w:cs="宋体"/>
                <w:color w:val="auto"/>
                <w:kern w:val="0"/>
                <w:sz w:val="24"/>
              </w:rPr>
            </w:pPr>
          </w:p>
        </w:tc>
      </w:tr>
      <w:tr w14:paraId="6B5314A5">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5E1FEE">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2127FB">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651A75">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77AC8F">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5DA0E4">
            <w:pPr>
              <w:spacing w:line="360" w:lineRule="auto"/>
              <w:jc w:val="center"/>
              <w:rPr>
                <w:rFonts w:ascii="宋体" w:hAnsi="宋体" w:cs="宋体"/>
                <w:color w:val="auto"/>
                <w:kern w:val="0"/>
                <w:sz w:val="24"/>
              </w:rPr>
            </w:pPr>
          </w:p>
        </w:tc>
      </w:tr>
    </w:tbl>
    <w:p w14:paraId="665A384F">
      <w:pPr>
        <w:snapToGrid w:val="0"/>
        <w:spacing w:line="360" w:lineRule="auto"/>
        <w:jc w:val="left"/>
        <w:rPr>
          <w:rFonts w:ascii="宋体" w:hAnsi="宋体"/>
          <w:color w:val="auto"/>
          <w:sz w:val="24"/>
        </w:rPr>
      </w:pPr>
      <w:r>
        <w:rPr>
          <w:rFonts w:hint="eastAsia" w:ascii="宋体" w:hAnsi="宋体"/>
          <w:color w:val="auto"/>
          <w:sz w:val="24"/>
        </w:rPr>
        <w:t>注：</w:t>
      </w:r>
    </w:p>
    <w:p w14:paraId="4880A208">
      <w:pPr>
        <w:snapToGrid w:val="0"/>
        <w:spacing w:line="360" w:lineRule="auto"/>
        <w:jc w:val="left"/>
        <w:rPr>
          <w:rFonts w:ascii="宋体" w:hAnsi="宋体"/>
          <w:color w:val="auto"/>
          <w:sz w:val="24"/>
        </w:rPr>
      </w:pPr>
      <w:r>
        <w:rPr>
          <w:rFonts w:hint="eastAsia" w:ascii="宋体" w:hAnsi="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98A263B">
      <w:pPr>
        <w:snapToGrid w:val="0"/>
        <w:spacing w:line="360" w:lineRule="auto"/>
        <w:jc w:val="left"/>
        <w:rPr>
          <w:rFonts w:ascii="宋体" w:hAnsi="宋体"/>
          <w:color w:val="auto"/>
          <w:sz w:val="24"/>
        </w:rPr>
      </w:pPr>
      <w:r>
        <w:rPr>
          <w:rFonts w:hint="eastAsia" w:ascii="宋体" w:hAnsi="宋体"/>
          <w:color w:val="auto"/>
          <w:sz w:val="24"/>
        </w:rPr>
        <w:t>2.本表所指的控股关系仅限于直接控股关系，不包括间接的控股关系。公司实际控制人与公司之间的关系不属于本表所指的直接控股关系。</w:t>
      </w:r>
    </w:p>
    <w:p w14:paraId="2413883B">
      <w:pPr>
        <w:snapToGrid w:val="0"/>
        <w:spacing w:line="360" w:lineRule="auto"/>
        <w:jc w:val="left"/>
        <w:rPr>
          <w:rFonts w:ascii="宋体" w:hAnsi="宋体"/>
          <w:color w:val="auto"/>
          <w:sz w:val="24"/>
        </w:rPr>
      </w:pPr>
      <w:r>
        <w:rPr>
          <w:rFonts w:hint="eastAsia" w:ascii="宋体" w:hAnsi="宋体"/>
          <w:color w:val="auto"/>
          <w:sz w:val="24"/>
        </w:rPr>
        <w:t>3.供应商不存在直接控股股东的，则填“无”。</w:t>
      </w:r>
    </w:p>
    <w:p w14:paraId="076D683C">
      <w:pPr>
        <w:snapToGrid w:val="0"/>
        <w:spacing w:line="360" w:lineRule="auto"/>
        <w:jc w:val="left"/>
        <w:rPr>
          <w:rFonts w:ascii="宋体" w:hAnsi="宋体"/>
          <w:color w:val="auto"/>
          <w:sz w:val="24"/>
        </w:rPr>
      </w:pPr>
    </w:p>
    <w:p w14:paraId="499729A5">
      <w:pPr>
        <w:snapToGrid w:val="0"/>
        <w:spacing w:line="360" w:lineRule="auto"/>
        <w:jc w:val="left"/>
        <w:rPr>
          <w:rFonts w:ascii="宋体" w:hAnsi="宋体"/>
          <w:color w:val="auto"/>
          <w:sz w:val="24"/>
        </w:rPr>
      </w:pPr>
    </w:p>
    <w:p w14:paraId="345D0D8D">
      <w:pPr>
        <w:snapToGrid w:val="0"/>
        <w:spacing w:line="360" w:lineRule="auto"/>
        <w:jc w:val="left"/>
        <w:rPr>
          <w:rFonts w:ascii="宋体" w:hAnsi="宋体"/>
          <w:color w:val="auto"/>
          <w:sz w:val="24"/>
        </w:rPr>
      </w:pPr>
    </w:p>
    <w:p w14:paraId="7BB2334E">
      <w:pPr>
        <w:snapToGrid w:val="0"/>
        <w:spacing w:line="360" w:lineRule="auto"/>
        <w:jc w:val="left"/>
        <w:rPr>
          <w:rFonts w:ascii="宋体" w:hAnsi="宋体"/>
          <w:color w:val="auto"/>
          <w:sz w:val="24"/>
        </w:rPr>
      </w:pPr>
    </w:p>
    <w:p w14:paraId="57FFB235">
      <w:pPr>
        <w:snapToGrid w:val="0"/>
        <w:spacing w:line="360" w:lineRule="auto"/>
        <w:jc w:val="left"/>
        <w:rPr>
          <w:rFonts w:ascii="宋体" w:hAnsi="宋体"/>
          <w:color w:val="auto"/>
          <w:sz w:val="24"/>
        </w:rPr>
      </w:pPr>
    </w:p>
    <w:p w14:paraId="0376F22F">
      <w:pPr>
        <w:snapToGrid w:val="0"/>
        <w:spacing w:line="360" w:lineRule="auto"/>
        <w:ind w:firstLine="5040" w:firstLineChars="21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投标人名称(电子签章)：</w:t>
      </w:r>
    </w:p>
    <w:p w14:paraId="7E171391">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3A96A567">
      <w:pPr>
        <w:snapToGrid w:val="0"/>
        <w:jc w:val="center"/>
        <w:rPr>
          <w:rFonts w:ascii="宋体" w:hAnsi="宋体"/>
          <w:b/>
          <w:color w:val="auto"/>
          <w:sz w:val="28"/>
          <w:szCs w:val="28"/>
        </w:rPr>
      </w:pPr>
      <w:r>
        <w:rPr>
          <w:rFonts w:ascii="宋体" w:hAnsi="宋体"/>
          <w:b/>
          <w:color w:val="auto"/>
          <w:sz w:val="28"/>
          <w:szCs w:val="28"/>
        </w:rPr>
        <w:br w:type="page"/>
      </w:r>
    </w:p>
    <w:p w14:paraId="7DD69202">
      <w:pPr>
        <w:snapToGrid w:val="0"/>
        <w:spacing w:line="360" w:lineRule="auto"/>
        <w:jc w:val="center"/>
        <w:rPr>
          <w:rFonts w:ascii="宋体" w:hAnsi="宋体"/>
          <w:color w:val="auto"/>
          <w:sz w:val="32"/>
          <w:szCs w:val="32"/>
        </w:rPr>
      </w:pPr>
      <w:r>
        <w:rPr>
          <w:rFonts w:hint="eastAsia" w:ascii="宋体" w:hAnsi="宋体"/>
          <w:b/>
          <w:color w:val="auto"/>
          <w:sz w:val="32"/>
          <w:szCs w:val="32"/>
        </w:rPr>
        <w:t>五、投标人直接管理关系信息表</w:t>
      </w:r>
    </w:p>
    <w:tbl>
      <w:tblPr>
        <w:tblStyle w:val="34"/>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05055A5F">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EA6030D">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C618E89">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D319D6D">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096AB05">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14:paraId="5D9D63CF">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29CB7A">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2707B7">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96FFD8">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536F53">
            <w:pPr>
              <w:spacing w:line="360" w:lineRule="auto"/>
              <w:jc w:val="center"/>
              <w:rPr>
                <w:rFonts w:ascii="宋体" w:hAnsi="宋体" w:cs="宋体"/>
                <w:color w:val="auto"/>
                <w:kern w:val="0"/>
                <w:sz w:val="24"/>
              </w:rPr>
            </w:pPr>
          </w:p>
        </w:tc>
      </w:tr>
      <w:tr w14:paraId="3A16919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830FDE">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FAB6E9">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0F3FCF">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5797E4">
            <w:pPr>
              <w:spacing w:line="360" w:lineRule="auto"/>
              <w:jc w:val="center"/>
              <w:rPr>
                <w:rFonts w:ascii="宋体" w:hAnsi="宋体" w:cs="宋体"/>
                <w:color w:val="auto"/>
                <w:kern w:val="0"/>
                <w:sz w:val="24"/>
              </w:rPr>
            </w:pPr>
          </w:p>
        </w:tc>
      </w:tr>
      <w:tr w14:paraId="15689BFB">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064B3F">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537A0C">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7662B3">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4B420F">
            <w:pPr>
              <w:spacing w:line="360" w:lineRule="auto"/>
              <w:jc w:val="center"/>
              <w:rPr>
                <w:rFonts w:ascii="宋体" w:hAnsi="宋体" w:cs="宋体"/>
                <w:color w:val="auto"/>
                <w:kern w:val="0"/>
                <w:sz w:val="24"/>
              </w:rPr>
            </w:pPr>
          </w:p>
        </w:tc>
      </w:tr>
      <w:tr w14:paraId="2BD0997C">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77EE00">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7F8B0E">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E3DF93">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EA4567">
            <w:pPr>
              <w:spacing w:line="360" w:lineRule="auto"/>
              <w:jc w:val="center"/>
              <w:rPr>
                <w:rFonts w:ascii="宋体" w:hAnsi="宋体" w:cs="宋体"/>
                <w:color w:val="auto"/>
                <w:kern w:val="0"/>
                <w:sz w:val="24"/>
              </w:rPr>
            </w:pPr>
          </w:p>
        </w:tc>
      </w:tr>
    </w:tbl>
    <w:p w14:paraId="7C61ABC0">
      <w:pPr>
        <w:snapToGrid w:val="0"/>
        <w:spacing w:line="360" w:lineRule="auto"/>
        <w:jc w:val="left"/>
        <w:rPr>
          <w:rFonts w:ascii="宋体" w:hAnsi="宋体"/>
          <w:color w:val="auto"/>
          <w:sz w:val="24"/>
        </w:rPr>
      </w:pPr>
      <w:r>
        <w:rPr>
          <w:rFonts w:hint="eastAsia" w:ascii="宋体" w:hAnsi="宋体"/>
          <w:color w:val="auto"/>
          <w:sz w:val="24"/>
        </w:rPr>
        <w:t>注：</w:t>
      </w:r>
    </w:p>
    <w:p w14:paraId="138706F8">
      <w:pPr>
        <w:snapToGrid w:val="0"/>
        <w:spacing w:line="360" w:lineRule="auto"/>
        <w:ind w:firstLine="480" w:firstLineChars="200"/>
        <w:jc w:val="left"/>
        <w:rPr>
          <w:rFonts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14:paraId="11EB6E70">
      <w:pPr>
        <w:snapToGrid w:val="0"/>
        <w:spacing w:line="360" w:lineRule="auto"/>
        <w:ind w:firstLine="480" w:firstLineChars="200"/>
        <w:jc w:val="left"/>
        <w:rPr>
          <w:rFonts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14:paraId="15E8B9A6">
      <w:pPr>
        <w:snapToGrid w:val="0"/>
        <w:spacing w:line="360" w:lineRule="auto"/>
        <w:ind w:firstLine="480" w:firstLineChars="200"/>
        <w:jc w:val="left"/>
        <w:rPr>
          <w:rFonts w:ascii="宋体" w:hAnsi="宋体"/>
          <w:color w:val="auto"/>
          <w:sz w:val="24"/>
        </w:rPr>
      </w:pPr>
      <w:r>
        <w:rPr>
          <w:rFonts w:hint="eastAsia" w:ascii="宋体" w:hAnsi="宋体"/>
          <w:color w:val="auto"/>
          <w:sz w:val="24"/>
        </w:rPr>
        <w:t>3.供应商不存在直接管理关系的，则填“无”。</w:t>
      </w:r>
    </w:p>
    <w:p w14:paraId="03F972A8">
      <w:pPr>
        <w:snapToGrid w:val="0"/>
        <w:spacing w:line="360" w:lineRule="auto"/>
        <w:jc w:val="left"/>
        <w:rPr>
          <w:rFonts w:ascii="宋体" w:hAnsi="宋体"/>
          <w:color w:val="auto"/>
          <w:sz w:val="24"/>
        </w:rPr>
      </w:pPr>
    </w:p>
    <w:p w14:paraId="0F9C93B1">
      <w:pPr>
        <w:snapToGrid w:val="0"/>
        <w:spacing w:line="360" w:lineRule="auto"/>
        <w:jc w:val="left"/>
        <w:rPr>
          <w:rFonts w:ascii="宋体" w:hAnsi="宋体"/>
          <w:color w:val="auto"/>
          <w:sz w:val="24"/>
        </w:rPr>
      </w:pPr>
    </w:p>
    <w:p w14:paraId="7ECDBE4C">
      <w:pPr>
        <w:snapToGrid w:val="0"/>
        <w:spacing w:line="360" w:lineRule="auto"/>
        <w:jc w:val="left"/>
        <w:rPr>
          <w:rFonts w:ascii="宋体" w:hAnsi="宋体"/>
          <w:color w:val="auto"/>
          <w:sz w:val="24"/>
        </w:rPr>
      </w:pPr>
    </w:p>
    <w:p w14:paraId="392C1439">
      <w:pPr>
        <w:snapToGrid w:val="0"/>
        <w:spacing w:line="360" w:lineRule="auto"/>
        <w:jc w:val="left"/>
        <w:rPr>
          <w:color w:val="auto"/>
          <w:sz w:val="24"/>
        </w:rPr>
      </w:pPr>
    </w:p>
    <w:p w14:paraId="0AED0D4D">
      <w:pPr>
        <w:snapToGrid w:val="0"/>
        <w:spacing w:line="360" w:lineRule="auto"/>
        <w:jc w:val="left"/>
        <w:rPr>
          <w:color w:val="auto"/>
          <w:sz w:val="24"/>
        </w:rPr>
      </w:pPr>
    </w:p>
    <w:p w14:paraId="1CB80FCF">
      <w:pPr>
        <w:snapToGrid w:val="0"/>
        <w:spacing w:line="360" w:lineRule="auto"/>
        <w:jc w:val="left"/>
        <w:rPr>
          <w:color w:val="auto"/>
          <w:sz w:val="24"/>
        </w:rPr>
      </w:pPr>
    </w:p>
    <w:p w14:paraId="51A8E945">
      <w:pPr>
        <w:snapToGrid w:val="0"/>
        <w:spacing w:line="360" w:lineRule="auto"/>
        <w:jc w:val="left"/>
        <w:rPr>
          <w:rFonts w:ascii="宋体" w:hAnsi="宋体"/>
          <w:color w:val="auto"/>
          <w:sz w:val="24"/>
        </w:rPr>
      </w:pPr>
    </w:p>
    <w:p w14:paraId="24CF7CA8">
      <w:pPr>
        <w:snapToGrid w:val="0"/>
        <w:spacing w:line="360" w:lineRule="auto"/>
        <w:jc w:val="left"/>
        <w:rPr>
          <w:rFonts w:ascii="宋体" w:hAnsi="宋体"/>
          <w:color w:val="auto"/>
          <w:sz w:val="24"/>
        </w:rPr>
      </w:pPr>
    </w:p>
    <w:p w14:paraId="4A1AA5CC">
      <w:pPr>
        <w:snapToGrid w:val="0"/>
        <w:spacing w:line="360" w:lineRule="auto"/>
        <w:ind w:firstLine="5040" w:firstLineChars="21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投标人名称(电子签章)：</w:t>
      </w:r>
    </w:p>
    <w:p w14:paraId="297D3611">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4B9E3AA9">
      <w:pPr>
        <w:snapToGrid w:val="0"/>
        <w:spacing w:before="50" w:after="165" w:afterLines="50"/>
        <w:jc w:val="left"/>
        <w:rPr>
          <w:rFonts w:ascii="宋体" w:hAnsi="宋体"/>
          <w:color w:val="auto"/>
          <w:szCs w:val="21"/>
        </w:rPr>
      </w:pPr>
    </w:p>
    <w:p w14:paraId="20B99967">
      <w:pPr>
        <w:rPr>
          <w:rFonts w:ascii="宋体" w:hAnsi="宋体"/>
          <w:b/>
          <w:color w:val="auto"/>
          <w:sz w:val="32"/>
          <w:szCs w:val="32"/>
        </w:rPr>
      </w:pPr>
      <w:r>
        <w:rPr>
          <w:rFonts w:hint="eastAsia" w:ascii="宋体" w:hAnsi="宋体"/>
          <w:b/>
          <w:color w:val="auto"/>
          <w:sz w:val="32"/>
          <w:szCs w:val="32"/>
        </w:rPr>
        <w:br w:type="page"/>
      </w:r>
    </w:p>
    <w:p w14:paraId="0ECA5414">
      <w:pPr>
        <w:snapToGrid w:val="0"/>
        <w:spacing w:before="50" w:after="165" w:afterLines="50"/>
        <w:jc w:val="center"/>
        <w:rPr>
          <w:rFonts w:ascii="宋体" w:hAnsi="宋体"/>
          <w:b/>
          <w:color w:val="auto"/>
          <w:sz w:val="32"/>
          <w:szCs w:val="32"/>
        </w:rPr>
      </w:pPr>
      <w:r>
        <w:rPr>
          <w:rFonts w:hint="eastAsia" w:ascii="宋体" w:hAnsi="宋体"/>
          <w:b/>
          <w:color w:val="auto"/>
          <w:sz w:val="32"/>
          <w:szCs w:val="32"/>
        </w:rPr>
        <w:t>六、投标资格声明函</w:t>
      </w:r>
    </w:p>
    <w:p w14:paraId="53BE2BFB">
      <w:pPr>
        <w:tabs>
          <w:tab w:val="left" w:pos="7200"/>
        </w:tabs>
        <w:spacing w:line="360" w:lineRule="auto"/>
        <w:rPr>
          <w:rFonts w:ascii="宋体" w:hAnsi="宋体"/>
          <w:color w:val="auto"/>
          <w:szCs w:val="21"/>
        </w:rPr>
      </w:pPr>
      <w:r>
        <w:rPr>
          <w:rFonts w:hint="eastAsia" w:ascii="宋体" w:hAnsi="宋体"/>
          <w:color w:val="auto"/>
          <w:szCs w:val="21"/>
        </w:rPr>
        <w:t>致：</w:t>
      </w:r>
      <w:r>
        <w:rPr>
          <w:rFonts w:ascii="宋体" w:hAnsi="宋体"/>
          <w:color w:val="auto"/>
          <w:szCs w:val="21"/>
        </w:rPr>
        <w:t>_</w:t>
      </w:r>
      <w:r>
        <w:rPr>
          <w:rFonts w:ascii="宋体" w:hAnsi="宋体"/>
          <w:color w:val="auto"/>
          <w:szCs w:val="21"/>
          <w:u w:val="single"/>
        </w:rPr>
        <w:t xml:space="preserve">                      </w:t>
      </w:r>
      <w:r>
        <w:rPr>
          <w:rFonts w:hint="eastAsia" w:ascii="宋体" w:hAnsi="宋体"/>
          <w:color w:val="auto"/>
          <w:szCs w:val="21"/>
        </w:rPr>
        <w:t>（采购代理机构名称）</w:t>
      </w:r>
    </w:p>
    <w:p w14:paraId="383C36B3">
      <w:pPr>
        <w:snapToGrid w:val="0"/>
        <w:spacing w:line="360" w:lineRule="auto"/>
        <w:ind w:firstLine="420" w:firstLineChars="200"/>
        <w:jc w:val="left"/>
        <w:rPr>
          <w:rFonts w:ascii="宋体" w:hAnsi="宋体"/>
          <w:color w:val="auto"/>
          <w:szCs w:val="21"/>
        </w:rPr>
      </w:pPr>
      <w:r>
        <w:rPr>
          <w:rFonts w:hint="eastAsia" w:ascii="宋体" w:hAnsi="宋体"/>
          <w:color w:val="auto"/>
          <w:szCs w:val="21"/>
        </w:rPr>
        <w:t>我方愿意参加贵方组织的</w:t>
      </w:r>
      <w:r>
        <w:rPr>
          <w:rFonts w:ascii="宋体" w:hAnsi="宋体"/>
          <w:color w:val="auto"/>
          <w:szCs w:val="21"/>
        </w:rPr>
        <w:t>_</w:t>
      </w:r>
      <w:r>
        <w:rPr>
          <w:rFonts w:ascii="宋体" w:hAnsi="宋体"/>
          <w:color w:val="auto"/>
          <w:szCs w:val="21"/>
          <w:u w:val="single"/>
        </w:rPr>
        <w:t xml:space="preserve"> (</w:t>
      </w:r>
      <w:r>
        <w:rPr>
          <w:rFonts w:hint="eastAsia" w:ascii="宋体" w:hAnsi="宋体"/>
          <w:color w:val="auto"/>
          <w:szCs w:val="21"/>
          <w:u w:val="single"/>
        </w:rPr>
        <w:t>项目名称</w:t>
      </w:r>
      <w:r>
        <w:rPr>
          <w:rFonts w:ascii="宋体" w:hAnsi="宋体"/>
          <w:color w:val="auto"/>
          <w:szCs w:val="21"/>
          <w:u w:val="single"/>
        </w:rPr>
        <w:t xml:space="preserve">)         _    </w:t>
      </w:r>
      <w:r>
        <w:rPr>
          <w:rFonts w:ascii="宋体" w:hAnsi="宋体"/>
          <w:color w:val="auto"/>
          <w:szCs w:val="21"/>
        </w:rPr>
        <w:t>_</w:t>
      </w:r>
      <w:r>
        <w:rPr>
          <w:rFonts w:hint="eastAsia" w:ascii="宋体" w:hAnsi="宋体"/>
          <w:color w:val="auto"/>
          <w:szCs w:val="21"/>
        </w:rPr>
        <w:t>（项目编号：</w:t>
      </w:r>
      <w:r>
        <w:rPr>
          <w:rFonts w:ascii="宋体" w:hAnsi="宋体"/>
          <w:color w:val="auto"/>
          <w:szCs w:val="21"/>
        </w:rPr>
        <w:t xml:space="preserve">       </w:t>
      </w:r>
      <w:r>
        <w:rPr>
          <w:rFonts w:hint="eastAsia" w:ascii="宋体" w:hAnsi="宋体"/>
          <w:color w:val="auto"/>
          <w:szCs w:val="21"/>
        </w:rPr>
        <w:t>）项目的投标，为便于贵方公正、择优地确定中标人，我方就本次投标有关事项郑重声明如下：</w:t>
      </w:r>
    </w:p>
    <w:p w14:paraId="1A5F105A">
      <w:pPr>
        <w:snapToGrid w:val="0"/>
        <w:spacing w:line="360" w:lineRule="auto"/>
        <w:ind w:firstLine="420" w:firstLineChars="200"/>
        <w:jc w:val="left"/>
        <w:rPr>
          <w:rFonts w:ascii="宋体" w:hAnsi="宋体"/>
          <w:color w:val="auto"/>
          <w:szCs w:val="21"/>
        </w:rPr>
      </w:pPr>
      <w:r>
        <w:rPr>
          <w:rFonts w:hint="eastAsia" w:ascii="宋体" w:hAnsi="宋体"/>
          <w:color w:val="auto"/>
          <w:szCs w:val="21"/>
        </w:rPr>
        <w:t>1.我方承诺已经具备《中华人民共和国政府采购法》第二十二条中规定的参加政府采购活动的供应商应当具备的条件：</w:t>
      </w:r>
    </w:p>
    <w:p w14:paraId="793A7792">
      <w:pPr>
        <w:snapToGrid w:val="0"/>
        <w:spacing w:line="360" w:lineRule="auto"/>
        <w:ind w:firstLine="420" w:firstLineChars="200"/>
        <w:jc w:val="left"/>
        <w:rPr>
          <w:rFonts w:ascii="宋体" w:hAnsi="宋体"/>
          <w:color w:val="auto"/>
          <w:szCs w:val="21"/>
        </w:rPr>
      </w:pPr>
      <w:r>
        <w:rPr>
          <w:rFonts w:hint="eastAsia" w:ascii="宋体" w:hAnsi="宋体"/>
          <w:color w:val="auto"/>
          <w:szCs w:val="21"/>
        </w:rPr>
        <w:t>（1）具有独立承担民事责任的能力；</w:t>
      </w:r>
    </w:p>
    <w:p w14:paraId="114C8C1A">
      <w:pPr>
        <w:snapToGrid w:val="0"/>
        <w:spacing w:line="360" w:lineRule="auto"/>
        <w:ind w:firstLine="420" w:firstLineChars="200"/>
        <w:jc w:val="left"/>
        <w:rPr>
          <w:rFonts w:ascii="宋体" w:hAnsi="宋体"/>
          <w:color w:val="auto"/>
          <w:szCs w:val="21"/>
        </w:rPr>
      </w:pPr>
      <w:r>
        <w:rPr>
          <w:rFonts w:hint="eastAsia" w:ascii="宋体" w:hAnsi="宋体"/>
          <w:color w:val="auto"/>
          <w:szCs w:val="21"/>
        </w:rPr>
        <w:t>（2）具有良好的商业信誉和健全的财务会计制度；</w:t>
      </w:r>
    </w:p>
    <w:p w14:paraId="46A0B3E0">
      <w:pPr>
        <w:snapToGrid w:val="0"/>
        <w:spacing w:line="360" w:lineRule="auto"/>
        <w:ind w:firstLine="420" w:firstLineChars="200"/>
        <w:jc w:val="left"/>
        <w:rPr>
          <w:rFonts w:ascii="宋体" w:hAnsi="宋体"/>
          <w:color w:val="auto"/>
          <w:szCs w:val="21"/>
        </w:rPr>
      </w:pPr>
      <w:r>
        <w:rPr>
          <w:rFonts w:hint="eastAsia" w:ascii="宋体" w:hAnsi="宋体"/>
          <w:color w:val="auto"/>
          <w:szCs w:val="21"/>
        </w:rPr>
        <w:t>（3）具有履行合同所必需的设备和专业技术能力；</w:t>
      </w:r>
    </w:p>
    <w:p w14:paraId="29B36CA6">
      <w:pPr>
        <w:snapToGrid w:val="0"/>
        <w:spacing w:line="360" w:lineRule="auto"/>
        <w:ind w:firstLine="420" w:firstLineChars="200"/>
        <w:jc w:val="left"/>
        <w:rPr>
          <w:rFonts w:ascii="宋体" w:hAnsi="宋体"/>
          <w:color w:val="auto"/>
          <w:szCs w:val="21"/>
        </w:rPr>
      </w:pPr>
      <w:r>
        <w:rPr>
          <w:rFonts w:hint="eastAsia" w:ascii="宋体" w:hAnsi="宋体"/>
          <w:color w:val="auto"/>
          <w:szCs w:val="21"/>
        </w:rPr>
        <w:t>（4）有依法缴纳税收和社会保障资金的良好记录；</w:t>
      </w:r>
    </w:p>
    <w:p w14:paraId="6E056EC9">
      <w:pPr>
        <w:snapToGrid w:val="0"/>
        <w:spacing w:line="360" w:lineRule="auto"/>
        <w:ind w:firstLine="420" w:firstLineChars="200"/>
        <w:jc w:val="left"/>
        <w:rPr>
          <w:rFonts w:ascii="宋体" w:hAnsi="宋体"/>
          <w:color w:val="auto"/>
          <w:szCs w:val="21"/>
        </w:rPr>
      </w:pPr>
      <w:r>
        <w:rPr>
          <w:rFonts w:hint="eastAsia" w:ascii="宋体" w:hAnsi="宋体"/>
          <w:color w:val="auto"/>
          <w:szCs w:val="21"/>
        </w:rPr>
        <w:t>（5）参加政府采购活动前三年内，在经营活动中没有重大违法记录；</w:t>
      </w:r>
    </w:p>
    <w:p w14:paraId="04581F73">
      <w:pPr>
        <w:snapToGrid w:val="0"/>
        <w:spacing w:line="360" w:lineRule="auto"/>
        <w:ind w:firstLine="420" w:firstLineChars="200"/>
        <w:jc w:val="left"/>
        <w:rPr>
          <w:rFonts w:ascii="宋体" w:hAnsi="宋体"/>
          <w:color w:val="auto"/>
          <w:szCs w:val="21"/>
        </w:rPr>
      </w:pPr>
      <w:r>
        <w:rPr>
          <w:rFonts w:hint="eastAsia" w:ascii="宋体" w:hAnsi="宋体"/>
          <w:color w:val="auto"/>
          <w:szCs w:val="21"/>
        </w:rPr>
        <w:t>（6）法律、行政法规规定的其他条件。</w:t>
      </w:r>
    </w:p>
    <w:p w14:paraId="293A52F6">
      <w:pPr>
        <w:snapToGrid w:val="0"/>
        <w:spacing w:line="360" w:lineRule="auto"/>
        <w:ind w:firstLine="420" w:firstLineChars="200"/>
        <w:jc w:val="left"/>
        <w:rPr>
          <w:rFonts w:ascii="宋体" w:hAnsi="宋体"/>
          <w:color w:val="auto"/>
          <w:szCs w:val="21"/>
        </w:rPr>
      </w:pPr>
      <w:r>
        <w:rPr>
          <w:rFonts w:ascii="宋体" w:hAnsi="宋体"/>
          <w:color w:val="auto"/>
          <w:szCs w:val="21"/>
        </w:rPr>
        <w:t xml:space="preserve">2. </w:t>
      </w:r>
      <w:r>
        <w:rPr>
          <w:rFonts w:hint="eastAsia" w:ascii="宋体" w:hAnsi="宋体"/>
          <w:color w:val="auto"/>
          <w:szCs w:val="21"/>
        </w:rPr>
        <w:t>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49E77A49">
      <w:pPr>
        <w:snapToGrid w:val="0"/>
        <w:spacing w:line="360" w:lineRule="auto"/>
        <w:ind w:firstLine="420" w:firstLineChars="200"/>
        <w:jc w:val="left"/>
        <w:rPr>
          <w:rFonts w:ascii="宋体" w:hAnsi="宋体"/>
          <w:color w:val="auto"/>
          <w:szCs w:val="21"/>
        </w:rPr>
      </w:pPr>
      <w:r>
        <w:rPr>
          <w:rFonts w:hint="eastAsia" w:ascii="宋体" w:hAnsi="宋体"/>
          <w:color w:val="auto"/>
          <w:szCs w:val="21"/>
        </w:rPr>
        <w:t>3.经查询，在“信用中国”和“中国政府采购网”网站我方未被列入失信被执行人、重大税收违法案件当事人名单、政府采购严重违法失信行为记录名单。</w:t>
      </w:r>
    </w:p>
    <w:p w14:paraId="555E18AD">
      <w:pPr>
        <w:snapToGrid w:val="0"/>
        <w:spacing w:line="360" w:lineRule="auto"/>
        <w:ind w:firstLine="420" w:firstLineChars="200"/>
        <w:jc w:val="left"/>
        <w:rPr>
          <w:rFonts w:ascii="宋体" w:hAnsi="宋体"/>
          <w:color w:val="auto"/>
          <w:szCs w:val="21"/>
        </w:rPr>
      </w:pPr>
      <w:r>
        <w:rPr>
          <w:rFonts w:hint="eastAsia" w:ascii="宋体" w:hAnsi="宋体"/>
          <w:color w:val="auto"/>
          <w:szCs w:val="21"/>
        </w:rPr>
        <w:t xml:space="preserve">4.以上事项如有虚假或隐瞒，我方愿意承担一切后果，并不再寻求任何旨在减轻或免除法律责任的辩解。 </w:t>
      </w:r>
    </w:p>
    <w:p w14:paraId="66D67864">
      <w:pPr>
        <w:tabs>
          <w:tab w:val="left" w:pos="7200"/>
        </w:tabs>
        <w:ind w:firstLine="270" w:firstLineChars="150"/>
        <w:rPr>
          <w:rFonts w:ascii="宋体" w:hAnsi="宋体"/>
          <w:color w:val="auto"/>
          <w:sz w:val="18"/>
          <w:szCs w:val="18"/>
        </w:rPr>
      </w:pPr>
      <w:r>
        <w:rPr>
          <w:rFonts w:hint="eastAsia" w:ascii="宋体" w:hAnsi="宋体"/>
          <w:color w:val="auto"/>
          <w:sz w:val="18"/>
          <w:szCs w:val="18"/>
        </w:rPr>
        <w:t>说明：</w:t>
      </w:r>
    </w:p>
    <w:p w14:paraId="60BCE164">
      <w:pPr>
        <w:ind w:firstLine="360" w:firstLineChars="200"/>
        <w:jc w:val="left"/>
        <w:rPr>
          <w:rFonts w:ascii="宋体" w:hAnsi="宋体"/>
          <w:color w:val="auto"/>
          <w:sz w:val="18"/>
          <w:szCs w:val="18"/>
        </w:rPr>
      </w:pPr>
      <w:r>
        <w:rPr>
          <w:rFonts w:hint="eastAsia" w:ascii="宋体" w:hAnsi="宋体"/>
          <w:color w:val="auto"/>
          <w:sz w:val="18"/>
          <w:szCs w:val="18"/>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306937F7">
      <w:pPr>
        <w:ind w:firstLine="360" w:firstLineChars="200"/>
        <w:jc w:val="left"/>
        <w:rPr>
          <w:rFonts w:ascii="宋体" w:hAnsi="宋体"/>
          <w:color w:val="auto"/>
          <w:sz w:val="18"/>
          <w:szCs w:val="18"/>
        </w:rPr>
      </w:pPr>
      <w:r>
        <w:rPr>
          <w:rFonts w:hint="eastAsia" w:ascii="宋体" w:hAnsi="宋体"/>
          <w:color w:val="auto"/>
          <w:sz w:val="18"/>
          <w:szCs w:val="18"/>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FFBFA89">
      <w:pPr>
        <w:snapToGrid w:val="0"/>
        <w:spacing w:before="50" w:after="165" w:afterLines="50"/>
        <w:jc w:val="left"/>
        <w:rPr>
          <w:rFonts w:ascii="宋体" w:hAnsi="宋体"/>
          <w:color w:val="auto"/>
          <w:sz w:val="18"/>
          <w:szCs w:val="18"/>
        </w:rPr>
      </w:pPr>
      <w:r>
        <w:rPr>
          <w:rFonts w:hint="eastAsia" w:ascii="宋体" w:hAnsi="宋体"/>
          <w:color w:val="auto"/>
          <w:sz w:val="18"/>
          <w:szCs w:val="18"/>
        </w:rPr>
        <w:t xml:space="preserve"> </w:t>
      </w:r>
      <w:r>
        <w:rPr>
          <w:rFonts w:hint="eastAsia" w:ascii="宋体" w:hAnsi="宋体"/>
          <w:b/>
          <w:color w:val="auto"/>
          <w:sz w:val="18"/>
          <w:szCs w:val="18"/>
        </w:rPr>
        <w:t xml:space="preserve">  3.如为联合体投标，盖章处须加盖联合体各方公章并由联合体各方法定代表人分别签署，否则投标无效。</w:t>
      </w:r>
    </w:p>
    <w:p w14:paraId="0D13EEEF">
      <w:pPr>
        <w:snapToGrid w:val="0"/>
        <w:spacing w:before="50" w:after="331" w:afterLines="100" w:line="360" w:lineRule="auto"/>
        <w:jc w:val="left"/>
        <w:rPr>
          <w:rFonts w:ascii="宋体" w:hAnsi="宋体"/>
          <w:color w:val="auto"/>
          <w:sz w:val="24"/>
        </w:rPr>
      </w:pPr>
      <w:r>
        <w:rPr>
          <w:rFonts w:hint="eastAsia" w:ascii="宋体" w:hAnsi="宋体"/>
          <w:color w:val="auto"/>
          <w:sz w:val="24"/>
        </w:rPr>
        <w:t xml:space="preserve">                                     </w:t>
      </w:r>
    </w:p>
    <w:p w14:paraId="2B2FB229">
      <w:pPr>
        <w:snapToGrid w:val="0"/>
        <w:spacing w:before="50" w:after="331" w:afterLines="100" w:line="360" w:lineRule="auto"/>
        <w:ind w:left="7428" w:leftChars="2223" w:hanging="2760" w:hangingChars="1150"/>
        <w:jc w:val="left"/>
        <w:rPr>
          <w:rFonts w:ascii="仿宋_GB2312" w:hAnsi="仿宋" w:eastAsia="仿宋_GB2312" w:cs="仿宋_GB2312"/>
          <w:color w:val="auto"/>
          <w:kern w:val="0"/>
          <w:sz w:val="24"/>
          <w:lang w:val="zh-CN"/>
        </w:rPr>
      </w:pPr>
      <w:r>
        <w:rPr>
          <w:rFonts w:hint="eastAsia" w:ascii="宋体" w:hAnsi="宋体"/>
          <w:color w:val="auto"/>
          <w:sz w:val="24"/>
        </w:rPr>
        <w:t xml:space="preserve">  </w:t>
      </w:r>
      <w:r>
        <w:rPr>
          <w:rFonts w:hint="eastAsia" w:ascii="仿宋_GB2312" w:hAnsi="仿宋" w:eastAsia="仿宋_GB2312" w:cs="仿宋_GB2312"/>
          <w:color w:val="auto"/>
          <w:kern w:val="0"/>
          <w:sz w:val="24"/>
          <w:lang w:val="zh-CN"/>
        </w:rPr>
        <w:t>投标人名称(电子签章)：</w:t>
      </w:r>
      <w:r>
        <w:rPr>
          <w:rFonts w:hint="eastAsia" w:ascii="宋体" w:hAnsi="宋体"/>
          <w:color w:val="auto"/>
          <w:szCs w:val="21"/>
        </w:rPr>
        <w:t xml:space="preserve">                                     年    月    日</w:t>
      </w:r>
    </w:p>
    <w:p w14:paraId="57F8DD20">
      <w:pPr>
        <w:pStyle w:val="17"/>
        <w:spacing w:line="600" w:lineRule="exact"/>
        <w:jc w:val="center"/>
        <w:rPr>
          <w:rFonts w:ascii="Times New Roman" w:hAnsi="Times New Roman"/>
          <w:b/>
          <w:bCs/>
          <w:color w:val="auto"/>
          <w:sz w:val="30"/>
          <w:szCs w:val="30"/>
        </w:rPr>
      </w:pPr>
    </w:p>
    <w:p w14:paraId="65DFB3E9">
      <w:pPr>
        <w:rPr>
          <w:b/>
          <w:bCs/>
          <w:color w:val="auto"/>
          <w:sz w:val="30"/>
          <w:szCs w:val="30"/>
        </w:rPr>
      </w:pPr>
      <w:r>
        <w:rPr>
          <w:rFonts w:hint="eastAsia"/>
          <w:b/>
          <w:bCs/>
          <w:color w:val="auto"/>
          <w:sz w:val="30"/>
          <w:szCs w:val="30"/>
        </w:rPr>
        <w:br w:type="page"/>
      </w:r>
    </w:p>
    <w:p w14:paraId="73FA442B">
      <w:pPr>
        <w:pStyle w:val="17"/>
        <w:spacing w:line="600" w:lineRule="exact"/>
        <w:jc w:val="center"/>
        <w:rPr>
          <w:rFonts w:ascii="Times New Roman" w:hAnsi="Times New Roman"/>
          <w:color w:val="auto"/>
        </w:rPr>
      </w:pPr>
      <w:r>
        <w:rPr>
          <w:rFonts w:hint="eastAsia" w:ascii="Times New Roman" w:hAnsi="Times New Roman"/>
          <w:b/>
          <w:bCs/>
          <w:color w:val="auto"/>
          <w:sz w:val="30"/>
          <w:szCs w:val="30"/>
        </w:rPr>
        <w:t>七、联合体协议书</w:t>
      </w:r>
    </w:p>
    <w:p w14:paraId="71F53169">
      <w:pPr>
        <w:autoSpaceDE w:val="0"/>
        <w:autoSpaceDN w:val="0"/>
        <w:adjustRightInd w:val="0"/>
        <w:spacing w:line="360" w:lineRule="auto"/>
        <w:jc w:val="left"/>
        <w:rPr>
          <w:rFonts w:ascii="宋体" w:cs="宋体"/>
          <w:color w:val="auto"/>
          <w:kern w:val="0"/>
          <w:szCs w:val="21"/>
          <w:u w:val="single"/>
        </w:rPr>
      </w:pPr>
    </w:p>
    <w:p w14:paraId="37E0E9B2">
      <w:pPr>
        <w:autoSpaceDE w:val="0"/>
        <w:autoSpaceDN w:val="0"/>
        <w:adjustRightInd w:val="0"/>
        <w:spacing w:line="360" w:lineRule="auto"/>
        <w:jc w:val="left"/>
        <w:rPr>
          <w:rFonts w:ascii="宋体" w:cs="宋体"/>
          <w:color w:val="auto"/>
          <w:kern w:val="0"/>
          <w:szCs w:val="21"/>
        </w:rPr>
      </w:pPr>
      <w:r>
        <w:rPr>
          <w:rFonts w:hint="eastAsia" w:ascii="宋体" w:cs="宋体"/>
          <w:color w:val="auto"/>
          <w:kern w:val="0"/>
          <w:szCs w:val="21"/>
          <w:u w:val="single"/>
        </w:rPr>
        <w:t xml:space="preserve">                                                  </w:t>
      </w:r>
      <w:r>
        <w:rPr>
          <w:rFonts w:hint="eastAsia" w:ascii="宋体" w:cs="宋体"/>
          <w:color w:val="auto"/>
          <w:kern w:val="0"/>
          <w:szCs w:val="21"/>
        </w:rPr>
        <w:t>（所有成员单位名称）自愿组成联合体，共同参加</w:t>
      </w:r>
      <w:r>
        <w:rPr>
          <w:rFonts w:hint="eastAsia" w:ascii="宋体" w:cs="宋体"/>
          <w:color w:val="auto"/>
          <w:kern w:val="0"/>
          <w:szCs w:val="21"/>
          <w:u w:val="single"/>
        </w:rPr>
        <w:t xml:space="preserve">     （采购代理机构名称）    </w:t>
      </w:r>
      <w:r>
        <w:rPr>
          <w:rFonts w:hint="eastAsia" w:ascii="宋体" w:cs="宋体"/>
          <w:color w:val="auto"/>
          <w:kern w:val="0"/>
          <w:szCs w:val="21"/>
        </w:rPr>
        <w:t>组织的</w:t>
      </w:r>
      <w:r>
        <w:rPr>
          <w:rFonts w:hint="eastAsia" w:ascii="宋体" w:cs="宋体"/>
          <w:color w:val="auto"/>
          <w:kern w:val="0"/>
          <w:szCs w:val="21"/>
          <w:u w:val="single"/>
        </w:rPr>
        <w:t xml:space="preserve">         （项目名称）         </w:t>
      </w:r>
      <w:r>
        <w:rPr>
          <w:rFonts w:hint="eastAsia" w:ascii="宋体" w:cs="宋体"/>
          <w:color w:val="auto"/>
          <w:kern w:val="0"/>
          <w:szCs w:val="21"/>
        </w:rPr>
        <w:t>（项目编号：</w:t>
      </w:r>
      <w:r>
        <w:rPr>
          <w:rFonts w:hint="eastAsia" w:ascii="宋体" w:cs="宋体"/>
          <w:color w:val="auto"/>
          <w:kern w:val="0"/>
          <w:szCs w:val="21"/>
          <w:u w:val="single"/>
        </w:rPr>
        <w:t xml:space="preserve">          </w:t>
      </w:r>
      <w:r>
        <w:rPr>
          <w:rFonts w:hint="eastAsia" w:ascii="宋体" w:cs="宋体"/>
          <w:color w:val="auto"/>
          <w:kern w:val="0"/>
          <w:szCs w:val="21"/>
        </w:rPr>
        <w:t>）投标。现就联合体投标事宜订立如下协议：</w:t>
      </w:r>
    </w:p>
    <w:p w14:paraId="036FF480">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TimesNewRomanPSMT"/>
          <w:color w:val="auto"/>
          <w:kern w:val="0"/>
          <w:szCs w:val="21"/>
        </w:rPr>
        <w:t>1</w:t>
      </w:r>
      <w:r>
        <w:rPr>
          <w:rFonts w:hint="eastAsia" w:ascii="宋体" w:hAnsi="宋体" w:cs="宋体"/>
          <w:color w:val="auto"/>
          <w:kern w:val="0"/>
          <w:szCs w:val="21"/>
        </w:rPr>
        <w:t>、</w:t>
      </w:r>
      <w:r>
        <w:rPr>
          <w:color w:val="auto"/>
        </w:rPr>
        <w:t>________________________</w:t>
      </w:r>
      <w:r>
        <w:rPr>
          <w:rFonts w:hint="eastAsia" w:ascii="宋体" w:hAnsi="宋体" w:cs="宋体"/>
          <w:color w:val="auto"/>
          <w:kern w:val="0"/>
          <w:szCs w:val="21"/>
        </w:rPr>
        <w:t>（某成员单位名称）为联合体名称牵头人。</w:t>
      </w:r>
    </w:p>
    <w:p w14:paraId="1FC295FA">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TimesNewRomanPSMT"/>
          <w:color w:val="auto"/>
          <w:kern w:val="0"/>
          <w:szCs w:val="21"/>
        </w:rPr>
        <w:t>2</w:t>
      </w:r>
      <w:r>
        <w:rPr>
          <w:rFonts w:hint="eastAsia" w:ascii="宋体" w:hAnsi="宋体" w:cs="宋体"/>
          <w:color w:val="auto"/>
          <w:kern w:val="0"/>
          <w:szCs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483E8E82">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3、联合体牵头人在本项目中签署和盖章的一切文件和处理的一切事宜，联合体各成员均予以承认。</w:t>
      </w:r>
      <w:r>
        <w:rPr>
          <w:rFonts w:ascii="宋体" w:hAnsi="宋体" w:cs="宋体"/>
          <w:color w:val="auto"/>
          <w:kern w:val="0"/>
          <w:szCs w:val="21"/>
        </w:rPr>
        <w:t xml:space="preserve"> </w:t>
      </w:r>
      <w:r>
        <w:rPr>
          <w:rFonts w:hint="eastAsia" w:ascii="宋体" w:hAnsi="宋体" w:cs="宋体"/>
          <w:color w:val="auto"/>
          <w:kern w:val="0"/>
          <w:szCs w:val="21"/>
        </w:rPr>
        <w:t>联合体各成员将严格按照招标文件、投标文件和合同的要求全面履行义务，并向招标人承担连带责任。</w:t>
      </w:r>
    </w:p>
    <w:p w14:paraId="039C5520">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TimesNewRomanPSMT"/>
          <w:color w:val="auto"/>
          <w:kern w:val="0"/>
          <w:szCs w:val="21"/>
        </w:rPr>
        <w:t>4</w:t>
      </w:r>
      <w:r>
        <w:rPr>
          <w:rFonts w:hint="eastAsia" w:ascii="宋体" w:hAnsi="宋体" w:cs="宋体"/>
          <w:color w:val="auto"/>
          <w:kern w:val="0"/>
          <w:szCs w:val="21"/>
        </w:rPr>
        <w:t>、联合体各成员单位内部的职责分工如下</w:t>
      </w:r>
      <w:r>
        <w:rPr>
          <w:rFonts w:hint="eastAsia" w:ascii="宋体" w:hAnsi="宋体" w:cs="宋体"/>
          <w:color w:val="auto"/>
          <w:kern w:val="0"/>
          <w:szCs w:val="21"/>
          <w:u w:val="single"/>
        </w:rPr>
        <w:t>：</w:t>
      </w:r>
      <w:r>
        <w:rPr>
          <w:color w:val="auto"/>
          <w:szCs w:val="21"/>
          <w:u w:val="single"/>
        </w:rPr>
        <w:t>________________________________________________</w:t>
      </w:r>
      <w:r>
        <w:rPr>
          <w:rFonts w:hint="eastAsia" w:ascii="宋体" w:hAnsi="宋体" w:cs="宋体"/>
          <w:color w:val="auto"/>
          <w:kern w:val="0"/>
          <w:szCs w:val="21"/>
        </w:rPr>
        <w:t>。</w:t>
      </w:r>
    </w:p>
    <w:p w14:paraId="1F45F1DF">
      <w:pPr>
        <w:pStyle w:val="17"/>
        <w:spacing w:line="360" w:lineRule="auto"/>
        <w:ind w:firstLine="420" w:firstLineChars="200"/>
        <w:rPr>
          <w:rFonts w:ascii="Times New Roman" w:hAnsi="Times New Roman"/>
          <w:color w:val="auto"/>
          <w:szCs w:val="21"/>
        </w:rPr>
      </w:pPr>
      <w:r>
        <w:rPr>
          <w:rFonts w:hint="eastAsia" w:hAnsi="宋体" w:cs="宋体"/>
          <w:color w:val="auto"/>
          <w:kern w:val="0"/>
        </w:rPr>
        <w:t>5、本联合体中</w:t>
      </w:r>
      <w:r>
        <w:rPr>
          <w:rFonts w:hint="eastAsia" w:hAnsi="宋体" w:cs="宋体"/>
          <w:color w:val="auto"/>
          <w:kern w:val="0"/>
          <w:u w:val="single"/>
        </w:rPr>
        <w:t>，</w:t>
      </w:r>
      <w:r>
        <w:rPr>
          <w:rFonts w:hint="eastAsia"/>
          <w:color w:val="auto"/>
          <w:u w:val="single"/>
        </w:rPr>
        <w:t>________________________</w:t>
      </w:r>
      <w:r>
        <w:rPr>
          <w:rFonts w:hint="eastAsia" w:hAnsi="宋体" w:cs="宋体"/>
          <w:color w:val="auto"/>
          <w:kern w:val="0"/>
          <w:u w:val="single"/>
        </w:rPr>
        <w:t>（某成员单位名称）为</w:t>
      </w:r>
      <w:r>
        <w:rPr>
          <w:rFonts w:hint="eastAsia"/>
          <w:color w:val="auto"/>
          <w:u w:val="single"/>
        </w:rPr>
        <w:t>______</w:t>
      </w:r>
      <w:r>
        <w:rPr>
          <w:rFonts w:hint="eastAsia"/>
          <w:color w:val="auto"/>
        </w:rPr>
        <w:t>（请填写：中型、小型、微型）企业，其协议合同金额占联合体协议合同总金额的</w:t>
      </w:r>
      <w:r>
        <w:rPr>
          <w:rFonts w:hint="eastAsia"/>
          <w:color w:val="auto"/>
          <w:u w:val="single"/>
        </w:rPr>
        <w:t>______</w:t>
      </w:r>
      <w:r>
        <w:rPr>
          <w:rFonts w:hint="eastAsia"/>
          <w:color w:val="auto"/>
        </w:rPr>
        <w:t>%。【如联合体成员中有小型、微型企业的，请填写此条，否则无需填写；如联合体成员中有多个小型、微型企业的，请逐一列出。】</w:t>
      </w:r>
    </w:p>
    <w:p w14:paraId="4C81A514">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TimesNewRomanPSMT"/>
          <w:color w:val="auto"/>
          <w:kern w:val="0"/>
          <w:szCs w:val="21"/>
        </w:rPr>
        <w:t>6</w:t>
      </w:r>
      <w:r>
        <w:rPr>
          <w:rFonts w:hint="eastAsia" w:ascii="宋体" w:hAnsi="宋体" w:cs="宋体"/>
          <w:color w:val="auto"/>
          <w:kern w:val="0"/>
          <w:szCs w:val="21"/>
        </w:rPr>
        <w:t>、本协议书自签署之日起生效，合同履行完毕后自动失效。</w:t>
      </w:r>
    </w:p>
    <w:p w14:paraId="05D13656">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TimesNewRomanPSMT"/>
          <w:color w:val="auto"/>
          <w:kern w:val="0"/>
          <w:szCs w:val="21"/>
        </w:rPr>
        <w:t>7</w:t>
      </w:r>
      <w:r>
        <w:rPr>
          <w:rFonts w:hint="eastAsia" w:ascii="宋体" w:hAnsi="宋体" w:cs="宋体"/>
          <w:color w:val="auto"/>
          <w:kern w:val="0"/>
          <w:szCs w:val="21"/>
        </w:rPr>
        <w:t>、本协议书一式</w:t>
      </w:r>
      <w:r>
        <w:rPr>
          <w:rFonts w:hint="eastAsia" w:ascii="宋体" w:hAnsi="宋体" w:cs="宋体"/>
          <w:color w:val="auto"/>
          <w:kern w:val="0"/>
          <w:szCs w:val="21"/>
          <w:u w:val="single"/>
        </w:rPr>
        <w:t xml:space="preserve">    </w:t>
      </w:r>
      <w:r>
        <w:rPr>
          <w:rFonts w:hint="eastAsia" w:ascii="宋体" w:hAnsi="宋体" w:cs="宋体"/>
          <w:color w:val="auto"/>
          <w:kern w:val="0"/>
          <w:szCs w:val="21"/>
        </w:rPr>
        <w:t>份，联合体成员和采购代理机构各执一份。</w:t>
      </w:r>
    </w:p>
    <w:p w14:paraId="5D40FBD6">
      <w:pPr>
        <w:autoSpaceDE w:val="0"/>
        <w:autoSpaceDN w:val="0"/>
        <w:adjustRightInd w:val="0"/>
        <w:spacing w:line="360" w:lineRule="auto"/>
        <w:ind w:firstLine="420"/>
        <w:jc w:val="left"/>
        <w:rPr>
          <w:rFonts w:ascii="宋体" w:cs="宋体"/>
          <w:color w:val="auto"/>
          <w:kern w:val="0"/>
          <w:szCs w:val="21"/>
        </w:rPr>
      </w:pPr>
      <w:r>
        <w:rPr>
          <w:rFonts w:hint="eastAsia" w:ascii="宋体" w:cs="宋体"/>
          <w:color w:val="auto"/>
          <w:kern w:val="0"/>
          <w:szCs w:val="21"/>
        </w:rPr>
        <w:t>注：本协议书由法定代表人签字的，应附法定代表人身份证明；本协议书由委托代理人签字的，应附法定代表人授权委托书。</w:t>
      </w:r>
    </w:p>
    <w:p w14:paraId="32E3659E">
      <w:pPr>
        <w:autoSpaceDE w:val="0"/>
        <w:autoSpaceDN w:val="0"/>
        <w:adjustRightInd w:val="0"/>
        <w:spacing w:line="360" w:lineRule="auto"/>
        <w:jc w:val="left"/>
        <w:rPr>
          <w:rFonts w:ascii="宋体" w:cs="宋体"/>
          <w:color w:val="auto"/>
          <w:kern w:val="0"/>
          <w:szCs w:val="21"/>
        </w:rPr>
      </w:pPr>
      <w:r>
        <w:rPr>
          <w:rFonts w:hint="eastAsia" w:ascii="宋体" w:cs="宋体"/>
          <w:color w:val="auto"/>
          <w:kern w:val="0"/>
          <w:szCs w:val="21"/>
        </w:rPr>
        <w:t>牵头人名称：</w:t>
      </w:r>
      <w:r>
        <w:rPr>
          <w:rFonts w:hint="eastAsia" w:ascii="宋体" w:cs="宋体"/>
          <w:color w:val="auto"/>
          <w:kern w:val="0"/>
          <w:szCs w:val="21"/>
          <w:u w:val="single"/>
        </w:rPr>
        <w:t xml:space="preserve">                                       </w:t>
      </w:r>
      <w:r>
        <w:rPr>
          <w:rFonts w:hint="eastAsia" w:ascii="宋体" w:cs="宋体"/>
          <w:color w:val="auto"/>
          <w:kern w:val="0"/>
          <w:szCs w:val="21"/>
        </w:rPr>
        <w:t>（公章/电子签章）</w:t>
      </w:r>
    </w:p>
    <w:p w14:paraId="7835B23F">
      <w:pPr>
        <w:autoSpaceDE w:val="0"/>
        <w:autoSpaceDN w:val="0"/>
        <w:adjustRightInd w:val="0"/>
        <w:spacing w:line="360" w:lineRule="auto"/>
        <w:jc w:val="left"/>
        <w:rPr>
          <w:rFonts w:ascii="宋体" w:cs="宋体"/>
          <w:color w:val="auto"/>
          <w:kern w:val="0"/>
          <w:szCs w:val="21"/>
        </w:rPr>
      </w:pPr>
      <w:r>
        <w:rPr>
          <w:rFonts w:hint="eastAsia" w:ascii="宋体" w:cs="宋体"/>
          <w:color w:val="auto"/>
          <w:kern w:val="0"/>
          <w:szCs w:val="21"/>
        </w:rPr>
        <w:t>法定代表人或其委托代理人：</w:t>
      </w:r>
      <w:r>
        <w:rPr>
          <w:rFonts w:hint="eastAsia" w:ascii="宋体" w:cs="宋体"/>
          <w:color w:val="auto"/>
          <w:kern w:val="0"/>
          <w:szCs w:val="21"/>
          <w:u w:val="single"/>
        </w:rPr>
        <w:t xml:space="preserve">                         </w:t>
      </w:r>
      <w:r>
        <w:rPr>
          <w:rFonts w:hint="eastAsia" w:ascii="宋体" w:cs="宋体"/>
          <w:color w:val="auto"/>
          <w:kern w:val="0"/>
          <w:szCs w:val="21"/>
        </w:rPr>
        <w:t>（手写签名/电子签名）</w:t>
      </w:r>
    </w:p>
    <w:p w14:paraId="1B6A1908">
      <w:pPr>
        <w:autoSpaceDE w:val="0"/>
        <w:autoSpaceDN w:val="0"/>
        <w:adjustRightInd w:val="0"/>
        <w:spacing w:line="360" w:lineRule="auto"/>
        <w:jc w:val="left"/>
        <w:rPr>
          <w:rFonts w:ascii="宋体" w:cs="宋体"/>
          <w:color w:val="auto"/>
          <w:kern w:val="0"/>
          <w:szCs w:val="21"/>
        </w:rPr>
      </w:pPr>
    </w:p>
    <w:p w14:paraId="7E2B2B2E">
      <w:pPr>
        <w:autoSpaceDE w:val="0"/>
        <w:autoSpaceDN w:val="0"/>
        <w:adjustRightInd w:val="0"/>
        <w:spacing w:line="360" w:lineRule="auto"/>
        <w:jc w:val="left"/>
        <w:rPr>
          <w:rFonts w:ascii="宋体" w:cs="宋体"/>
          <w:color w:val="auto"/>
          <w:kern w:val="0"/>
          <w:szCs w:val="21"/>
        </w:rPr>
      </w:pPr>
      <w:r>
        <w:rPr>
          <w:rFonts w:hint="eastAsia" w:ascii="宋体" w:cs="宋体"/>
          <w:color w:val="auto"/>
          <w:kern w:val="0"/>
          <w:szCs w:val="21"/>
        </w:rPr>
        <w:t>成员一名称：</w:t>
      </w:r>
      <w:r>
        <w:rPr>
          <w:rFonts w:hint="eastAsia" w:ascii="宋体" w:cs="宋体"/>
          <w:color w:val="auto"/>
          <w:kern w:val="0"/>
          <w:szCs w:val="21"/>
          <w:u w:val="single"/>
        </w:rPr>
        <w:t xml:space="preserve">                                       </w:t>
      </w:r>
      <w:r>
        <w:rPr>
          <w:rFonts w:hint="eastAsia" w:ascii="宋体" w:cs="宋体"/>
          <w:color w:val="auto"/>
          <w:kern w:val="0"/>
          <w:szCs w:val="21"/>
        </w:rPr>
        <w:t>（公章/电子签章）</w:t>
      </w:r>
    </w:p>
    <w:p w14:paraId="1D979187">
      <w:pPr>
        <w:autoSpaceDE w:val="0"/>
        <w:autoSpaceDN w:val="0"/>
        <w:adjustRightInd w:val="0"/>
        <w:spacing w:line="360" w:lineRule="auto"/>
        <w:jc w:val="left"/>
        <w:rPr>
          <w:rFonts w:ascii="宋体" w:cs="宋体"/>
          <w:color w:val="auto"/>
          <w:kern w:val="0"/>
          <w:szCs w:val="21"/>
        </w:rPr>
      </w:pPr>
      <w:r>
        <w:rPr>
          <w:rFonts w:hint="eastAsia" w:ascii="宋体" w:cs="宋体"/>
          <w:color w:val="auto"/>
          <w:kern w:val="0"/>
          <w:szCs w:val="21"/>
        </w:rPr>
        <w:t>法定代表人或其委托代理人：</w:t>
      </w:r>
      <w:r>
        <w:rPr>
          <w:rFonts w:hint="eastAsia" w:ascii="宋体" w:cs="宋体"/>
          <w:color w:val="auto"/>
          <w:kern w:val="0"/>
          <w:szCs w:val="21"/>
          <w:u w:val="single"/>
        </w:rPr>
        <w:t xml:space="preserve">                         </w:t>
      </w:r>
      <w:r>
        <w:rPr>
          <w:rFonts w:hint="eastAsia" w:ascii="宋体" w:cs="宋体"/>
          <w:color w:val="auto"/>
          <w:kern w:val="0"/>
          <w:szCs w:val="21"/>
        </w:rPr>
        <w:t>（手写签名/电子签名）</w:t>
      </w:r>
    </w:p>
    <w:p w14:paraId="31F53506">
      <w:pPr>
        <w:autoSpaceDE w:val="0"/>
        <w:autoSpaceDN w:val="0"/>
        <w:adjustRightInd w:val="0"/>
        <w:spacing w:line="360" w:lineRule="auto"/>
        <w:jc w:val="left"/>
        <w:rPr>
          <w:rFonts w:ascii="宋体" w:cs="宋体"/>
          <w:color w:val="auto"/>
          <w:kern w:val="0"/>
          <w:szCs w:val="21"/>
        </w:rPr>
      </w:pPr>
    </w:p>
    <w:p w14:paraId="778B54EF">
      <w:pPr>
        <w:autoSpaceDE w:val="0"/>
        <w:autoSpaceDN w:val="0"/>
        <w:adjustRightInd w:val="0"/>
        <w:spacing w:line="360" w:lineRule="auto"/>
        <w:jc w:val="left"/>
        <w:rPr>
          <w:rFonts w:ascii="宋体" w:cs="宋体"/>
          <w:color w:val="auto"/>
          <w:kern w:val="0"/>
          <w:szCs w:val="21"/>
        </w:rPr>
      </w:pPr>
      <w:r>
        <w:rPr>
          <w:rFonts w:hint="eastAsia" w:ascii="宋体" w:cs="宋体"/>
          <w:color w:val="auto"/>
          <w:kern w:val="0"/>
          <w:szCs w:val="21"/>
        </w:rPr>
        <w:t>成员二名称：</w:t>
      </w:r>
      <w:r>
        <w:rPr>
          <w:rFonts w:hint="eastAsia" w:ascii="宋体" w:cs="宋体"/>
          <w:color w:val="auto"/>
          <w:kern w:val="0"/>
          <w:szCs w:val="21"/>
          <w:u w:val="single"/>
        </w:rPr>
        <w:t xml:space="preserve">                                       </w:t>
      </w:r>
      <w:r>
        <w:rPr>
          <w:rFonts w:hint="eastAsia" w:ascii="宋体" w:cs="宋体"/>
          <w:color w:val="auto"/>
          <w:kern w:val="0"/>
          <w:szCs w:val="21"/>
        </w:rPr>
        <w:t>（公章/电子签章）</w:t>
      </w:r>
    </w:p>
    <w:p w14:paraId="282B00E6">
      <w:pPr>
        <w:pStyle w:val="17"/>
        <w:spacing w:line="600" w:lineRule="exact"/>
        <w:jc w:val="center"/>
        <w:rPr>
          <w:rFonts w:cs="宋体"/>
          <w:color w:val="auto"/>
          <w:kern w:val="0"/>
          <w:szCs w:val="21"/>
        </w:rPr>
      </w:pPr>
      <w:r>
        <w:rPr>
          <w:rFonts w:hint="eastAsia" w:cs="宋体"/>
          <w:color w:val="auto"/>
          <w:kern w:val="0"/>
          <w:szCs w:val="21"/>
        </w:rPr>
        <w:t>法定代表人或其委托代理人：</w:t>
      </w:r>
      <w:r>
        <w:rPr>
          <w:rFonts w:hint="eastAsia" w:cs="宋体"/>
          <w:color w:val="auto"/>
          <w:kern w:val="0"/>
          <w:szCs w:val="21"/>
          <w:u w:val="single"/>
        </w:rPr>
        <w:t xml:space="preserve">                         </w:t>
      </w:r>
      <w:r>
        <w:rPr>
          <w:rFonts w:hint="eastAsia" w:cs="宋体"/>
          <w:color w:val="auto"/>
          <w:kern w:val="0"/>
          <w:szCs w:val="21"/>
        </w:rPr>
        <w:t>（</w:t>
      </w:r>
      <w:r>
        <w:rPr>
          <w:rFonts w:hint="eastAsia" w:hAnsi="Times New Roman" w:cs="宋体"/>
          <w:color w:val="auto"/>
          <w:kern w:val="0"/>
          <w:szCs w:val="21"/>
        </w:rPr>
        <w:t>手写签名</w:t>
      </w:r>
      <w:r>
        <w:rPr>
          <w:rFonts w:hint="eastAsia" w:cs="宋体"/>
          <w:color w:val="auto"/>
          <w:kern w:val="0"/>
          <w:szCs w:val="21"/>
        </w:rPr>
        <w:t>/</w:t>
      </w:r>
      <w:r>
        <w:rPr>
          <w:rFonts w:hint="eastAsia" w:hAnsi="Times New Roman" w:cs="宋体"/>
          <w:color w:val="auto"/>
          <w:kern w:val="0"/>
          <w:szCs w:val="21"/>
        </w:rPr>
        <w:t>电子签名</w:t>
      </w:r>
      <w:r>
        <w:rPr>
          <w:rFonts w:hint="eastAsia" w:cs="宋体"/>
          <w:color w:val="auto"/>
          <w:kern w:val="0"/>
          <w:szCs w:val="21"/>
        </w:rPr>
        <w:t>）</w:t>
      </w:r>
    </w:p>
    <w:p w14:paraId="3C08A394">
      <w:pPr>
        <w:pStyle w:val="17"/>
        <w:spacing w:line="600" w:lineRule="exact"/>
        <w:jc w:val="center"/>
        <w:rPr>
          <w:rFonts w:cs="宋体"/>
          <w:color w:val="auto"/>
          <w:kern w:val="0"/>
          <w:szCs w:val="21"/>
        </w:rPr>
      </w:pPr>
    </w:p>
    <w:p w14:paraId="3BDD09C1">
      <w:pPr>
        <w:pStyle w:val="17"/>
        <w:spacing w:line="600" w:lineRule="exact"/>
        <w:jc w:val="center"/>
        <w:rPr>
          <w:rFonts w:ascii="Times New Roman" w:hAnsi="Times New Roman"/>
          <w:b/>
          <w:bCs/>
          <w:color w:val="auto"/>
          <w:sz w:val="30"/>
          <w:szCs w:val="30"/>
        </w:rPr>
      </w:pPr>
      <w:r>
        <w:rPr>
          <w:rFonts w:hint="eastAsia" w:ascii="Times New Roman" w:hAnsi="Times New Roman"/>
          <w:b/>
          <w:bCs/>
          <w:color w:val="auto"/>
          <w:sz w:val="30"/>
          <w:szCs w:val="30"/>
        </w:rPr>
        <w:t>八、符合特定资格条件（如有）的有关证明材料</w:t>
      </w:r>
    </w:p>
    <w:p w14:paraId="6B201BF2">
      <w:pPr>
        <w:pStyle w:val="17"/>
        <w:spacing w:line="600" w:lineRule="exact"/>
        <w:jc w:val="center"/>
        <w:rPr>
          <w:rFonts w:ascii="Times New Roman" w:hAnsi="Times New Roman"/>
          <w:b/>
          <w:bCs/>
          <w:color w:val="auto"/>
          <w:sz w:val="30"/>
          <w:szCs w:val="30"/>
        </w:rPr>
      </w:pPr>
    </w:p>
    <w:p w14:paraId="2E18620B">
      <w:pPr>
        <w:pStyle w:val="17"/>
        <w:spacing w:line="600" w:lineRule="exact"/>
        <w:jc w:val="center"/>
        <w:rPr>
          <w:rFonts w:ascii="Times New Roman" w:hAnsi="Times New Roman"/>
          <w:b/>
          <w:bCs/>
          <w:color w:val="auto"/>
          <w:sz w:val="30"/>
          <w:szCs w:val="30"/>
        </w:rPr>
      </w:pPr>
    </w:p>
    <w:p w14:paraId="3FAD0B1A">
      <w:pPr>
        <w:snapToGrid w:val="0"/>
        <w:spacing w:line="360" w:lineRule="auto"/>
        <w:ind w:firstLine="5040" w:firstLineChars="21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投标人名称(电子签章)：</w:t>
      </w:r>
    </w:p>
    <w:p w14:paraId="62098191">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1775C6AD">
      <w:pPr>
        <w:snapToGrid w:val="0"/>
        <w:spacing w:before="50" w:after="165" w:afterLines="50" w:line="360" w:lineRule="auto"/>
        <w:ind w:left="300"/>
        <w:jc w:val="left"/>
        <w:rPr>
          <w:rFonts w:hint="eastAsia" w:ascii="宋体" w:hAnsi="宋体" w:cs="宋体"/>
          <w:b/>
          <w:color w:val="auto"/>
          <w:sz w:val="30"/>
          <w:szCs w:val="30"/>
          <w:highlight w:val="none"/>
          <w:lang w:bidi="ar"/>
        </w:rPr>
      </w:pPr>
    </w:p>
    <w:p w14:paraId="7B75AB34">
      <w:pPr>
        <w:snapToGrid w:val="0"/>
        <w:spacing w:before="50" w:after="165" w:afterLines="50" w:line="360" w:lineRule="auto"/>
        <w:ind w:left="300"/>
        <w:jc w:val="left"/>
        <w:rPr>
          <w:rFonts w:hint="eastAsia" w:ascii="宋体" w:hAnsi="宋体" w:cs="宋体"/>
          <w:b/>
          <w:color w:val="auto"/>
          <w:sz w:val="30"/>
          <w:szCs w:val="30"/>
          <w:highlight w:val="none"/>
          <w:lang w:bidi="ar"/>
        </w:rPr>
      </w:pPr>
    </w:p>
    <w:p w14:paraId="14D4AA04">
      <w:pPr>
        <w:pStyle w:val="17"/>
        <w:spacing w:line="600" w:lineRule="exact"/>
        <w:jc w:val="center"/>
        <w:rPr>
          <w:rFonts w:hint="eastAsia" w:ascii="Times New Roman" w:hAnsi="Times New Roman" w:eastAsia="宋体" w:cs="Times New Roman"/>
          <w:b/>
          <w:bCs/>
          <w:color w:val="auto"/>
          <w:sz w:val="30"/>
          <w:szCs w:val="30"/>
        </w:rPr>
      </w:pPr>
      <w:r>
        <w:rPr>
          <w:rFonts w:hint="eastAsia" w:ascii="Times New Roman" w:hAnsi="Times New Roman" w:eastAsia="宋体" w:cs="Times New Roman"/>
          <w:b/>
          <w:bCs/>
          <w:color w:val="auto"/>
          <w:sz w:val="30"/>
          <w:szCs w:val="30"/>
        </w:rPr>
        <w:t>九、除招标文件规定必须提供以外，投标人认为需要提供的其他证明材料。</w:t>
      </w:r>
    </w:p>
    <w:p w14:paraId="384FCFD2">
      <w:pPr>
        <w:snapToGrid w:val="0"/>
        <w:spacing w:before="50" w:after="165" w:afterLines="50" w:line="360" w:lineRule="auto"/>
        <w:ind w:left="300"/>
        <w:jc w:val="left"/>
        <w:rPr>
          <w:rFonts w:hint="eastAsia" w:ascii="宋体" w:hAnsi="宋体" w:cs="宋体"/>
          <w:b/>
          <w:bCs/>
          <w:color w:val="auto"/>
          <w:sz w:val="28"/>
          <w:szCs w:val="28"/>
          <w:highlight w:val="none"/>
        </w:rPr>
      </w:pPr>
    </w:p>
    <w:p w14:paraId="45698C5D">
      <w:pPr>
        <w:snapToGrid w:val="0"/>
        <w:spacing w:line="360" w:lineRule="auto"/>
        <w:ind w:firstLine="5040" w:firstLineChars="2100"/>
        <w:rPr>
          <w:rFonts w:hint="eastAsia" w:ascii="宋体" w:hAnsi="宋体" w:cs="宋体"/>
          <w:color w:val="auto"/>
          <w:kern w:val="0"/>
          <w:sz w:val="24"/>
          <w:highlight w:val="none"/>
          <w:lang w:val="zh-CN" w:bidi="ar"/>
        </w:rPr>
      </w:pPr>
    </w:p>
    <w:p w14:paraId="1BC561CA">
      <w:pPr>
        <w:snapToGrid w:val="0"/>
        <w:spacing w:line="360" w:lineRule="auto"/>
        <w:ind w:firstLine="5040" w:firstLineChars="2100"/>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投标人名称(电子签章)：</w:t>
      </w:r>
    </w:p>
    <w:p w14:paraId="1A7F62EE">
      <w:pPr>
        <w:snapToGrid w:val="0"/>
        <w:spacing w:line="360" w:lineRule="auto"/>
        <w:ind w:firstLine="5160" w:firstLineChars="2150"/>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日期：  年  月   日</w:t>
      </w:r>
    </w:p>
    <w:p w14:paraId="42AD10A1">
      <w:pPr>
        <w:autoSpaceDE w:val="0"/>
        <w:autoSpaceDN w:val="0"/>
        <w:adjustRightInd w:val="0"/>
        <w:spacing w:line="360" w:lineRule="auto"/>
        <w:jc w:val="left"/>
        <w:rPr>
          <w:rFonts w:hAnsi="宋体"/>
          <w:color w:val="auto"/>
          <w:szCs w:val="21"/>
        </w:rPr>
      </w:pPr>
    </w:p>
    <w:p w14:paraId="08AABDD7">
      <w:pPr>
        <w:autoSpaceDE w:val="0"/>
        <w:autoSpaceDN w:val="0"/>
        <w:adjustRightInd w:val="0"/>
        <w:spacing w:line="360" w:lineRule="auto"/>
        <w:jc w:val="left"/>
        <w:rPr>
          <w:rFonts w:hAnsi="宋体"/>
          <w:color w:val="auto"/>
          <w:szCs w:val="21"/>
        </w:rPr>
      </w:pPr>
    </w:p>
    <w:p w14:paraId="75DEB704">
      <w:pPr>
        <w:autoSpaceDE w:val="0"/>
        <w:autoSpaceDN w:val="0"/>
        <w:adjustRightInd w:val="0"/>
        <w:spacing w:line="360" w:lineRule="auto"/>
        <w:jc w:val="left"/>
        <w:rPr>
          <w:rFonts w:hAnsi="宋体"/>
          <w:color w:val="auto"/>
          <w:szCs w:val="21"/>
        </w:rPr>
        <w:sectPr>
          <w:pgSz w:w="11906" w:h="16838"/>
          <w:pgMar w:top="1134" w:right="1134" w:bottom="1134" w:left="1134" w:header="720" w:footer="720" w:gutter="0"/>
          <w:cols w:space="720" w:num="1"/>
          <w:docGrid w:type="lines" w:linePitch="331" w:charSpace="0"/>
        </w:sectPr>
      </w:pPr>
    </w:p>
    <w:p w14:paraId="413651C9">
      <w:pPr>
        <w:pStyle w:val="17"/>
        <w:jc w:val="center"/>
        <w:outlineLvl w:val="1"/>
        <w:rPr>
          <w:rFonts w:hAnsi="宋体"/>
          <w:color w:val="auto"/>
          <w:szCs w:val="21"/>
        </w:rPr>
      </w:pPr>
    </w:p>
    <w:p w14:paraId="439B3757">
      <w:pPr>
        <w:pStyle w:val="17"/>
        <w:jc w:val="center"/>
        <w:outlineLvl w:val="1"/>
        <w:rPr>
          <w:rFonts w:hAnsi="宋体"/>
          <w:b/>
          <w:bCs/>
          <w:color w:val="auto"/>
          <w:sz w:val="28"/>
          <w:szCs w:val="28"/>
        </w:rPr>
      </w:pPr>
      <w:bookmarkStart w:id="299" w:name="_Toc80093013"/>
      <w:bookmarkStart w:id="300" w:name="_Toc19686838"/>
      <w:r>
        <w:rPr>
          <w:rFonts w:hint="eastAsia" w:hAnsi="宋体"/>
          <w:b/>
          <w:bCs/>
          <w:color w:val="auto"/>
          <w:sz w:val="28"/>
          <w:szCs w:val="28"/>
        </w:rPr>
        <w:t>第三节 商务文件格式</w:t>
      </w:r>
      <w:bookmarkEnd w:id="299"/>
      <w:bookmarkEnd w:id="300"/>
    </w:p>
    <w:p w14:paraId="59436160">
      <w:pPr>
        <w:snapToGrid w:val="0"/>
        <w:spacing w:before="165" w:beforeLines="50" w:after="50"/>
        <w:rPr>
          <w:rFonts w:ascii="宋体" w:hAnsi="宋体"/>
          <w:color w:val="auto"/>
          <w:sz w:val="30"/>
          <w:szCs w:val="20"/>
        </w:rPr>
      </w:pPr>
    </w:p>
    <w:p w14:paraId="066C99DC">
      <w:pPr>
        <w:snapToGrid w:val="0"/>
        <w:spacing w:before="165" w:beforeLines="50" w:after="50"/>
        <w:rPr>
          <w:rFonts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 xml:space="preserve">             电子投标文件</w:t>
      </w:r>
    </w:p>
    <w:p w14:paraId="0E13DBDD">
      <w:pPr>
        <w:snapToGrid w:val="0"/>
        <w:spacing w:before="165" w:beforeLines="50" w:after="50"/>
        <w:rPr>
          <w:rFonts w:ascii="宋体" w:hAnsi="宋体"/>
          <w:color w:val="auto"/>
          <w:sz w:val="24"/>
          <w:szCs w:val="20"/>
        </w:rPr>
      </w:pPr>
    </w:p>
    <w:p w14:paraId="28BB529D">
      <w:pPr>
        <w:snapToGrid w:val="0"/>
        <w:spacing w:before="165" w:beforeLines="50" w:after="50"/>
        <w:jc w:val="center"/>
        <w:rPr>
          <w:rFonts w:ascii="宋体" w:hAnsi="宋体"/>
          <w:b/>
          <w:color w:val="auto"/>
          <w:sz w:val="24"/>
          <w:szCs w:val="20"/>
        </w:rPr>
      </w:pPr>
      <w:r>
        <w:rPr>
          <w:rFonts w:hint="eastAsia" w:ascii="宋体" w:hAnsi="宋体"/>
          <w:b/>
          <w:color w:val="auto"/>
          <w:sz w:val="32"/>
          <w:szCs w:val="32"/>
        </w:rPr>
        <w:t>商务文件（封面）</w:t>
      </w:r>
    </w:p>
    <w:p w14:paraId="46CAD606">
      <w:pPr>
        <w:snapToGrid w:val="0"/>
        <w:spacing w:before="165" w:beforeLines="50" w:after="50"/>
        <w:rPr>
          <w:rFonts w:ascii="宋体" w:hAnsi="宋体"/>
          <w:bCs/>
          <w:color w:val="auto"/>
          <w:sz w:val="24"/>
          <w:szCs w:val="20"/>
        </w:rPr>
      </w:pPr>
    </w:p>
    <w:p w14:paraId="6E22171D">
      <w:pPr>
        <w:snapToGrid w:val="0"/>
        <w:spacing w:before="165" w:beforeLines="50" w:after="50"/>
        <w:ind w:firstLine="540" w:firstLineChars="225"/>
        <w:rPr>
          <w:rFonts w:ascii="宋体" w:hAnsi="宋体"/>
          <w:bCs/>
          <w:color w:val="auto"/>
          <w:sz w:val="24"/>
        </w:rPr>
      </w:pPr>
      <w:r>
        <w:rPr>
          <w:rFonts w:hint="eastAsia" w:ascii="宋体" w:hAnsi="宋体"/>
          <w:bCs/>
          <w:color w:val="auto"/>
          <w:sz w:val="24"/>
        </w:rPr>
        <w:t>项目名称：</w:t>
      </w:r>
    </w:p>
    <w:p w14:paraId="01ED7EDF">
      <w:pPr>
        <w:snapToGrid w:val="0"/>
        <w:spacing w:before="165" w:beforeLines="50" w:after="50"/>
        <w:ind w:firstLine="540" w:firstLineChars="225"/>
        <w:rPr>
          <w:rFonts w:ascii="宋体" w:hAnsi="宋体"/>
          <w:bCs/>
          <w:color w:val="auto"/>
          <w:sz w:val="24"/>
          <w:szCs w:val="20"/>
        </w:rPr>
      </w:pPr>
    </w:p>
    <w:p w14:paraId="499D547C">
      <w:pPr>
        <w:snapToGrid w:val="0"/>
        <w:spacing w:before="165" w:beforeLines="50" w:after="50"/>
        <w:ind w:firstLine="540" w:firstLineChars="225"/>
        <w:rPr>
          <w:rFonts w:ascii="宋体" w:hAnsi="宋体"/>
          <w:bCs/>
          <w:color w:val="auto"/>
          <w:sz w:val="24"/>
        </w:rPr>
      </w:pPr>
      <w:r>
        <w:rPr>
          <w:rFonts w:hint="eastAsia" w:ascii="宋体" w:hAnsi="宋体"/>
          <w:bCs/>
          <w:color w:val="auto"/>
          <w:sz w:val="24"/>
        </w:rPr>
        <w:t>项目编号：</w:t>
      </w:r>
    </w:p>
    <w:p w14:paraId="251A7FC4">
      <w:pPr>
        <w:snapToGrid w:val="0"/>
        <w:spacing w:before="165" w:beforeLines="50" w:after="50"/>
        <w:ind w:firstLine="540" w:firstLineChars="225"/>
        <w:rPr>
          <w:rFonts w:ascii="宋体" w:hAnsi="宋体"/>
          <w:bCs/>
          <w:color w:val="auto"/>
          <w:sz w:val="24"/>
          <w:szCs w:val="20"/>
        </w:rPr>
      </w:pPr>
      <w:r>
        <w:rPr>
          <w:rFonts w:hint="eastAsia" w:ascii="宋体" w:hAnsi="宋体"/>
          <w:bCs/>
          <w:color w:val="auto"/>
          <w:sz w:val="24"/>
        </w:rPr>
        <w:t xml:space="preserve"> </w:t>
      </w:r>
    </w:p>
    <w:p w14:paraId="5E7A545A">
      <w:pPr>
        <w:snapToGrid w:val="0"/>
        <w:spacing w:before="165" w:beforeLines="50" w:after="50"/>
        <w:ind w:firstLine="540" w:firstLineChars="225"/>
        <w:rPr>
          <w:rFonts w:ascii="宋体" w:hAnsi="宋体"/>
          <w:bCs/>
          <w:color w:val="auto"/>
          <w:sz w:val="24"/>
        </w:rPr>
      </w:pPr>
      <w:r>
        <w:rPr>
          <w:rFonts w:hint="eastAsia" w:ascii="宋体" w:hAnsi="宋体"/>
          <w:bCs/>
          <w:color w:val="auto"/>
          <w:sz w:val="24"/>
        </w:rPr>
        <w:t>所投分标：</w:t>
      </w:r>
    </w:p>
    <w:p w14:paraId="1D852772">
      <w:pPr>
        <w:snapToGrid w:val="0"/>
        <w:spacing w:before="165" w:beforeLines="50" w:after="50"/>
        <w:ind w:firstLine="540" w:firstLineChars="225"/>
        <w:rPr>
          <w:rFonts w:ascii="宋体" w:hAnsi="宋体"/>
          <w:bCs/>
          <w:color w:val="auto"/>
          <w:sz w:val="24"/>
          <w:szCs w:val="20"/>
        </w:rPr>
      </w:pPr>
    </w:p>
    <w:p w14:paraId="2BFFD85A">
      <w:pPr>
        <w:pStyle w:val="8"/>
        <w:snapToGrid w:val="0"/>
        <w:spacing w:before="50" w:after="50"/>
        <w:ind w:firstLine="540" w:firstLineChars="225"/>
        <w:rPr>
          <w:rFonts w:ascii="宋体" w:hAnsi="宋体"/>
          <w:bCs/>
          <w:color w:val="auto"/>
          <w:sz w:val="24"/>
          <w:szCs w:val="24"/>
        </w:rPr>
      </w:pPr>
      <w:r>
        <w:rPr>
          <w:rFonts w:hint="eastAsia" w:ascii="宋体" w:hAnsi="宋体"/>
          <w:bCs/>
          <w:color w:val="auto"/>
          <w:sz w:val="24"/>
          <w:szCs w:val="24"/>
        </w:rPr>
        <w:t>投标人名称：</w:t>
      </w:r>
    </w:p>
    <w:p w14:paraId="215667C8">
      <w:pPr>
        <w:pStyle w:val="8"/>
        <w:snapToGrid w:val="0"/>
        <w:spacing w:before="50" w:after="50"/>
        <w:ind w:firstLine="540" w:firstLineChars="225"/>
        <w:rPr>
          <w:rFonts w:ascii="宋体" w:hAnsi="宋体"/>
          <w:bCs/>
          <w:color w:val="auto"/>
          <w:sz w:val="24"/>
          <w:szCs w:val="24"/>
        </w:rPr>
      </w:pPr>
    </w:p>
    <w:p w14:paraId="2928677D">
      <w:pPr>
        <w:pStyle w:val="8"/>
        <w:snapToGrid w:val="0"/>
        <w:spacing w:before="50" w:after="50"/>
        <w:ind w:firstLine="540" w:firstLineChars="225"/>
        <w:rPr>
          <w:rFonts w:ascii="宋体" w:hAnsi="宋体"/>
          <w:bCs/>
          <w:color w:val="auto"/>
          <w:sz w:val="24"/>
          <w:szCs w:val="24"/>
        </w:rPr>
      </w:pPr>
      <w:r>
        <w:rPr>
          <w:rFonts w:hint="eastAsia" w:ascii="宋体" w:hAnsi="宋体"/>
          <w:bCs/>
          <w:color w:val="auto"/>
          <w:sz w:val="24"/>
          <w:szCs w:val="24"/>
        </w:rPr>
        <w:t>投标人地址：</w:t>
      </w:r>
    </w:p>
    <w:p w14:paraId="710C5183">
      <w:pPr>
        <w:pStyle w:val="8"/>
        <w:snapToGrid w:val="0"/>
        <w:spacing w:before="50" w:after="50"/>
        <w:ind w:firstLine="960" w:firstLineChars="400"/>
        <w:rPr>
          <w:rFonts w:ascii="宋体" w:hAnsi="宋体"/>
          <w:bCs/>
          <w:color w:val="auto"/>
          <w:sz w:val="24"/>
          <w:szCs w:val="24"/>
        </w:rPr>
      </w:pPr>
    </w:p>
    <w:p w14:paraId="14347171">
      <w:pPr>
        <w:snapToGrid w:val="0"/>
        <w:spacing w:before="165" w:beforeLines="50" w:after="50"/>
        <w:ind w:firstLine="645"/>
        <w:rPr>
          <w:rFonts w:ascii="宋体" w:hAnsi="宋体"/>
          <w:color w:val="auto"/>
          <w:sz w:val="24"/>
        </w:rPr>
      </w:pPr>
      <w:r>
        <w:rPr>
          <w:rFonts w:hint="eastAsia" w:ascii="宋体" w:hAnsi="宋体"/>
          <w:color w:val="auto"/>
          <w:sz w:val="24"/>
        </w:rPr>
        <w:t xml:space="preserve">                        年  月  日</w:t>
      </w:r>
    </w:p>
    <w:p w14:paraId="3001FC90">
      <w:pPr>
        <w:snapToGrid w:val="0"/>
        <w:spacing w:before="165" w:beforeLines="50" w:after="50"/>
        <w:rPr>
          <w:rFonts w:ascii="宋体" w:hAnsi="宋体"/>
          <w:color w:val="auto"/>
          <w:sz w:val="24"/>
          <w:szCs w:val="20"/>
        </w:rPr>
      </w:pPr>
      <w:r>
        <w:rPr>
          <w:rFonts w:ascii="宋体" w:hAnsi="宋体"/>
          <w:color w:val="auto"/>
          <w:sz w:val="24"/>
          <w:szCs w:val="20"/>
        </w:rPr>
        <w:t xml:space="preserve"> </w:t>
      </w:r>
    </w:p>
    <w:p w14:paraId="4423529C">
      <w:pPr>
        <w:spacing w:line="360" w:lineRule="auto"/>
        <w:ind w:right="420"/>
        <w:rPr>
          <w:rFonts w:ascii="宋体" w:hAnsi="宋体"/>
          <w:color w:val="auto"/>
          <w:sz w:val="24"/>
          <w:szCs w:val="20"/>
        </w:rPr>
      </w:pPr>
    </w:p>
    <w:p w14:paraId="5949A66F">
      <w:pPr>
        <w:spacing w:line="360" w:lineRule="auto"/>
        <w:ind w:right="420"/>
        <w:rPr>
          <w:rFonts w:ascii="宋体" w:hAnsi="宋体"/>
          <w:color w:val="auto"/>
          <w:sz w:val="24"/>
          <w:szCs w:val="20"/>
        </w:rPr>
      </w:pPr>
    </w:p>
    <w:p w14:paraId="1ECB5AC6">
      <w:pPr>
        <w:rPr>
          <w:rFonts w:ascii="仿宋_GB2312" w:hAnsi="仿宋" w:eastAsia="仿宋_GB2312" w:cs="仿宋_GB2312"/>
          <w:b/>
          <w:color w:val="auto"/>
          <w:kern w:val="0"/>
          <w:sz w:val="28"/>
          <w:szCs w:val="28"/>
        </w:rPr>
      </w:pPr>
      <w:r>
        <w:rPr>
          <w:rFonts w:hint="eastAsia" w:ascii="仿宋_GB2312" w:hAnsi="仿宋" w:eastAsia="仿宋_GB2312" w:cs="仿宋_GB2312"/>
          <w:b/>
          <w:color w:val="auto"/>
          <w:kern w:val="0"/>
          <w:sz w:val="28"/>
          <w:szCs w:val="28"/>
        </w:rPr>
        <w:br w:type="page"/>
      </w:r>
    </w:p>
    <w:p w14:paraId="6FB65237">
      <w:pPr>
        <w:jc w:val="center"/>
        <w:rPr>
          <w:rFonts w:ascii="仿宋_GB2312" w:hAnsi="仿宋" w:eastAsia="仿宋_GB2312" w:cs="仿宋_GB2312"/>
          <w:b/>
          <w:color w:val="auto"/>
          <w:kern w:val="0"/>
          <w:sz w:val="28"/>
          <w:szCs w:val="28"/>
        </w:rPr>
      </w:pPr>
      <w:r>
        <w:rPr>
          <w:rFonts w:hint="eastAsia" w:ascii="仿宋_GB2312" w:hAnsi="仿宋" w:eastAsia="仿宋_GB2312" w:cs="仿宋_GB2312"/>
          <w:b/>
          <w:color w:val="auto"/>
          <w:kern w:val="0"/>
          <w:sz w:val="28"/>
          <w:szCs w:val="28"/>
        </w:rPr>
        <w:t>商务文件目录</w:t>
      </w:r>
    </w:p>
    <w:p w14:paraId="7A3A8C1A">
      <w:pPr>
        <w:pStyle w:val="95"/>
        <w:spacing w:line="360" w:lineRule="auto"/>
        <w:rPr>
          <w:rFonts w:cs="仿宋_GB2312"/>
          <w:color w:val="auto"/>
        </w:rPr>
      </w:pPr>
      <w:r>
        <w:rPr>
          <w:rFonts w:hint="eastAsia" w:cs="仿宋_GB2312"/>
          <w:color w:val="auto"/>
        </w:rPr>
        <w:t>一、无串标行为承诺函………………………………………………………（页码）</w:t>
      </w:r>
    </w:p>
    <w:p w14:paraId="5275F519">
      <w:pPr>
        <w:pStyle w:val="95"/>
        <w:spacing w:line="360" w:lineRule="auto"/>
        <w:rPr>
          <w:rFonts w:cs="仿宋_GB2312"/>
          <w:color w:val="auto"/>
        </w:rPr>
      </w:pPr>
      <w:r>
        <w:rPr>
          <w:rFonts w:hint="eastAsia" w:cs="仿宋_GB2312"/>
          <w:color w:val="auto"/>
        </w:rPr>
        <w:t>二、法定代表人身份证明及法定代表人有效身份证正反面复印件………（页码）</w:t>
      </w:r>
    </w:p>
    <w:p w14:paraId="26AB9E30">
      <w:pPr>
        <w:pStyle w:val="95"/>
        <w:spacing w:line="360" w:lineRule="auto"/>
        <w:rPr>
          <w:rFonts w:cs="仿宋_GB2312"/>
          <w:color w:val="auto"/>
        </w:rPr>
      </w:pPr>
      <w:r>
        <w:rPr>
          <w:rFonts w:hint="eastAsia" w:cs="仿宋_GB2312"/>
          <w:color w:val="auto"/>
        </w:rPr>
        <w:t>三、法定代表人授权委托书（如有委托时）………………………………（页码）</w:t>
      </w:r>
    </w:p>
    <w:p w14:paraId="708B2038">
      <w:pPr>
        <w:pStyle w:val="95"/>
        <w:spacing w:line="360" w:lineRule="auto"/>
        <w:rPr>
          <w:rFonts w:cs="仿宋_GB2312"/>
          <w:color w:val="auto"/>
        </w:rPr>
      </w:pPr>
      <w:r>
        <w:rPr>
          <w:rFonts w:hint="eastAsia" w:cs="仿宋_GB2312"/>
          <w:color w:val="auto"/>
        </w:rPr>
        <w:t>四、</w:t>
      </w:r>
      <w:r>
        <w:rPr>
          <w:rFonts w:hint="eastAsia" w:cs="仿宋_GB2312"/>
          <w:color w:val="auto"/>
          <w:lang w:val="zh-CN"/>
        </w:rPr>
        <w:t>商务条款偏离表………………………………</w:t>
      </w:r>
      <w:r>
        <w:rPr>
          <w:rFonts w:hint="eastAsia" w:cs="仿宋_GB2312"/>
          <w:color w:val="auto"/>
        </w:rPr>
        <w:t>…………………………（页码）</w:t>
      </w:r>
    </w:p>
    <w:p w14:paraId="26B07A53">
      <w:pPr>
        <w:pStyle w:val="95"/>
        <w:spacing w:line="360" w:lineRule="auto"/>
        <w:rPr>
          <w:rFonts w:cs="仿宋_GB2312"/>
          <w:color w:val="auto"/>
        </w:rPr>
      </w:pPr>
      <w:bookmarkStart w:id="301" w:name="OLE_LINK6"/>
      <w:bookmarkStart w:id="302" w:name="OLE_LINK7"/>
      <w:bookmarkStart w:id="303" w:name="OLE_LINK5"/>
      <w:r>
        <w:rPr>
          <w:rFonts w:hint="eastAsia" w:cs="仿宋_GB2312"/>
          <w:color w:val="auto"/>
        </w:rPr>
        <w:t>五、投标人情况介绍</w:t>
      </w:r>
      <w:r>
        <w:rPr>
          <w:rFonts w:hint="eastAsia" w:cs="仿宋_GB2312"/>
          <w:color w:val="auto"/>
          <w:lang w:val="zh-CN"/>
        </w:rPr>
        <w:t>………………………………</w:t>
      </w:r>
      <w:r>
        <w:rPr>
          <w:rFonts w:hint="eastAsia" w:cs="仿宋_GB2312"/>
          <w:color w:val="auto"/>
        </w:rPr>
        <w:t>…………………………（页码）</w:t>
      </w:r>
    </w:p>
    <w:p w14:paraId="609F7737">
      <w:pPr>
        <w:pStyle w:val="95"/>
        <w:spacing w:line="360" w:lineRule="auto"/>
        <w:rPr>
          <w:rFonts w:cs="仿宋_GB2312"/>
          <w:color w:val="auto"/>
        </w:rPr>
      </w:pPr>
      <w:r>
        <w:rPr>
          <w:rFonts w:hint="eastAsia" w:cs="仿宋_GB2312"/>
          <w:color w:val="auto"/>
        </w:rPr>
        <w:t>六、投标人类似业绩的证明文件（如有要求）</w:t>
      </w:r>
      <w:r>
        <w:rPr>
          <w:rFonts w:hint="eastAsia" w:cs="仿宋_GB2312"/>
          <w:color w:val="auto"/>
          <w:lang w:val="zh-CN"/>
        </w:rPr>
        <w:t>……………………………</w:t>
      </w:r>
      <w:r>
        <w:rPr>
          <w:rFonts w:hint="eastAsia" w:cs="仿宋_GB2312"/>
          <w:color w:val="auto"/>
        </w:rPr>
        <w:t>（页码）</w:t>
      </w:r>
      <w:bookmarkEnd w:id="301"/>
      <w:bookmarkEnd w:id="302"/>
    </w:p>
    <w:p w14:paraId="39A3F631">
      <w:pPr>
        <w:pStyle w:val="95"/>
        <w:spacing w:line="360" w:lineRule="auto"/>
        <w:rPr>
          <w:rFonts w:cs="仿宋_GB2312"/>
          <w:color w:val="auto"/>
        </w:rPr>
      </w:pPr>
      <w:r>
        <w:rPr>
          <w:rFonts w:hint="eastAsia" w:cs="仿宋_GB2312"/>
          <w:color w:val="auto"/>
        </w:rPr>
        <w:t>七、其他商务文件或说明</w:t>
      </w:r>
      <w:r>
        <w:rPr>
          <w:rFonts w:hint="eastAsia" w:cs="仿宋_GB2312"/>
          <w:color w:val="auto"/>
          <w:lang w:val="zh-CN"/>
        </w:rPr>
        <w:t>……………………………………………………</w:t>
      </w:r>
      <w:r>
        <w:rPr>
          <w:rFonts w:hint="eastAsia" w:cs="仿宋_GB2312"/>
          <w:color w:val="auto"/>
        </w:rPr>
        <w:t>（页码）</w:t>
      </w:r>
    </w:p>
    <w:bookmarkEnd w:id="303"/>
    <w:p w14:paraId="10DFE671">
      <w:pPr>
        <w:spacing w:line="360" w:lineRule="auto"/>
        <w:rPr>
          <w:rFonts w:ascii="仿宋_GB2312" w:hAnsi="仿宋" w:eastAsia="仿宋_GB2312" w:cs="仿宋_GB2312"/>
          <w:b/>
          <w:bCs/>
          <w:color w:val="auto"/>
          <w:sz w:val="24"/>
        </w:rPr>
      </w:pPr>
      <w:r>
        <w:rPr>
          <w:rFonts w:hint="eastAsia" w:ascii="仿宋_GB2312" w:hAnsi="仿宋" w:eastAsia="仿宋_GB2312" w:cs="仿宋_GB2312"/>
          <w:b/>
          <w:bCs/>
          <w:color w:val="auto"/>
          <w:sz w:val="24"/>
        </w:rPr>
        <w:t>注：以上目录是基本格式要求，各投标人可根据自身情况进一步向下增加内容或细化。</w:t>
      </w:r>
    </w:p>
    <w:p w14:paraId="564FF020">
      <w:pPr>
        <w:snapToGrid w:val="0"/>
        <w:spacing w:line="360" w:lineRule="auto"/>
        <w:ind w:firstLine="420" w:firstLineChars="200"/>
        <w:jc w:val="left"/>
        <w:rPr>
          <w:rFonts w:ascii="宋体" w:hAnsi="宋体"/>
          <w:color w:val="auto"/>
        </w:rPr>
        <w:sectPr>
          <w:pgSz w:w="11906" w:h="16838"/>
          <w:pgMar w:top="1134" w:right="1134" w:bottom="1134" w:left="1134" w:header="720" w:footer="720" w:gutter="0"/>
          <w:cols w:space="720" w:num="1"/>
          <w:docGrid w:type="lines" w:linePitch="331" w:charSpace="0"/>
        </w:sectPr>
      </w:pPr>
    </w:p>
    <w:p w14:paraId="7140BA8B">
      <w:pPr>
        <w:snapToGrid w:val="0"/>
        <w:spacing w:before="120" w:beforeLines="50" w:after="50"/>
        <w:ind w:left="420"/>
        <w:jc w:val="center"/>
        <w:rPr>
          <w:b/>
          <w:bCs/>
          <w:color w:val="auto"/>
          <w:sz w:val="30"/>
          <w:szCs w:val="30"/>
        </w:rPr>
      </w:pPr>
      <w:r>
        <w:rPr>
          <w:rFonts w:hint="eastAsia"/>
          <w:b/>
          <w:bCs/>
          <w:color w:val="auto"/>
          <w:sz w:val="30"/>
          <w:szCs w:val="30"/>
        </w:rPr>
        <w:t>一、无串标行为承诺函</w:t>
      </w:r>
    </w:p>
    <w:p w14:paraId="61FA1841">
      <w:pPr>
        <w:snapToGrid w:val="0"/>
        <w:spacing w:before="120" w:beforeLines="50" w:after="50"/>
        <w:ind w:left="420"/>
        <w:jc w:val="center"/>
        <w:rPr>
          <w:rFonts w:ascii="宋体" w:hAnsi="宋体"/>
          <w:b/>
          <w:color w:val="auto"/>
          <w:sz w:val="32"/>
          <w:szCs w:val="32"/>
        </w:rPr>
      </w:pPr>
      <w:r>
        <w:rPr>
          <w:rFonts w:hint="eastAsia" w:ascii="宋体" w:hAnsi="宋体"/>
          <w:b/>
          <w:color w:val="auto"/>
          <w:sz w:val="32"/>
          <w:szCs w:val="32"/>
        </w:rPr>
        <w:t>投标人参加本项目无围标串标行为的承诺函</w:t>
      </w:r>
    </w:p>
    <w:p w14:paraId="09E94122">
      <w:pPr>
        <w:snapToGrid w:val="0"/>
        <w:spacing w:before="120" w:beforeLines="50" w:after="50"/>
        <w:rPr>
          <w:rFonts w:ascii="宋体" w:hAnsi="宋体"/>
          <w:b/>
          <w:color w:val="auto"/>
          <w:szCs w:val="21"/>
        </w:rPr>
      </w:pPr>
    </w:p>
    <w:p w14:paraId="76987451">
      <w:pPr>
        <w:snapToGrid w:val="0"/>
        <w:spacing w:before="120" w:beforeLines="50" w:after="50" w:line="360" w:lineRule="auto"/>
        <w:jc w:val="left"/>
        <w:rPr>
          <w:rFonts w:ascii="宋体" w:hAnsi="宋体"/>
          <w:b/>
          <w:color w:val="auto"/>
          <w:szCs w:val="21"/>
        </w:rPr>
      </w:pPr>
      <w:r>
        <w:rPr>
          <w:rFonts w:hint="eastAsia" w:ascii="宋体" w:hAnsi="宋体"/>
          <w:b/>
          <w:color w:val="auto"/>
          <w:szCs w:val="21"/>
        </w:rPr>
        <w:t>一、我方承诺无下列相互串通投标的情形：</w:t>
      </w:r>
    </w:p>
    <w:p w14:paraId="49C397EB">
      <w:pPr>
        <w:snapToGrid w:val="0"/>
        <w:spacing w:before="120" w:beforeLines="50" w:after="50" w:line="360" w:lineRule="auto"/>
        <w:ind w:firstLine="411" w:firstLineChars="196"/>
        <w:jc w:val="left"/>
        <w:rPr>
          <w:rFonts w:ascii="宋体" w:hAnsi="宋体"/>
          <w:color w:val="auto"/>
          <w:szCs w:val="21"/>
        </w:rPr>
      </w:pPr>
      <w:r>
        <w:rPr>
          <w:rFonts w:hint="eastAsia" w:ascii="宋体" w:hAnsi="宋体"/>
          <w:color w:val="auto"/>
          <w:szCs w:val="21"/>
        </w:rPr>
        <w:t>1.不同投标人的投标文件由同一单位或者个人编制；或者不同投标人报名的IP地址一致的；</w:t>
      </w:r>
    </w:p>
    <w:p w14:paraId="419CD897">
      <w:pPr>
        <w:snapToGrid w:val="0"/>
        <w:spacing w:before="120" w:beforeLines="50" w:after="50" w:line="360" w:lineRule="auto"/>
        <w:ind w:firstLine="411" w:firstLineChars="196"/>
        <w:jc w:val="left"/>
        <w:rPr>
          <w:rFonts w:ascii="宋体" w:hAnsi="宋体"/>
          <w:color w:val="auto"/>
          <w:szCs w:val="21"/>
        </w:rPr>
      </w:pPr>
      <w:r>
        <w:rPr>
          <w:rFonts w:hint="eastAsia" w:ascii="宋体" w:hAnsi="宋体"/>
          <w:color w:val="auto"/>
          <w:szCs w:val="21"/>
        </w:rPr>
        <w:t>2.不同投标人委托同一单位或者个人办理投标事宜；</w:t>
      </w:r>
    </w:p>
    <w:p w14:paraId="07EE1E87">
      <w:pPr>
        <w:snapToGrid w:val="0"/>
        <w:spacing w:before="120" w:beforeLines="50" w:after="50" w:line="360" w:lineRule="auto"/>
        <w:ind w:firstLine="411" w:firstLineChars="196"/>
        <w:jc w:val="left"/>
        <w:rPr>
          <w:rFonts w:ascii="宋体" w:hAnsi="宋体"/>
          <w:color w:val="auto"/>
          <w:szCs w:val="21"/>
        </w:rPr>
      </w:pPr>
      <w:r>
        <w:rPr>
          <w:rFonts w:hint="eastAsia" w:ascii="宋体" w:hAnsi="宋体"/>
          <w:color w:val="auto"/>
          <w:szCs w:val="21"/>
        </w:rPr>
        <w:t>3.不同的投标人的投标文件载明的项目管理员为同一个人；</w:t>
      </w:r>
    </w:p>
    <w:p w14:paraId="77013512">
      <w:pPr>
        <w:snapToGrid w:val="0"/>
        <w:spacing w:before="120" w:beforeLines="50" w:after="50" w:line="360" w:lineRule="auto"/>
        <w:ind w:firstLine="411" w:firstLineChars="196"/>
        <w:jc w:val="left"/>
        <w:rPr>
          <w:rFonts w:ascii="宋体" w:hAnsi="宋体"/>
          <w:color w:val="auto"/>
          <w:szCs w:val="21"/>
        </w:rPr>
      </w:pPr>
      <w:r>
        <w:rPr>
          <w:rFonts w:hint="eastAsia" w:ascii="宋体" w:hAnsi="宋体"/>
          <w:color w:val="auto"/>
          <w:szCs w:val="21"/>
        </w:rPr>
        <w:t>4.不同投标人的投标文件异常一致或者投标报价呈规律性差异；</w:t>
      </w:r>
    </w:p>
    <w:p w14:paraId="4A7E557E">
      <w:pPr>
        <w:snapToGrid w:val="0"/>
        <w:spacing w:before="120" w:beforeLines="50" w:after="50" w:line="360" w:lineRule="auto"/>
        <w:ind w:firstLine="411" w:firstLineChars="196"/>
        <w:jc w:val="left"/>
        <w:rPr>
          <w:rFonts w:ascii="宋体" w:hAnsi="宋体"/>
          <w:color w:val="auto"/>
          <w:szCs w:val="21"/>
        </w:rPr>
      </w:pPr>
      <w:r>
        <w:rPr>
          <w:rFonts w:hint="eastAsia" w:ascii="宋体" w:hAnsi="宋体"/>
          <w:color w:val="auto"/>
          <w:szCs w:val="21"/>
        </w:rPr>
        <w:t>5.不同投标人的投标文件相互混装；</w:t>
      </w:r>
    </w:p>
    <w:p w14:paraId="02BF4432">
      <w:pPr>
        <w:snapToGrid w:val="0"/>
        <w:spacing w:before="120" w:beforeLines="50" w:after="50" w:line="360" w:lineRule="auto"/>
        <w:ind w:firstLine="411" w:firstLineChars="196"/>
        <w:jc w:val="left"/>
        <w:rPr>
          <w:rFonts w:ascii="宋体" w:hAnsi="宋体"/>
          <w:color w:val="auto"/>
          <w:szCs w:val="21"/>
        </w:rPr>
      </w:pPr>
      <w:r>
        <w:rPr>
          <w:rFonts w:hint="eastAsia" w:ascii="宋体" w:hAnsi="宋体"/>
          <w:color w:val="auto"/>
          <w:szCs w:val="21"/>
        </w:rPr>
        <w:t>6.不同投标人的投标保证金从同一单位或者个人账户转出。</w:t>
      </w:r>
    </w:p>
    <w:p w14:paraId="1D4457CA">
      <w:pPr>
        <w:snapToGrid w:val="0"/>
        <w:spacing w:before="120" w:beforeLines="50" w:after="50" w:line="360" w:lineRule="auto"/>
        <w:jc w:val="left"/>
        <w:rPr>
          <w:rFonts w:ascii="宋体" w:hAnsi="宋体"/>
          <w:color w:val="auto"/>
          <w:szCs w:val="21"/>
        </w:rPr>
      </w:pPr>
      <w:r>
        <w:rPr>
          <w:rFonts w:hint="eastAsia" w:ascii="宋体" w:hAnsi="宋体"/>
          <w:b/>
          <w:color w:val="auto"/>
          <w:szCs w:val="21"/>
        </w:rPr>
        <w:t>二、我方承诺无下列恶意串通的情形：</w:t>
      </w:r>
    </w:p>
    <w:p w14:paraId="394BB75A">
      <w:pPr>
        <w:snapToGrid w:val="0"/>
        <w:spacing w:before="120" w:beforeLines="50" w:after="50" w:line="360" w:lineRule="auto"/>
        <w:ind w:firstLine="411" w:firstLineChars="196"/>
        <w:jc w:val="left"/>
        <w:rPr>
          <w:rFonts w:ascii="宋体" w:hAnsi="宋体"/>
          <w:color w:val="auto"/>
          <w:szCs w:val="21"/>
        </w:rPr>
      </w:pPr>
      <w:r>
        <w:rPr>
          <w:rFonts w:hint="eastAsia" w:ascii="宋体" w:hAnsi="宋体"/>
          <w:color w:val="auto"/>
          <w:szCs w:val="21"/>
        </w:rPr>
        <w:t>1.投标人直接或者间接从采购人或者采购代理机构处获得其他投标人的相关信息并修改其投标文件或者投标文件；</w:t>
      </w:r>
    </w:p>
    <w:p w14:paraId="6151E7A7">
      <w:pPr>
        <w:snapToGrid w:val="0"/>
        <w:spacing w:before="120" w:beforeLines="50" w:after="50" w:line="360" w:lineRule="auto"/>
        <w:ind w:firstLine="411" w:firstLineChars="196"/>
        <w:jc w:val="left"/>
        <w:rPr>
          <w:rFonts w:ascii="宋体" w:hAnsi="宋体"/>
          <w:color w:val="auto"/>
          <w:szCs w:val="21"/>
        </w:rPr>
      </w:pPr>
      <w:r>
        <w:rPr>
          <w:rFonts w:hint="eastAsia" w:ascii="宋体" w:hAnsi="宋体"/>
          <w:color w:val="auto"/>
          <w:szCs w:val="21"/>
        </w:rPr>
        <w:t>2.投标人按照采购人或者采购代理机构的授意撤换、修改投标文件或者投标文件；</w:t>
      </w:r>
    </w:p>
    <w:p w14:paraId="6332DAD6">
      <w:pPr>
        <w:snapToGrid w:val="0"/>
        <w:spacing w:before="120" w:beforeLines="50" w:after="50" w:line="360" w:lineRule="auto"/>
        <w:ind w:firstLine="411" w:firstLineChars="196"/>
        <w:jc w:val="left"/>
        <w:rPr>
          <w:rFonts w:ascii="宋体" w:hAnsi="宋体"/>
          <w:color w:val="auto"/>
          <w:szCs w:val="21"/>
        </w:rPr>
      </w:pPr>
      <w:r>
        <w:rPr>
          <w:rFonts w:hint="eastAsia" w:ascii="宋体" w:hAnsi="宋体"/>
          <w:color w:val="auto"/>
          <w:szCs w:val="21"/>
        </w:rPr>
        <w:t>3.投标人之间协商报价、技术方案等投标文件或者投标文件的实质性内容；</w:t>
      </w:r>
    </w:p>
    <w:p w14:paraId="5C5F6F31">
      <w:pPr>
        <w:snapToGrid w:val="0"/>
        <w:spacing w:before="120" w:beforeLines="50" w:after="50" w:line="360" w:lineRule="auto"/>
        <w:ind w:firstLine="411" w:firstLineChars="196"/>
        <w:jc w:val="left"/>
        <w:rPr>
          <w:rFonts w:ascii="宋体" w:hAnsi="宋体"/>
          <w:color w:val="auto"/>
          <w:szCs w:val="21"/>
        </w:rPr>
      </w:pPr>
      <w:r>
        <w:rPr>
          <w:rFonts w:hint="eastAsia" w:ascii="宋体" w:hAnsi="宋体"/>
          <w:color w:val="auto"/>
          <w:szCs w:val="21"/>
        </w:rPr>
        <w:t>4.属于同一集团、协会、商会等组织成员的投标人按照该组织要求协同参加政府采购活动；</w:t>
      </w:r>
    </w:p>
    <w:p w14:paraId="698A7D00">
      <w:pPr>
        <w:snapToGrid w:val="0"/>
        <w:spacing w:before="120" w:beforeLines="50" w:after="50" w:line="360" w:lineRule="auto"/>
        <w:ind w:firstLine="411" w:firstLineChars="196"/>
        <w:jc w:val="left"/>
        <w:rPr>
          <w:rFonts w:ascii="宋体" w:hAnsi="宋体"/>
          <w:color w:val="auto"/>
          <w:szCs w:val="21"/>
        </w:rPr>
      </w:pPr>
      <w:r>
        <w:rPr>
          <w:rFonts w:hint="eastAsia" w:ascii="宋体" w:hAnsi="宋体"/>
          <w:color w:val="auto"/>
          <w:szCs w:val="21"/>
        </w:rPr>
        <w:t>5.投标人之间事先约定一致抬高或者压低投标报价，或者在招标项目中事先约定轮流以高价位或者低价位中标，或者事先约定由某一特定投标人中标，然后再参加投标；</w:t>
      </w:r>
    </w:p>
    <w:p w14:paraId="43DE1294">
      <w:pPr>
        <w:snapToGrid w:val="0"/>
        <w:spacing w:before="120" w:beforeLines="50" w:after="50" w:line="360" w:lineRule="auto"/>
        <w:ind w:firstLine="411" w:firstLineChars="196"/>
        <w:jc w:val="left"/>
        <w:rPr>
          <w:rFonts w:ascii="宋体" w:hAnsi="宋体"/>
          <w:color w:val="auto"/>
          <w:szCs w:val="21"/>
        </w:rPr>
      </w:pPr>
      <w:r>
        <w:rPr>
          <w:rFonts w:hint="eastAsia" w:ascii="宋体" w:hAnsi="宋体"/>
          <w:color w:val="auto"/>
          <w:szCs w:val="21"/>
        </w:rPr>
        <w:t>6.投标人之间商定部分投标人放弃参加政府采购活动或者放弃中标；</w:t>
      </w:r>
    </w:p>
    <w:p w14:paraId="240945DE">
      <w:pPr>
        <w:snapToGrid w:val="0"/>
        <w:spacing w:before="120" w:beforeLines="50" w:after="50" w:line="360" w:lineRule="auto"/>
        <w:ind w:firstLine="411" w:firstLineChars="196"/>
        <w:jc w:val="left"/>
        <w:rPr>
          <w:rFonts w:ascii="宋体" w:hAnsi="宋体"/>
          <w:color w:val="auto"/>
          <w:szCs w:val="21"/>
        </w:rPr>
      </w:pPr>
      <w:r>
        <w:rPr>
          <w:rFonts w:hint="eastAsia" w:ascii="宋体" w:hAnsi="宋体"/>
          <w:color w:val="auto"/>
          <w:szCs w:val="21"/>
        </w:rPr>
        <w:t>7.投标人与采购人或者采购代理机构之间、投标人相互之间，为谋求特定投标人中标或者排斥其他投标人的其他串通行为。</w:t>
      </w:r>
    </w:p>
    <w:p w14:paraId="484FE59E">
      <w:pPr>
        <w:snapToGrid w:val="0"/>
        <w:spacing w:before="120" w:beforeLines="50" w:after="50" w:line="360" w:lineRule="auto"/>
        <w:ind w:firstLine="413" w:firstLineChars="196"/>
        <w:jc w:val="left"/>
        <w:rPr>
          <w:rFonts w:ascii="宋体" w:hAnsi="宋体"/>
          <w:b/>
          <w:color w:val="auto"/>
          <w:szCs w:val="21"/>
        </w:rPr>
      </w:pPr>
      <w:r>
        <w:rPr>
          <w:rFonts w:hint="eastAsia" w:ascii="宋体" w:hAnsi="宋体"/>
          <w:b/>
          <w:color w:val="auto"/>
          <w:szCs w:val="21"/>
        </w:rPr>
        <w:t>以上情形一经核查属实，我方愿意承担一切后果，并不再寻求任何旨在减轻或者免除法律责任的辩解。</w:t>
      </w:r>
    </w:p>
    <w:p w14:paraId="1731CC9E">
      <w:pPr>
        <w:snapToGrid w:val="0"/>
        <w:spacing w:line="360" w:lineRule="auto"/>
        <w:ind w:firstLine="4935" w:firstLineChars="2350"/>
        <w:rPr>
          <w:rFonts w:ascii="仿宋_GB2312" w:hAnsi="仿宋" w:eastAsia="仿宋_GB2312" w:cs="仿宋_GB2312"/>
          <w:color w:val="auto"/>
          <w:kern w:val="0"/>
          <w:sz w:val="24"/>
        </w:rPr>
      </w:pPr>
      <w:r>
        <w:rPr>
          <w:rFonts w:hAnsi="宋体"/>
          <w:color w:val="auto"/>
          <w:szCs w:val="21"/>
        </w:rPr>
        <w:t xml:space="preserve">  </w:t>
      </w:r>
      <w:r>
        <w:rPr>
          <w:rFonts w:hint="eastAsia" w:ascii="仿宋_GB2312" w:hAnsi="仿宋" w:eastAsia="仿宋_GB2312" w:cs="仿宋_GB2312"/>
          <w:color w:val="auto"/>
          <w:kern w:val="0"/>
          <w:sz w:val="24"/>
          <w:lang w:val="zh-CN"/>
        </w:rPr>
        <w:t>投标人名称(电子签章)：</w:t>
      </w:r>
    </w:p>
    <w:p w14:paraId="675CCB1C">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3D44391B">
      <w:pPr>
        <w:pStyle w:val="17"/>
        <w:snapToGrid w:val="0"/>
        <w:spacing w:before="295" w:after="295" w:line="360" w:lineRule="auto"/>
        <w:jc w:val="center"/>
        <w:rPr>
          <w:rFonts w:hAnsi="宋体"/>
          <w:b/>
          <w:color w:val="auto"/>
          <w:sz w:val="24"/>
        </w:rPr>
      </w:pPr>
      <w:r>
        <w:rPr>
          <w:rFonts w:hAnsi="宋体"/>
          <w:b/>
          <w:color w:val="auto"/>
          <w:sz w:val="24"/>
        </w:rPr>
        <w:br w:type="page"/>
      </w:r>
      <w:r>
        <w:rPr>
          <w:rFonts w:hint="eastAsia" w:ascii="Times New Roman" w:hAnsi="Times New Roman"/>
          <w:b/>
          <w:bCs/>
          <w:color w:val="auto"/>
          <w:sz w:val="30"/>
          <w:szCs w:val="30"/>
        </w:rPr>
        <w:t>二、法定代表人身份证明</w:t>
      </w:r>
    </w:p>
    <w:p w14:paraId="701CADD7">
      <w:pPr>
        <w:spacing w:before="240" w:beforeLines="100" w:after="120" w:afterLines="50"/>
        <w:ind w:left="540"/>
        <w:jc w:val="center"/>
        <w:rPr>
          <w:rFonts w:ascii="宋体" w:hAnsi="Courier New"/>
          <w:b/>
          <w:color w:val="auto"/>
          <w:sz w:val="32"/>
          <w:szCs w:val="32"/>
        </w:rPr>
      </w:pPr>
    </w:p>
    <w:p w14:paraId="228D33A5">
      <w:pPr>
        <w:spacing w:before="240" w:beforeLines="100" w:after="120" w:afterLines="50"/>
        <w:ind w:left="540"/>
        <w:jc w:val="center"/>
        <w:rPr>
          <w:rFonts w:ascii="黑体" w:hAnsi="宋体" w:eastAsia="黑体"/>
          <w:color w:val="auto"/>
          <w:sz w:val="32"/>
          <w:szCs w:val="32"/>
        </w:rPr>
      </w:pPr>
      <w:r>
        <w:rPr>
          <w:rFonts w:hint="eastAsia" w:ascii="宋体" w:hAnsi="Courier New"/>
          <w:b/>
          <w:color w:val="auto"/>
          <w:sz w:val="32"/>
          <w:szCs w:val="32"/>
        </w:rPr>
        <w:t>法定代表人身份证明</w:t>
      </w:r>
    </w:p>
    <w:p w14:paraId="7DAB0ADF">
      <w:pPr>
        <w:spacing w:line="500" w:lineRule="exact"/>
        <w:ind w:left="540"/>
        <w:rPr>
          <w:rFonts w:ascii="宋体" w:hAnsi="宋体"/>
          <w:color w:val="auto"/>
          <w:sz w:val="24"/>
        </w:rPr>
      </w:pPr>
      <w:r>
        <w:rPr>
          <w:rFonts w:hint="eastAsia" w:ascii="宋体" w:hAnsi="宋体"/>
          <w:color w:val="auto"/>
          <w:sz w:val="24"/>
        </w:rPr>
        <w:t>投 标 人：</w:t>
      </w:r>
      <w:r>
        <w:rPr>
          <w:rFonts w:hint="eastAsia" w:ascii="宋体" w:hAnsi="宋体"/>
          <w:color w:val="auto"/>
          <w:sz w:val="24"/>
          <w:u w:val="single"/>
        </w:rPr>
        <w:t xml:space="preserve">                                                        </w:t>
      </w:r>
    </w:p>
    <w:p w14:paraId="35B1AE36">
      <w:pPr>
        <w:spacing w:line="500" w:lineRule="exact"/>
        <w:ind w:left="540"/>
        <w:rPr>
          <w:rFonts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14:paraId="24CE0C89">
      <w:pPr>
        <w:spacing w:line="500" w:lineRule="exact"/>
        <w:ind w:left="540"/>
        <w:rPr>
          <w:rFonts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14:paraId="217FCC6E">
      <w:pPr>
        <w:spacing w:line="500" w:lineRule="exact"/>
        <w:ind w:left="540"/>
        <w:rPr>
          <w:rFonts w:ascii="宋体" w:hAnsi="宋体"/>
          <w:color w:val="auto"/>
          <w:sz w:val="24"/>
          <w:u w:val="single"/>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14:paraId="5BBF0926">
      <w:pPr>
        <w:spacing w:line="500" w:lineRule="exact"/>
        <w:ind w:left="540"/>
        <w:rPr>
          <w:rFonts w:ascii="宋体" w:hAnsi="宋体"/>
          <w:color w:val="auto"/>
          <w:sz w:val="24"/>
        </w:rPr>
      </w:pPr>
      <w:r>
        <w:rPr>
          <w:rFonts w:hint="eastAsia" w:ascii="宋体" w:hAnsi="宋体"/>
          <w:color w:val="auto"/>
          <w:sz w:val="24"/>
        </w:rPr>
        <w:t>身份证</w:t>
      </w:r>
      <w:r>
        <w:rPr>
          <w:rFonts w:hint="eastAsia"/>
          <w:color w:val="auto"/>
          <w:sz w:val="24"/>
        </w:rPr>
        <w:t>号码：</w:t>
      </w:r>
      <w:r>
        <w:rPr>
          <w:rFonts w:hint="eastAsia"/>
          <w:color w:val="auto"/>
          <w:sz w:val="24"/>
          <w:u w:val="single"/>
        </w:rPr>
        <w:t xml:space="preserve">                                 </w:t>
      </w:r>
    </w:p>
    <w:p w14:paraId="1EBDD683">
      <w:pPr>
        <w:spacing w:line="500" w:lineRule="exact"/>
        <w:ind w:left="540"/>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（投标人名称）              </w:t>
      </w:r>
      <w:r>
        <w:rPr>
          <w:rFonts w:hint="eastAsia" w:ascii="宋体" w:hAnsi="宋体"/>
          <w:color w:val="auto"/>
          <w:sz w:val="24"/>
        </w:rPr>
        <w:t>的法定代表人。</w:t>
      </w:r>
    </w:p>
    <w:p w14:paraId="068F29AF">
      <w:pPr>
        <w:spacing w:line="500" w:lineRule="exact"/>
        <w:ind w:left="540"/>
        <w:rPr>
          <w:rFonts w:ascii="宋体" w:hAnsi="宋体"/>
          <w:color w:val="auto"/>
          <w:sz w:val="24"/>
        </w:rPr>
      </w:pPr>
      <w:r>
        <w:rPr>
          <w:rFonts w:hint="eastAsia" w:ascii="宋体" w:hAnsi="宋体"/>
          <w:color w:val="auto"/>
          <w:sz w:val="24"/>
        </w:rPr>
        <w:t>特此证明。</w:t>
      </w:r>
    </w:p>
    <w:p w14:paraId="3A42EFA3">
      <w:pPr>
        <w:spacing w:line="500" w:lineRule="exact"/>
        <w:ind w:left="540"/>
        <w:rPr>
          <w:rFonts w:ascii="宋体" w:hAnsi="宋体"/>
          <w:color w:val="auto"/>
          <w:sz w:val="24"/>
        </w:rPr>
      </w:pPr>
    </w:p>
    <w:p w14:paraId="175D7FCA">
      <w:pPr>
        <w:spacing w:line="500" w:lineRule="exact"/>
        <w:ind w:left="540"/>
        <w:rPr>
          <w:rFonts w:ascii="宋体" w:hAnsi="宋体"/>
          <w:color w:val="auto"/>
          <w:sz w:val="24"/>
        </w:rPr>
      </w:pPr>
    </w:p>
    <w:p w14:paraId="402B7BB3">
      <w:pPr>
        <w:spacing w:line="500" w:lineRule="exact"/>
        <w:ind w:left="540"/>
        <w:rPr>
          <w:rFonts w:ascii="宋体" w:hAnsi="宋体"/>
          <w:color w:val="auto"/>
          <w:sz w:val="24"/>
        </w:rPr>
      </w:pPr>
      <w:r>
        <w:rPr>
          <w:rFonts w:hint="eastAsia" w:ascii="宋体" w:hAnsi="宋体"/>
          <w:color w:val="auto"/>
          <w:sz w:val="24"/>
        </w:rPr>
        <w:t>附件：法定代表人有效身份证正反面复印件</w:t>
      </w:r>
    </w:p>
    <w:p w14:paraId="09B82F65">
      <w:pPr>
        <w:spacing w:line="500" w:lineRule="exact"/>
        <w:ind w:left="540"/>
        <w:rPr>
          <w:rFonts w:ascii="宋体" w:hAnsi="宋体"/>
          <w:color w:val="auto"/>
          <w:sz w:val="24"/>
        </w:rPr>
      </w:pPr>
    </w:p>
    <w:p w14:paraId="767CDA63">
      <w:pPr>
        <w:snapToGrid w:val="0"/>
        <w:spacing w:line="360" w:lineRule="auto"/>
        <w:ind w:firstLine="4935" w:firstLineChars="2350"/>
        <w:rPr>
          <w:rFonts w:ascii="仿宋_GB2312" w:hAnsi="仿宋" w:eastAsia="仿宋_GB2312" w:cs="仿宋_GB2312"/>
          <w:color w:val="auto"/>
          <w:kern w:val="0"/>
          <w:sz w:val="24"/>
        </w:rPr>
      </w:pPr>
      <w:r>
        <w:rPr>
          <w:rFonts w:hAnsi="宋体"/>
          <w:color w:val="auto"/>
          <w:szCs w:val="21"/>
        </w:rPr>
        <w:t xml:space="preserve">  </w:t>
      </w:r>
      <w:r>
        <w:rPr>
          <w:rFonts w:hint="eastAsia" w:ascii="仿宋_GB2312" w:hAnsi="仿宋" w:eastAsia="仿宋_GB2312" w:cs="仿宋_GB2312"/>
          <w:color w:val="auto"/>
          <w:kern w:val="0"/>
          <w:sz w:val="24"/>
          <w:lang w:val="zh-CN"/>
        </w:rPr>
        <w:t>投标人名称(电子签章)：</w:t>
      </w:r>
    </w:p>
    <w:p w14:paraId="41077F1D">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7DFB6175">
      <w:pPr>
        <w:snapToGrid w:val="0"/>
        <w:spacing w:before="120" w:beforeLines="50" w:after="50"/>
        <w:jc w:val="center"/>
        <w:rPr>
          <w:rFonts w:ascii="宋体" w:hAnsi="宋体"/>
          <w:b/>
          <w:color w:val="auto"/>
          <w:sz w:val="24"/>
        </w:rPr>
      </w:pPr>
    </w:p>
    <w:p w14:paraId="76A0FB15">
      <w:pPr>
        <w:snapToGrid w:val="0"/>
        <w:spacing w:before="120" w:beforeLines="50" w:after="50"/>
        <w:ind w:firstLine="600" w:firstLineChars="250"/>
        <w:jc w:val="left"/>
        <w:rPr>
          <w:rFonts w:ascii="宋体" w:hAnsi="宋体"/>
          <w:color w:val="auto"/>
          <w:sz w:val="24"/>
        </w:rPr>
      </w:pPr>
      <w:r>
        <w:rPr>
          <w:rFonts w:hint="eastAsia" w:ascii="宋体" w:hAnsi="宋体"/>
          <w:color w:val="auto"/>
          <w:sz w:val="24"/>
        </w:rPr>
        <w:t>注：自然人投标的无需提供</w:t>
      </w:r>
    </w:p>
    <w:p w14:paraId="71B0A0F5">
      <w:pPr>
        <w:snapToGrid w:val="0"/>
        <w:spacing w:before="120" w:beforeLines="50" w:after="50"/>
        <w:ind w:firstLine="600" w:firstLineChars="250"/>
        <w:jc w:val="left"/>
        <w:rPr>
          <w:rFonts w:ascii="宋体" w:hAnsi="宋体"/>
          <w:color w:val="auto"/>
          <w:sz w:val="24"/>
        </w:rPr>
      </w:pPr>
    </w:p>
    <w:p w14:paraId="67F0CD1B">
      <w:pPr>
        <w:snapToGrid w:val="0"/>
        <w:spacing w:before="120" w:beforeLines="50" w:after="50"/>
        <w:ind w:firstLine="602" w:firstLineChars="250"/>
        <w:jc w:val="left"/>
        <w:rPr>
          <w:rFonts w:ascii="宋体" w:hAnsi="宋体"/>
          <w:b/>
          <w:color w:val="auto"/>
          <w:sz w:val="24"/>
          <w:szCs w:val="20"/>
        </w:rPr>
      </w:pPr>
    </w:p>
    <w:tbl>
      <w:tblPr>
        <w:tblStyle w:val="34"/>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4900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49A7F49A">
            <w:pPr>
              <w:spacing w:line="360" w:lineRule="auto"/>
              <w:rPr>
                <w:rFonts w:ascii="宋体"/>
                <w:b/>
                <w:color w:val="auto"/>
                <w:sz w:val="24"/>
              </w:rPr>
            </w:pPr>
          </w:p>
          <w:p w14:paraId="0B432F2E">
            <w:pPr>
              <w:spacing w:line="360" w:lineRule="auto"/>
              <w:rPr>
                <w:rFonts w:ascii="宋体"/>
                <w:b/>
                <w:color w:val="auto"/>
                <w:sz w:val="24"/>
              </w:rPr>
            </w:pPr>
            <w:r>
              <w:rPr>
                <w:rFonts w:hint="eastAsia" w:ascii="宋体"/>
                <w:b/>
                <w:color w:val="auto"/>
                <w:sz w:val="24"/>
              </w:rPr>
              <w:t>法定代表身份证复印件粘帖处（正、反面）</w:t>
            </w:r>
          </w:p>
        </w:tc>
      </w:tr>
    </w:tbl>
    <w:p w14:paraId="48DE65C6">
      <w:pPr>
        <w:pStyle w:val="17"/>
        <w:snapToGrid w:val="0"/>
        <w:spacing w:before="295" w:after="295" w:line="360" w:lineRule="auto"/>
        <w:jc w:val="center"/>
        <w:rPr>
          <w:rFonts w:hAnsi="宋体"/>
          <w:b/>
          <w:color w:val="auto"/>
          <w:sz w:val="24"/>
        </w:rPr>
      </w:pPr>
      <w:r>
        <w:rPr>
          <w:rFonts w:hint="eastAsia" w:hAnsi="宋体"/>
          <w:b/>
          <w:color w:val="auto"/>
          <w:sz w:val="24"/>
        </w:rPr>
        <w:t>附件：</w:t>
      </w:r>
      <w:r>
        <w:rPr>
          <w:rFonts w:hAnsi="宋体"/>
          <w:b/>
          <w:color w:val="auto"/>
          <w:sz w:val="24"/>
        </w:rPr>
        <w:br w:type="page"/>
      </w:r>
      <w:r>
        <w:rPr>
          <w:rFonts w:hint="eastAsia" w:ascii="Times New Roman" w:hAnsi="Times New Roman"/>
          <w:b/>
          <w:bCs/>
          <w:color w:val="auto"/>
          <w:sz w:val="30"/>
          <w:szCs w:val="30"/>
        </w:rPr>
        <w:t>三、法定代表人授权委托书（如有委托时）</w:t>
      </w:r>
    </w:p>
    <w:p w14:paraId="72B4F3D8">
      <w:pPr>
        <w:snapToGrid w:val="0"/>
        <w:spacing w:before="120" w:beforeLines="50" w:after="50"/>
        <w:jc w:val="center"/>
        <w:rPr>
          <w:rFonts w:ascii="宋体" w:hAnsi="宋体"/>
          <w:b/>
          <w:color w:val="auto"/>
          <w:sz w:val="32"/>
          <w:szCs w:val="32"/>
        </w:rPr>
      </w:pPr>
      <w:r>
        <w:rPr>
          <w:rFonts w:hint="eastAsia" w:ascii="宋体" w:hAnsi="宋体"/>
          <w:b/>
          <w:color w:val="auto"/>
          <w:sz w:val="32"/>
          <w:szCs w:val="32"/>
        </w:rPr>
        <w:t>法定代表人授权委托书</w:t>
      </w:r>
    </w:p>
    <w:p w14:paraId="5809CD43">
      <w:pPr>
        <w:snapToGrid w:val="0"/>
        <w:spacing w:before="120" w:beforeLines="50" w:after="50"/>
        <w:jc w:val="center"/>
        <w:rPr>
          <w:rFonts w:ascii="宋体" w:hAnsi="宋体"/>
          <w:b/>
          <w:color w:val="auto"/>
          <w:sz w:val="24"/>
        </w:rPr>
      </w:pPr>
    </w:p>
    <w:p w14:paraId="26F0F506">
      <w:pPr>
        <w:pStyle w:val="17"/>
        <w:spacing w:line="440" w:lineRule="exact"/>
        <w:ind w:firstLine="420" w:firstLineChars="200"/>
        <w:rPr>
          <w:rFonts w:ascii="Times New Roman" w:hAnsi="Times New Roman"/>
          <w:color w:val="auto"/>
        </w:rPr>
      </w:pPr>
      <w:r>
        <w:rPr>
          <w:rFonts w:hint="eastAsia" w:ascii="Times New Roman" w:hAnsi="Times New Roman"/>
          <w:color w:val="auto"/>
        </w:rPr>
        <w:t>致：</w:t>
      </w:r>
      <w:r>
        <w:rPr>
          <w:rFonts w:ascii="Times New Roman" w:hAnsi="Times New Roman"/>
          <w:color w:val="auto"/>
          <w:u w:val="single"/>
        </w:rPr>
        <w:t xml:space="preserve">                      </w:t>
      </w:r>
      <w:r>
        <w:rPr>
          <w:rFonts w:hint="eastAsia" w:ascii="Times New Roman" w:hAnsi="Times New Roman"/>
          <w:color w:val="auto"/>
        </w:rPr>
        <w:t>（采购代理机构名称）</w:t>
      </w:r>
    </w:p>
    <w:p w14:paraId="07B8082E">
      <w:pPr>
        <w:pStyle w:val="17"/>
        <w:spacing w:line="440" w:lineRule="exact"/>
        <w:ind w:firstLine="420" w:firstLineChars="200"/>
        <w:rPr>
          <w:rFonts w:ascii="Times New Roman" w:hAnsi="Times New Roman"/>
          <w:color w:val="auto"/>
        </w:rPr>
      </w:pPr>
      <w:r>
        <w:rPr>
          <w:rFonts w:hint="eastAsia" w:ascii="Times New Roman" w:hAnsi="Times New Roman"/>
          <w:color w:val="auto"/>
        </w:rPr>
        <w:t>本人</w:t>
      </w:r>
      <w:r>
        <w:rPr>
          <w:rFonts w:ascii="Times New Roman" w:hAnsi="Times New Roman"/>
          <w:color w:val="auto"/>
          <w:u w:val="single"/>
        </w:rPr>
        <w:t xml:space="preserve">        </w:t>
      </w:r>
      <w:r>
        <w:rPr>
          <w:rFonts w:hint="eastAsia" w:ascii="Times New Roman" w:hAnsi="Times New Roman"/>
          <w:color w:val="auto"/>
        </w:rPr>
        <w:t>（姓名）系</w:t>
      </w:r>
      <w:r>
        <w:rPr>
          <w:rFonts w:ascii="Times New Roman" w:hAnsi="Times New Roman"/>
          <w:color w:val="auto"/>
          <w:u w:val="single"/>
        </w:rPr>
        <w:t xml:space="preserve">                 </w:t>
      </w:r>
      <w:r>
        <w:rPr>
          <w:rFonts w:hint="eastAsia" w:ascii="Times New Roman" w:hAnsi="Times New Roman"/>
          <w:color w:val="auto"/>
        </w:rPr>
        <w:t>（投标人名称）的法定代表人，现授权我单位在职正式员工</w:t>
      </w:r>
      <w:r>
        <w:rPr>
          <w:rFonts w:ascii="Times New Roman" w:hAnsi="Times New Roman"/>
          <w:color w:val="auto"/>
          <w:u w:val="single"/>
        </w:rPr>
        <w:t xml:space="preserve">        </w:t>
      </w:r>
      <w:r>
        <w:rPr>
          <w:rFonts w:hint="eastAsia" w:ascii="Times New Roman" w:hAnsi="Times New Roman"/>
          <w:color w:val="auto"/>
        </w:rPr>
        <w:t>（姓名和职务）为我方代理人。代理人根据授权，以我方名义签署、澄清、说明、补正、递交、撤回、修改贵方组织的</w:t>
      </w:r>
      <w:r>
        <w:rPr>
          <w:rFonts w:hint="eastAsia"/>
          <w:color w:val="auto"/>
          <w:u w:val="single"/>
        </w:rPr>
        <w:t xml:space="preserve">                </w:t>
      </w:r>
      <w:r>
        <w:rPr>
          <w:rFonts w:hint="eastAsia"/>
          <w:color w:val="auto"/>
        </w:rPr>
        <w:t>项目（项目编号：</w:t>
      </w:r>
      <w:r>
        <w:rPr>
          <w:rFonts w:hint="eastAsia" w:hAnsi="宋体"/>
          <w:color w:val="auto"/>
          <w:u w:val="single"/>
        </w:rPr>
        <w:t xml:space="preserve">             </w:t>
      </w:r>
      <w:r>
        <w:rPr>
          <w:rFonts w:hint="eastAsia"/>
          <w:color w:val="auto"/>
        </w:rPr>
        <w:t>）</w:t>
      </w:r>
      <w:r>
        <w:rPr>
          <w:rFonts w:hint="eastAsia" w:ascii="Times New Roman" w:hAnsi="Times New Roman"/>
          <w:color w:val="auto"/>
        </w:rPr>
        <w:t>的投标文件、签订合同和处理一切有关事宜，其法律后果由我方承担。</w:t>
      </w:r>
    </w:p>
    <w:p w14:paraId="5146E40F">
      <w:pPr>
        <w:pStyle w:val="17"/>
        <w:spacing w:line="440" w:lineRule="exact"/>
        <w:ind w:firstLine="420" w:firstLineChars="200"/>
        <w:rPr>
          <w:rFonts w:ascii="Times New Roman" w:hAnsi="Times New Roman"/>
          <w:color w:val="auto"/>
        </w:rPr>
      </w:pPr>
      <w:r>
        <w:rPr>
          <w:rFonts w:hint="eastAsia" w:ascii="Times New Roman" w:hAnsi="Times New Roman"/>
          <w:color w:val="auto"/>
        </w:rPr>
        <w:t>本授权书于</w:t>
      </w:r>
      <w:r>
        <w:rPr>
          <w:rFonts w:hint="eastAsia"/>
          <w:color w:val="auto"/>
          <w:spacing w:val="10"/>
          <w:sz w:val="24"/>
          <w:u w:val="single"/>
        </w:rPr>
        <w:t xml:space="preserve">    </w:t>
      </w:r>
      <w:r>
        <w:rPr>
          <w:rFonts w:hint="eastAsia" w:ascii="Times New Roman" w:hAnsi="Times New Roman"/>
          <w:color w:val="auto"/>
        </w:rPr>
        <w:t>年</w:t>
      </w:r>
      <w:r>
        <w:rPr>
          <w:rFonts w:hint="eastAsia"/>
          <w:color w:val="auto"/>
          <w:spacing w:val="10"/>
          <w:sz w:val="24"/>
          <w:u w:val="single"/>
        </w:rPr>
        <w:t xml:space="preserve">    </w:t>
      </w:r>
      <w:r>
        <w:rPr>
          <w:rFonts w:hint="eastAsia" w:ascii="Times New Roman" w:hAnsi="Times New Roman"/>
          <w:color w:val="auto"/>
        </w:rPr>
        <w:t>月</w:t>
      </w:r>
      <w:r>
        <w:rPr>
          <w:rFonts w:hint="eastAsia"/>
          <w:color w:val="auto"/>
          <w:spacing w:val="10"/>
          <w:sz w:val="24"/>
          <w:u w:val="single"/>
        </w:rPr>
        <w:t xml:space="preserve">    </w:t>
      </w:r>
      <w:r>
        <w:rPr>
          <w:rFonts w:hint="eastAsia" w:ascii="Times New Roman" w:hAnsi="Times New Roman"/>
          <w:color w:val="auto"/>
        </w:rPr>
        <w:t>日签字生效，委托期限：</w:t>
      </w:r>
      <w:r>
        <w:rPr>
          <w:rFonts w:hint="eastAsia"/>
          <w:color w:val="auto"/>
          <w:spacing w:val="10"/>
          <w:sz w:val="24"/>
          <w:u w:val="single"/>
        </w:rPr>
        <w:t xml:space="preserve">    </w:t>
      </w:r>
      <w:r>
        <w:rPr>
          <w:rFonts w:hint="eastAsia" w:ascii="Times New Roman" w:hAnsi="Times New Roman"/>
          <w:color w:val="auto"/>
        </w:rPr>
        <w:t>。</w:t>
      </w:r>
    </w:p>
    <w:p w14:paraId="37CF63B3">
      <w:pPr>
        <w:pStyle w:val="17"/>
        <w:spacing w:line="360" w:lineRule="auto"/>
        <w:ind w:firstLine="420"/>
        <w:rPr>
          <w:rFonts w:ascii="Times New Roman" w:hAnsi="Times New Roman"/>
          <w:color w:val="auto"/>
        </w:rPr>
      </w:pPr>
      <w:r>
        <w:rPr>
          <w:rFonts w:hint="eastAsia" w:ascii="Times New Roman" w:hAnsi="Times New Roman"/>
          <w:color w:val="auto"/>
        </w:rPr>
        <w:t>代理人无转委托权。</w:t>
      </w:r>
    </w:p>
    <w:p w14:paraId="3C4AF973">
      <w:pPr>
        <w:pStyle w:val="17"/>
        <w:spacing w:line="360" w:lineRule="auto"/>
        <w:ind w:firstLine="420"/>
        <w:rPr>
          <w:rFonts w:ascii="Times New Roman" w:hAnsi="Times New Roman"/>
          <w:color w:val="auto"/>
        </w:rPr>
      </w:pPr>
    </w:p>
    <w:p w14:paraId="2E5CE7EC">
      <w:pPr>
        <w:pStyle w:val="17"/>
        <w:spacing w:line="360" w:lineRule="auto"/>
        <w:ind w:firstLine="420"/>
        <w:rPr>
          <w:rFonts w:ascii="Times New Roman" w:hAnsi="Times New Roman"/>
          <w:color w:val="auto"/>
          <w:u w:val="single"/>
        </w:rPr>
      </w:pPr>
      <w:r>
        <w:rPr>
          <w:rFonts w:hint="eastAsia" w:ascii="Times New Roman" w:hAnsi="Times New Roman"/>
          <w:color w:val="auto"/>
        </w:rPr>
        <w:t>投标人（或联合体投标</w:t>
      </w:r>
      <w:r>
        <w:rPr>
          <w:rFonts w:hint="eastAsia" w:cs="宋体"/>
          <w:color w:val="auto"/>
          <w:kern w:val="0"/>
          <w:szCs w:val="21"/>
        </w:rPr>
        <w:t>牵头人名称</w:t>
      </w:r>
      <w:r>
        <w:rPr>
          <w:rFonts w:hint="eastAsia" w:ascii="Times New Roman" w:hAnsi="Times New Roman"/>
          <w:color w:val="auto"/>
        </w:rPr>
        <w:t>）（盖单位公章）：</w:t>
      </w:r>
      <w:r>
        <w:rPr>
          <w:rFonts w:ascii="Times New Roman" w:hAnsi="Times New Roman"/>
          <w:color w:val="auto"/>
          <w:u w:val="single"/>
        </w:rPr>
        <w:t xml:space="preserve">                             </w:t>
      </w:r>
    </w:p>
    <w:p w14:paraId="7C840897">
      <w:pPr>
        <w:pStyle w:val="17"/>
        <w:spacing w:line="360" w:lineRule="auto"/>
        <w:ind w:firstLine="420"/>
        <w:rPr>
          <w:rFonts w:ascii="Times New Roman" w:hAnsi="Times New Roman"/>
          <w:color w:val="auto"/>
          <w:u w:val="single"/>
        </w:rPr>
      </w:pPr>
      <w:r>
        <w:rPr>
          <w:rFonts w:hint="eastAsia" w:ascii="Times New Roman" w:hAnsi="Times New Roman"/>
          <w:color w:val="auto"/>
        </w:rPr>
        <w:t>法定代表人（签字）：</w:t>
      </w:r>
      <w:r>
        <w:rPr>
          <w:rFonts w:ascii="Times New Roman" w:hAnsi="Times New Roman"/>
          <w:color w:val="auto"/>
          <w:u w:val="single"/>
        </w:rPr>
        <w:t xml:space="preserve">                                </w:t>
      </w:r>
    </w:p>
    <w:p w14:paraId="5F4355AB">
      <w:pPr>
        <w:pStyle w:val="17"/>
        <w:spacing w:line="360" w:lineRule="auto"/>
        <w:ind w:firstLine="420"/>
        <w:rPr>
          <w:rFonts w:ascii="Times New Roman" w:hAnsi="Times New Roman"/>
          <w:color w:val="auto"/>
          <w:u w:val="single"/>
        </w:rPr>
      </w:pPr>
      <w:r>
        <w:rPr>
          <w:rFonts w:hint="eastAsia" w:ascii="Times New Roman" w:hAnsi="Times New Roman"/>
          <w:color w:val="auto"/>
        </w:rPr>
        <w:t>法定代表人身份证号码：</w:t>
      </w:r>
      <w:r>
        <w:rPr>
          <w:rFonts w:ascii="Times New Roman" w:hAnsi="Times New Roman"/>
          <w:color w:val="auto"/>
          <w:u w:val="single"/>
        </w:rPr>
        <w:t xml:space="preserve">                                   </w:t>
      </w:r>
    </w:p>
    <w:p w14:paraId="57257D65">
      <w:pPr>
        <w:pStyle w:val="17"/>
        <w:spacing w:line="360" w:lineRule="auto"/>
        <w:ind w:firstLine="420" w:firstLineChars="200"/>
        <w:rPr>
          <w:rFonts w:ascii="Times New Roman" w:hAnsi="Times New Roman"/>
          <w:color w:val="auto"/>
        </w:rPr>
      </w:pPr>
      <w:r>
        <w:rPr>
          <w:rFonts w:hint="eastAsia" w:ascii="Times New Roman" w:hAnsi="Times New Roman"/>
          <w:color w:val="auto"/>
        </w:rPr>
        <w:t>委托代理人（签字）：</w:t>
      </w:r>
      <w:r>
        <w:rPr>
          <w:rFonts w:ascii="Times New Roman" w:hAnsi="Times New Roman"/>
          <w:color w:val="auto"/>
          <w:u w:val="single"/>
        </w:rPr>
        <w:t xml:space="preserve">                                </w:t>
      </w:r>
    </w:p>
    <w:p w14:paraId="56782318">
      <w:pPr>
        <w:pStyle w:val="17"/>
        <w:spacing w:line="360" w:lineRule="auto"/>
        <w:ind w:firstLine="420"/>
        <w:rPr>
          <w:rFonts w:ascii="Times New Roman" w:hAnsi="Times New Roman"/>
          <w:color w:val="auto"/>
          <w:u w:val="single"/>
        </w:rPr>
      </w:pPr>
      <w:r>
        <w:rPr>
          <w:rFonts w:hint="eastAsia" w:ascii="Times New Roman" w:hAnsi="Times New Roman"/>
          <w:color w:val="auto"/>
        </w:rPr>
        <w:t>委托代理人身份证号码：</w:t>
      </w:r>
      <w:r>
        <w:rPr>
          <w:rFonts w:ascii="Times New Roman" w:hAnsi="Times New Roman"/>
          <w:color w:val="auto"/>
          <w:u w:val="single"/>
        </w:rPr>
        <w:t xml:space="preserve">                                   </w:t>
      </w:r>
    </w:p>
    <w:p w14:paraId="4B5019F4">
      <w:pPr>
        <w:pStyle w:val="17"/>
        <w:spacing w:line="360" w:lineRule="auto"/>
        <w:ind w:firstLine="420"/>
        <w:rPr>
          <w:rFonts w:ascii="Times New Roman" w:hAnsi="Times New Roman"/>
          <w:color w:val="auto"/>
          <w:u w:val="single"/>
        </w:rPr>
      </w:pPr>
    </w:p>
    <w:p w14:paraId="78242FF8">
      <w:pPr>
        <w:pStyle w:val="17"/>
        <w:spacing w:line="360" w:lineRule="auto"/>
        <w:ind w:firstLine="420"/>
        <w:rPr>
          <w:rFonts w:ascii="Times New Roman" w:hAnsi="Times New Roman"/>
          <w:color w:val="auto"/>
          <w:u w:val="single"/>
        </w:rPr>
      </w:pPr>
      <w:r>
        <w:rPr>
          <w:rFonts w:hint="eastAsia" w:cs="宋体"/>
          <w:color w:val="auto"/>
          <w:kern w:val="0"/>
          <w:szCs w:val="21"/>
        </w:rPr>
        <w:t>成员一名称：</w:t>
      </w:r>
      <w:r>
        <w:rPr>
          <w:rFonts w:hint="eastAsia" w:ascii="Times New Roman" w:hAnsi="Times New Roman"/>
          <w:color w:val="auto"/>
        </w:rPr>
        <w:t>（盖单位公章）：</w:t>
      </w:r>
      <w:r>
        <w:rPr>
          <w:rFonts w:ascii="Times New Roman" w:hAnsi="Times New Roman"/>
          <w:color w:val="auto"/>
          <w:u w:val="single"/>
        </w:rPr>
        <w:t xml:space="preserve">                                    </w:t>
      </w:r>
    </w:p>
    <w:p w14:paraId="4EF4EA88">
      <w:pPr>
        <w:pStyle w:val="17"/>
        <w:spacing w:line="360" w:lineRule="auto"/>
        <w:ind w:firstLine="420"/>
        <w:rPr>
          <w:rFonts w:ascii="Times New Roman" w:hAnsi="Times New Roman"/>
          <w:color w:val="auto"/>
          <w:u w:val="single"/>
        </w:rPr>
      </w:pPr>
      <w:r>
        <w:rPr>
          <w:rFonts w:hint="eastAsia" w:ascii="Times New Roman" w:hAnsi="Times New Roman"/>
          <w:color w:val="auto"/>
        </w:rPr>
        <w:t>法定代表人（签字）：</w:t>
      </w:r>
      <w:r>
        <w:rPr>
          <w:rFonts w:ascii="Times New Roman" w:hAnsi="Times New Roman"/>
          <w:color w:val="auto"/>
          <w:u w:val="single"/>
        </w:rPr>
        <w:t xml:space="preserve">                                </w:t>
      </w:r>
    </w:p>
    <w:p w14:paraId="1DE8D1A3">
      <w:pPr>
        <w:pStyle w:val="17"/>
        <w:spacing w:line="360" w:lineRule="auto"/>
        <w:ind w:firstLine="420"/>
        <w:rPr>
          <w:rFonts w:ascii="Times New Roman" w:hAnsi="Times New Roman"/>
          <w:color w:val="auto"/>
          <w:u w:val="single"/>
        </w:rPr>
      </w:pPr>
    </w:p>
    <w:p w14:paraId="2805B899">
      <w:pPr>
        <w:autoSpaceDE w:val="0"/>
        <w:autoSpaceDN w:val="0"/>
        <w:adjustRightInd w:val="0"/>
        <w:spacing w:line="360" w:lineRule="auto"/>
        <w:ind w:firstLine="420" w:firstLineChars="200"/>
        <w:jc w:val="left"/>
        <w:rPr>
          <w:rFonts w:ascii="宋体" w:cs="宋体"/>
          <w:color w:val="auto"/>
          <w:kern w:val="0"/>
          <w:szCs w:val="21"/>
        </w:rPr>
      </w:pPr>
      <w:r>
        <w:rPr>
          <w:rFonts w:hint="eastAsia" w:ascii="宋体" w:cs="宋体"/>
          <w:color w:val="auto"/>
          <w:kern w:val="0"/>
          <w:szCs w:val="21"/>
        </w:rPr>
        <w:t>成员二名称：</w:t>
      </w:r>
      <w:r>
        <w:rPr>
          <w:rFonts w:hint="eastAsia" w:ascii="宋体" w:cs="宋体"/>
          <w:color w:val="auto"/>
          <w:kern w:val="0"/>
          <w:szCs w:val="21"/>
          <w:u w:val="single"/>
        </w:rPr>
        <w:t xml:space="preserve">                                       </w:t>
      </w:r>
      <w:r>
        <w:rPr>
          <w:rFonts w:hint="eastAsia" w:ascii="宋体" w:cs="宋体"/>
          <w:color w:val="auto"/>
          <w:kern w:val="0"/>
          <w:szCs w:val="21"/>
        </w:rPr>
        <w:t>（盖单位公章）</w:t>
      </w:r>
    </w:p>
    <w:p w14:paraId="397A248C">
      <w:pPr>
        <w:autoSpaceDE w:val="0"/>
        <w:autoSpaceDN w:val="0"/>
        <w:adjustRightInd w:val="0"/>
        <w:spacing w:line="360" w:lineRule="auto"/>
        <w:ind w:firstLine="420" w:firstLineChars="200"/>
        <w:jc w:val="left"/>
        <w:rPr>
          <w:rFonts w:ascii="宋体" w:cs="宋体"/>
          <w:color w:val="auto"/>
          <w:kern w:val="0"/>
          <w:szCs w:val="21"/>
        </w:rPr>
      </w:pPr>
      <w:r>
        <w:rPr>
          <w:rFonts w:hint="eastAsia" w:ascii="宋体" w:cs="宋体"/>
          <w:color w:val="auto"/>
          <w:kern w:val="0"/>
          <w:szCs w:val="21"/>
        </w:rPr>
        <w:t>法定代表人或其委托代理人：</w:t>
      </w:r>
      <w:r>
        <w:rPr>
          <w:rFonts w:hint="eastAsia" w:ascii="宋体" w:cs="宋体"/>
          <w:color w:val="auto"/>
          <w:kern w:val="0"/>
          <w:szCs w:val="21"/>
          <w:u w:val="single"/>
        </w:rPr>
        <w:t xml:space="preserve">                         </w:t>
      </w:r>
      <w:r>
        <w:rPr>
          <w:rFonts w:hint="eastAsia" w:ascii="宋体" w:cs="宋体"/>
          <w:color w:val="auto"/>
          <w:kern w:val="0"/>
          <w:szCs w:val="21"/>
        </w:rPr>
        <w:t>（签字）</w:t>
      </w:r>
    </w:p>
    <w:p w14:paraId="719B6C4B">
      <w:pPr>
        <w:pStyle w:val="17"/>
        <w:ind w:firstLine="420" w:firstLineChars="200"/>
        <w:rPr>
          <w:color w:val="auto"/>
        </w:rPr>
      </w:pPr>
      <w:r>
        <w:rPr>
          <w:rFonts w:hint="eastAsia"/>
          <w:color w:val="auto"/>
        </w:rPr>
        <w:t>......</w:t>
      </w:r>
    </w:p>
    <w:p w14:paraId="0894509C">
      <w:pPr>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注：</w:t>
      </w:r>
    </w:p>
    <w:p w14:paraId="7112FA81">
      <w:pPr>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1.法定代表人和委托代理人必须在授权委托书上亲笔签名，不得使用印章、签名章或者其他电子制版签名代替，</w:t>
      </w:r>
      <w:r>
        <w:rPr>
          <w:rFonts w:hint="eastAsia" w:ascii="仿宋_GB2312" w:hAnsi="仿宋_GB2312" w:eastAsia="仿宋_GB2312" w:cs="仿宋_GB2312"/>
          <w:b/>
          <w:bCs/>
          <w:color w:val="auto"/>
          <w:szCs w:val="21"/>
        </w:rPr>
        <w:t>否则作无效投标处理</w:t>
      </w:r>
      <w:r>
        <w:rPr>
          <w:rFonts w:hint="eastAsia" w:ascii="仿宋_GB2312" w:hAnsi="仿宋_GB2312" w:eastAsia="仿宋_GB2312" w:cs="仿宋_GB2312"/>
          <w:color w:val="auto"/>
          <w:szCs w:val="21"/>
        </w:rPr>
        <w:t>；</w:t>
      </w:r>
    </w:p>
    <w:p w14:paraId="55BA4B55">
      <w:pPr>
        <w:spacing w:line="360" w:lineRule="auto"/>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2.以联合体形式投标的，本授权委托书应由联合体牵头人的法定代表人按上述规定签署。</w:t>
      </w:r>
    </w:p>
    <w:p w14:paraId="7500C648">
      <w:pPr>
        <w:snapToGrid w:val="0"/>
        <w:spacing w:before="50" w:after="120" w:afterLines="50" w:line="360" w:lineRule="auto"/>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w:t>
      </w:r>
      <w:r>
        <w:rPr>
          <w:rFonts w:ascii="仿宋_GB2312" w:hAnsi="仿宋_GB2312" w:eastAsia="仿宋_GB2312" w:cs="仿宋_GB2312"/>
          <w:color w:val="auto"/>
          <w:szCs w:val="21"/>
        </w:rPr>
        <w:t>.</w:t>
      </w:r>
      <w:r>
        <w:rPr>
          <w:rFonts w:hint="eastAsia" w:ascii="仿宋_GB2312" w:hAnsi="仿宋_GB2312" w:eastAsia="仿宋_GB2312" w:cs="仿宋_GB2312"/>
          <w:color w:val="auto"/>
          <w:szCs w:val="21"/>
        </w:rPr>
        <w:t xml:space="preserve">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44557E4A">
      <w:pPr>
        <w:snapToGrid w:val="0"/>
        <w:spacing w:before="50" w:after="120" w:afterLines="50" w:line="360" w:lineRule="auto"/>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 若为联合体投标须各方签字或盖章。</w:t>
      </w:r>
    </w:p>
    <w:p w14:paraId="0181DE2A">
      <w:pPr>
        <w:spacing w:line="360" w:lineRule="auto"/>
        <w:rPr>
          <w:rFonts w:ascii="宋体"/>
          <w:b/>
          <w:color w:val="auto"/>
          <w:sz w:val="24"/>
        </w:rPr>
      </w:pPr>
    </w:p>
    <w:p w14:paraId="2582564C">
      <w:pPr>
        <w:spacing w:line="360" w:lineRule="auto"/>
        <w:rPr>
          <w:b/>
          <w:color w:val="auto"/>
          <w:sz w:val="24"/>
        </w:rPr>
      </w:pPr>
      <w:r>
        <w:rPr>
          <w:rFonts w:hint="eastAsia" w:ascii="宋体"/>
          <w:b/>
          <w:color w:val="auto"/>
          <w:sz w:val="24"/>
        </w:rPr>
        <w:t>附件：</w:t>
      </w:r>
    </w:p>
    <w:tbl>
      <w:tblPr>
        <w:tblStyle w:val="34"/>
        <w:tblpPr w:leftFromText="180" w:rightFromText="180" w:vertAnchor="text" w:horzAnchor="margin" w:tblpY="263"/>
        <w:tblW w:w="7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52F8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Pr>
          <w:p w14:paraId="1F937C86">
            <w:pPr>
              <w:spacing w:line="360" w:lineRule="auto"/>
              <w:rPr>
                <w:rFonts w:ascii="宋体"/>
                <w:b/>
                <w:color w:val="auto"/>
                <w:sz w:val="24"/>
              </w:rPr>
            </w:pPr>
          </w:p>
          <w:p w14:paraId="08EAA5FD">
            <w:pPr>
              <w:spacing w:line="360" w:lineRule="auto"/>
              <w:rPr>
                <w:rFonts w:ascii="宋体"/>
                <w:b/>
                <w:color w:val="auto"/>
                <w:sz w:val="24"/>
              </w:rPr>
            </w:pPr>
            <w:r>
              <w:rPr>
                <w:rFonts w:hint="eastAsia" w:ascii="宋体"/>
                <w:b/>
                <w:color w:val="auto"/>
                <w:sz w:val="24"/>
              </w:rPr>
              <w:t>全权代表身份证复印件粘帖处（正、反面）</w:t>
            </w:r>
          </w:p>
        </w:tc>
      </w:tr>
    </w:tbl>
    <w:p w14:paraId="5BD3B899">
      <w:pPr>
        <w:snapToGrid w:val="0"/>
        <w:spacing w:before="50" w:after="120" w:afterLines="50" w:line="360" w:lineRule="auto"/>
        <w:jc w:val="left"/>
        <w:rPr>
          <w:rFonts w:ascii="仿宋_GB2312" w:hAnsi="仿宋_GB2312" w:eastAsia="仿宋_GB2312" w:cs="仿宋_GB2312"/>
          <w:color w:val="auto"/>
          <w:szCs w:val="21"/>
        </w:rPr>
      </w:pPr>
    </w:p>
    <w:p w14:paraId="6BD4F9D6">
      <w:pPr>
        <w:snapToGrid w:val="0"/>
        <w:spacing w:before="120" w:beforeLines="50" w:after="50"/>
        <w:ind w:firstLine="566" w:firstLineChars="236"/>
        <w:jc w:val="center"/>
        <w:rPr>
          <w:rFonts w:ascii="宋体" w:hAnsi="宋体"/>
          <w:color w:val="auto"/>
        </w:rPr>
      </w:pPr>
      <w:r>
        <w:rPr>
          <w:rFonts w:ascii="宋体" w:hAnsi="宋体"/>
          <w:color w:val="auto"/>
          <w:sz w:val="24"/>
        </w:rPr>
        <w:t xml:space="preserve"> </w:t>
      </w:r>
      <w:r>
        <w:rPr>
          <w:rFonts w:ascii="宋体" w:hAnsi="宋体"/>
          <w:color w:val="auto"/>
          <w:sz w:val="24"/>
        </w:rPr>
        <w:br w:type="page"/>
      </w:r>
    </w:p>
    <w:p w14:paraId="642C5669">
      <w:pPr>
        <w:jc w:val="center"/>
        <w:rPr>
          <w:b/>
          <w:bCs/>
          <w:color w:val="auto"/>
          <w:sz w:val="30"/>
          <w:szCs w:val="30"/>
        </w:rPr>
      </w:pPr>
      <w:r>
        <w:rPr>
          <w:rFonts w:hint="eastAsia"/>
          <w:b/>
          <w:bCs/>
          <w:color w:val="auto"/>
          <w:sz w:val="30"/>
          <w:szCs w:val="30"/>
        </w:rPr>
        <w:t>四、商务条款偏离表</w:t>
      </w:r>
    </w:p>
    <w:p w14:paraId="22B0A374">
      <w:pPr>
        <w:jc w:val="center"/>
        <w:rPr>
          <w:rFonts w:ascii="宋体" w:hAnsi="宋体"/>
          <w:b/>
          <w:color w:val="auto"/>
          <w:sz w:val="24"/>
          <w:szCs w:val="20"/>
        </w:rPr>
      </w:pPr>
      <w:r>
        <w:rPr>
          <w:rFonts w:hint="eastAsia" w:ascii="宋体" w:hAnsi="宋体"/>
          <w:color w:val="auto"/>
          <w:sz w:val="30"/>
          <w:szCs w:val="20"/>
        </w:rPr>
        <w:t>(注：按项目需求表具体项目修改)</w:t>
      </w:r>
    </w:p>
    <w:p w14:paraId="7E8B501F">
      <w:pPr>
        <w:snapToGrid w:val="0"/>
        <w:spacing w:before="50"/>
        <w:jc w:val="left"/>
        <w:rPr>
          <w:rFonts w:ascii="宋体" w:hAnsi="宋体"/>
          <w:color w:val="auto"/>
          <w:sz w:val="24"/>
        </w:rPr>
      </w:pPr>
    </w:p>
    <w:p w14:paraId="68A1C0C6">
      <w:pPr>
        <w:pStyle w:val="17"/>
        <w:spacing w:line="360" w:lineRule="auto"/>
        <w:ind w:left="-424" w:leftChars="-202" w:firstLine="846"/>
        <w:rPr>
          <w:rFonts w:hAnsi="宋体"/>
          <w:color w:val="auto"/>
          <w:sz w:val="24"/>
          <w:szCs w:val="24"/>
        </w:rPr>
      </w:pPr>
      <w:r>
        <w:rPr>
          <w:rFonts w:hint="eastAsia" w:ascii="Times New Roman" w:hAnsi="Times New Roman"/>
          <w:color w:val="auto"/>
        </w:rPr>
        <w:t>请逐条对应本项目招标文件第二章“货物需求一览表”中“商务条款”的要求，详细填写相应的具体内容。“偏离说明”一栏应当选择“正偏离”、“负偏离”或“无偏离”进行填写。</w:t>
      </w:r>
    </w:p>
    <w:tbl>
      <w:tblPr>
        <w:tblStyle w:val="34"/>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776B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7C5D08F2">
            <w:pPr>
              <w:spacing w:line="340" w:lineRule="exact"/>
              <w:jc w:val="center"/>
              <w:rPr>
                <w:rFonts w:ascii="宋体" w:hAnsi="宋体"/>
                <w:color w:val="auto"/>
                <w:szCs w:val="21"/>
              </w:rPr>
            </w:pPr>
            <w:r>
              <w:rPr>
                <w:rFonts w:hint="eastAsia" w:ascii="宋体" w:hAnsi="宋体"/>
                <w:color w:val="auto"/>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02A5A092">
            <w:pPr>
              <w:spacing w:line="340" w:lineRule="exact"/>
              <w:jc w:val="center"/>
              <w:rPr>
                <w:rFonts w:ascii="宋体" w:hAnsi="宋体"/>
                <w:color w:val="auto"/>
                <w:szCs w:val="21"/>
              </w:rPr>
            </w:pPr>
            <w:r>
              <w:rPr>
                <w:rFonts w:hint="eastAsia" w:ascii="宋体" w:hAnsi="宋体"/>
                <w:color w:val="auto"/>
                <w:szCs w:val="21"/>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6DAB75F3">
            <w:pPr>
              <w:spacing w:line="340" w:lineRule="exact"/>
              <w:jc w:val="center"/>
              <w:rPr>
                <w:rFonts w:ascii="宋体" w:hAnsi="宋体"/>
                <w:color w:val="auto"/>
                <w:szCs w:val="21"/>
              </w:rPr>
            </w:pPr>
            <w:r>
              <w:rPr>
                <w:rFonts w:hint="eastAsia" w:ascii="宋体" w:hAnsi="宋体"/>
                <w:color w:val="auto"/>
                <w:szCs w:val="21"/>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588DDBD0">
            <w:pPr>
              <w:spacing w:line="340" w:lineRule="exact"/>
              <w:jc w:val="center"/>
              <w:rPr>
                <w:rFonts w:ascii="宋体" w:hAnsi="宋体"/>
                <w:color w:val="auto"/>
                <w:szCs w:val="21"/>
              </w:rPr>
            </w:pPr>
            <w:r>
              <w:rPr>
                <w:rFonts w:hint="eastAsia" w:ascii="宋体" w:hAnsi="宋体"/>
                <w:color w:val="auto"/>
                <w:szCs w:val="21"/>
              </w:rPr>
              <w:t>偏离说明</w:t>
            </w:r>
          </w:p>
        </w:tc>
      </w:tr>
      <w:tr w14:paraId="5FB7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7F1F32C3">
            <w:pPr>
              <w:spacing w:line="340" w:lineRule="exact"/>
              <w:rPr>
                <w:rFonts w:ascii="宋体" w:hAnsi="宋体"/>
                <w:color w:val="auto"/>
                <w:szCs w:val="21"/>
              </w:rPr>
            </w:pPr>
            <w:r>
              <w:rPr>
                <w:rFonts w:hint="eastAsia" w:ascii="宋体" w:hAnsi="宋体"/>
                <w:color w:val="auto"/>
                <w:szCs w:val="21"/>
              </w:rPr>
              <w:t>一</w:t>
            </w:r>
          </w:p>
        </w:tc>
        <w:tc>
          <w:tcPr>
            <w:tcW w:w="3926" w:type="dxa"/>
            <w:tcBorders>
              <w:top w:val="single" w:color="auto" w:sz="4" w:space="0"/>
              <w:left w:val="single" w:color="auto" w:sz="4" w:space="0"/>
              <w:bottom w:val="single" w:color="auto" w:sz="4" w:space="0"/>
              <w:right w:val="single" w:color="auto" w:sz="4" w:space="0"/>
            </w:tcBorders>
          </w:tcPr>
          <w:p w14:paraId="6D805664">
            <w:pPr>
              <w:spacing w:line="340" w:lineRule="exact"/>
              <w:rPr>
                <w:rFonts w:ascii="宋体" w:hAnsi="宋体"/>
                <w:color w:val="auto"/>
                <w:szCs w:val="21"/>
              </w:rPr>
            </w:pPr>
            <w:r>
              <w:rPr>
                <w:rFonts w:hint="eastAsia" w:ascii="宋体" w:hAnsi="宋体"/>
                <w:color w:val="auto"/>
                <w:szCs w:val="21"/>
              </w:rPr>
              <w:t>1  ……</w:t>
            </w:r>
          </w:p>
          <w:p w14:paraId="50DBEB97">
            <w:pPr>
              <w:spacing w:line="340" w:lineRule="exact"/>
              <w:rPr>
                <w:rFonts w:ascii="宋体" w:hAnsi="宋体"/>
                <w:color w:val="auto"/>
                <w:szCs w:val="21"/>
              </w:rPr>
            </w:pPr>
            <w:r>
              <w:rPr>
                <w:rFonts w:hint="eastAsia" w:ascii="宋体" w:hAnsi="宋体"/>
                <w:color w:val="auto"/>
                <w:szCs w:val="21"/>
              </w:rPr>
              <w:t>2  ……</w:t>
            </w:r>
          </w:p>
          <w:p w14:paraId="243D4CE6">
            <w:pPr>
              <w:spacing w:line="340" w:lineRule="exact"/>
              <w:rPr>
                <w:rFonts w:ascii="宋体" w:hAnsi="宋体"/>
                <w:color w:val="auto"/>
                <w:szCs w:val="21"/>
              </w:rPr>
            </w:pPr>
            <w:r>
              <w:rPr>
                <w:rFonts w:hint="eastAsia" w:ascii="宋体" w:hAnsi="宋体"/>
                <w:color w:val="auto"/>
                <w:szCs w:val="21"/>
              </w:rPr>
              <w:t>3  ……</w:t>
            </w:r>
          </w:p>
          <w:p w14:paraId="3BD42BEC">
            <w:pPr>
              <w:spacing w:line="340" w:lineRule="exact"/>
              <w:rPr>
                <w:rFonts w:ascii="宋体" w:hAnsi="宋体"/>
                <w:color w:val="auto"/>
                <w:szCs w:val="21"/>
              </w:rPr>
            </w:pPr>
            <w:r>
              <w:rPr>
                <w:rFonts w:hint="eastAsia" w:ascii="宋体" w:hAnsi="宋体"/>
                <w:color w:val="auto"/>
                <w:szCs w:val="21"/>
              </w:rPr>
              <w:t>……</w:t>
            </w:r>
          </w:p>
        </w:tc>
        <w:tc>
          <w:tcPr>
            <w:tcW w:w="3589" w:type="dxa"/>
            <w:tcBorders>
              <w:top w:val="single" w:color="auto" w:sz="4" w:space="0"/>
              <w:left w:val="single" w:color="auto" w:sz="4" w:space="0"/>
              <w:bottom w:val="single" w:color="auto" w:sz="4" w:space="0"/>
              <w:right w:val="single" w:color="auto" w:sz="4" w:space="0"/>
            </w:tcBorders>
          </w:tcPr>
          <w:p w14:paraId="44A8189F">
            <w:pPr>
              <w:spacing w:line="340" w:lineRule="exact"/>
              <w:rPr>
                <w:rFonts w:ascii="宋体" w:hAnsi="宋体"/>
                <w:color w:val="auto"/>
                <w:szCs w:val="21"/>
              </w:rPr>
            </w:pPr>
            <w:r>
              <w:rPr>
                <w:rFonts w:hint="eastAsia" w:ascii="宋体" w:hAnsi="宋体"/>
                <w:color w:val="auto"/>
                <w:szCs w:val="21"/>
              </w:rPr>
              <w:t>1  ……</w:t>
            </w:r>
          </w:p>
          <w:p w14:paraId="5A865D9F">
            <w:pPr>
              <w:spacing w:line="340" w:lineRule="exact"/>
              <w:rPr>
                <w:rFonts w:ascii="宋体" w:hAnsi="宋体"/>
                <w:color w:val="auto"/>
                <w:szCs w:val="21"/>
              </w:rPr>
            </w:pPr>
            <w:r>
              <w:rPr>
                <w:rFonts w:hint="eastAsia" w:ascii="宋体" w:hAnsi="宋体"/>
                <w:color w:val="auto"/>
                <w:szCs w:val="21"/>
              </w:rPr>
              <w:t>2  ……</w:t>
            </w:r>
          </w:p>
          <w:p w14:paraId="19DA0092">
            <w:pPr>
              <w:spacing w:line="340" w:lineRule="exact"/>
              <w:rPr>
                <w:rFonts w:ascii="宋体" w:hAnsi="宋体"/>
                <w:color w:val="auto"/>
                <w:szCs w:val="21"/>
              </w:rPr>
            </w:pPr>
            <w:r>
              <w:rPr>
                <w:rFonts w:hint="eastAsia" w:ascii="宋体" w:hAnsi="宋体"/>
                <w:color w:val="auto"/>
                <w:szCs w:val="21"/>
              </w:rPr>
              <w:t>3  ……</w:t>
            </w:r>
          </w:p>
          <w:p w14:paraId="66969E8F">
            <w:pPr>
              <w:spacing w:line="340" w:lineRule="exact"/>
              <w:rPr>
                <w:rFonts w:ascii="宋体" w:hAnsi="宋体"/>
                <w:color w:val="auto"/>
                <w:szCs w:val="21"/>
              </w:rPr>
            </w:pPr>
            <w:r>
              <w:rPr>
                <w:rFonts w:hint="eastAsia" w:ascii="宋体" w:hAnsi="宋体"/>
                <w:color w:val="auto"/>
                <w:szCs w:val="21"/>
              </w:rPr>
              <w:t>……</w:t>
            </w:r>
          </w:p>
        </w:tc>
        <w:tc>
          <w:tcPr>
            <w:tcW w:w="1274" w:type="dxa"/>
            <w:tcBorders>
              <w:top w:val="single" w:color="auto" w:sz="4" w:space="0"/>
              <w:left w:val="single" w:color="auto" w:sz="4" w:space="0"/>
              <w:bottom w:val="single" w:color="auto" w:sz="4" w:space="0"/>
              <w:right w:val="single" w:color="auto" w:sz="4" w:space="0"/>
            </w:tcBorders>
          </w:tcPr>
          <w:p w14:paraId="3D1C5C0E">
            <w:pPr>
              <w:spacing w:line="300" w:lineRule="exact"/>
              <w:rPr>
                <w:rFonts w:ascii="宋体" w:hAnsi="宋体"/>
                <w:color w:val="auto"/>
                <w:szCs w:val="21"/>
              </w:rPr>
            </w:pPr>
            <w:r>
              <w:rPr>
                <w:rFonts w:hint="eastAsia" w:ascii="宋体" w:hAnsi="宋体"/>
                <w:color w:val="auto"/>
                <w:szCs w:val="21"/>
              </w:rPr>
              <w:t>正偏离（负偏离或无偏离）</w:t>
            </w:r>
          </w:p>
        </w:tc>
      </w:tr>
      <w:tr w14:paraId="41AF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0C20DB4E">
            <w:pPr>
              <w:spacing w:line="340" w:lineRule="exact"/>
              <w:rPr>
                <w:rFonts w:ascii="宋体" w:hAnsi="宋体"/>
                <w:color w:val="auto"/>
                <w:szCs w:val="21"/>
              </w:rPr>
            </w:pPr>
            <w:r>
              <w:rPr>
                <w:rFonts w:hint="eastAsia" w:ascii="宋体" w:hAnsi="宋体"/>
                <w:color w:val="auto"/>
                <w:szCs w:val="21"/>
              </w:rPr>
              <w:t>二</w:t>
            </w:r>
          </w:p>
        </w:tc>
        <w:tc>
          <w:tcPr>
            <w:tcW w:w="3926" w:type="dxa"/>
            <w:tcBorders>
              <w:top w:val="single" w:color="auto" w:sz="4" w:space="0"/>
              <w:left w:val="single" w:color="auto" w:sz="4" w:space="0"/>
              <w:bottom w:val="single" w:color="auto" w:sz="4" w:space="0"/>
              <w:right w:val="single" w:color="auto" w:sz="4" w:space="0"/>
            </w:tcBorders>
          </w:tcPr>
          <w:p w14:paraId="3A47206C">
            <w:pPr>
              <w:spacing w:line="340" w:lineRule="exact"/>
              <w:rPr>
                <w:rFonts w:ascii="宋体" w:hAnsi="宋体"/>
                <w:color w:val="auto"/>
                <w:szCs w:val="21"/>
              </w:rPr>
            </w:pPr>
            <w:r>
              <w:rPr>
                <w:rFonts w:hint="eastAsia" w:ascii="宋体" w:hAnsi="宋体"/>
                <w:color w:val="auto"/>
                <w:szCs w:val="21"/>
              </w:rPr>
              <w:t>1  ……</w:t>
            </w:r>
          </w:p>
          <w:p w14:paraId="6F02F187">
            <w:pPr>
              <w:spacing w:line="340" w:lineRule="exact"/>
              <w:rPr>
                <w:rFonts w:ascii="宋体" w:hAnsi="宋体"/>
                <w:color w:val="auto"/>
                <w:szCs w:val="21"/>
              </w:rPr>
            </w:pPr>
            <w:r>
              <w:rPr>
                <w:rFonts w:hint="eastAsia" w:ascii="宋体" w:hAnsi="宋体"/>
                <w:color w:val="auto"/>
                <w:szCs w:val="21"/>
              </w:rPr>
              <w:t>2  ……</w:t>
            </w:r>
          </w:p>
          <w:p w14:paraId="784F99C0">
            <w:pPr>
              <w:spacing w:line="340" w:lineRule="exact"/>
              <w:rPr>
                <w:rFonts w:ascii="宋体" w:hAnsi="宋体"/>
                <w:color w:val="auto"/>
                <w:szCs w:val="21"/>
              </w:rPr>
            </w:pPr>
            <w:r>
              <w:rPr>
                <w:rFonts w:hint="eastAsia" w:ascii="宋体" w:hAnsi="宋体"/>
                <w:color w:val="auto"/>
                <w:szCs w:val="21"/>
              </w:rPr>
              <w:t>3  ……</w:t>
            </w:r>
          </w:p>
          <w:p w14:paraId="7ACE6368">
            <w:pPr>
              <w:spacing w:line="340" w:lineRule="exact"/>
              <w:rPr>
                <w:rFonts w:ascii="宋体" w:hAnsi="宋体"/>
                <w:color w:val="auto"/>
                <w:szCs w:val="21"/>
              </w:rPr>
            </w:pPr>
            <w:r>
              <w:rPr>
                <w:rFonts w:hint="eastAsia" w:ascii="宋体" w:hAnsi="宋体"/>
                <w:color w:val="auto"/>
                <w:szCs w:val="21"/>
              </w:rPr>
              <w:t>……</w:t>
            </w:r>
          </w:p>
        </w:tc>
        <w:tc>
          <w:tcPr>
            <w:tcW w:w="3589" w:type="dxa"/>
            <w:tcBorders>
              <w:top w:val="single" w:color="auto" w:sz="4" w:space="0"/>
              <w:left w:val="single" w:color="auto" w:sz="4" w:space="0"/>
              <w:bottom w:val="single" w:color="auto" w:sz="4" w:space="0"/>
              <w:right w:val="single" w:color="auto" w:sz="4" w:space="0"/>
            </w:tcBorders>
          </w:tcPr>
          <w:p w14:paraId="608AF3AE">
            <w:pPr>
              <w:spacing w:line="340" w:lineRule="exact"/>
              <w:rPr>
                <w:rFonts w:ascii="宋体" w:hAnsi="宋体"/>
                <w:color w:val="auto"/>
                <w:szCs w:val="21"/>
              </w:rPr>
            </w:pPr>
            <w:r>
              <w:rPr>
                <w:rFonts w:hint="eastAsia" w:ascii="宋体" w:hAnsi="宋体"/>
                <w:color w:val="auto"/>
                <w:szCs w:val="21"/>
              </w:rPr>
              <w:t>1  ……</w:t>
            </w:r>
          </w:p>
          <w:p w14:paraId="4483A169">
            <w:pPr>
              <w:spacing w:line="340" w:lineRule="exact"/>
              <w:rPr>
                <w:rFonts w:ascii="宋体" w:hAnsi="宋体"/>
                <w:color w:val="auto"/>
                <w:szCs w:val="21"/>
              </w:rPr>
            </w:pPr>
            <w:r>
              <w:rPr>
                <w:rFonts w:hint="eastAsia" w:ascii="宋体" w:hAnsi="宋体"/>
                <w:color w:val="auto"/>
                <w:szCs w:val="21"/>
              </w:rPr>
              <w:t>2  ……</w:t>
            </w:r>
          </w:p>
          <w:p w14:paraId="444EC115">
            <w:pPr>
              <w:spacing w:line="340" w:lineRule="exact"/>
              <w:rPr>
                <w:rFonts w:ascii="宋体" w:hAnsi="宋体"/>
                <w:color w:val="auto"/>
                <w:szCs w:val="21"/>
              </w:rPr>
            </w:pPr>
            <w:r>
              <w:rPr>
                <w:rFonts w:hint="eastAsia" w:ascii="宋体" w:hAnsi="宋体"/>
                <w:color w:val="auto"/>
                <w:szCs w:val="21"/>
              </w:rPr>
              <w:t>3  ……</w:t>
            </w:r>
          </w:p>
          <w:p w14:paraId="27B3839F">
            <w:pPr>
              <w:spacing w:line="340" w:lineRule="exact"/>
              <w:rPr>
                <w:rFonts w:ascii="宋体" w:hAnsi="宋体"/>
                <w:color w:val="auto"/>
                <w:szCs w:val="21"/>
              </w:rPr>
            </w:pPr>
            <w:r>
              <w:rPr>
                <w:rFonts w:hint="eastAsia" w:ascii="宋体" w:hAnsi="宋体"/>
                <w:color w:val="auto"/>
                <w:szCs w:val="21"/>
              </w:rPr>
              <w:t>……</w:t>
            </w:r>
          </w:p>
        </w:tc>
        <w:tc>
          <w:tcPr>
            <w:tcW w:w="1274" w:type="dxa"/>
            <w:tcBorders>
              <w:top w:val="single" w:color="auto" w:sz="4" w:space="0"/>
              <w:left w:val="single" w:color="auto" w:sz="4" w:space="0"/>
              <w:bottom w:val="single" w:color="auto" w:sz="4" w:space="0"/>
              <w:right w:val="single" w:color="auto" w:sz="4" w:space="0"/>
            </w:tcBorders>
          </w:tcPr>
          <w:p w14:paraId="5443CC98">
            <w:pPr>
              <w:spacing w:line="300" w:lineRule="exact"/>
              <w:rPr>
                <w:rFonts w:ascii="宋体" w:hAnsi="宋体"/>
                <w:color w:val="auto"/>
                <w:szCs w:val="21"/>
              </w:rPr>
            </w:pPr>
            <w:r>
              <w:rPr>
                <w:rFonts w:hint="eastAsia" w:ascii="宋体" w:hAnsi="宋体"/>
                <w:color w:val="auto"/>
                <w:szCs w:val="21"/>
              </w:rPr>
              <w:t>正偏离（负偏离或无偏离）</w:t>
            </w:r>
          </w:p>
        </w:tc>
      </w:tr>
      <w:tr w14:paraId="218F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78618150">
            <w:pPr>
              <w:spacing w:line="340" w:lineRule="exact"/>
              <w:rPr>
                <w:rFonts w:ascii="宋体" w:hAnsi="宋体"/>
                <w:color w:val="auto"/>
                <w:szCs w:val="21"/>
              </w:rPr>
            </w:pPr>
            <w:r>
              <w:rPr>
                <w:rFonts w:hint="eastAsia" w:ascii="宋体" w:hAnsi="宋体"/>
                <w:color w:val="auto"/>
                <w:szCs w:val="21"/>
              </w:rPr>
              <w:t>...</w:t>
            </w:r>
          </w:p>
        </w:tc>
        <w:tc>
          <w:tcPr>
            <w:tcW w:w="3926" w:type="dxa"/>
            <w:tcBorders>
              <w:top w:val="single" w:color="auto" w:sz="4" w:space="0"/>
              <w:left w:val="single" w:color="auto" w:sz="4" w:space="0"/>
              <w:bottom w:val="single" w:color="auto" w:sz="4" w:space="0"/>
              <w:right w:val="single" w:color="auto" w:sz="4" w:space="0"/>
            </w:tcBorders>
          </w:tcPr>
          <w:p w14:paraId="076C2034">
            <w:pPr>
              <w:spacing w:line="340" w:lineRule="exact"/>
              <w:rPr>
                <w:rFonts w:ascii="宋体" w:hAnsi="宋体"/>
                <w:color w:val="auto"/>
                <w:szCs w:val="21"/>
              </w:rPr>
            </w:pPr>
            <w:r>
              <w:rPr>
                <w:rFonts w:hint="eastAsia" w:ascii="宋体" w:hAnsi="宋体"/>
                <w:color w:val="auto"/>
                <w:szCs w:val="21"/>
              </w:rPr>
              <w:t>1  ……</w:t>
            </w:r>
          </w:p>
          <w:p w14:paraId="0FF67D48">
            <w:pPr>
              <w:spacing w:line="340" w:lineRule="exact"/>
              <w:rPr>
                <w:rFonts w:ascii="宋体" w:hAnsi="宋体"/>
                <w:color w:val="auto"/>
                <w:szCs w:val="21"/>
              </w:rPr>
            </w:pPr>
            <w:r>
              <w:rPr>
                <w:rFonts w:hint="eastAsia" w:ascii="宋体" w:hAnsi="宋体"/>
                <w:color w:val="auto"/>
                <w:szCs w:val="21"/>
              </w:rPr>
              <w:t>2  ……</w:t>
            </w:r>
          </w:p>
          <w:p w14:paraId="0D5F4242">
            <w:pPr>
              <w:spacing w:line="340" w:lineRule="exact"/>
              <w:rPr>
                <w:rFonts w:ascii="宋体" w:hAnsi="宋体"/>
                <w:color w:val="auto"/>
                <w:szCs w:val="21"/>
              </w:rPr>
            </w:pPr>
            <w:r>
              <w:rPr>
                <w:rFonts w:hint="eastAsia" w:ascii="宋体" w:hAnsi="宋体"/>
                <w:color w:val="auto"/>
                <w:szCs w:val="21"/>
              </w:rPr>
              <w:t>3  ……</w:t>
            </w:r>
          </w:p>
          <w:p w14:paraId="4ABE74F1">
            <w:pPr>
              <w:spacing w:line="340" w:lineRule="exact"/>
              <w:rPr>
                <w:rFonts w:ascii="宋体" w:hAnsi="宋体"/>
                <w:color w:val="auto"/>
                <w:szCs w:val="21"/>
              </w:rPr>
            </w:pPr>
            <w:r>
              <w:rPr>
                <w:rFonts w:hint="eastAsia" w:ascii="宋体" w:hAnsi="宋体"/>
                <w:color w:val="auto"/>
                <w:szCs w:val="21"/>
              </w:rPr>
              <w:t>……</w:t>
            </w:r>
          </w:p>
        </w:tc>
        <w:tc>
          <w:tcPr>
            <w:tcW w:w="3589" w:type="dxa"/>
            <w:tcBorders>
              <w:top w:val="single" w:color="auto" w:sz="4" w:space="0"/>
              <w:left w:val="single" w:color="auto" w:sz="4" w:space="0"/>
              <w:bottom w:val="single" w:color="auto" w:sz="4" w:space="0"/>
              <w:right w:val="single" w:color="auto" w:sz="4" w:space="0"/>
            </w:tcBorders>
          </w:tcPr>
          <w:p w14:paraId="4442C60D">
            <w:pPr>
              <w:spacing w:line="340" w:lineRule="exact"/>
              <w:rPr>
                <w:rFonts w:ascii="宋体" w:hAnsi="宋体"/>
                <w:color w:val="auto"/>
                <w:szCs w:val="21"/>
              </w:rPr>
            </w:pPr>
            <w:r>
              <w:rPr>
                <w:rFonts w:hint="eastAsia" w:ascii="宋体" w:hAnsi="宋体"/>
                <w:color w:val="auto"/>
                <w:szCs w:val="21"/>
              </w:rPr>
              <w:t>1  ……</w:t>
            </w:r>
          </w:p>
          <w:p w14:paraId="12D22D9B">
            <w:pPr>
              <w:spacing w:line="340" w:lineRule="exact"/>
              <w:rPr>
                <w:rFonts w:ascii="宋体" w:hAnsi="宋体"/>
                <w:color w:val="auto"/>
                <w:szCs w:val="21"/>
              </w:rPr>
            </w:pPr>
            <w:r>
              <w:rPr>
                <w:rFonts w:hint="eastAsia" w:ascii="宋体" w:hAnsi="宋体"/>
                <w:color w:val="auto"/>
                <w:szCs w:val="21"/>
              </w:rPr>
              <w:t>2  ……</w:t>
            </w:r>
          </w:p>
          <w:p w14:paraId="3E024AD4">
            <w:pPr>
              <w:spacing w:line="340" w:lineRule="exact"/>
              <w:rPr>
                <w:rFonts w:ascii="宋体" w:hAnsi="宋体"/>
                <w:color w:val="auto"/>
                <w:szCs w:val="21"/>
              </w:rPr>
            </w:pPr>
            <w:r>
              <w:rPr>
                <w:rFonts w:hint="eastAsia" w:ascii="宋体" w:hAnsi="宋体"/>
                <w:color w:val="auto"/>
                <w:szCs w:val="21"/>
              </w:rPr>
              <w:t>3  ……</w:t>
            </w:r>
          </w:p>
          <w:p w14:paraId="2734DDB0">
            <w:pPr>
              <w:spacing w:line="340" w:lineRule="exact"/>
              <w:rPr>
                <w:rFonts w:ascii="宋体" w:hAnsi="宋体"/>
                <w:color w:val="auto"/>
                <w:szCs w:val="21"/>
              </w:rPr>
            </w:pPr>
            <w:r>
              <w:rPr>
                <w:rFonts w:hint="eastAsia" w:ascii="宋体" w:hAnsi="宋体"/>
                <w:color w:val="auto"/>
                <w:szCs w:val="21"/>
              </w:rPr>
              <w:t>……</w:t>
            </w:r>
          </w:p>
        </w:tc>
        <w:tc>
          <w:tcPr>
            <w:tcW w:w="1274" w:type="dxa"/>
            <w:tcBorders>
              <w:top w:val="single" w:color="auto" w:sz="4" w:space="0"/>
              <w:left w:val="single" w:color="auto" w:sz="4" w:space="0"/>
              <w:bottom w:val="single" w:color="auto" w:sz="4" w:space="0"/>
              <w:right w:val="single" w:color="auto" w:sz="4" w:space="0"/>
            </w:tcBorders>
          </w:tcPr>
          <w:p w14:paraId="6804779B">
            <w:pPr>
              <w:spacing w:line="300" w:lineRule="exact"/>
              <w:rPr>
                <w:rFonts w:ascii="宋体" w:hAnsi="宋体"/>
                <w:color w:val="auto"/>
                <w:szCs w:val="21"/>
              </w:rPr>
            </w:pPr>
            <w:r>
              <w:rPr>
                <w:rFonts w:hint="eastAsia" w:ascii="宋体" w:hAnsi="宋体"/>
                <w:color w:val="auto"/>
                <w:szCs w:val="21"/>
              </w:rPr>
              <w:t>正偏离（负偏离或无偏离）</w:t>
            </w:r>
          </w:p>
        </w:tc>
      </w:tr>
      <w:tr w14:paraId="485F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14:paraId="699BA52A">
            <w:pPr>
              <w:spacing w:line="340" w:lineRule="exact"/>
              <w:rPr>
                <w:rFonts w:ascii="宋体" w:hAnsi="宋体"/>
                <w:color w:val="auto"/>
                <w:szCs w:val="21"/>
              </w:rPr>
            </w:pPr>
            <w:r>
              <w:rPr>
                <w:rFonts w:hint="eastAsia" w:ascii="宋体" w:hAnsi="宋体"/>
                <w:color w:val="auto"/>
                <w:szCs w:val="21"/>
                <w:u w:val="single"/>
              </w:rPr>
              <w:t>　　</w:t>
            </w:r>
            <w:r>
              <w:rPr>
                <w:rFonts w:hint="eastAsia" w:ascii="宋体" w:hAnsi="宋体"/>
                <w:color w:val="auto"/>
                <w:szCs w:val="21"/>
              </w:rPr>
              <w:t>分标（此处有分标时填写具体分标号，无分标时填写“无”）</w:t>
            </w:r>
          </w:p>
        </w:tc>
      </w:tr>
    </w:tbl>
    <w:p w14:paraId="7390FC1C">
      <w:pPr>
        <w:pStyle w:val="17"/>
        <w:spacing w:line="360" w:lineRule="auto"/>
        <w:ind w:left="-708" w:leftChars="-337"/>
        <w:rPr>
          <w:rFonts w:ascii="Times New Roman" w:hAnsi="Times New Roman"/>
          <w:color w:val="auto"/>
        </w:rPr>
      </w:pPr>
    </w:p>
    <w:p w14:paraId="005BC29D">
      <w:pPr>
        <w:pStyle w:val="17"/>
        <w:spacing w:line="360" w:lineRule="auto"/>
        <w:ind w:left="-708" w:leftChars="-337"/>
        <w:rPr>
          <w:rFonts w:ascii="Times New Roman" w:hAnsi="Times New Roman"/>
          <w:color w:val="auto"/>
        </w:rPr>
      </w:pPr>
      <w:r>
        <w:rPr>
          <w:rFonts w:hint="eastAsia" w:ascii="Times New Roman" w:hAnsi="Times New Roman"/>
          <w:color w:val="auto"/>
        </w:rPr>
        <w:t>注：</w:t>
      </w:r>
    </w:p>
    <w:p w14:paraId="464B5E0B">
      <w:pPr>
        <w:pStyle w:val="17"/>
        <w:spacing w:line="360" w:lineRule="auto"/>
        <w:ind w:left="-708" w:leftChars="-337" w:firstLine="420" w:firstLineChars="200"/>
        <w:rPr>
          <w:rFonts w:ascii="Times New Roman" w:hAnsi="Times New Roman"/>
          <w:color w:val="auto"/>
        </w:rPr>
      </w:pPr>
      <w:r>
        <w:rPr>
          <w:rFonts w:hint="eastAsia" w:ascii="Times New Roman" w:hAnsi="Times New Roman"/>
          <w:color w:val="auto"/>
        </w:rPr>
        <w:t>1.表格内容均需按要求填写并盖章，不得留空，否则按投标无效处理。</w:t>
      </w:r>
    </w:p>
    <w:p w14:paraId="4478902E">
      <w:pPr>
        <w:pStyle w:val="17"/>
        <w:spacing w:line="360" w:lineRule="auto"/>
        <w:ind w:left="-603" w:leftChars="-287" w:firstLine="315" w:firstLineChars="150"/>
        <w:rPr>
          <w:rFonts w:ascii="Times New Roman" w:hAnsi="Times New Roman"/>
          <w:color w:val="auto"/>
        </w:rPr>
      </w:pPr>
      <w:r>
        <w:rPr>
          <w:rFonts w:hint="eastAsia" w:ascii="Times New Roman" w:hAnsi="Times New Roman"/>
          <w:color w:val="auto"/>
        </w:rPr>
        <w:t>2.如果招标文件需求为小于或大于某个数值标准时，投标文件承诺不得直接复制招标文件需求，投标文件承诺内容应当写明投标货物具体参数或商务响应承诺的具体数值，否则按投标无效处理。</w:t>
      </w:r>
    </w:p>
    <w:p w14:paraId="18A62E3F">
      <w:pPr>
        <w:pStyle w:val="17"/>
        <w:spacing w:line="360" w:lineRule="auto"/>
        <w:ind w:left="-708" w:leftChars="-337" w:firstLine="420" w:firstLineChars="200"/>
        <w:rPr>
          <w:rFonts w:ascii="Times New Roman" w:hAnsi="Times New Roman"/>
          <w:color w:val="auto"/>
        </w:rPr>
      </w:pPr>
      <w:r>
        <w:rPr>
          <w:rFonts w:hint="eastAsia" w:ascii="Times New Roman" w:hAnsi="Times New Roman"/>
          <w:color w:val="auto"/>
        </w:rPr>
        <w:t>3.当投标文件的商务内容低于招标文件要求时，投标人应当如实写明“负偏离”，否则视为虚假应标。</w:t>
      </w:r>
    </w:p>
    <w:p w14:paraId="72794045">
      <w:pPr>
        <w:pStyle w:val="17"/>
        <w:spacing w:line="360" w:lineRule="auto"/>
        <w:ind w:left="-708" w:leftChars="-337" w:firstLine="420" w:firstLineChars="200"/>
        <w:rPr>
          <w:rFonts w:ascii="Times New Roman" w:hAnsi="Times New Roman"/>
          <w:color w:val="auto"/>
        </w:rPr>
      </w:pPr>
      <w:r>
        <w:rPr>
          <w:rFonts w:hint="eastAsia" w:hAnsi="宋体" w:cs="宋体"/>
          <w:color w:val="auto"/>
          <w:szCs w:val="21"/>
        </w:rPr>
        <w:t>4.采购需求中带“▲”及“★”的条款，也要分别在本表“</w:t>
      </w:r>
      <w:r>
        <w:rPr>
          <w:rFonts w:hint="eastAsia" w:hAnsi="宋体"/>
          <w:color w:val="auto"/>
          <w:szCs w:val="21"/>
        </w:rPr>
        <w:t>投标文件的商务需求</w:t>
      </w:r>
      <w:r>
        <w:rPr>
          <w:rFonts w:hint="eastAsia" w:hAnsi="宋体" w:cs="宋体"/>
          <w:color w:val="auto"/>
          <w:szCs w:val="21"/>
        </w:rPr>
        <w:t>”、“</w:t>
      </w:r>
      <w:r>
        <w:rPr>
          <w:rFonts w:hint="eastAsia" w:hAnsi="宋体"/>
          <w:color w:val="auto"/>
          <w:szCs w:val="21"/>
        </w:rPr>
        <w:t>投标文件承诺的商务条款</w:t>
      </w:r>
      <w:r>
        <w:rPr>
          <w:rFonts w:hint="eastAsia" w:hAnsi="宋体" w:cs="宋体"/>
          <w:color w:val="auto"/>
          <w:szCs w:val="21"/>
        </w:rPr>
        <w:t>”中标记。</w:t>
      </w:r>
    </w:p>
    <w:p w14:paraId="24BDD5E7">
      <w:pPr>
        <w:snapToGrid w:val="0"/>
        <w:spacing w:before="50" w:after="50"/>
        <w:rPr>
          <w:rFonts w:ascii="宋体" w:hAnsi="宋体"/>
          <w:color w:val="auto"/>
          <w:sz w:val="24"/>
        </w:rPr>
      </w:pPr>
    </w:p>
    <w:p w14:paraId="77B1B432">
      <w:pPr>
        <w:snapToGrid w:val="0"/>
        <w:spacing w:line="360" w:lineRule="auto"/>
        <w:ind w:firstLine="4935" w:firstLineChars="2350"/>
        <w:rPr>
          <w:rFonts w:ascii="仿宋_GB2312" w:hAnsi="仿宋" w:eastAsia="仿宋_GB2312" w:cs="仿宋_GB2312"/>
          <w:color w:val="auto"/>
          <w:kern w:val="0"/>
          <w:sz w:val="24"/>
        </w:rPr>
      </w:pPr>
      <w:r>
        <w:rPr>
          <w:rFonts w:hAnsi="宋体"/>
          <w:color w:val="auto"/>
          <w:szCs w:val="21"/>
        </w:rPr>
        <w:t xml:space="preserve">  </w:t>
      </w:r>
      <w:r>
        <w:rPr>
          <w:rFonts w:hint="eastAsia" w:ascii="仿宋_GB2312" w:hAnsi="仿宋" w:eastAsia="仿宋_GB2312" w:cs="仿宋_GB2312"/>
          <w:color w:val="auto"/>
          <w:kern w:val="0"/>
          <w:sz w:val="24"/>
          <w:lang w:val="zh-CN"/>
        </w:rPr>
        <w:t>投标人名称(电子签章)：</w:t>
      </w:r>
    </w:p>
    <w:p w14:paraId="7193E095">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6F163ADE">
      <w:pPr>
        <w:snapToGrid w:val="0"/>
        <w:spacing w:before="120" w:beforeLines="50" w:after="50"/>
        <w:ind w:firstLine="3150" w:firstLineChars="1500"/>
        <w:jc w:val="left"/>
        <w:rPr>
          <w:rFonts w:ascii="宋体" w:hAnsi="宋体"/>
          <w:color w:val="auto"/>
          <w:szCs w:val="21"/>
        </w:rPr>
        <w:sectPr>
          <w:footerReference r:id="rId12" w:type="first"/>
          <w:headerReference r:id="rId9" w:type="default"/>
          <w:footerReference r:id="rId10" w:type="default"/>
          <w:footerReference r:id="rId11" w:type="even"/>
          <w:pgSz w:w="11906" w:h="16838"/>
          <w:pgMar w:top="1440" w:right="1797" w:bottom="1440" w:left="1797" w:header="851" w:footer="992" w:gutter="0"/>
          <w:cols w:space="720" w:num="1"/>
          <w:docGrid w:linePitch="312" w:charSpace="0"/>
        </w:sectPr>
      </w:pPr>
    </w:p>
    <w:p w14:paraId="34BFF5D8">
      <w:pPr>
        <w:snapToGrid w:val="0"/>
        <w:spacing w:before="165" w:beforeLines="50" w:after="50"/>
        <w:ind w:firstLine="602" w:firstLineChars="200"/>
        <w:jc w:val="center"/>
        <w:rPr>
          <w:b/>
          <w:bCs/>
          <w:color w:val="auto"/>
          <w:sz w:val="30"/>
          <w:szCs w:val="30"/>
        </w:rPr>
      </w:pPr>
      <w:r>
        <w:rPr>
          <w:rFonts w:hint="eastAsia"/>
          <w:b/>
          <w:bCs/>
          <w:color w:val="auto"/>
          <w:sz w:val="30"/>
          <w:szCs w:val="30"/>
        </w:rPr>
        <w:t>五、投标人情况介绍</w:t>
      </w:r>
    </w:p>
    <w:p w14:paraId="120B3594">
      <w:pPr>
        <w:spacing w:line="360" w:lineRule="auto"/>
        <w:ind w:firstLine="4048" w:firstLineChars="1687"/>
        <w:rPr>
          <w:rFonts w:ascii="仿宋_GB2312" w:hAnsi="仿宋" w:eastAsia="仿宋_GB2312" w:cs="仿宋_GB2312"/>
          <w:color w:val="auto"/>
          <w:kern w:val="0"/>
          <w:sz w:val="24"/>
        </w:rPr>
      </w:pPr>
      <w:r>
        <w:rPr>
          <w:rFonts w:hint="eastAsia" w:ascii="宋体" w:hAnsi="宋体"/>
          <w:color w:val="auto"/>
          <w:sz w:val="24"/>
        </w:rPr>
        <w:t>（格式自拟）</w:t>
      </w:r>
    </w:p>
    <w:p w14:paraId="7DCE5AE5">
      <w:pPr>
        <w:snapToGrid w:val="0"/>
        <w:spacing w:line="360" w:lineRule="auto"/>
        <w:ind w:firstLine="4935" w:firstLineChars="2350"/>
        <w:rPr>
          <w:rFonts w:hAnsi="宋体"/>
          <w:color w:val="auto"/>
          <w:szCs w:val="21"/>
        </w:rPr>
      </w:pPr>
      <w:r>
        <w:rPr>
          <w:rFonts w:hAnsi="宋体"/>
          <w:color w:val="auto"/>
          <w:szCs w:val="21"/>
        </w:rPr>
        <w:t xml:space="preserve"> </w:t>
      </w:r>
    </w:p>
    <w:p w14:paraId="7EF96913">
      <w:pPr>
        <w:snapToGrid w:val="0"/>
        <w:spacing w:line="360" w:lineRule="auto"/>
        <w:ind w:firstLine="4935" w:firstLineChars="2350"/>
        <w:rPr>
          <w:rFonts w:hAnsi="宋体"/>
          <w:color w:val="auto"/>
          <w:szCs w:val="21"/>
        </w:rPr>
      </w:pPr>
    </w:p>
    <w:p w14:paraId="3E38DC25">
      <w:pPr>
        <w:snapToGrid w:val="0"/>
        <w:spacing w:line="360" w:lineRule="auto"/>
        <w:ind w:firstLine="4935" w:firstLineChars="2350"/>
        <w:rPr>
          <w:rFonts w:hAnsi="宋体"/>
          <w:color w:val="auto"/>
          <w:szCs w:val="21"/>
        </w:rPr>
      </w:pPr>
    </w:p>
    <w:p w14:paraId="5D388C2D">
      <w:pPr>
        <w:snapToGrid w:val="0"/>
        <w:spacing w:line="360" w:lineRule="auto"/>
        <w:ind w:firstLine="4935" w:firstLineChars="2350"/>
        <w:rPr>
          <w:rFonts w:hAnsi="宋体"/>
          <w:color w:val="auto"/>
          <w:szCs w:val="21"/>
        </w:rPr>
      </w:pPr>
    </w:p>
    <w:p w14:paraId="43CA43CE">
      <w:pPr>
        <w:snapToGrid w:val="0"/>
        <w:spacing w:line="360" w:lineRule="auto"/>
        <w:ind w:firstLine="4935" w:firstLineChars="2350"/>
        <w:rPr>
          <w:rFonts w:ascii="仿宋_GB2312" w:hAnsi="仿宋" w:eastAsia="仿宋_GB2312" w:cs="仿宋_GB2312"/>
          <w:color w:val="auto"/>
          <w:kern w:val="0"/>
          <w:sz w:val="24"/>
        </w:rPr>
      </w:pPr>
      <w:r>
        <w:rPr>
          <w:rFonts w:hAnsi="宋体"/>
          <w:color w:val="auto"/>
          <w:szCs w:val="21"/>
        </w:rPr>
        <w:t xml:space="preserve">  </w:t>
      </w:r>
      <w:r>
        <w:rPr>
          <w:rFonts w:hint="eastAsia" w:ascii="仿宋_GB2312" w:hAnsi="仿宋" w:eastAsia="仿宋_GB2312" w:cs="仿宋_GB2312"/>
          <w:color w:val="auto"/>
          <w:kern w:val="0"/>
          <w:sz w:val="24"/>
          <w:lang w:val="zh-CN"/>
        </w:rPr>
        <w:t>投标人名称(电子签章)：</w:t>
      </w:r>
    </w:p>
    <w:p w14:paraId="16BDA311">
      <w:pPr>
        <w:snapToGrid w:val="0"/>
        <w:spacing w:before="165" w:beforeLines="50" w:after="50"/>
        <w:ind w:firstLine="480" w:firstLineChars="200"/>
        <w:jc w:val="center"/>
        <w:rPr>
          <w:b/>
          <w:bCs/>
          <w:color w:val="auto"/>
          <w:sz w:val="30"/>
          <w:szCs w:val="30"/>
        </w:rPr>
        <w:sectPr>
          <w:footerReference r:id="rId16" w:type="first"/>
          <w:headerReference r:id="rId13" w:type="default"/>
          <w:footerReference r:id="rId14" w:type="default"/>
          <w:footerReference r:id="rId15" w:type="even"/>
          <w:pgSz w:w="11906" w:h="16838"/>
          <w:pgMar w:top="1134" w:right="1134" w:bottom="1134" w:left="1134" w:header="720" w:footer="720" w:gutter="0"/>
          <w:cols w:space="720" w:num="1"/>
          <w:docGrid w:type="lines" w:linePitch="331" w:charSpace="0"/>
        </w:sectPr>
      </w:pPr>
      <w:r>
        <w:rPr>
          <w:rFonts w:hint="eastAsia" w:ascii="仿宋_GB2312" w:hAnsi="仿宋" w:eastAsia="仿宋_GB2312" w:cs="仿宋_GB2312"/>
          <w:color w:val="auto"/>
          <w:kern w:val="0"/>
          <w:sz w:val="24"/>
          <w:lang w:val="zh-CN"/>
        </w:rPr>
        <w:t xml:space="preserve">                                                    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02D88162">
      <w:pPr>
        <w:snapToGrid w:val="0"/>
        <w:spacing w:before="165" w:beforeLines="50" w:after="50"/>
        <w:ind w:firstLine="602" w:firstLineChars="200"/>
        <w:jc w:val="center"/>
        <w:rPr>
          <w:b/>
          <w:bCs/>
          <w:color w:val="auto"/>
          <w:sz w:val="30"/>
          <w:szCs w:val="30"/>
        </w:rPr>
      </w:pPr>
      <w:r>
        <w:rPr>
          <w:rFonts w:hint="eastAsia"/>
          <w:b/>
          <w:bCs/>
          <w:color w:val="auto"/>
          <w:sz w:val="30"/>
          <w:szCs w:val="30"/>
        </w:rPr>
        <w:t>六、投标人类似的业绩证明文件（如有要求）</w:t>
      </w:r>
    </w:p>
    <w:p w14:paraId="179501E8">
      <w:pPr>
        <w:pStyle w:val="26"/>
        <w:snapToGrid w:val="0"/>
        <w:ind w:left="480" w:hanging="480"/>
        <w:rPr>
          <w:rFonts w:ascii="宋体" w:hAnsi="宋体"/>
          <w:color w:val="auto"/>
          <w:sz w:val="24"/>
        </w:rPr>
      </w:pPr>
    </w:p>
    <w:p w14:paraId="6ADDDE57">
      <w:pPr>
        <w:pStyle w:val="26"/>
        <w:snapToGrid w:val="0"/>
        <w:ind w:left="480" w:hanging="480"/>
        <w:rPr>
          <w:rFonts w:ascii="宋体" w:hAnsi="宋体"/>
          <w:color w:val="auto"/>
          <w:sz w:val="24"/>
        </w:rPr>
      </w:pPr>
    </w:p>
    <w:p w14:paraId="44721DE2">
      <w:pPr>
        <w:pStyle w:val="26"/>
        <w:snapToGrid w:val="0"/>
        <w:ind w:left="480" w:hanging="480"/>
        <w:rPr>
          <w:rFonts w:ascii="宋体" w:hAnsi="宋体"/>
          <w:color w:val="auto"/>
          <w:sz w:val="24"/>
        </w:rPr>
      </w:pPr>
    </w:p>
    <w:p w14:paraId="1C454E1B">
      <w:pPr>
        <w:autoSpaceDE w:val="0"/>
        <w:autoSpaceDN w:val="0"/>
        <w:spacing w:line="360" w:lineRule="auto"/>
        <w:ind w:firstLine="120"/>
        <w:rPr>
          <w:rFonts w:ascii="宋体" w:hAnsi="宋体"/>
          <w:color w:val="auto"/>
          <w:sz w:val="24"/>
        </w:rPr>
      </w:pPr>
      <w:r>
        <w:rPr>
          <w:rFonts w:hint="eastAsia" w:ascii="仿宋_GB2312" w:hAnsi="仿宋" w:eastAsia="仿宋_GB2312" w:cs="仿宋_GB2312"/>
          <w:b/>
          <w:color w:val="auto"/>
          <w:sz w:val="24"/>
        </w:rPr>
        <w:t>附表 :相关项目业绩一览表（投标人同类项目合同复印件、用户验收报告、用户评价意见格式自拟）</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74DAC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7BEE1F4D">
            <w:pPr>
              <w:snapToGrid w:val="0"/>
              <w:spacing w:line="240" w:lineRule="exact"/>
              <w:jc w:val="center"/>
              <w:rPr>
                <w:rFonts w:ascii="宋体" w:hAnsi="宋体"/>
                <w:color w:val="auto"/>
                <w:sz w:val="24"/>
              </w:rPr>
            </w:pPr>
            <w:r>
              <w:rPr>
                <w:rFonts w:hint="eastAsia" w:ascii="宋体" w:hAnsi="宋体"/>
                <w:color w:val="auto"/>
                <w:sz w:val="24"/>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075DFDB7">
            <w:pPr>
              <w:snapToGrid w:val="0"/>
              <w:spacing w:line="240" w:lineRule="exact"/>
              <w:jc w:val="center"/>
              <w:rPr>
                <w:rFonts w:ascii="宋体" w:hAnsi="宋体"/>
                <w:color w:val="auto"/>
                <w:sz w:val="24"/>
              </w:rPr>
            </w:pPr>
            <w:r>
              <w:rPr>
                <w:rFonts w:hint="eastAsia" w:ascii="宋体" w:hAnsi="宋体"/>
                <w:color w:val="auto"/>
                <w:sz w:val="24"/>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119D5B83">
            <w:pPr>
              <w:snapToGrid w:val="0"/>
              <w:spacing w:line="240" w:lineRule="exact"/>
              <w:jc w:val="center"/>
              <w:rPr>
                <w:rFonts w:ascii="宋体" w:hAnsi="宋体"/>
                <w:color w:val="auto"/>
                <w:sz w:val="24"/>
              </w:rPr>
            </w:pPr>
            <w:r>
              <w:rPr>
                <w:rFonts w:hint="eastAsia" w:ascii="宋体" w:hAnsi="宋体"/>
                <w:color w:val="auto"/>
                <w:sz w:val="24"/>
              </w:rPr>
              <w:t>合同</w:t>
            </w:r>
          </w:p>
          <w:p w14:paraId="35E3734A">
            <w:pPr>
              <w:snapToGrid w:val="0"/>
              <w:spacing w:line="240" w:lineRule="exact"/>
              <w:jc w:val="center"/>
              <w:rPr>
                <w:rFonts w:ascii="宋体" w:hAnsi="宋体"/>
                <w:color w:val="auto"/>
                <w:sz w:val="24"/>
              </w:rPr>
            </w:pPr>
            <w:r>
              <w:rPr>
                <w:rFonts w:hint="eastAsia" w:ascii="宋体" w:hAnsi="宋体"/>
                <w:color w:val="auto"/>
                <w:sz w:val="24"/>
              </w:rPr>
              <w:t>金额</w:t>
            </w:r>
          </w:p>
          <w:p w14:paraId="161F9135">
            <w:pPr>
              <w:snapToGrid w:val="0"/>
              <w:spacing w:line="240" w:lineRule="exact"/>
              <w:jc w:val="center"/>
              <w:rPr>
                <w:rFonts w:ascii="宋体" w:hAnsi="宋体"/>
                <w:color w:val="auto"/>
                <w:sz w:val="24"/>
              </w:rPr>
            </w:pPr>
            <w:r>
              <w:rPr>
                <w:rFonts w:hint="eastAsia" w:ascii="宋体" w:hAnsi="宋体"/>
                <w:color w:val="auto"/>
                <w:sz w:val="24"/>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54AF215D">
            <w:pPr>
              <w:snapToGrid w:val="0"/>
              <w:spacing w:line="240" w:lineRule="exact"/>
              <w:jc w:val="center"/>
              <w:rPr>
                <w:rFonts w:ascii="宋体" w:hAnsi="宋体"/>
                <w:color w:val="auto"/>
                <w:sz w:val="24"/>
              </w:rPr>
            </w:pPr>
            <w:r>
              <w:rPr>
                <w:rFonts w:hint="eastAsia" w:ascii="宋体" w:hAnsi="宋体"/>
                <w:color w:val="auto"/>
                <w:sz w:val="24"/>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5C60D12E">
            <w:pPr>
              <w:snapToGrid w:val="0"/>
              <w:spacing w:line="240" w:lineRule="exact"/>
              <w:jc w:val="center"/>
              <w:rPr>
                <w:rFonts w:ascii="宋体" w:hAnsi="宋体"/>
                <w:color w:val="auto"/>
                <w:sz w:val="24"/>
              </w:rPr>
            </w:pPr>
            <w:r>
              <w:rPr>
                <w:rFonts w:hint="eastAsia" w:ascii="宋体" w:hAnsi="宋体"/>
                <w:color w:val="auto"/>
                <w:sz w:val="24"/>
              </w:rPr>
              <w:t>采购人联系人及</w:t>
            </w:r>
          </w:p>
          <w:p w14:paraId="268552E0">
            <w:pPr>
              <w:snapToGrid w:val="0"/>
              <w:spacing w:line="240" w:lineRule="exact"/>
              <w:jc w:val="center"/>
              <w:rPr>
                <w:rFonts w:ascii="宋体" w:hAnsi="宋体"/>
                <w:color w:val="auto"/>
                <w:sz w:val="24"/>
              </w:rPr>
            </w:pPr>
            <w:r>
              <w:rPr>
                <w:rFonts w:hint="eastAsia" w:ascii="宋体" w:hAnsi="宋体"/>
                <w:color w:val="auto"/>
                <w:sz w:val="24"/>
              </w:rPr>
              <w:t>联系电话</w:t>
            </w:r>
          </w:p>
        </w:tc>
      </w:tr>
      <w:tr w14:paraId="6B3C0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2DAB4993">
            <w:pPr>
              <w:jc w:val="left"/>
              <w:rPr>
                <w:rFonts w:ascii="宋体" w:hAnsi="宋体"/>
                <w:color w:val="auto"/>
                <w:sz w:val="24"/>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4109D8AE">
            <w:pPr>
              <w:jc w:val="left"/>
              <w:rPr>
                <w:rFonts w:ascii="宋体" w:hAnsi="宋体"/>
                <w:color w:val="auto"/>
                <w:sz w:val="24"/>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706EC8D0">
            <w:pPr>
              <w:jc w:val="left"/>
              <w:rPr>
                <w:rFonts w:ascii="宋体" w:hAnsi="宋体"/>
                <w:color w:val="auto"/>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61B0280">
            <w:pPr>
              <w:snapToGrid w:val="0"/>
              <w:spacing w:line="240" w:lineRule="exact"/>
              <w:jc w:val="center"/>
              <w:rPr>
                <w:rFonts w:ascii="宋体" w:hAnsi="宋体"/>
                <w:color w:val="auto"/>
                <w:sz w:val="24"/>
              </w:rPr>
            </w:pPr>
            <w:r>
              <w:rPr>
                <w:rFonts w:hint="eastAsia" w:ascii="宋体" w:hAnsi="宋体"/>
                <w:color w:val="auto"/>
                <w:sz w:val="24"/>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705C4E27">
            <w:pPr>
              <w:snapToGrid w:val="0"/>
              <w:spacing w:line="240" w:lineRule="exact"/>
              <w:jc w:val="center"/>
              <w:rPr>
                <w:rFonts w:ascii="宋体" w:hAnsi="宋体"/>
                <w:color w:val="auto"/>
                <w:sz w:val="24"/>
              </w:rPr>
            </w:pPr>
            <w:r>
              <w:rPr>
                <w:rFonts w:hint="eastAsia" w:ascii="宋体" w:hAnsi="宋体"/>
                <w:color w:val="auto"/>
                <w:sz w:val="24"/>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11878129">
            <w:pPr>
              <w:snapToGrid w:val="0"/>
              <w:spacing w:line="240" w:lineRule="exact"/>
              <w:jc w:val="center"/>
              <w:rPr>
                <w:rFonts w:ascii="宋体" w:hAnsi="宋体"/>
                <w:color w:val="auto"/>
                <w:sz w:val="24"/>
              </w:rPr>
            </w:pPr>
            <w:r>
              <w:rPr>
                <w:rFonts w:hint="eastAsia" w:ascii="宋体" w:hAnsi="宋体"/>
                <w:color w:val="auto"/>
                <w:sz w:val="24"/>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23510C4C">
            <w:pPr>
              <w:jc w:val="left"/>
              <w:rPr>
                <w:rFonts w:ascii="宋体" w:hAnsi="宋体"/>
                <w:color w:val="auto"/>
                <w:sz w:val="24"/>
              </w:rPr>
            </w:pPr>
          </w:p>
        </w:tc>
      </w:tr>
      <w:tr w14:paraId="06A83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7CABDC17">
            <w:pPr>
              <w:snapToGrid w:val="0"/>
              <w:spacing w:line="240" w:lineRule="exact"/>
              <w:jc w:val="left"/>
              <w:rPr>
                <w:rFonts w:ascii="宋体" w:hAnsi="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338DE189">
            <w:pPr>
              <w:snapToGrid w:val="0"/>
              <w:spacing w:line="240" w:lineRule="exact"/>
              <w:jc w:val="left"/>
              <w:rPr>
                <w:rFonts w:ascii="宋体" w:hAnsi="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321D66EA">
            <w:pPr>
              <w:snapToGrid w:val="0"/>
              <w:spacing w:line="240" w:lineRule="exact"/>
              <w:jc w:val="left"/>
              <w:rPr>
                <w:rFonts w:ascii="宋体" w:hAnsi="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11B9CFAE">
            <w:pPr>
              <w:snapToGrid w:val="0"/>
              <w:spacing w:line="240" w:lineRule="exact"/>
              <w:jc w:val="left"/>
              <w:rPr>
                <w:rFonts w:ascii="宋体" w:hAnsi="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023BE64A">
            <w:pPr>
              <w:snapToGrid w:val="0"/>
              <w:spacing w:line="240" w:lineRule="exact"/>
              <w:jc w:val="left"/>
              <w:rPr>
                <w:rFonts w:ascii="宋体" w:hAnsi="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0510251E">
            <w:pPr>
              <w:snapToGrid w:val="0"/>
              <w:spacing w:line="240" w:lineRule="exact"/>
              <w:jc w:val="left"/>
              <w:rPr>
                <w:rFonts w:ascii="宋体" w:hAnsi="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0EFEA4B2">
            <w:pPr>
              <w:snapToGrid w:val="0"/>
              <w:spacing w:line="240" w:lineRule="exact"/>
              <w:jc w:val="left"/>
              <w:rPr>
                <w:rFonts w:ascii="宋体" w:hAnsi="宋体"/>
                <w:color w:val="auto"/>
                <w:sz w:val="24"/>
              </w:rPr>
            </w:pPr>
          </w:p>
        </w:tc>
      </w:tr>
      <w:tr w14:paraId="549E0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FF97FC7">
            <w:pPr>
              <w:snapToGrid w:val="0"/>
              <w:spacing w:before="50" w:after="165" w:afterLines="50" w:line="400" w:lineRule="exact"/>
              <w:jc w:val="left"/>
              <w:rPr>
                <w:rFonts w:ascii="宋体" w:hAnsi="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2DC75C65">
            <w:pPr>
              <w:snapToGrid w:val="0"/>
              <w:spacing w:before="50" w:after="165" w:afterLines="50" w:line="400" w:lineRule="exact"/>
              <w:jc w:val="left"/>
              <w:rPr>
                <w:rFonts w:ascii="宋体" w:hAnsi="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13D8A593">
            <w:pPr>
              <w:snapToGrid w:val="0"/>
              <w:spacing w:before="50" w:after="165" w:afterLines="50" w:line="400" w:lineRule="exact"/>
              <w:jc w:val="left"/>
              <w:rPr>
                <w:rFonts w:ascii="宋体" w:hAnsi="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451E008C">
            <w:pPr>
              <w:snapToGrid w:val="0"/>
              <w:spacing w:before="50" w:after="165" w:afterLines="50" w:line="400" w:lineRule="exact"/>
              <w:jc w:val="left"/>
              <w:rPr>
                <w:rFonts w:ascii="宋体" w:hAnsi="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19501D9C">
            <w:pPr>
              <w:snapToGrid w:val="0"/>
              <w:spacing w:before="50" w:after="165" w:afterLines="50" w:line="400" w:lineRule="exact"/>
              <w:jc w:val="left"/>
              <w:rPr>
                <w:rFonts w:ascii="宋体" w:hAnsi="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5799BED3">
            <w:pPr>
              <w:snapToGrid w:val="0"/>
              <w:spacing w:before="50" w:after="165" w:afterLines="50" w:line="400" w:lineRule="exact"/>
              <w:jc w:val="left"/>
              <w:rPr>
                <w:rFonts w:ascii="宋体" w:hAnsi="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3B60D1AF">
            <w:pPr>
              <w:snapToGrid w:val="0"/>
              <w:spacing w:before="50" w:after="165" w:afterLines="50" w:line="400" w:lineRule="exact"/>
              <w:jc w:val="left"/>
              <w:rPr>
                <w:rFonts w:ascii="宋体" w:hAnsi="宋体"/>
                <w:color w:val="auto"/>
                <w:sz w:val="24"/>
              </w:rPr>
            </w:pPr>
          </w:p>
        </w:tc>
      </w:tr>
      <w:tr w14:paraId="1B961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6631BFD3">
            <w:pPr>
              <w:snapToGrid w:val="0"/>
              <w:spacing w:before="50" w:after="165" w:afterLines="50" w:line="400" w:lineRule="exact"/>
              <w:jc w:val="left"/>
              <w:rPr>
                <w:rFonts w:ascii="宋体" w:hAnsi="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2DF2688A">
            <w:pPr>
              <w:snapToGrid w:val="0"/>
              <w:spacing w:before="50" w:after="165" w:afterLines="50" w:line="400" w:lineRule="exact"/>
              <w:jc w:val="left"/>
              <w:rPr>
                <w:rFonts w:ascii="宋体" w:hAnsi="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5789F878">
            <w:pPr>
              <w:snapToGrid w:val="0"/>
              <w:spacing w:before="50" w:after="165" w:afterLines="50" w:line="400" w:lineRule="exact"/>
              <w:jc w:val="left"/>
              <w:rPr>
                <w:rFonts w:ascii="宋体" w:hAnsi="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374C5466">
            <w:pPr>
              <w:snapToGrid w:val="0"/>
              <w:spacing w:before="50" w:after="165" w:afterLines="50" w:line="400" w:lineRule="exact"/>
              <w:jc w:val="left"/>
              <w:rPr>
                <w:rFonts w:ascii="宋体" w:hAnsi="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7EB14DFA">
            <w:pPr>
              <w:snapToGrid w:val="0"/>
              <w:spacing w:before="50" w:after="165" w:afterLines="50" w:line="400" w:lineRule="exact"/>
              <w:jc w:val="left"/>
              <w:rPr>
                <w:rFonts w:ascii="宋体" w:hAnsi="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498E5117">
            <w:pPr>
              <w:snapToGrid w:val="0"/>
              <w:spacing w:before="50" w:after="165" w:afterLines="50" w:line="400" w:lineRule="exact"/>
              <w:jc w:val="left"/>
              <w:rPr>
                <w:rFonts w:ascii="宋体" w:hAnsi="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7524BA23">
            <w:pPr>
              <w:snapToGrid w:val="0"/>
              <w:spacing w:before="50" w:after="165" w:afterLines="50" w:line="400" w:lineRule="exact"/>
              <w:jc w:val="left"/>
              <w:rPr>
                <w:rFonts w:ascii="宋体" w:hAnsi="宋体"/>
                <w:color w:val="auto"/>
                <w:sz w:val="24"/>
              </w:rPr>
            </w:pPr>
          </w:p>
        </w:tc>
      </w:tr>
      <w:tr w14:paraId="458C3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75444EB">
            <w:pPr>
              <w:snapToGrid w:val="0"/>
              <w:spacing w:before="50" w:after="165" w:afterLines="50" w:line="400" w:lineRule="exact"/>
              <w:jc w:val="left"/>
              <w:rPr>
                <w:rFonts w:ascii="宋体" w:hAnsi="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5F67AE7A">
            <w:pPr>
              <w:snapToGrid w:val="0"/>
              <w:spacing w:before="50" w:after="165" w:afterLines="50" w:line="400" w:lineRule="exact"/>
              <w:jc w:val="left"/>
              <w:rPr>
                <w:rFonts w:ascii="宋体" w:hAnsi="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08585C25">
            <w:pPr>
              <w:snapToGrid w:val="0"/>
              <w:spacing w:before="50" w:after="165" w:afterLines="50" w:line="400" w:lineRule="exact"/>
              <w:jc w:val="left"/>
              <w:rPr>
                <w:rFonts w:ascii="宋体" w:hAnsi="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34B984BF">
            <w:pPr>
              <w:snapToGrid w:val="0"/>
              <w:spacing w:before="50" w:after="165" w:afterLines="50" w:line="400" w:lineRule="exact"/>
              <w:jc w:val="left"/>
              <w:rPr>
                <w:rFonts w:ascii="宋体" w:hAnsi="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163D06E0">
            <w:pPr>
              <w:snapToGrid w:val="0"/>
              <w:spacing w:before="50" w:after="165" w:afterLines="50" w:line="400" w:lineRule="exact"/>
              <w:jc w:val="left"/>
              <w:rPr>
                <w:rFonts w:ascii="宋体" w:hAnsi="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2730CFBE">
            <w:pPr>
              <w:snapToGrid w:val="0"/>
              <w:spacing w:before="50" w:after="165" w:afterLines="50" w:line="400" w:lineRule="exact"/>
              <w:jc w:val="left"/>
              <w:rPr>
                <w:rFonts w:ascii="宋体" w:hAnsi="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30290B4C">
            <w:pPr>
              <w:snapToGrid w:val="0"/>
              <w:spacing w:before="50" w:after="165" w:afterLines="50" w:line="400" w:lineRule="exact"/>
              <w:jc w:val="left"/>
              <w:rPr>
                <w:rFonts w:ascii="宋体" w:hAnsi="宋体"/>
                <w:color w:val="auto"/>
                <w:sz w:val="24"/>
              </w:rPr>
            </w:pPr>
          </w:p>
        </w:tc>
      </w:tr>
      <w:tr w14:paraId="636EA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354D319">
            <w:pPr>
              <w:snapToGrid w:val="0"/>
              <w:spacing w:before="50" w:after="165" w:afterLines="50" w:line="400" w:lineRule="exact"/>
              <w:jc w:val="left"/>
              <w:rPr>
                <w:rFonts w:ascii="宋体" w:hAnsi="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0501AA89">
            <w:pPr>
              <w:snapToGrid w:val="0"/>
              <w:spacing w:before="50" w:after="165" w:afterLines="50" w:line="400" w:lineRule="exact"/>
              <w:jc w:val="left"/>
              <w:rPr>
                <w:rFonts w:ascii="宋体" w:hAnsi="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62A7FDCD">
            <w:pPr>
              <w:snapToGrid w:val="0"/>
              <w:spacing w:before="50" w:after="165" w:afterLines="50" w:line="400" w:lineRule="exact"/>
              <w:jc w:val="left"/>
              <w:rPr>
                <w:rFonts w:ascii="宋体" w:hAnsi="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06F137D4">
            <w:pPr>
              <w:snapToGrid w:val="0"/>
              <w:spacing w:before="50" w:after="165" w:afterLines="50" w:line="400" w:lineRule="exact"/>
              <w:jc w:val="left"/>
              <w:rPr>
                <w:rFonts w:ascii="宋体" w:hAnsi="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6D029B79">
            <w:pPr>
              <w:snapToGrid w:val="0"/>
              <w:spacing w:before="50" w:after="165" w:afterLines="50" w:line="400" w:lineRule="exact"/>
              <w:jc w:val="left"/>
              <w:rPr>
                <w:rFonts w:ascii="宋体" w:hAnsi="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056271EB">
            <w:pPr>
              <w:snapToGrid w:val="0"/>
              <w:spacing w:before="50" w:after="165" w:afterLines="50" w:line="400" w:lineRule="exact"/>
              <w:jc w:val="left"/>
              <w:rPr>
                <w:rFonts w:ascii="宋体" w:hAnsi="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01E5E55F">
            <w:pPr>
              <w:snapToGrid w:val="0"/>
              <w:spacing w:before="50" w:after="165" w:afterLines="50" w:line="400" w:lineRule="exact"/>
              <w:jc w:val="left"/>
              <w:rPr>
                <w:rFonts w:ascii="宋体" w:hAnsi="宋体"/>
                <w:color w:val="auto"/>
                <w:sz w:val="24"/>
              </w:rPr>
            </w:pPr>
          </w:p>
        </w:tc>
      </w:tr>
    </w:tbl>
    <w:p w14:paraId="5C114B75">
      <w:pPr>
        <w:pStyle w:val="17"/>
        <w:spacing w:line="360" w:lineRule="auto"/>
        <w:ind w:left="72"/>
        <w:rPr>
          <w:rFonts w:ascii="Times New Roman" w:hAnsi="Times New Roman"/>
          <w:color w:val="auto"/>
        </w:rPr>
      </w:pPr>
      <w:r>
        <w:rPr>
          <w:rFonts w:hint="eastAsia" w:ascii="Times New Roman" w:hAnsi="Times New Roman"/>
          <w:color w:val="auto"/>
        </w:rPr>
        <w:t>注：投标人可按上述的格式自行编制，须随表提交相应的合同复印件和用户单位验收证明并注明所在投标人商务技术文件页码。</w:t>
      </w:r>
    </w:p>
    <w:p w14:paraId="420502A5">
      <w:pPr>
        <w:snapToGrid w:val="0"/>
        <w:spacing w:line="360" w:lineRule="auto"/>
        <w:ind w:firstLine="4935" w:firstLineChars="2350"/>
        <w:rPr>
          <w:rFonts w:hAnsi="宋体"/>
          <w:color w:val="auto"/>
          <w:szCs w:val="21"/>
        </w:rPr>
      </w:pPr>
      <w:r>
        <w:rPr>
          <w:rFonts w:hAnsi="宋体"/>
          <w:color w:val="auto"/>
          <w:szCs w:val="21"/>
        </w:rPr>
        <w:t xml:space="preserve"> </w:t>
      </w:r>
    </w:p>
    <w:p w14:paraId="51B82B52">
      <w:pPr>
        <w:snapToGrid w:val="0"/>
        <w:spacing w:line="360" w:lineRule="auto"/>
        <w:ind w:firstLine="4935" w:firstLineChars="2350"/>
        <w:rPr>
          <w:rFonts w:hAnsi="宋体"/>
          <w:color w:val="auto"/>
          <w:szCs w:val="21"/>
        </w:rPr>
      </w:pPr>
    </w:p>
    <w:p w14:paraId="75B11925">
      <w:pPr>
        <w:snapToGrid w:val="0"/>
        <w:spacing w:line="360" w:lineRule="auto"/>
        <w:ind w:firstLine="10080" w:firstLineChars="4800"/>
        <w:rPr>
          <w:rFonts w:ascii="仿宋_GB2312" w:hAnsi="仿宋" w:eastAsia="仿宋_GB2312" w:cs="仿宋_GB2312"/>
          <w:color w:val="auto"/>
          <w:kern w:val="0"/>
          <w:sz w:val="24"/>
        </w:rPr>
      </w:pPr>
      <w:r>
        <w:rPr>
          <w:rFonts w:hAnsi="宋体"/>
          <w:color w:val="auto"/>
          <w:szCs w:val="21"/>
        </w:rPr>
        <w:t xml:space="preserve"> </w:t>
      </w:r>
      <w:r>
        <w:rPr>
          <w:rFonts w:hint="eastAsia" w:ascii="仿宋_GB2312" w:hAnsi="仿宋" w:eastAsia="仿宋_GB2312" w:cs="仿宋_GB2312"/>
          <w:color w:val="auto"/>
          <w:kern w:val="0"/>
          <w:sz w:val="24"/>
          <w:lang w:val="zh-CN"/>
        </w:rPr>
        <w:t>投标人名称(电子签章)：</w:t>
      </w:r>
    </w:p>
    <w:p w14:paraId="7F0082C4">
      <w:pPr>
        <w:snapToGrid w:val="0"/>
        <w:spacing w:line="360" w:lineRule="auto"/>
        <w:ind w:firstLine="10080" w:firstLineChars="4200"/>
        <w:rPr>
          <w:rFonts w:ascii="仿宋_GB2312" w:hAnsi="仿宋" w:eastAsia="仿宋_GB2312" w:cs="仿宋_GB2312"/>
          <w:color w:val="auto"/>
          <w:kern w:val="0"/>
          <w:sz w:val="24"/>
          <w:lang w:val="zh-CN"/>
        </w:rPr>
        <w:sectPr>
          <w:pgSz w:w="16838" w:h="11906" w:orient="landscape"/>
          <w:pgMar w:top="1134" w:right="1134" w:bottom="1134" w:left="1134" w:header="720" w:footer="720" w:gutter="0"/>
          <w:cols w:space="720" w:num="1"/>
          <w:docGrid w:type="lines" w:linePitch="331" w:charSpace="0"/>
        </w:sect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45CB5AFA">
      <w:pPr>
        <w:pStyle w:val="17"/>
        <w:jc w:val="center"/>
        <w:outlineLvl w:val="1"/>
        <w:rPr>
          <w:rFonts w:hAnsi="宋体"/>
          <w:b/>
          <w:bCs/>
          <w:color w:val="auto"/>
          <w:sz w:val="28"/>
          <w:szCs w:val="28"/>
        </w:rPr>
      </w:pPr>
      <w:bookmarkStart w:id="304" w:name="_Toc80093014"/>
      <w:bookmarkStart w:id="305" w:name="_Toc19686839"/>
      <w:r>
        <w:rPr>
          <w:rFonts w:hint="eastAsia" w:hAnsi="宋体"/>
          <w:b/>
          <w:bCs/>
          <w:color w:val="auto"/>
          <w:sz w:val="28"/>
          <w:szCs w:val="28"/>
        </w:rPr>
        <w:t>第四节 技术文件格式</w:t>
      </w:r>
      <w:bookmarkEnd w:id="304"/>
      <w:bookmarkEnd w:id="305"/>
    </w:p>
    <w:p w14:paraId="65DA8AAE">
      <w:pPr>
        <w:snapToGrid w:val="0"/>
        <w:spacing w:before="165" w:beforeLines="50" w:after="50"/>
        <w:rPr>
          <w:rFonts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电子投标文件</w:t>
      </w:r>
    </w:p>
    <w:p w14:paraId="7CDE5622">
      <w:pPr>
        <w:snapToGrid w:val="0"/>
        <w:spacing w:before="165" w:beforeLines="50" w:after="50"/>
        <w:rPr>
          <w:rFonts w:ascii="宋体" w:hAnsi="宋体"/>
          <w:color w:val="auto"/>
          <w:sz w:val="24"/>
          <w:szCs w:val="20"/>
        </w:rPr>
      </w:pPr>
    </w:p>
    <w:p w14:paraId="3955C807">
      <w:pPr>
        <w:snapToGrid w:val="0"/>
        <w:spacing w:before="165" w:beforeLines="50" w:after="50"/>
        <w:jc w:val="center"/>
        <w:rPr>
          <w:rFonts w:ascii="宋体" w:hAnsi="宋体"/>
          <w:b/>
          <w:bCs/>
          <w:color w:val="auto"/>
          <w:sz w:val="32"/>
          <w:szCs w:val="32"/>
        </w:rPr>
      </w:pPr>
    </w:p>
    <w:p w14:paraId="6F58D98F">
      <w:pPr>
        <w:snapToGrid w:val="0"/>
        <w:spacing w:before="165" w:beforeLines="50" w:after="50"/>
        <w:jc w:val="center"/>
        <w:rPr>
          <w:rFonts w:ascii="宋体" w:hAnsi="宋体"/>
          <w:b/>
          <w:bCs/>
          <w:color w:val="auto"/>
          <w:sz w:val="32"/>
          <w:szCs w:val="32"/>
        </w:rPr>
      </w:pPr>
    </w:p>
    <w:p w14:paraId="2940D0C7">
      <w:pPr>
        <w:snapToGrid w:val="0"/>
        <w:spacing w:before="165" w:beforeLines="50" w:after="50"/>
        <w:jc w:val="center"/>
        <w:rPr>
          <w:rFonts w:ascii="宋体" w:hAnsi="宋体"/>
          <w:b/>
          <w:bCs/>
          <w:color w:val="auto"/>
          <w:sz w:val="32"/>
          <w:szCs w:val="32"/>
        </w:rPr>
      </w:pPr>
    </w:p>
    <w:p w14:paraId="6736BA28">
      <w:pPr>
        <w:snapToGrid w:val="0"/>
        <w:spacing w:before="165" w:beforeLines="50" w:after="50"/>
        <w:jc w:val="center"/>
        <w:rPr>
          <w:rFonts w:ascii="宋体" w:hAnsi="宋体"/>
          <w:b/>
          <w:bCs/>
          <w:color w:val="auto"/>
          <w:sz w:val="32"/>
          <w:szCs w:val="32"/>
        </w:rPr>
      </w:pPr>
      <w:r>
        <w:rPr>
          <w:rFonts w:hint="eastAsia" w:ascii="宋体" w:hAnsi="宋体"/>
          <w:b/>
          <w:bCs/>
          <w:color w:val="auto"/>
          <w:sz w:val="32"/>
          <w:szCs w:val="32"/>
        </w:rPr>
        <w:t>技术文件（封面）</w:t>
      </w:r>
    </w:p>
    <w:p w14:paraId="7C75E07C">
      <w:pPr>
        <w:snapToGrid w:val="0"/>
        <w:spacing w:before="165" w:beforeLines="50" w:after="50"/>
        <w:rPr>
          <w:rFonts w:ascii="宋体" w:hAnsi="宋体"/>
          <w:bCs/>
          <w:color w:val="auto"/>
          <w:sz w:val="24"/>
          <w:szCs w:val="20"/>
        </w:rPr>
      </w:pPr>
    </w:p>
    <w:p w14:paraId="385AB030">
      <w:pPr>
        <w:snapToGrid w:val="0"/>
        <w:spacing w:before="165" w:beforeLines="50" w:after="50" w:line="400" w:lineRule="exact"/>
        <w:ind w:firstLine="360" w:firstLineChars="150"/>
        <w:rPr>
          <w:rFonts w:ascii="宋体" w:hAnsi="宋体"/>
          <w:bCs/>
          <w:color w:val="auto"/>
          <w:sz w:val="24"/>
          <w:szCs w:val="20"/>
        </w:rPr>
      </w:pPr>
      <w:r>
        <w:rPr>
          <w:rFonts w:hint="eastAsia" w:ascii="宋体" w:hAnsi="宋体"/>
          <w:bCs/>
          <w:color w:val="auto"/>
          <w:sz w:val="24"/>
        </w:rPr>
        <w:t xml:space="preserve">项目名称： </w:t>
      </w:r>
    </w:p>
    <w:p w14:paraId="519A047B">
      <w:pPr>
        <w:snapToGrid w:val="0"/>
        <w:spacing w:before="165" w:beforeLines="50" w:after="50" w:line="400" w:lineRule="exact"/>
        <w:ind w:firstLine="360" w:firstLineChars="150"/>
        <w:rPr>
          <w:rFonts w:ascii="宋体" w:hAnsi="宋体"/>
          <w:bCs/>
          <w:color w:val="auto"/>
          <w:sz w:val="24"/>
        </w:rPr>
      </w:pPr>
      <w:r>
        <w:rPr>
          <w:rFonts w:hint="eastAsia" w:ascii="宋体" w:hAnsi="宋体"/>
          <w:bCs/>
          <w:color w:val="auto"/>
          <w:sz w:val="24"/>
        </w:rPr>
        <w:t xml:space="preserve">项目编号： </w:t>
      </w:r>
    </w:p>
    <w:p w14:paraId="53908C0F">
      <w:pPr>
        <w:snapToGrid w:val="0"/>
        <w:spacing w:before="165" w:beforeLines="50" w:after="50" w:line="400" w:lineRule="exact"/>
        <w:ind w:firstLine="360" w:firstLineChars="150"/>
        <w:rPr>
          <w:rFonts w:ascii="宋体" w:hAnsi="宋体"/>
          <w:bCs/>
          <w:color w:val="auto"/>
          <w:sz w:val="24"/>
        </w:rPr>
      </w:pPr>
      <w:r>
        <w:rPr>
          <w:rFonts w:hint="eastAsia" w:ascii="宋体" w:hAnsi="宋体"/>
          <w:bCs/>
          <w:color w:val="auto"/>
          <w:sz w:val="24"/>
        </w:rPr>
        <w:t>所投分标：</w:t>
      </w:r>
    </w:p>
    <w:p w14:paraId="0B36CFA9">
      <w:pPr>
        <w:snapToGrid w:val="0"/>
        <w:spacing w:before="165" w:beforeLines="50" w:after="50" w:line="400" w:lineRule="exact"/>
        <w:ind w:firstLine="360" w:firstLineChars="150"/>
        <w:rPr>
          <w:rFonts w:ascii="宋体" w:hAnsi="宋体"/>
          <w:bCs/>
          <w:color w:val="auto"/>
          <w:sz w:val="24"/>
        </w:rPr>
      </w:pPr>
      <w:r>
        <w:rPr>
          <w:rFonts w:hint="eastAsia" w:ascii="宋体" w:hAnsi="宋体"/>
          <w:bCs/>
          <w:color w:val="auto"/>
          <w:sz w:val="24"/>
        </w:rPr>
        <w:t>投标人名称：</w:t>
      </w:r>
    </w:p>
    <w:p w14:paraId="2BE70E92">
      <w:pPr>
        <w:snapToGrid w:val="0"/>
        <w:spacing w:before="165" w:beforeLines="50" w:after="50" w:line="400" w:lineRule="exact"/>
        <w:ind w:firstLine="360" w:firstLineChars="150"/>
        <w:rPr>
          <w:rFonts w:ascii="宋体" w:hAnsi="宋体"/>
          <w:bCs/>
          <w:color w:val="auto"/>
          <w:sz w:val="24"/>
        </w:rPr>
      </w:pPr>
      <w:r>
        <w:rPr>
          <w:rFonts w:hint="eastAsia" w:ascii="宋体" w:hAnsi="宋体"/>
          <w:bCs/>
          <w:color w:val="auto"/>
          <w:sz w:val="24"/>
        </w:rPr>
        <w:t>投标人地址：</w:t>
      </w:r>
    </w:p>
    <w:p w14:paraId="03BB1036">
      <w:pPr>
        <w:snapToGrid w:val="0"/>
        <w:spacing w:before="165" w:beforeLines="50" w:after="50"/>
        <w:ind w:firstLine="645"/>
        <w:jc w:val="center"/>
        <w:rPr>
          <w:rFonts w:ascii="宋体" w:hAnsi="宋体"/>
          <w:color w:val="auto"/>
          <w:sz w:val="24"/>
        </w:rPr>
      </w:pPr>
      <w:r>
        <w:rPr>
          <w:rFonts w:hint="eastAsia" w:ascii="宋体" w:hAnsi="宋体"/>
          <w:color w:val="auto"/>
          <w:sz w:val="24"/>
        </w:rPr>
        <w:t xml:space="preserve">                        年    月    日</w:t>
      </w:r>
    </w:p>
    <w:p w14:paraId="74D30F65">
      <w:pPr>
        <w:snapToGrid w:val="0"/>
        <w:spacing w:before="165" w:beforeLines="50" w:after="50"/>
        <w:ind w:firstLine="645"/>
        <w:jc w:val="center"/>
        <w:rPr>
          <w:rFonts w:ascii="宋体" w:hAnsi="宋体"/>
          <w:color w:val="auto"/>
          <w:sz w:val="24"/>
          <w:szCs w:val="20"/>
        </w:rPr>
      </w:pPr>
    </w:p>
    <w:p w14:paraId="4636AE57">
      <w:pPr>
        <w:jc w:val="center"/>
        <w:rPr>
          <w:rFonts w:ascii="仿宋_GB2312" w:hAnsi="仿宋" w:eastAsia="仿宋_GB2312" w:cs="仿宋_GB2312"/>
          <w:b/>
          <w:color w:val="auto"/>
          <w:kern w:val="0"/>
          <w:sz w:val="28"/>
          <w:szCs w:val="28"/>
        </w:rPr>
      </w:pPr>
      <w:r>
        <w:rPr>
          <w:rFonts w:ascii="宋体" w:hAnsi="宋体"/>
          <w:b/>
          <w:bCs/>
          <w:color w:val="auto"/>
          <w:sz w:val="24"/>
        </w:rPr>
        <w:br w:type="page"/>
      </w:r>
      <w:r>
        <w:rPr>
          <w:rFonts w:hint="eastAsia" w:ascii="仿宋_GB2312" w:hAnsi="仿宋" w:eastAsia="仿宋_GB2312" w:cs="仿宋_GB2312"/>
          <w:b/>
          <w:color w:val="auto"/>
          <w:kern w:val="0"/>
          <w:sz w:val="28"/>
          <w:szCs w:val="28"/>
        </w:rPr>
        <w:t>技术文件目录</w:t>
      </w:r>
    </w:p>
    <w:p w14:paraId="5E5397B9">
      <w:pPr>
        <w:pStyle w:val="95"/>
        <w:spacing w:line="360" w:lineRule="auto"/>
        <w:rPr>
          <w:rFonts w:cs="仿宋_GB2312"/>
          <w:color w:val="auto"/>
        </w:rPr>
      </w:pPr>
      <w:r>
        <w:rPr>
          <w:rFonts w:hint="eastAsia" w:cs="仿宋_GB2312"/>
          <w:color w:val="auto"/>
        </w:rPr>
        <w:t>一、技术需求偏离表……………………………………………………………（页码）</w:t>
      </w:r>
    </w:p>
    <w:p w14:paraId="1E1B5298">
      <w:pPr>
        <w:pStyle w:val="95"/>
        <w:spacing w:line="360" w:lineRule="auto"/>
        <w:rPr>
          <w:rFonts w:cs="仿宋_GB2312"/>
          <w:color w:val="auto"/>
        </w:rPr>
      </w:pPr>
      <w:r>
        <w:rPr>
          <w:rFonts w:hint="eastAsia" w:cs="仿宋_GB2312"/>
          <w:color w:val="auto"/>
        </w:rPr>
        <w:t>二、项目实施方案………………………………………………………………（页码）</w:t>
      </w:r>
    </w:p>
    <w:p w14:paraId="7E7FFC6F">
      <w:pPr>
        <w:pStyle w:val="95"/>
        <w:spacing w:line="360" w:lineRule="auto"/>
        <w:rPr>
          <w:rFonts w:cs="仿宋_GB2312"/>
          <w:color w:val="auto"/>
        </w:rPr>
      </w:pPr>
      <w:r>
        <w:rPr>
          <w:rFonts w:hint="eastAsia" w:cs="仿宋_GB2312"/>
          <w:color w:val="auto"/>
        </w:rPr>
        <w:t>三、对本项目总体要求的理解（如有要求）…………………………………（页码）</w:t>
      </w:r>
    </w:p>
    <w:p w14:paraId="2285F387">
      <w:pPr>
        <w:pStyle w:val="95"/>
        <w:spacing w:line="360" w:lineRule="auto"/>
        <w:rPr>
          <w:rFonts w:cs="仿宋_GB2312"/>
          <w:color w:val="auto"/>
        </w:rPr>
      </w:pPr>
      <w:r>
        <w:rPr>
          <w:rFonts w:hint="eastAsia" w:cs="仿宋_GB2312"/>
          <w:color w:val="auto"/>
        </w:rPr>
        <w:t>四、</w:t>
      </w:r>
      <w:r>
        <w:rPr>
          <w:rFonts w:hint="eastAsia" w:cs="仿宋_GB2312"/>
          <w:color w:val="auto"/>
          <w:lang w:val="zh-CN"/>
        </w:rPr>
        <w:t>产品出产标准及质量检测报告……………………</w:t>
      </w:r>
      <w:r>
        <w:rPr>
          <w:rFonts w:hint="eastAsia" w:cs="仿宋_GB2312"/>
          <w:color w:val="auto"/>
        </w:rPr>
        <w:t>………………………（页码）</w:t>
      </w:r>
    </w:p>
    <w:p w14:paraId="317F7883">
      <w:pPr>
        <w:pStyle w:val="95"/>
        <w:spacing w:line="360" w:lineRule="auto"/>
        <w:rPr>
          <w:rFonts w:cs="仿宋_GB2312"/>
          <w:color w:val="auto"/>
        </w:rPr>
      </w:pPr>
      <w:r>
        <w:rPr>
          <w:rFonts w:hint="eastAsia" w:cs="仿宋_GB2312"/>
          <w:color w:val="auto"/>
        </w:rPr>
        <w:t>五、优惠条件及特殊承诺（如有要求）</w:t>
      </w:r>
      <w:r>
        <w:rPr>
          <w:rFonts w:hint="eastAsia" w:cs="仿宋_GB2312"/>
          <w:color w:val="auto"/>
          <w:lang w:val="zh-CN"/>
        </w:rPr>
        <w:t>…………………………</w:t>
      </w:r>
      <w:r>
        <w:rPr>
          <w:rFonts w:hint="eastAsia" w:cs="仿宋_GB2312"/>
          <w:color w:val="auto"/>
        </w:rPr>
        <w:t>……………（页码）</w:t>
      </w:r>
    </w:p>
    <w:p w14:paraId="03D7C773">
      <w:pPr>
        <w:pStyle w:val="95"/>
        <w:spacing w:line="360" w:lineRule="auto"/>
        <w:rPr>
          <w:rFonts w:cs="仿宋_GB2312"/>
          <w:color w:val="auto"/>
        </w:rPr>
      </w:pPr>
      <w:r>
        <w:rPr>
          <w:rFonts w:hint="eastAsia" w:cs="仿宋_GB2312"/>
          <w:color w:val="auto"/>
        </w:rPr>
        <w:t>六、对项目的合理化建议和改进措施</w:t>
      </w:r>
      <w:r>
        <w:rPr>
          <w:rFonts w:hint="eastAsia" w:cs="仿宋_GB2312"/>
          <w:color w:val="auto"/>
          <w:lang w:val="zh-CN"/>
        </w:rPr>
        <w:t>…………………………………………</w:t>
      </w:r>
      <w:r>
        <w:rPr>
          <w:rFonts w:hint="eastAsia" w:cs="仿宋_GB2312"/>
          <w:color w:val="auto"/>
        </w:rPr>
        <w:t>（页码）</w:t>
      </w:r>
    </w:p>
    <w:p w14:paraId="52E428A4">
      <w:pPr>
        <w:pStyle w:val="95"/>
        <w:spacing w:line="360" w:lineRule="auto"/>
        <w:rPr>
          <w:rFonts w:cs="仿宋_GB2312"/>
          <w:color w:val="auto"/>
        </w:rPr>
      </w:pPr>
      <w:r>
        <w:rPr>
          <w:rFonts w:hint="eastAsia" w:cs="仿宋_GB2312"/>
          <w:color w:val="auto"/>
        </w:rPr>
        <w:t>七、认为需要的其他技术文件或说明（如有）</w:t>
      </w:r>
      <w:r>
        <w:rPr>
          <w:rFonts w:hint="eastAsia" w:cs="仿宋_GB2312"/>
          <w:color w:val="auto"/>
          <w:lang w:val="zh-CN"/>
        </w:rPr>
        <w:t>………………………………</w:t>
      </w:r>
      <w:r>
        <w:rPr>
          <w:rFonts w:hint="eastAsia" w:cs="仿宋_GB2312"/>
          <w:color w:val="auto"/>
        </w:rPr>
        <w:t>（页码）</w:t>
      </w:r>
    </w:p>
    <w:p w14:paraId="689ECFF7">
      <w:pPr>
        <w:spacing w:line="360" w:lineRule="auto"/>
        <w:rPr>
          <w:rFonts w:ascii="仿宋_GB2312" w:hAnsi="仿宋" w:eastAsia="仿宋_GB2312" w:cs="仿宋_GB2312"/>
          <w:b/>
          <w:bCs/>
          <w:color w:val="auto"/>
          <w:sz w:val="24"/>
        </w:rPr>
      </w:pPr>
      <w:r>
        <w:rPr>
          <w:rFonts w:hint="eastAsia" w:ascii="仿宋_GB2312" w:hAnsi="仿宋" w:eastAsia="仿宋_GB2312" w:cs="仿宋_GB2312"/>
          <w:b/>
          <w:bCs/>
          <w:color w:val="auto"/>
          <w:sz w:val="24"/>
        </w:rPr>
        <w:t>注：以上目录是基本格式要求，各投标人可根据自身情况进一步向下增加内容或细化。</w:t>
      </w:r>
    </w:p>
    <w:p w14:paraId="25B53226">
      <w:pPr>
        <w:snapToGrid w:val="0"/>
        <w:spacing w:before="165" w:beforeLines="50" w:after="50"/>
        <w:ind w:left="143" w:leftChars="68" w:firstLine="472" w:firstLineChars="196"/>
        <w:jc w:val="left"/>
        <w:rPr>
          <w:rFonts w:ascii="宋体" w:hAnsi="宋体"/>
          <w:b/>
          <w:color w:val="auto"/>
          <w:sz w:val="24"/>
        </w:rPr>
      </w:pPr>
    </w:p>
    <w:p w14:paraId="5E961708">
      <w:pPr>
        <w:snapToGrid w:val="0"/>
        <w:spacing w:before="165" w:beforeLines="50" w:after="50"/>
        <w:ind w:left="143" w:leftChars="68" w:firstLine="472" w:firstLineChars="196"/>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 xml:space="preserve"> </w:t>
      </w:r>
    </w:p>
    <w:p w14:paraId="6DBBBBC7">
      <w:pPr>
        <w:pStyle w:val="17"/>
        <w:spacing w:line="500" w:lineRule="exact"/>
        <w:jc w:val="center"/>
        <w:rPr>
          <w:rFonts w:ascii="Times New Roman" w:hAnsi="Times New Roman"/>
          <w:b/>
          <w:bCs/>
          <w:color w:val="auto"/>
          <w:sz w:val="30"/>
          <w:szCs w:val="30"/>
        </w:rPr>
      </w:pPr>
      <w:r>
        <w:rPr>
          <w:rFonts w:hint="eastAsia" w:ascii="Times New Roman" w:hAnsi="Times New Roman"/>
          <w:b/>
          <w:bCs/>
          <w:color w:val="auto"/>
          <w:sz w:val="30"/>
          <w:szCs w:val="30"/>
        </w:rPr>
        <w:t>一、技术需求偏离表</w:t>
      </w:r>
    </w:p>
    <w:p w14:paraId="4E19898F">
      <w:pPr>
        <w:pStyle w:val="17"/>
        <w:spacing w:line="440" w:lineRule="exact"/>
        <w:ind w:firstLine="420" w:firstLineChars="200"/>
        <w:rPr>
          <w:color w:val="auto"/>
        </w:rPr>
      </w:pPr>
    </w:p>
    <w:p w14:paraId="182092A8">
      <w:pPr>
        <w:pStyle w:val="17"/>
        <w:spacing w:line="600" w:lineRule="exact"/>
        <w:ind w:firstLine="480" w:firstLineChars="200"/>
        <w:rPr>
          <w:rFonts w:hAnsi="宋体"/>
          <w:color w:val="auto"/>
          <w:sz w:val="24"/>
          <w:szCs w:val="24"/>
        </w:rPr>
      </w:pPr>
      <w:r>
        <w:rPr>
          <w:rFonts w:hint="eastAsia" w:hAnsi="宋体"/>
          <w:color w:val="auto"/>
          <w:sz w:val="24"/>
          <w:szCs w:val="24"/>
        </w:rPr>
        <w:t>请根据所投货物的实际技术参数，</w:t>
      </w:r>
      <w:r>
        <w:rPr>
          <w:rFonts w:hint="eastAsia" w:hAnsi="宋体"/>
          <w:b/>
          <w:color w:val="auto"/>
          <w:sz w:val="28"/>
          <w:szCs w:val="28"/>
        </w:rPr>
        <w:t>逐条对应</w:t>
      </w:r>
      <w:r>
        <w:rPr>
          <w:rFonts w:hint="eastAsia" w:hAnsi="宋体"/>
          <w:color w:val="auto"/>
          <w:sz w:val="24"/>
          <w:szCs w:val="24"/>
        </w:rPr>
        <w:t>本项目招标文件第二章</w:t>
      </w:r>
      <w:r>
        <w:rPr>
          <w:rFonts w:hAnsi="宋体"/>
          <w:color w:val="auto"/>
          <w:sz w:val="24"/>
          <w:szCs w:val="24"/>
        </w:rPr>
        <w:t>“</w:t>
      </w:r>
      <w:r>
        <w:rPr>
          <w:rFonts w:hint="eastAsia" w:hAnsi="宋体"/>
          <w:color w:val="auto"/>
          <w:sz w:val="24"/>
          <w:szCs w:val="24"/>
        </w:rPr>
        <w:t>货物需求一览表</w:t>
      </w:r>
      <w:r>
        <w:rPr>
          <w:rFonts w:hAnsi="宋体"/>
          <w:color w:val="auto"/>
          <w:sz w:val="24"/>
          <w:szCs w:val="24"/>
        </w:rPr>
        <w:t>”</w:t>
      </w:r>
      <w:r>
        <w:rPr>
          <w:rFonts w:hint="eastAsia" w:hAnsi="宋体"/>
          <w:color w:val="auto"/>
          <w:sz w:val="24"/>
          <w:szCs w:val="24"/>
        </w:rPr>
        <w:t>中的</w:t>
      </w:r>
      <w:r>
        <w:rPr>
          <w:rFonts w:hint="eastAsia" w:hAnsi="宋体"/>
          <w:b/>
          <w:color w:val="auto"/>
          <w:sz w:val="28"/>
          <w:szCs w:val="28"/>
        </w:rPr>
        <w:t>采购清单及货物参数</w:t>
      </w:r>
      <w:r>
        <w:rPr>
          <w:rFonts w:hint="eastAsia" w:hAnsi="宋体"/>
          <w:color w:val="auto"/>
          <w:sz w:val="24"/>
          <w:szCs w:val="24"/>
        </w:rPr>
        <w:t>详细填写相应的具体内容。</w:t>
      </w:r>
      <w:r>
        <w:rPr>
          <w:rFonts w:hAnsi="宋体"/>
          <w:color w:val="auto"/>
          <w:sz w:val="24"/>
          <w:szCs w:val="24"/>
        </w:rPr>
        <w:t>“</w:t>
      </w:r>
      <w:r>
        <w:rPr>
          <w:rFonts w:hint="eastAsia" w:hAnsi="宋体"/>
          <w:color w:val="auto"/>
          <w:sz w:val="24"/>
          <w:szCs w:val="24"/>
        </w:rPr>
        <w:t>偏离说明</w:t>
      </w:r>
      <w:r>
        <w:rPr>
          <w:rFonts w:hAnsi="宋体"/>
          <w:color w:val="auto"/>
          <w:sz w:val="24"/>
          <w:szCs w:val="24"/>
        </w:rPr>
        <w:t>”</w:t>
      </w:r>
      <w:r>
        <w:rPr>
          <w:rFonts w:hint="eastAsia" w:hAnsi="宋体"/>
          <w:color w:val="auto"/>
          <w:sz w:val="24"/>
          <w:szCs w:val="24"/>
        </w:rPr>
        <w:t>一栏应当选择</w:t>
      </w:r>
      <w:r>
        <w:rPr>
          <w:rFonts w:hAnsi="宋体"/>
          <w:color w:val="auto"/>
          <w:sz w:val="24"/>
          <w:szCs w:val="24"/>
        </w:rPr>
        <w:t>“</w:t>
      </w:r>
      <w:r>
        <w:rPr>
          <w:rFonts w:hint="eastAsia" w:hAnsi="宋体"/>
          <w:color w:val="auto"/>
          <w:sz w:val="24"/>
          <w:szCs w:val="24"/>
        </w:rPr>
        <w:t>正偏离</w:t>
      </w:r>
      <w:r>
        <w:rPr>
          <w:rFonts w:hAnsi="宋体"/>
          <w:color w:val="auto"/>
          <w:sz w:val="24"/>
          <w:szCs w:val="24"/>
        </w:rPr>
        <w:t>”</w:t>
      </w:r>
      <w:r>
        <w:rPr>
          <w:rFonts w:hint="eastAsia" w:hAnsi="宋体"/>
          <w:color w:val="auto"/>
          <w:sz w:val="24"/>
          <w:szCs w:val="24"/>
        </w:rPr>
        <w:t>、</w:t>
      </w:r>
      <w:r>
        <w:rPr>
          <w:rFonts w:hAnsi="宋体"/>
          <w:color w:val="auto"/>
          <w:sz w:val="24"/>
          <w:szCs w:val="24"/>
        </w:rPr>
        <w:t>“</w:t>
      </w:r>
      <w:r>
        <w:rPr>
          <w:rFonts w:hint="eastAsia" w:hAnsi="宋体"/>
          <w:color w:val="auto"/>
          <w:sz w:val="24"/>
          <w:szCs w:val="24"/>
        </w:rPr>
        <w:t>负偏离</w:t>
      </w:r>
      <w:r>
        <w:rPr>
          <w:rFonts w:hAnsi="宋体"/>
          <w:color w:val="auto"/>
          <w:sz w:val="24"/>
          <w:szCs w:val="24"/>
        </w:rPr>
        <w:t>”</w:t>
      </w:r>
      <w:r>
        <w:rPr>
          <w:rFonts w:hint="eastAsia" w:hAnsi="宋体"/>
          <w:color w:val="auto"/>
          <w:sz w:val="24"/>
          <w:szCs w:val="24"/>
        </w:rPr>
        <w:t>或</w:t>
      </w:r>
      <w:r>
        <w:rPr>
          <w:rFonts w:hAnsi="宋体"/>
          <w:color w:val="auto"/>
          <w:sz w:val="24"/>
          <w:szCs w:val="24"/>
        </w:rPr>
        <w:t>“</w:t>
      </w:r>
      <w:r>
        <w:rPr>
          <w:rFonts w:hint="eastAsia" w:hAnsi="宋体"/>
          <w:color w:val="auto"/>
          <w:sz w:val="24"/>
          <w:szCs w:val="24"/>
        </w:rPr>
        <w:t>无偏离</w:t>
      </w:r>
      <w:r>
        <w:rPr>
          <w:rFonts w:hAnsi="宋体"/>
          <w:color w:val="auto"/>
          <w:sz w:val="24"/>
          <w:szCs w:val="24"/>
        </w:rPr>
        <w:t>”</w:t>
      </w:r>
      <w:r>
        <w:rPr>
          <w:rFonts w:hint="eastAsia" w:hAnsi="宋体"/>
          <w:color w:val="auto"/>
          <w:sz w:val="24"/>
          <w:szCs w:val="24"/>
        </w:rPr>
        <w:t>进行填写。</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5A3A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010AAD35">
            <w:pPr>
              <w:rPr>
                <w:rFonts w:ascii="宋体" w:hAnsi="宋体"/>
                <w:color w:val="auto"/>
                <w:szCs w:val="21"/>
              </w:rPr>
            </w:pPr>
            <w:r>
              <w:rPr>
                <w:rFonts w:hint="eastAsia" w:ascii="宋体" w:hAnsi="宋体"/>
                <w:color w:val="auto"/>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72F03937">
            <w:pPr>
              <w:jc w:val="center"/>
              <w:rPr>
                <w:rFonts w:ascii="宋体" w:hAnsi="宋体"/>
                <w:color w:val="auto"/>
                <w:szCs w:val="21"/>
              </w:rPr>
            </w:pPr>
            <w:r>
              <w:rPr>
                <w:rFonts w:hint="eastAsia" w:ascii="宋体" w:hAnsi="宋体"/>
                <w:color w:val="auto"/>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051576C4">
            <w:pPr>
              <w:jc w:val="center"/>
              <w:rPr>
                <w:rFonts w:ascii="宋体" w:hAnsi="宋体"/>
                <w:color w:val="auto"/>
                <w:szCs w:val="21"/>
              </w:rPr>
            </w:pPr>
            <w:r>
              <w:rPr>
                <w:rFonts w:hint="eastAsia" w:ascii="宋体" w:hAnsi="宋体"/>
                <w:color w:val="auto"/>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59841F82">
            <w:pPr>
              <w:rPr>
                <w:rFonts w:ascii="宋体" w:hAnsi="宋体"/>
                <w:color w:val="auto"/>
                <w:szCs w:val="21"/>
              </w:rPr>
            </w:pPr>
            <w:r>
              <w:rPr>
                <w:rFonts w:hint="eastAsia" w:ascii="宋体" w:hAnsi="宋体"/>
                <w:color w:val="auto"/>
                <w:szCs w:val="21"/>
              </w:rPr>
              <w:t>偏离说明</w:t>
            </w:r>
          </w:p>
        </w:tc>
      </w:tr>
      <w:tr w14:paraId="4DD6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5731C80C">
            <w:pPr>
              <w:widowControl/>
              <w:jc w:val="left"/>
              <w:rPr>
                <w:rFonts w:ascii="宋体" w:hAnsi="宋体"/>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2175574">
            <w:pPr>
              <w:jc w:val="center"/>
              <w:rPr>
                <w:rFonts w:ascii="宋体" w:hAnsi="宋体"/>
                <w:color w:val="auto"/>
                <w:szCs w:val="21"/>
              </w:rPr>
            </w:pPr>
            <w:r>
              <w:rPr>
                <w:rFonts w:hint="eastAsia" w:ascii="宋体" w:hAnsi="宋体"/>
                <w:color w:val="auto"/>
                <w:szCs w:val="21"/>
              </w:rPr>
              <w:t>货物名称</w:t>
            </w:r>
          </w:p>
        </w:tc>
        <w:tc>
          <w:tcPr>
            <w:tcW w:w="2310" w:type="dxa"/>
            <w:tcBorders>
              <w:top w:val="single" w:color="auto" w:sz="4" w:space="0"/>
              <w:left w:val="single" w:color="auto" w:sz="4" w:space="0"/>
              <w:bottom w:val="single" w:color="auto" w:sz="4" w:space="0"/>
              <w:right w:val="single" w:color="auto" w:sz="4" w:space="0"/>
            </w:tcBorders>
            <w:vAlign w:val="center"/>
          </w:tcPr>
          <w:p w14:paraId="16E4E0DD">
            <w:pPr>
              <w:jc w:val="center"/>
              <w:rPr>
                <w:rFonts w:ascii="宋体" w:hAnsi="宋体"/>
                <w:color w:val="auto"/>
                <w:szCs w:val="21"/>
              </w:rPr>
            </w:pPr>
            <w:r>
              <w:rPr>
                <w:rFonts w:hint="eastAsia" w:ascii="宋体" w:hAnsi="宋体"/>
                <w:color w:val="auto"/>
                <w:szCs w:val="21"/>
              </w:rPr>
              <w:t>货物参数</w:t>
            </w:r>
          </w:p>
        </w:tc>
        <w:tc>
          <w:tcPr>
            <w:tcW w:w="1516" w:type="dxa"/>
            <w:tcBorders>
              <w:top w:val="single" w:color="auto" w:sz="4" w:space="0"/>
              <w:left w:val="single" w:color="auto" w:sz="4" w:space="0"/>
              <w:bottom w:val="single" w:color="auto" w:sz="4" w:space="0"/>
              <w:right w:val="single" w:color="auto" w:sz="4" w:space="0"/>
            </w:tcBorders>
            <w:vAlign w:val="center"/>
          </w:tcPr>
          <w:p w14:paraId="702C59BE">
            <w:pPr>
              <w:jc w:val="center"/>
              <w:rPr>
                <w:rFonts w:ascii="宋体" w:hAnsi="宋体"/>
                <w:color w:val="auto"/>
                <w:szCs w:val="21"/>
              </w:rPr>
            </w:pPr>
            <w:r>
              <w:rPr>
                <w:rFonts w:hint="eastAsia" w:ascii="宋体" w:hAnsi="宋体"/>
                <w:color w:val="auto"/>
                <w:szCs w:val="21"/>
              </w:rPr>
              <w:t>货物名称</w:t>
            </w:r>
          </w:p>
        </w:tc>
        <w:tc>
          <w:tcPr>
            <w:tcW w:w="3297" w:type="dxa"/>
            <w:tcBorders>
              <w:top w:val="single" w:color="auto" w:sz="4" w:space="0"/>
              <w:left w:val="single" w:color="auto" w:sz="4" w:space="0"/>
              <w:bottom w:val="single" w:color="auto" w:sz="4" w:space="0"/>
              <w:right w:val="single" w:color="auto" w:sz="4" w:space="0"/>
            </w:tcBorders>
            <w:vAlign w:val="center"/>
          </w:tcPr>
          <w:p w14:paraId="1461BE33">
            <w:pPr>
              <w:jc w:val="center"/>
              <w:rPr>
                <w:rFonts w:ascii="宋体" w:hAnsi="宋体"/>
                <w:color w:val="auto"/>
                <w:szCs w:val="21"/>
              </w:rPr>
            </w:pPr>
            <w:r>
              <w:rPr>
                <w:rFonts w:hint="eastAsia" w:ascii="宋体" w:hAnsi="宋体"/>
                <w:color w:val="auto"/>
                <w:szCs w:val="21"/>
              </w:rPr>
              <w:t>所提供货物的内容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4D5084C3">
            <w:pPr>
              <w:widowControl/>
              <w:jc w:val="left"/>
              <w:rPr>
                <w:rFonts w:ascii="宋体" w:hAnsi="宋体"/>
                <w:color w:val="auto"/>
                <w:szCs w:val="21"/>
              </w:rPr>
            </w:pPr>
          </w:p>
        </w:tc>
      </w:tr>
      <w:tr w14:paraId="0FD4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528DBA2F">
            <w:pPr>
              <w:rPr>
                <w:rFonts w:ascii="宋体" w:hAnsi="宋体"/>
                <w:color w:val="auto"/>
                <w:szCs w:val="21"/>
              </w:rPr>
            </w:pPr>
            <w:r>
              <w:rPr>
                <w:rFonts w:ascii="宋体" w:hAnsi="宋体"/>
                <w:color w:val="auto"/>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2345A269">
            <w:pPr>
              <w:rPr>
                <w:rFonts w:ascii="宋体" w:hAnsi="宋体"/>
                <w:color w:val="auto"/>
                <w:szCs w:val="21"/>
              </w:rPr>
            </w:pPr>
            <w:r>
              <w:rPr>
                <w:rFonts w:ascii="宋体" w:hAnsi="宋体"/>
                <w:color w:val="auto"/>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6E41FE06">
            <w:pPr>
              <w:rPr>
                <w:rFonts w:ascii="宋体" w:hAnsi="宋体"/>
                <w:color w:val="auto"/>
                <w:szCs w:val="21"/>
              </w:rPr>
            </w:pPr>
            <w:r>
              <w:rPr>
                <w:rFonts w:ascii="宋体" w:hAnsi="宋体"/>
                <w:color w:val="auto"/>
                <w:szCs w:val="21"/>
              </w:rPr>
              <w:t>1  ……</w:t>
            </w:r>
          </w:p>
          <w:p w14:paraId="22D5588E">
            <w:pPr>
              <w:rPr>
                <w:rFonts w:ascii="宋体" w:hAnsi="宋体"/>
                <w:color w:val="auto"/>
                <w:szCs w:val="21"/>
              </w:rPr>
            </w:pPr>
            <w:r>
              <w:rPr>
                <w:rFonts w:ascii="宋体" w:hAnsi="宋体"/>
                <w:color w:val="auto"/>
                <w:szCs w:val="21"/>
              </w:rPr>
              <w:t>2  ……</w:t>
            </w:r>
          </w:p>
          <w:p w14:paraId="0258A842">
            <w:pPr>
              <w:rPr>
                <w:rFonts w:ascii="宋体" w:hAnsi="宋体"/>
                <w:color w:val="auto"/>
                <w:szCs w:val="21"/>
              </w:rPr>
            </w:pPr>
            <w:r>
              <w:rPr>
                <w:rFonts w:ascii="宋体" w:hAnsi="宋体"/>
                <w:color w:val="auto"/>
                <w:szCs w:val="21"/>
              </w:rPr>
              <w:t>3  ……</w:t>
            </w:r>
          </w:p>
          <w:p w14:paraId="77D683D1">
            <w:pPr>
              <w:rPr>
                <w:rFonts w:ascii="宋体" w:hAnsi="宋体"/>
                <w:color w:val="auto"/>
                <w:szCs w:val="21"/>
              </w:rPr>
            </w:pPr>
            <w:r>
              <w:rPr>
                <w:rFonts w:ascii="宋体" w:hAnsi="宋体"/>
                <w:color w:val="auto"/>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14:paraId="0D431C89">
            <w:pPr>
              <w:rPr>
                <w:rFonts w:ascii="宋体" w:hAnsi="宋体"/>
                <w:color w:val="auto"/>
                <w:szCs w:val="21"/>
              </w:rPr>
            </w:pPr>
            <w:r>
              <w:rPr>
                <w:rFonts w:ascii="宋体" w:hAnsi="宋体"/>
                <w:color w:val="auto"/>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14:paraId="581B3D83">
            <w:pPr>
              <w:rPr>
                <w:rFonts w:ascii="宋体" w:hAnsi="宋体"/>
                <w:color w:val="auto"/>
                <w:szCs w:val="21"/>
              </w:rPr>
            </w:pPr>
            <w:r>
              <w:rPr>
                <w:rFonts w:ascii="宋体" w:hAnsi="宋体"/>
                <w:color w:val="auto"/>
                <w:szCs w:val="21"/>
              </w:rPr>
              <w:t>1  ……</w:t>
            </w:r>
          </w:p>
          <w:p w14:paraId="2E22AB2B">
            <w:pPr>
              <w:rPr>
                <w:rFonts w:ascii="宋体" w:hAnsi="宋体"/>
                <w:color w:val="auto"/>
                <w:szCs w:val="21"/>
              </w:rPr>
            </w:pPr>
            <w:r>
              <w:rPr>
                <w:rFonts w:ascii="宋体" w:hAnsi="宋体"/>
                <w:color w:val="auto"/>
                <w:szCs w:val="21"/>
              </w:rPr>
              <w:t>2  ……</w:t>
            </w:r>
          </w:p>
          <w:p w14:paraId="265D90B8">
            <w:pPr>
              <w:rPr>
                <w:rFonts w:ascii="宋体" w:hAnsi="宋体"/>
                <w:color w:val="auto"/>
                <w:szCs w:val="21"/>
              </w:rPr>
            </w:pPr>
            <w:r>
              <w:rPr>
                <w:rFonts w:ascii="宋体" w:hAnsi="宋体"/>
                <w:color w:val="auto"/>
                <w:szCs w:val="21"/>
              </w:rPr>
              <w:t>3  ……</w:t>
            </w:r>
          </w:p>
          <w:p w14:paraId="1AECCCF2">
            <w:pPr>
              <w:rPr>
                <w:rFonts w:ascii="宋体" w:hAnsi="宋体"/>
                <w:color w:val="auto"/>
                <w:szCs w:val="21"/>
              </w:rPr>
            </w:pPr>
            <w:r>
              <w:rPr>
                <w:rFonts w:ascii="宋体" w:hAnsi="宋体"/>
                <w:color w:val="auto"/>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64FB926B">
            <w:pPr>
              <w:rPr>
                <w:rFonts w:ascii="宋体" w:hAnsi="宋体"/>
                <w:color w:val="auto"/>
                <w:szCs w:val="21"/>
              </w:rPr>
            </w:pPr>
            <w:r>
              <w:rPr>
                <w:rFonts w:hint="eastAsia" w:ascii="宋体" w:hAnsi="宋体"/>
                <w:color w:val="auto"/>
                <w:szCs w:val="21"/>
              </w:rPr>
              <w:t>正偏离（负偏离或无偏离）</w:t>
            </w:r>
          </w:p>
        </w:tc>
      </w:tr>
      <w:tr w14:paraId="2B74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4A262B00">
            <w:pPr>
              <w:rPr>
                <w:rFonts w:ascii="宋体" w:hAnsi="宋体"/>
                <w:color w:val="auto"/>
                <w:szCs w:val="21"/>
              </w:rPr>
            </w:pPr>
            <w:r>
              <w:rPr>
                <w:rFonts w:ascii="宋体" w:hAnsi="宋体"/>
                <w:color w:val="auto"/>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588FB98D">
            <w:pPr>
              <w:rPr>
                <w:rFonts w:ascii="宋体" w:hAnsi="宋体"/>
                <w:color w:val="auto"/>
                <w:szCs w:val="21"/>
              </w:rPr>
            </w:pPr>
            <w:r>
              <w:rPr>
                <w:rFonts w:ascii="宋体" w:hAnsi="宋体"/>
                <w:color w:val="auto"/>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23308763">
            <w:pPr>
              <w:rPr>
                <w:rFonts w:ascii="宋体" w:hAnsi="宋体"/>
                <w:color w:val="auto"/>
                <w:szCs w:val="21"/>
              </w:rPr>
            </w:pPr>
            <w:r>
              <w:rPr>
                <w:rFonts w:ascii="宋体" w:hAnsi="宋体"/>
                <w:color w:val="auto"/>
                <w:szCs w:val="21"/>
              </w:rPr>
              <w:t>1  ……</w:t>
            </w:r>
          </w:p>
          <w:p w14:paraId="7D74557A">
            <w:pPr>
              <w:rPr>
                <w:rFonts w:ascii="宋体" w:hAnsi="宋体"/>
                <w:color w:val="auto"/>
                <w:szCs w:val="21"/>
              </w:rPr>
            </w:pPr>
            <w:r>
              <w:rPr>
                <w:rFonts w:ascii="宋体" w:hAnsi="宋体"/>
                <w:color w:val="auto"/>
                <w:szCs w:val="21"/>
              </w:rPr>
              <w:t>2  ……</w:t>
            </w:r>
          </w:p>
          <w:p w14:paraId="4E5A2D4E">
            <w:pPr>
              <w:rPr>
                <w:rFonts w:ascii="宋体" w:hAnsi="宋体"/>
                <w:color w:val="auto"/>
                <w:szCs w:val="21"/>
              </w:rPr>
            </w:pPr>
            <w:r>
              <w:rPr>
                <w:rFonts w:ascii="宋体" w:hAnsi="宋体"/>
                <w:color w:val="auto"/>
                <w:szCs w:val="21"/>
              </w:rPr>
              <w:t>3  ……</w:t>
            </w:r>
          </w:p>
          <w:p w14:paraId="4E44918F">
            <w:pPr>
              <w:rPr>
                <w:rFonts w:ascii="宋体" w:hAnsi="宋体"/>
                <w:color w:val="auto"/>
                <w:szCs w:val="21"/>
              </w:rPr>
            </w:pPr>
            <w:r>
              <w:rPr>
                <w:rFonts w:ascii="宋体" w:hAnsi="宋体"/>
                <w:color w:val="auto"/>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14:paraId="27BEBC62">
            <w:pPr>
              <w:rPr>
                <w:rFonts w:ascii="宋体" w:hAnsi="宋体"/>
                <w:color w:val="auto"/>
                <w:szCs w:val="21"/>
              </w:rPr>
            </w:pPr>
            <w:r>
              <w:rPr>
                <w:rFonts w:ascii="宋体" w:hAnsi="宋体"/>
                <w:color w:val="auto"/>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14:paraId="5989ED5B">
            <w:pPr>
              <w:rPr>
                <w:rFonts w:ascii="宋体" w:hAnsi="宋体"/>
                <w:color w:val="auto"/>
                <w:szCs w:val="21"/>
              </w:rPr>
            </w:pPr>
            <w:r>
              <w:rPr>
                <w:rFonts w:ascii="宋体" w:hAnsi="宋体"/>
                <w:color w:val="auto"/>
                <w:szCs w:val="21"/>
              </w:rPr>
              <w:t>1  ……</w:t>
            </w:r>
          </w:p>
          <w:p w14:paraId="5ECF0B64">
            <w:pPr>
              <w:rPr>
                <w:rFonts w:ascii="宋体" w:hAnsi="宋体"/>
                <w:color w:val="auto"/>
                <w:szCs w:val="21"/>
              </w:rPr>
            </w:pPr>
            <w:r>
              <w:rPr>
                <w:rFonts w:ascii="宋体" w:hAnsi="宋体"/>
                <w:color w:val="auto"/>
                <w:szCs w:val="21"/>
              </w:rPr>
              <w:t>2  ……</w:t>
            </w:r>
          </w:p>
          <w:p w14:paraId="5E0FD1E4">
            <w:pPr>
              <w:rPr>
                <w:rFonts w:ascii="宋体" w:hAnsi="宋体"/>
                <w:color w:val="auto"/>
                <w:szCs w:val="21"/>
              </w:rPr>
            </w:pPr>
            <w:r>
              <w:rPr>
                <w:rFonts w:ascii="宋体" w:hAnsi="宋体"/>
                <w:color w:val="auto"/>
                <w:szCs w:val="21"/>
              </w:rPr>
              <w:t>3  ……</w:t>
            </w:r>
          </w:p>
          <w:p w14:paraId="0A46AE1B">
            <w:pPr>
              <w:rPr>
                <w:rFonts w:ascii="宋体" w:hAnsi="宋体"/>
                <w:color w:val="auto"/>
                <w:szCs w:val="21"/>
              </w:rPr>
            </w:pPr>
            <w:r>
              <w:rPr>
                <w:rFonts w:ascii="宋体" w:hAnsi="宋体"/>
                <w:color w:val="auto"/>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663BF02B">
            <w:pPr>
              <w:rPr>
                <w:rFonts w:ascii="宋体" w:hAnsi="宋体"/>
                <w:color w:val="auto"/>
                <w:szCs w:val="21"/>
              </w:rPr>
            </w:pPr>
            <w:r>
              <w:rPr>
                <w:rFonts w:hint="eastAsia" w:ascii="宋体" w:hAnsi="宋体"/>
                <w:color w:val="auto"/>
                <w:szCs w:val="21"/>
              </w:rPr>
              <w:t>正偏离（负偏离或无偏离）</w:t>
            </w:r>
          </w:p>
        </w:tc>
      </w:tr>
      <w:tr w14:paraId="35AA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597C1520">
            <w:pPr>
              <w:rPr>
                <w:rFonts w:ascii="宋体" w:hAnsi="宋体"/>
                <w:color w:val="auto"/>
                <w:szCs w:val="21"/>
              </w:rPr>
            </w:pPr>
            <w:r>
              <w:rPr>
                <w:rFonts w:ascii="宋体" w:hAnsi="宋体"/>
                <w:color w:val="auto"/>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14:paraId="2A440B81">
            <w:pPr>
              <w:rPr>
                <w:rFonts w:ascii="宋体" w:hAnsi="宋体"/>
                <w:color w:val="auto"/>
                <w:szCs w:val="21"/>
              </w:rPr>
            </w:pPr>
          </w:p>
        </w:tc>
        <w:tc>
          <w:tcPr>
            <w:tcW w:w="2310" w:type="dxa"/>
            <w:tcBorders>
              <w:top w:val="single" w:color="auto" w:sz="4" w:space="0"/>
              <w:left w:val="single" w:color="auto" w:sz="4" w:space="0"/>
              <w:bottom w:val="single" w:color="auto" w:sz="4" w:space="0"/>
              <w:right w:val="single" w:color="auto" w:sz="4" w:space="0"/>
            </w:tcBorders>
            <w:vAlign w:val="center"/>
          </w:tcPr>
          <w:p w14:paraId="23821F70">
            <w:pPr>
              <w:rPr>
                <w:rFonts w:ascii="宋体" w:hAnsi="宋体"/>
                <w:color w:val="auto"/>
                <w:szCs w:val="21"/>
              </w:rPr>
            </w:pPr>
          </w:p>
        </w:tc>
        <w:tc>
          <w:tcPr>
            <w:tcW w:w="1516" w:type="dxa"/>
            <w:tcBorders>
              <w:top w:val="single" w:color="auto" w:sz="4" w:space="0"/>
              <w:left w:val="single" w:color="auto" w:sz="4" w:space="0"/>
              <w:bottom w:val="single" w:color="auto" w:sz="4" w:space="0"/>
              <w:right w:val="single" w:color="auto" w:sz="4" w:space="0"/>
            </w:tcBorders>
            <w:vAlign w:val="center"/>
          </w:tcPr>
          <w:p w14:paraId="1B0248D4">
            <w:pPr>
              <w:rPr>
                <w:rFonts w:ascii="宋体" w:hAnsi="宋体"/>
                <w:color w:val="auto"/>
                <w:szCs w:val="21"/>
              </w:rPr>
            </w:pPr>
          </w:p>
        </w:tc>
        <w:tc>
          <w:tcPr>
            <w:tcW w:w="3297" w:type="dxa"/>
            <w:tcBorders>
              <w:top w:val="single" w:color="auto" w:sz="4" w:space="0"/>
              <w:left w:val="single" w:color="auto" w:sz="4" w:space="0"/>
              <w:bottom w:val="single" w:color="auto" w:sz="4" w:space="0"/>
              <w:right w:val="single" w:color="auto" w:sz="4" w:space="0"/>
            </w:tcBorders>
            <w:vAlign w:val="center"/>
          </w:tcPr>
          <w:p w14:paraId="17A87F94">
            <w:pPr>
              <w:rPr>
                <w:rFonts w:ascii="宋体" w:hAnsi="宋体"/>
                <w:color w:val="auto"/>
                <w:szCs w:val="21"/>
              </w:rPr>
            </w:pPr>
          </w:p>
        </w:tc>
        <w:tc>
          <w:tcPr>
            <w:tcW w:w="1168" w:type="dxa"/>
            <w:tcBorders>
              <w:top w:val="single" w:color="auto" w:sz="4" w:space="0"/>
              <w:left w:val="single" w:color="auto" w:sz="4" w:space="0"/>
              <w:bottom w:val="single" w:color="auto" w:sz="4" w:space="0"/>
              <w:right w:val="single" w:color="auto" w:sz="4" w:space="0"/>
            </w:tcBorders>
            <w:vAlign w:val="center"/>
          </w:tcPr>
          <w:p w14:paraId="0DB23CE6">
            <w:pPr>
              <w:rPr>
                <w:rFonts w:ascii="宋体" w:hAnsi="宋体"/>
                <w:color w:val="auto"/>
                <w:szCs w:val="21"/>
              </w:rPr>
            </w:pPr>
          </w:p>
        </w:tc>
      </w:tr>
      <w:tr w14:paraId="346A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68DF1D33">
            <w:pPr>
              <w:rPr>
                <w:rFonts w:ascii="宋体" w:hAnsi="宋体"/>
                <w:color w:val="auto"/>
                <w:szCs w:val="21"/>
              </w:rPr>
            </w:pPr>
            <w:r>
              <w:rPr>
                <w:rFonts w:hint="eastAsia" w:ascii="宋体" w:hAnsi="宋体"/>
                <w:color w:val="auto"/>
                <w:szCs w:val="21"/>
                <w:u w:val="single"/>
              </w:rPr>
              <w:t>　　</w:t>
            </w:r>
            <w:r>
              <w:rPr>
                <w:rFonts w:hint="eastAsia" w:ascii="宋体" w:hAnsi="宋体"/>
                <w:color w:val="auto"/>
                <w:szCs w:val="21"/>
              </w:rPr>
              <w:t>分标（此处有分标时填写具体分标号，无分标时填写</w:t>
            </w:r>
            <w:r>
              <w:rPr>
                <w:rFonts w:ascii="宋体" w:hAnsi="宋体"/>
                <w:color w:val="auto"/>
                <w:szCs w:val="21"/>
              </w:rPr>
              <w:t>“</w:t>
            </w:r>
            <w:r>
              <w:rPr>
                <w:rFonts w:hint="eastAsia" w:ascii="宋体" w:hAnsi="宋体"/>
                <w:color w:val="auto"/>
                <w:szCs w:val="21"/>
              </w:rPr>
              <w:t>无</w:t>
            </w:r>
            <w:r>
              <w:rPr>
                <w:rFonts w:ascii="宋体" w:hAnsi="宋体"/>
                <w:color w:val="auto"/>
                <w:szCs w:val="21"/>
              </w:rPr>
              <w:t>”</w:t>
            </w:r>
            <w:r>
              <w:rPr>
                <w:rFonts w:hint="eastAsia" w:ascii="宋体" w:hAnsi="宋体"/>
                <w:color w:val="auto"/>
                <w:szCs w:val="21"/>
              </w:rPr>
              <w:t>）</w:t>
            </w:r>
          </w:p>
        </w:tc>
      </w:tr>
    </w:tbl>
    <w:p w14:paraId="214D30FE">
      <w:pPr>
        <w:pStyle w:val="17"/>
        <w:spacing w:line="360" w:lineRule="auto"/>
        <w:rPr>
          <w:rFonts w:hAnsi="宋体"/>
          <w:color w:val="auto"/>
          <w:szCs w:val="21"/>
        </w:rPr>
      </w:pPr>
      <w:r>
        <w:rPr>
          <w:rFonts w:hint="eastAsia" w:hAnsi="宋体"/>
          <w:color w:val="auto"/>
          <w:szCs w:val="21"/>
        </w:rPr>
        <w:t>注：</w:t>
      </w:r>
    </w:p>
    <w:p w14:paraId="6C4054FB">
      <w:pPr>
        <w:pStyle w:val="17"/>
        <w:spacing w:line="360" w:lineRule="auto"/>
        <w:rPr>
          <w:rFonts w:hAnsi="宋体"/>
          <w:color w:val="auto"/>
          <w:szCs w:val="21"/>
        </w:rPr>
      </w:pPr>
      <w:r>
        <w:rPr>
          <w:rFonts w:hint="eastAsia" w:hAnsi="宋体" w:cs="宋体"/>
          <w:color w:val="auto"/>
          <w:szCs w:val="21"/>
        </w:rPr>
        <w:t>1.</w:t>
      </w:r>
      <w:r>
        <w:rPr>
          <w:rFonts w:hint="eastAsia" w:hAnsi="宋体"/>
          <w:color w:val="auto"/>
          <w:szCs w:val="21"/>
        </w:rPr>
        <w:t>表格内容均需按要求填写并盖章，不得留空，</w:t>
      </w:r>
      <w:r>
        <w:rPr>
          <w:rFonts w:hint="eastAsia" w:hAnsi="宋体"/>
          <w:bCs/>
          <w:color w:val="auto"/>
          <w:szCs w:val="21"/>
        </w:rPr>
        <w:t>否则按投标无效处理</w:t>
      </w:r>
      <w:r>
        <w:rPr>
          <w:rFonts w:hint="eastAsia" w:hAnsi="宋体"/>
          <w:color w:val="auto"/>
          <w:szCs w:val="21"/>
        </w:rPr>
        <w:t>。</w:t>
      </w:r>
    </w:p>
    <w:p w14:paraId="16FEB053">
      <w:pPr>
        <w:pStyle w:val="17"/>
        <w:spacing w:line="360" w:lineRule="auto"/>
        <w:rPr>
          <w:rFonts w:hAnsi="宋体"/>
          <w:color w:val="auto"/>
          <w:szCs w:val="21"/>
        </w:rPr>
      </w:pPr>
      <w:r>
        <w:rPr>
          <w:rFonts w:hint="eastAsia" w:hAnsi="宋体"/>
          <w:bCs/>
          <w:color w:val="auto"/>
          <w:szCs w:val="21"/>
        </w:rPr>
        <w:t>2.当投标文件的货物内容低于招标文件要求时，投标人应当如实写明</w:t>
      </w:r>
      <w:r>
        <w:rPr>
          <w:rFonts w:hAnsi="宋体"/>
          <w:bCs/>
          <w:color w:val="auto"/>
          <w:szCs w:val="21"/>
        </w:rPr>
        <w:t>“</w:t>
      </w:r>
      <w:r>
        <w:rPr>
          <w:rFonts w:hint="eastAsia" w:hAnsi="宋体"/>
          <w:bCs/>
          <w:color w:val="auto"/>
          <w:szCs w:val="21"/>
        </w:rPr>
        <w:t>负偏离</w:t>
      </w:r>
      <w:r>
        <w:rPr>
          <w:rFonts w:hAnsi="宋体"/>
          <w:bCs/>
          <w:color w:val="auto"/>
          <w:szCs w:val="21"/>
        </w:rPr>
        <w:t>”</w:t>
      </w:r>
      <w:r>
        <w:rPr>
          <w:rFonts w:hint="eastAsia" w:hAnsi="宋体"/>
          <w:bCs/>
          <w:color w:val="auto"/>
          <w:szCs w:val="21"/>
        </w:rPr>
        <w:t>，否则视为虚假应标。</w:t>
      </w:r>
    </w:p>
    <w:p w14:paraId="192C3626">
      <w:pPr>
        <w:pStyle w:val="17"/>
        <w:spacing w:line="360" w:lineRule="auto"/>
        <w:rPr>
          <w:color w:val="auto"/>
        </w:rPr>
      </w:pPr>
      <w:r>
        <w:rPr>
          <w:rFonts w:hint="eastAsia"/>
          <w:color w:val="auto"/>
        </w:rPr>
        <w:t>3.</w:t>
      </w:r>
      <w:r>
        <w:rPr>
          <w:rFonts w:hint="eastAsia" w:hAnsi="宋体" w:cs="宋体"/>
          <w:color w:val="auto"/>
          <w:szCs w:val="21"/>
        </w:rPr>
        <w:t>采购需求中带“▲”及“★”的条款，也要分别在本表“</w:t>
      </w:r>
      <w:r>
        <w:rPr>
          <w:rFonts w:hint="eastAsia" w:hAnsi="宋体"/>
          <w:color w:val="auto"/>
          <w:szCs w:val="21"/>
        </w:rPr>
        <w:t>货物参数</w:t>
      </w:r>
      <w:r>
        <w:rPr>
          <w:rFonts w:hint="eastAsia" w:hAnsi="宋体" w:cs="宋体"/>
          <w:color w:val="auto"/>
          <w:szCs w:val="21"/>
        </w:rPr>
        <w:t>”、“</w:t>
      </w:r>
      <w:r>
        <w:rPr>
          <w:rFonts w:hint="eastAsia" w:hAnsi="宋体"/>
          <w:color w:val="auto"/>
          <w:szCs w:val="21"/>
        </w:rPr>
        <w:t>所提供货物的内容</w:t>
      </w:r>
      <w:r>
        <w:rPr>
          <w:rFonts w:hint="eastAsia" w:hAnsi="宋体" w:cs="宋体"/>
          <w:color w:val="auto"/>
          <w:szCs w:val="21"/>
        </w:rPr>
        <w:t>”中标记。</w:t>
      </w:r>
    </w:p>
    <w:p w14:paraId="4EEA31DC">
      <w:pPr>
        <w:snapToGrid w:val="0"/>
        <w:spacing w:line="360" w:lineRule="auto"/>
        <w:ind w:firstLine="5640" w:firstLineChars="2350"/>
        <w:rPr>
          <w:rFonts w:ascii="仿宋_GB2312" w:hAnsi="仿宋" w:eastAsia="仿宋_GB2312" w:cs="仿宋_GB2312"/>
          <w:color w:val="auto"/>
          <w:kern w:val="0"/>
          <w:sz w:val="24"/>
          <w:lang w:val="zh-CN"/>
        </w:rPr>
      </w:pPr>
    </w:p>
    <w:p w14:paraId="16667FEE">
      <w:pPr>
        <w:snapToGrid w:val="0"/>
        <w:spacing w:line="360" w:lineRule="auto"/>
        <w:ind w:firstLine="5640" w:firstLineChars="23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投标人名称(电子签章)：</w:t>
      </w:r>
    </w:p>
    <w:p w14:paraId="18339687">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239A74FA">
      <w:pPr>
        <w:snapToGrid w:val="0"/>
        <w:spacing w:before="165" w:beforeLines="50" w:after="50"/>
        <w:ind w:left="143" w:leftChars="68" w:firstLine="600" w:firstLineChars="200"/>
        <w:jc w:val="left"/>
        <w:rPr>
          <w:rFonts w:ascii="宋体" w:hAnsi="宋体"/>
          <w:color w:val="auto"/>
          <w:sz w:val="30"/>
          <w:szCs w:val="20"/>
        </w:rPr>
        <w:sectPr>
          <w:footerReference r:id="rId20" w:type="first"/>
          <w:headerReference r:id="rId17" w:type="default"/>
          <w:footerReference r:id="rId18" w:type="default"/>
          <w:footerReference r:id="rId19" w:type="even"/>
          <w:pgSz w:w="11906" w:h="16838"/>
          <w:pgMar w:top="1134" w:right="1134" w:bottom="1134" w:left="1134" w:header="720" w:footer="720" w:gutter="0"/>
          <w:cols w:space="720" w:num="1"/>
          <w:docGrid w:type="lines" w:linePitch="331" w:charSpace="0"/>
        </w:sectPr>
      </w:pPr>
    </w:p>
    <w:p w14:paraId="7CA3F07F">
      <w:pPr>
        <w:snapToGrid w:val="0"/>
        <w:spacing w:before="165" w:beforeLines="50" w:after="50"/>
        <w:jc w:val="center"/>
        <w:rPr>
          <w:b/>
          <w:bCs/>
          <w:color w:val="auto"/>
          <w:sz w:val="30"/>
          <w:szCs w:val="30"/>
        </w:rPr>
      </w:pPr>
      <w:r>
        <w:rPr>
          <w:rFonts w:hint="eastAsia"/>
          <w:b/>
          <w:bCs/>
          <w:color w:val="auto"/>
          <w:sz w:val="30"/>
          <w:szCs w:val="30"/>
        </w:rPr>
        <w:t>二、项目实施组织货物方案</w:t>
      </w:r>
    </w:p>
    <w:p w14:paraId="542754A2">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（由投标人根据采购需求及招标文件要求编制）</w:t>
      </w:r>
    </w:p>
    <w:p w14:paraId="7589A473">
      <w:pPr>
        <w:rPr>
          <w:rFonts w:ascii="仿宋_GB2312" w:hAnsi="仿宋" w:eastAsia="仿宋_GB2312" w:cs="仿宋_GB2312"/>
          <w:b/>
          <w:bCs/>
          <w:color w:val="auto"/>
          <w:kern w:val="0"/>
          <w:sz w:val="24"/>
          <w:lang w:val="zh-CN"/>
        </w:rPr>
      </w:pPr>
    </w:p>
    <w:p w14:paraId="44D900B1">
      <w:pPr>
        <w:rPr>
          <w:rFonts w:ascii="仿宋_GB2312" w:hAnsi="仿宋" w:eastAsia="仿宋_GB2312" w:cs="仿宋_GB2312"/>
          <w:b/>
          <w:bCs/>
          <w:color w:val="auto"/>
          <w:kern w:val="0"/>
          <w:sz w:val="24"/>
          <w:lang w:val="zh-CN"/>
        </w:rPr>
      </w:pPr>
    </w:p>
    <w:p w14:paraId="017F83E4">
      <w:pPr>
        <w:ind w:firstLine="472" w:firstLineChars="196"/>
        <w:rPr>
          <w:rFonts w:ascii="仿宋_GB2312" w:hAnsi="仿宋" w:eastAsia="仿宋_GB2312" w:cs="仿宋_GB2312"/>
          <w:b/>
          <w:bCs/>
          <w:color w:val="auto"/>
          <w:kern w:val="0"/>
          <w:sz w:val="24"/>
          <w:lang w:val="zh-CN"/>
        </w:rPr>
      </w:pPr>
      <w:r>
        <w:rPr>
          <w:rFonts w:hint="eastAsia" w:ascii="仿宋_GB2312" w:hAnsi="仿宋" w:eastAsia="仿宋_GB2312" w:cs="仿宋_GB2312"/>
          <w:b/>
          <w:bCs/>
          <w:color w:val="auto"/>
          <w:kern w:val="0"/>
          <w:sz w:val="24"/>
          <w:lang w:val="zh-CN"/>
        </w:rPr>
        <w:t>（一）项目前期准备</w:t>
      </w:r>
    </w:p>
    <w:p w14:paraId="10454E56">
      <w:pPr>
        <w:autoSpaceDE w:val="0"/>
        <w:autoSpaceDN w:val="0"/>
        <w:spacing w:line="360" w:lineRule="auto"/>
        <w:ind w:firstLine="480" w:firstLineChars="200"/>
        <w:jc w:val="left"/>
        <w:rPr>
          <w:rFonts w:ascii="仿宋_GB2312" w:hAnsi="仿宋" w:eastAsia="仿宋_GB2312" w:cs="仿宋_GB2312"/>
          <w:color w:val="auto"/>
          <w:sz w:val="24"/>
        </w:rPr>
      </w:pPr>
      <w:r>
        <w:rPr>
          <w:rFonts w:hint="eastAsia" w:ascii="仿宋_GB2312" w:hAnsi="仿宋" w:eastAsia="仿宋_GB2312" w:cs="仿宋_GB2312"/>
          <w:color w:val="auto"/>
          <w:sz w:val="24"/>
        </w:rPr>
        <w:t>（由投标人根据采购需求及招标文件要求编制）</w:t>
      </w:r>
    </w:p>
    <w:p w14:paraId="59D3B12C">
      <w:pPr>
        <w:ind w:firstLine="472" w:firstLineChars="196"/>
        <w:rPr>
          <w:rFonts w:ascii="仿宋_GB2312" w:hAnsi="仿宋" w:eastAsia="仿宋_GB2312" w:cs="仿宋_GB2312"/>
          <w:b/>
          <w:bCs/>
          <w:color w:val="auto"/>
          <w:kern w:val="0"/>
          <w:sz w:val="24"/>
          <w:lang w:val="zh-CN"/>
        </w:rPr>
      </w:pPr>
      <w:r>
        <w:rPr>
          <w:rFonts w:hint="eastAsia" w:ascii="仿宋_GB2312" w:hAnsi="仿宋" w:eastAsia="仿宋_GB2312" w:cs="仿宋_GB2312"/>
          <w:b/>
          <w:bCs/>
          <w:color w:val="auto"/>
          <w:kern w:val="0"/>
          <w:sz w:val="24"/>
          <w:lang w:val="zh-CN"/>
        </w:rPr>
        <w:t>（二）项目实施计划</w:t>
      </w:r>
    </w:p>
    <w:p w14:paraId="5A2215B3">
      <w:pPr>
        <w:rPr>
          <w:rFonts w:ascii="仿宋_GB2312" w:hAnsi="仿宋" w:eastAsia="仿宋_GB2312" w:cs="仿宋_GB2312"/>
          <w:b/>
          <w:bCs/>
          <w:color w:val="auto"/>
          <w:kern w:val="0"/>
          <w:sz w:val="24"/>
          <w:lang w:val="zh-CN"/>
        </w:rPr>
      </w:pPr>
      <w:bookmarkStart w:id="306" w:name="_Toc78473822"/>
      <w:r>
        <w:rPr>
          <w:rFonts w:hint="eastAsia" w:ascii="仿宋_GB2312" w:hAnsi="仿宋" w:eastAsia="仿宋_GB2312" w:cs="仿宋_GB2312"/>
          <w:b/>
          <w:bCs/>
          <w:color w:val="auto"/>
          <w:kern w:val="0"/>
          <w:sz w:val="24"/>
          <w:lang w:val="zh-CN"/>
        </w:rPr>
        <w:t>附表:项目实施进度计划表</w:t>
      </w:r>
      <w:r>
        <w:rPr>
          <w:rFonts w:hint="eastAsia" w:ascii="仿宋_GB2312" w:hAnsi="仿宋" w:eastAsia="仿宋_GB2312" w:cs="仿宋_GB2312"/>
          <w:b/>
          <w:color w:val="auto"/>
          <w:sz w:val="24"/>
        </w:rPr>
        <w:t>(以生效日算起)</w:t>
      </w:r>
      <w:bookmarkEnd w:id="306"/>
      <w:r>
        <w:rPr>
          <w:rFonts w:hint="eastAsia" w:ascii="仿宋_GB2312" w:hAnsi="仿宋" w:eastAsia="仿宋_GB2312" w:cs="仿宋_GB2312"/>
          <w:b/>
          <w:color w:val="auto"/>
          <w:sz w:val="24"/>
        </w:rPr>
        <w:t xml:space="preserve"> </w:t>
      </w:r>
    </w:p>
    <w:tbl>
      <w:tblPr>
        <w:tblStyle w:val="3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B14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vAlign w:val="center"/>
          </w:tcPr>
          <w:p w14:paraId="14D9C7E8">
            <w:pPr>
              <w:spacing w:line="360" w:lineRule="auto"/>
              <w:rPr>
                <w:rFonts w:ascii="仿宋_GB2312" w:hAnsi="仿宋" w:eastAsia="仿宋_GB2312" w:cs="仿宋_GB2312"/>
                <w:color w:val="auto"/>
                <w:sz w:val="24"/>
              </w:rPr>
            </w:pPr>
            <w:r>
              <w:rPr>
                <w:color w:val="auto"/>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1CB56CB0">
                                    <w:pPr>
                                      <w:snapToGrid w:val="0"/>
                                    </w:pPr>
                                    <w: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785EA730">
                                    <w:pPr>
                                      <w:snapToGrid w:val="0"/>
                                    </w:pPr>
                                    <w: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0ACC7D4B">
                                    <w:pPr>
                                      <w:snapToGrid w:val="0"/>
                                    </w:pPr>
                                    <w: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CB56CB0">
                              <w:pPr>
                                <w:snapToGrid w:val="0"/>
                              </w:pPr>
                              <w: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85EA730">
                              <w:pPr>
                                <w:snapToGrid w:val="0"/>
                              </w:pPr>
                              <w: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ACC7D4B">
                              <w:pPr>
                                <w:snapToGrid w:val="0"/>
                              </w:pPr>
                              <w:r>
                                <w:t>日</w:t>
                              </w:r>
                            </w:p>
                          </w:txbxContent>
                        </v:textbox>
                      </v:shape>
                    </v:group>
                  </w:pict>
                </mc:Fallback>
              </mc:AlternateContent>
            </w:r>
          </w:p>
          <w:p w14:paraId="1100587E">
            <w:pPr>
              <w:spacing w:line="360" w:lineRule="auto"/>
              <w:rPr>
                <w:rFonts w:ascii="仿宋_GB2312" w:hAnsi="仿宋" w:eastAsia="仿宋_GB2312" w:cs="仿宋_GB2312"/>
                <w:color w:val="auto"/>
                <w:sz w:val="24"/>
              </w:rPr>
            </w:pPr>
          </w:p>
          <w:p w14:paraId="57CD7043">
            <w:pPr>
              <w:spacing w:line="360" w:lineRule="auto"/>
              <w:rPr>
                <w:rFonts w:ascii="仿宋_GB2312" w:hAnsi="仿宋" w:eastAsia="仿宋_GB2312" w:cs="仿宋_GB2312"/>
                <w:color w:val="auto"/>
                <w:sz w:val="24"/>
              </w:rPr>
            </w:pPr>
          </w:p>
          <w:p w14:paraId="614DACB9">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内容</w:t>
            </w:r>
          </w:p>
        </w:tc>
        <w:tc>
          <w:tcPr>
            <w:tcW w:w="552" w:type="dxa"/>
            <w:vAlign w:val="center"/>
          </w:tcPr>
          <w:p w14:paraId="2267DA67">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1</w:t>
            </w:r>
          </w:p>
        </w:tc>
        <w:tc>
          <w:tcPr>
            <w:tcW w:w="552" w:type="dxa"/>
            <w:vAlign w:val="center"/>
          </w:tcPr>
          <w:p w14:paraId="19841744">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2</w:t>
            </w:r>
          </w:p>
        </w:tc>
        <w:tc>
          <w:tcPr>
            <w:tcW w:w="552" w:type="dxa"/>
            <w:vAlign w:val="center"/>
          </w:tcPr>
          <w:p w14:paraId="14849460">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3</w:t>
            </w:r>
          </w:p>
        </w:tc>
        <w:tc>
          <w:tcPr>
            <w:tcW w:w="552" w:type="dxa"/>
            <w:vAlign w:val="center"/>
          </w:tcPr>
          <w:p w14:paraId="70CA3723">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4</w:t>
            </w:r>
          </w:p>
        </w:tc>
        <w:tc>
          <w:tcPr>
            <w:tcW w:w="552" w:type="dxa"/>
            <w:vAlign w:val="center"/>
          </w:tcPr>
          <w:p w14:paraId="22E56FC6">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5</w:t>
            </w:r>
          </w:p>
        </w:tc>
        <w:tc>
          <w:tcPr>
            <w:tcW w:w="552" w:type="dxa"/>
            <w:vAlign w:val="center"/>
          </w:tcPr>
          <w:p w14:paraId="0E93787B">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6</w:t>
            </w:r>
          </w:p>
        </w:tc>
        <w:tc>
          <w:tcPr>
            <w:tcW w:w="553" w:type="dxa"/>
            <w:vAlign w:val="center"/>
          </w:tcPr>
          <w:p w14:paraId="48974510">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7</w:t>
            </w:r>
          </w:p>
        </w:tc>
        <w:tc>
          <w:tcPr>
            <w:tcW w:w="553" w:type="dxa"/>
            <w:vAlign w:val="center"/>
          </w:tcPr>
          <w:p w14:paraId="729931C1">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8</w:t>
            </w:r>
          </w:p>
        </w:tc>
        <w:tc>
          <w:tcPr>
            <w:tcW w:w="553" w:type="dxa"/>
            <w:vAlign w:val="center"/>
          </w:tcPr>
          <w:p w14:paraId="642CD2B9">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9</w:t>
            </w:r>
          </w:p>
        </w:tc>
        <w:tc>
          <w:tcPr>
            <w:tcW w:w="553" w:type="dxa"/>
            <w:vAlign w:val="center"/>
          </w:tcPr>
          <w:p w14:paraId="6C043025">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10</w:t>
            </w:r>
          </w:p>
        </w:tc>
        <w:tc>
          <w:tcPr>
            <w:tcW w:w="553" w:type="dxa"/>
            <w:vAlign w:val="center"/>
          </w:tcPr>
          <w:p w14:paraId="4505BD87">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11</w:t>
            </w:r>
          </w:p>
        </w:tc>
        <w:tc>
          <w:tcPr>
            <w:tcW w:w="553" w:type="dxa"/>
            <w:vAlign w:val="center"/>
          </w:tcPr>
          <w:p w14:paraId="39BBC54F">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12</w:t>
            </w:r>
          </w:p>
        </w:tc>
        <w:tc>
          <w:tcPr>
            <w:tcW w:w="553" w:type="dxa"/>
            <w:vAlign w:val="center"/>
          </w:tcPr>
          <w:p w14:paraId="3356D483">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13</w:t>
            </w:r>
          </w:p>
        </w:tc>
        <w:tc>
          <w:tcPr>
            <w:tcW w:w="553" w:type="dxa"/>
            <w:vAlign w:val="center"/>
          </w:tcPr>
          <w:p w14:paraId="64E01F40">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14</w:t>
            </w:r>
          </w:p>
        </w:tc>
        <w:tc>
          <w:tcPr>
            <w:tcW w:w="553" w:type="dxa"/>
            <w:vAlign w:val="center"/>
          </w:tcPr>
          <w:p w14:paraId="1BAA766E">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15</w:t>
            </w:r>
          </w:p>
        </w:tc>
        <w:tc>
          <w:tcPr>
            <w:tcW w:w="553" w:type="dxa"/>
            <w:vAlign w:val="center"/>
          </w:tcPr>
          <w:p w14:paraId="53619022">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p>
        </w:tc>
      </w:tr>
      <w:tr w14:paraId="6B61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39BCA30">
            <w:pPr>
              <w:spacing w:line="360" w:lineRule="auto"/>
              <w:rPr>
                <w:rFonts w:ascii="仿宋_GB2312" w:hAnsi="仿宋" w:eastAsia="仿宋_GB2312" w:cs="仿宋_GB2312"/>
                <w:color w:val="auto"/>
                <w:sz w:val="24"/>
              </w:rPr>
            </w:pPr>
          </w:p>
        </w:tc>
        <w:tc>
          <w:tcPr>
            <w:tcW w:w="552" w:type="dxa"/>
          </w:tcPr>
          <w:p w14:paraId="01208381">
            <w:pPr>
              <w:spacing w:line="360" w:lineRule="auto"/>
              <w:rPr>
                <w:rFonts w:ascii="仿宋_GB2312" w:hAnsi="仿宋" w:eastAsia="仿宋_GB2312" w:cs="仿宋_GB2312"/>
                <w:color w:val="auto"/>
                <w:sz w:val="24"/>
              </w:rPr>
            </w:pPr>
          </w:p>
        </w:tc>
        <w:tc>
          <w:tcPr>
            <w:tcW w:w="552" w:type="dxa"/>
          </w:tcPr>
          <w:p w14:paraId="6D7D092C">
            <w:pPr>
              <w:spacing w:line="360" w:lineRule="auto"/>
              <w:rPr>
                <w:rFonts w:ascii="仿宋_GB2312" w:hAnsi="仿宋" w:eastAsia="仿宋_GB2312" w:cs="仿宋_GB2312"/>
                <w:color w:val="auto"/>
                <w:sz w:val="24"/>
              </w:rPr>
            </w:pPr>
          </w:p>
        </w:tc>
        <w:tc>
          <w:tcPr>
            <w:tcW w:w="552" w:type="dxa"/>
          </w:tcPr>
          <w:p w14:paraId="20F40E0F">
            <w:pPr>
              <w:spacing w:line="360" w:lineRule="auto"/>
              <w:rPr>
                <w:rFonts w:ascii="仿宋_GB2312" w:hAnsi="仿宋" w:eastAsia="仿宋_GB2312" w:cs="仿宋_GB2312"/>
                <w:color w:val="auto"/>
                <w:sz w:val="24"/>
              </w:rPr>
            </w:pPr>
          </w:p>
        </w:tc>
        <w:tc>
          <w:tcPr>
            <w:tcW w:w="552" w:type="dxa"/>
          </w:tcPr>
          <w:p w14:paraId="7A6148B8">
            <w:pPr>
              <w:spacing w:line="360" w:lineRule="auto"/>
              <w:rPr>
                <w:rFonts w:ascii="仿宋_GB2312" w:hAnsi="仿宋" w:eastAsia="仿宋_GB2312" w:cs="仿宋_GB2312"/>
                <w:color w:val="auto"/>
                <w:sz w:val="24"/>
              </w:rPr>
            </w:pPr>
          </w:p>
        </w:tc>
        <w:tc>
          <w:tcPr>
            <w:tcW w:w="552" w:type="dxa"/>
          </w:tcPr>
          <w:p w14:paraId="44901C1A">
            <w:pPr>
              <w:spacing w:line="360" w:lineRule="auto"/>
              <w:rPr>
                <w:rFonts w:ascii="仿宋_GB2312" w:hAnsi="仿宋" w:eastAsia="仿宋_GB2312" w:cs="仿宋_GB2312"/>
                <w:color w:val="auto"/>
                <w:sz w:val="24"/>
              </w:rPr>
            </w:pPr>
          </w:p>
        </w:tc>
        <w:tc>
          <w:tcPr>
            <w:tcW w:w="552" w:type="dxa"/>
          </w:tcPr>
          <w:p w14:paraId="05A5297A">
            <w:pPr>
              <w:spacing w:line="360" w:lineRule="auto"/>
              <w:rPr>
                <w:rFonts w:ascii="仿宋_GB2312" w:hAnsi="仿宋" w:eastAsia="仿宋_GB2312" w:cs="仿宋_GB2312"/>
                <w:color w:val="auto"/>
                <w:sz w:val="24"/>
              </w:rPr>
            </w:pPr>
          </w:p>
        </w:tc>
        <w:tc>
          <w:tcPr>
            <w:tcW w:w="553" w:type="dxa"/>
          </w:tcPr>
          <w:p w14:paraId="7BC1C797">
            <w:pPr>
              <w:spacing w:line="360" w:lineRule="auto"/>
              <w:rPr>
                <w:rFonts w:ascii="仿宋_GB2312" w:hAnsi="仿宋" w:eastAsia="仿宋_GB2312" w:cs="仿宋_GB2312"/>
                <w:color w:val="auto"/>
                <w:sz w:val="24"/>
              </w:rPr>
            </w:pPr>
          </w:p>
        </w:tc>
        <w:tc>
          <w:tcPr>
            <w:tcW w:w="553" w:type="dxa"/>
          </w:tcPr>
          <w:p w14:paraId="38E63495">
            <w:pPr>
              <w:spacing w:line="360" w:lineRule="auto"/>
              <w:rPr>
                <w:rFonts w:ascii="仿宋_GB2312" w:hAnsi="仿宋" w:eastAsia="仿宋_GB2312" w:cs="仿宋_GB2312"/>
                <w:color w:val="auto"/>
                <w:sz w:val="24"/>
              </w:rPr>
            </w:pPr>
          </w:p>
        </w:tc>
        <w:tc>
          <w:tcPr>
            <w:tcW w:w="553" w:type="dxa"/>
          </w:tcPr>
          <w:p w14:paraId="7B10163D">
            <w:pPr>
              <w:spacing w:line="360" w:lineRule="auto"/>
              <w:rPr>
                <w:rFonts w:ascii="仿宋_GB2312" w:hAnsi="仿宋" w:eastAsia="仿宋_GB2312" w:cs="仿宋_GB2312"/>
                <w:color w:val="auto"/>
                <w:sz w:val="24"/>
              </w:rPr>
            </w:pPr>
          </w:p>
        </w:tc>
        <w:tc>
          <w:tcPr>
            <w:tcW w:w="553" w:type="dxa"/>
          </w:tcPr>
          <w:p w14:paraId="6216278D">
            <w:pPr>
              <w:spacing w:line="360" w:lineRule="auto"/>
              <w:rPr>
                <w:rFonts w:ascii="仿宋_GB2312" w:hAnsi="仿宋" w:eastAsia="仿宋_GB2312" w:cs="仿宋_GB2312"/>
                <w:color w:val="auto"/>
                <w:sz w:val="24"/>
              </w:rPr>
            </w:pPr>
          </w:p>
        </w:tc>
        <w:tc>
          <w:tcPr>
            <w:tcW w:w="553" w:type="dxa"/>
          </w:tcPr>
          <w:p w14:paraId="6665021B">
            <w:pPr>
              <w:spacing w:line="360" w:lineRule="auto"/>
              <w:rPr>
                <w:rFonts w:ascii="仿宋_GB2312" w:hAnsi="仿宋" w:eastAsia="仿宋_GB2312" w:cs="仿宋_GB2312"/>
                <w:color w:val="auto"/>
                <w:sz w:val="24"/>
              </w:rPr>
            </w:pPr>
          </w:p>
        </w:tc>
        <w:tc>
          <w:tcPr>
            <w:tcW w:w="553" w:type="dxa"/>
          </w:tcPr>
          <w:p w14:paraId="0B2B1B0C">
            <w:pPr>
              <w:spacing w:line="360" w:lineRule="auto"/>
              <w:rPr>
                <w:rFonts w:ascii="仿宋_GB2312" w:hAnsi="仿宋" w:eastAsia="仿宋_GB2312" w:cs="仿宋_GB2312"/>
                <w:color w:val="auto"/>
                <w:sz w:val="24"/>
              </w:rPr>
            </w:pPr>
          </w:p>
        </w:tc>
        <w:tc>
          <w:tcPr>
            <w:tcW w:w="553" w:type="dxa"/>
          </w:tcPr>
          <w:p w14:paraId="1E1599DF">
            <w:pPr>
              <w:spacing w:line="360" w:lineRule="auto"/>
              <w:rPr>
                <w:rFonts w:ascii="仿宋_GB2312" w:hAnsi="仿宋" w:eastAsia="仿宋_GB2312" w:cs="仿宋_GB2312"/>
                <w:color w:val="auto"/>
                <w:sz w:val="24"/>
              </w:rPr>
            </w:pPr>
          </w:p>
        </w:tc>
        <w:tc>
          <w:tcPr>
            <w:tcW w:w="553" w:type="dxa"/>
          </w:tcPr>
          <w:p w14:paraId="2F157D9E">
            <w:pPr>
              <w:spacing w:line="360" w:lineRule="auto"/>
              <w:rPr>
                <w:rFonts w:ascii="仿宋_GB2312" w:hAnsi="仿宋" w:eastAsia="仿宋_GB2312" w:cs="仿宋_GB2312"/>
                <w:color w:val="auto"/>
                <w:sz w:val="24"/>
              </w:rPr>
            </w:pPr>
          </w:p>
        </w:tc>
        <w:tc>
          <w:tcPr>
            <w:tcW w:w="553" w:type="dxa"/>
          </w:tcPr>
          <w:p w14:paraId="5AD5907A">
            <w:pPr>
              <w:spacing w:line="360" w:lineRule="auto"/>
              <w:rPr>
                <w:rFonts w:ascii="仿宋_GB2312" w:hAnsi="仿宋" w:eastAsia="仿宋_GB2312" w:cs="仿宋_GB2312"/>
                <w:color w:val="auto"/>
                <w:sz w:val="24"/>
              </w:rPr>
            </w:pPr>
          </w:p>
        </w:tc>
        <w:tc>
          <w:tcPr>
            <w:tcW w:w="553" w:type="dxa"/>
          </w:tcPr>
          <w:p w14:paraId="6038A902">
            <w:pPr>
              <w:spacing w:line="360" w:lineRule="auto"/>
              <w:rPr>
                <w:rFonts w:ascii="仿宋_GB2312" w:hAnsi="仿宋" w:eastAsia="仿宋_GB2312" w:cs="仿宋_GB2312"/>
                <w:color w:val="auto"/>
                <w:sz w:val="24"/>
              </w:rPr>
            </w:pPr>
          </w:p>
        </w:tc>
      </w:tr>
      <w:tr w14:paraId="2231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A5CB904">
            <w:pPr>
              <w:spacing w:line="360" w:lineRule="auto"/>
              <w:rPr>
                <w:rFonts w:ascii="仿宋_GB2312" w:hAnsi="仿宋" w:eastAsia="仿宋_GB2312" w:cs="仿宋_GB2312"/>
                <w:color w:val="auto"/>
                <w:sz w:val="24"/>
              </w:rPr>
            </w:pPr>
          </w:p>
        </w:tc>
        <w:tc>
          <w:tcPr>
            <w:tcW w:w="552" w:type="dxa"/>
          </w:tcPr>
          <w:p w14:paraId="17C6A0B2">
            <w:pPr>
              <w:spacing w:line="360" w:lineRule="auto"/>
              <w:rPr>
                <w:rFonts w:ascii="仿宋_GB2312" w:hAnsi="仿宋" w:eastAsia="仿宋_GB2312" w:cs="仿宋_GB2312"/>
                <w:color w:val="auto"/>
                <w:sz w:val="24"/>
              </w:rPr>
            </w:pPr>
          </w:p>
        </w:tc>
        <w:tc>
          <w:tcPr>
            <w:tcW w:w="552" w:type="dxa"/>
          </w:tcPr>
          <w:p w14:paraId="27A6E815">
            <w:pPr>
              <w:spacing w:line="360" w:lineRule="auto"/>
              <w:rPr>
                <w:rFonts w:ascii="仿宋_GB2312" w:hAnsi="仿宋" w:eastAsia="仿宋_GB2312" w:cs="仿宋_GB2312"/>
                <w:color w:val="auto"/>
                <w:sz w:val="24"/>
              </w:rPr>
            </w:pPr>
          </w:p>
        </w:tc>
        <w:tc>
          <w:tcPr>
            <w:tcW w:w="552" w:type="dxa"/>
          </w:tcPr>
          <w:p w14:paraId="1B216F06">
            <w:pPr>
              <w:spacing w:line="360" w:lineRule="auto"/>
              <w:rPr>
                <w:rFonts w:ascii="仿宋_GB2312" w:hAnsi="仿宋" w:eastAsia="仿宋_GB2312" w:cs="仿宋_GB2312"/>
                <w:color w:val="auto"/>
                <w:sz w:val="24"/>
              </w:rPr>
            </w:pPr>
          </w:p>
        </w:tc>
        <w:tc>
          <w:tcPr>
            <w:tcW w:w="552" w:type="dxa"/>
          </w:tcPr>
          <w:p w14:paraId="42279059">
            <w:pPr>
              <w:spacing w:line="360" w:lineRule="auto"/>
              <w:rPr>
                <w:rFonts w:ascii="仿宋_GB2312" w:hAnsi="仿宋" w:eastAsia="仿宋_GB2312" w:cs="仿宋_GB2312"/>
                <w:color w:val="auto"/>
                <w:sz w:val="24"/>
              </w:rPr>
            </w:pPr>
          </w:p>
        </w:tc>
        <w:tc>
          <w:tcPr>
            <w:tcW w:w="552" w:type="dxa"/>
          </w:tcPr>
          <w:p w14:paraId="5DB925DD">
            <w:pPr>
              <w:spacing w:line="360" w:lineRule="auto"/>
              <w:rPr>
                <w:rFonts w:ascii="仿宋_GB2312" w:hAnsi="仿宋" w:eastAsia="仿宋_GB2312" w:cs="仿宋_GB2312"/>
                <w:color w:val="auto"/>
                <w:sz w:val="24"/>
              </w:rPr>
            </w:pPr>
          </w:p>
        </w:tc>
        <w:tc>
          <w:tcPr>
            <w:tcW w:w="552" w:type="dxa"/>
          </w:tcPr>
          <w:p w14:paraId="42710E7D">
            <w:pPr>
              <w:spacing w:line="360" w:lineRule="auto"/>
              <w:rPr>
                <w:rFonts w:ascii="仿宋_GB2312" w:hAnsi="仿宋" w:eastAsia="仿宋_GB2312" w:cs="仿宋_GB2312"/>
                <w:color w:val="auto"/>
                <w:sz w:val="24"/>
              </w:rPr>
            </w:pPr>
          </w:p>
        </w:tc>
        <w:tc>
          <w:tcPr>
            <w:tcW w:w="553" w:type="dxa"/>
          </w:tcPr>
          <w:p w14:paraId="64E590D4">
            <w:pPr>
              <w:spacing w:line="360" w:lineRule="auto"/>
              <w:rPr>
                <w:rFonts w:ascii="仿宋_GB2312" w:hAnsi="仿宋" w:eastAsia="仿宋_GB2312" w:cs="仿宋_GB2312"/>
                <w:color w:val="auto"/>
                <w:sz w:val="24"/>
              </w:rPr>
            </w:pPr>
          </w:p>
        </w:tc>
        <w:tc>
          <w:tcPr>
            <w:tcW w:w="553" w:type="dxa"/>
          </w:tcPr>
          <w:p w14:paraId="17169A03">
            <w:pPr>
              <w:spacing w:line="360" w:lineRule="auto"/>
              <w:rPr>
                <w:rFonts w:ascii="仿宋_GB2312" w:hAnsi="仿宋" w:eastAsia="仿宋_GB2312" w:cs="仿宋_GB2312"/>
                <w:color w:val="auto"/>
                <w:sz w:val="24"/>
              </w:rPr>
            </w:pPr>
          </w:p>
        </w:tc>
        <w:tc>
          <w:tcPr>
            <w:tcW w:w="553" w:type="dxa"/>
          </w:tcPr>
          <w:p w14:paraId="14DD3D65">
            <w:pPr>
              <w:spacing w:line="360" w:lineRule="auto"/>
              <w:rPr>
                <w:rFonts w:ascii="仿宋_GB2312" w:hAnsi="仿宋" w:eastAsia="仿宋_GB2312" w:cs="仿宋_GB2312"/>
                <w:color w:val="auto"/>
                <w:sz w:val="24"/>
              </w:rPr>
            </w:pPr>
          </w:p>
        </w:tc>
        <w:tc>
          <w:tcPr>
            <w:tcW w:w="553" w:type="dxa"/>
          </w:tcPr>
          <w:p w14:paraId="26AC6AF5">
            <w:pPr>
              <w:spacing w:line="360" w:lineRule="auto"/>
              <w:rPr>
                <w:rFonts w:ascii="仿宋_GB2312" w:hAnsi="仿宋" w:eastAsia="仿宋_GB2312" w:cs="仿宋_GB2312"/>
                <w:color w:val="auto"/>
                <w:sz w:val="24"/>
              </w:rPr>
            </w:pPr>
          </w:p>
        </w:tc>
        <w:tc>
          <w:tcPr>
            <w:tcW w:w="553" w:type="dxa"/>
          </w:tcPr>
          <w:p w14:paraId="0F205354">
            <w:pPr>
              <w:spacing w:line="360" w:lineRule="auto"/>
              <w:rPr>
                <w:rFonts w:ascii="仿宋_GB2312" w:hAnsi="仿宋" w:eastAsia="仿宋_GB2312" w:cs="仿宋_GB2312"/>
                <w:color w:val="auto"/>
                <w:sz w:val="24"/>
              </w:rPr>
            </w:pPr>
          </w:p>
        </w:tc>
        <w:tc>
          <w:tcPr>
            <w:tcW w:w="553" w:type="dxa"/>
          </w:tcPr>
          <w:p w14:paraId="42F00F67">
            <w:pPr>
              <w:spacing w:line="360" w:lineRule="auto"/>
              <w:rPr>
                <w:rFonts w:ascii="仿宋_GB2312" w:hAnsi="仿宋" w:eastAsia="仿宋_GB2312" w:cs="仿宋_GB2312"/>
                <w:color w:val="auto"/>
                <w:sz w:val="24"/>
              </w:rPr>
            </w:pPr>
          </w:p>
        </w:tc>
        <w:tc>
          <w:tcPr>
            <w:tcW w:w="553" w:type="dxa"/>
          </w:tcPr>
          <w:p w14:paraId="73083E55">
            <w:pPr>
              <w:spacing w:line="360" w:lineRule="auto"/>
              <w:rPr>
                <w:rFonts w:ascii="仿宋_GB2312" w:hAnsi="仿宋" w:eastAsia="仿宋_GB2312" w:cs="仿宋_GB2312"/>
                <w:color w:val="auto"/>
                <w:sz w:val="24"/>
              </w:rPr>
            </w:pPr>
          </w:p>
        </w:tc>
        <w:tc>
          <w:tcPr>
            <w:tcW w:w="553" w:type="dxa"/>
          </w:tcPr>
          <w:p w14:paraId="09F48596">
            <w:pPr>
              <w:spacing w:line="360" w:lineRule="auto"/>
              <w:rPr>
                <w:rFonts w:ascii="仿宋_GB2312" w:hAnsi="仿宋" w:eastAsia="仿宋_GB2312" w:cs="仿宋_GB2312"/>
                <w:color w:val="auto"/>
                <w:sz w:val="24"/>
              </w:rPr>
            </w:pPr>
          </w:p>
        </w:tc>
        <w:tc>
          <w:tcPr>
            <w:tcW w:w="553" w:type="dxa"/>
          </w:tcPr>
          <w:p w14:paraId="3B5A0612">
            <w:pPr>
              <w:spacing w:line="360" w:lineRule="auto"/>
              <w:rPr>
                <w:rFonts w:ascii="仿宋_GB2312" w:hAnsi="仿宋" w:eastAsia="仿宋_GB2312" w:cs="仿宋_GB2312"/>
                <w:color w:val="auto"/>
                <w:sz w:val="24"/>
              </w:rPr>
            </w:pPr>
          </w:p>
        </w:tc>
        <w:tc>
          <w:tcPr>
            <w:tcW w:w="553" w:type="dxa"/>
          </w:tcPr>
          <w:p w14:paraId="57536910">
            <w:pPr>
              <w:spacing w:line="360" w:lineRule="auto"/>
              <w:rPr>
                <w:rFonts w:ascii="仿宋_GB2312" w:hAnsi="仿宋" w:eastAsia="仿宋_GB2312" w:cs="仿宋_GB2312"/>
                <w:color w:val="auto"/>
                <w:sz w:val="24"/>
              </w:rPr>
            </w:pPr>
          </w:p>
        </w:tc>
      </w:tr>
      <w:tr w14:paraId="7EAC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FA009B8">
            <w:pPr>
              <w:spacing w:line="360" w:lineRule="auto"/>
              <w:rPr>
                <w:rFonts w:ascii="仿宋_GB2312" w:hAnsi="仿宋" w:eastAsia="仿宋_GB2312" w:cs="仿宋_GB2312"/>
                <w:color w:val="auto"/>
                <w:sz w:val="24"/>
              </w:rPr>
            </w:pPr>
          </w:p>
        </w:tc>
        <w:tc>
          <w:tcPr>
            <w:tcW w:w="552" w:type="dxa"/>
          </w:tcPr>
          <w:p w14:paraId="35AE85D5">
            <w:pPr>
              <w:spacing w:line="360" w:lineRule="auto"/>
              <w:rPr>
                <w:rFonts w:ascii="仿宋_GB2312" w:hAnsi="仿宋" w:eastAsia="仿宋_GB2312" w:cs="仿宋_GB2312"/>
                <w:color w:val="auto"/>
                <w:sz w:val="24"/>
              </w:rPr>
            </w:pPr>
          </w:p>
        </w:tc>
        <w:tc>
          <w:tcPr>
            <w:tcW w:w="552" w:type="dxa"/>
          </w:tcPr>
          <w:p w14:paraId="4CE1713B">
            <w:pPr>
              <w:spacing w:line="360" w:lineRule="auto"/>
              <w:rPr>
                <w:rFonts w:ascii="仿宋_GB2312" w:hAnsi="仿宋" w:eastAsia="仿宋_GB2312" w:cs="仿宋_GB2312"/>
                <w:color w:val="auto"/>
                <w:sz w:val="24"/>
              </w:rPr>
            </w:pPr>
          </w:p>
        </w:tc>
        <w:tc>
          <w:tcPr>
            <w:tcW w:w="552" w:type="dxa"/>
          </w:tcPr>
          <w:p w14:paraId="39458EC9">
            <w:pPr>
              <w:spacing w:line="360" w:lineRule="auto"/>
              <w:rPr>
                <w:rFonts w:ascii="仿宋_GB2312" w:hAnsi="仿宋" w:eastAsia="仿宋_GB2312" w:cs="仿宋_GB2312"/>
                <w:color w:val="auto"/>
                <w:sz w:val="24"/>
              </w:rPr>
            </w:pPr>
          </w:p>
        </w:tc>
        <w:tc>
          <w:tcPr>
            <w:tcW w:w="552" w:type="dxa"/>
          </w:tcPr>
          <w:p w14:paraId="77C68845">
            <w:pPr>
              <w:spacing w:line="360" w:lineRule="auto"/>
              <w:rPr>
                <w:rFonts w:ascii="仿宋_GB2312" w:hAnsi="仿宋" w:eastAsia="仿宋_GB2312" w:cs="仿宋_GB2312"/>
                <w:color w:val="auto"/>
                <w:sz w:val="24"/>
              </w:rPr>
            </w:pPr>
          </w:p>
        </w:tc>
        <w:tc>
          <w:tcPr>
            <w:tcW w:w="552" w:type="dxa"/>
          </w:tcPr>
          <w:p w14:paraId="1A982444">
            <w:pPr>
              <w:spacing w:line="360" w:lineRule="auto"/>
              <w:rPr>
                <w:rFonts w:ascii="仿宋_GB2312" w:hAnsi="仿宋" w:eastAsia="仿宋_GB2312" w:cs="仿宋_GB2312"/>
                <w:color w:val="auto"/>
                <w:sz w:val="24"/>
              </w:rPr>
            </w:pPr>
          </w:p>
        </w:tc>
        <w:tc>
          <w:tcPr>
            <w:tcW w:w="552" w:type="dxa"/>
          </w:tcPr>
          <w:p w14:paraId="62EDFEC8">
            <w:pPr>
              <w:spacing w:line="360" w:lineRule="auto"/>
              <w:rPr>
                <w:rFonts w:ascii="仿宋_GB2312" w:hAnsi="仿宋" w:eastAsia="仿宋_GB2312" w:cs="仿宋_GB2312"/>
                <w:color w:val="auto"/>
                <w:sz w:val="24"/>
              </w:rPr>
            </w:pPr>
          </w:p>
        </w:tc>
        <w:tc>
          <w:tcPr>
            <w:tcW w:w="553" w:type="dxa"/>
          </w:tcPr>
          <w:p w14:paraId="2F66516F">
            <w:pPr>
              <w:spacing w:line="360" w:lineRule="auto"/>
              <w:rPr>
                <w:rFonts w:ascii="仿宋_GB2312" w:hAnsi="仿宋" w:eastAsia="仿宋_GB2312" w:cs="仿宋_GB2312"/>
                <w:color w:val="auto"/>
                <w:sz w:val="24"/>
              </w:rPr>
            </w:pPr>
          </w:p>
        </w:tc>
        <w:tc>
          <w:tcPr>
            <w:tcW w:w="553" w:type="dxa"/>
          </w:tcPr>
          <w:p w14:paraId="252892B8">
            <w:pPr>
              <w:spacing w:line="360" w:lineRule="auto"/>
              <w:rPr>
                <w:rFonts w:ascii="仿宋_GB2312" w:hAnsi="仿宋" w:eastAsia="仿宋_GB2312" w:cs="仿宋_GB2312"/>
                <w:color w:val="auto"/>
                <w:sz w:val="24"/>
              </w:rPr>
            </w:pPr>
          </w:p>
        </w:tc>
        <w:tc>
          <w:tcPr>
            <w:tcW w:w="553" w:type="dxa"/>
          </w:tcPr>
          <w:p w14:paraId="23C2DAFC">
            <w:pPr>
              <w:spacing w:line="360" w:lineRule="auto"/>
              <w:rPr>
                <w:rFonts w:ascii="仿宋_GB2312" w:hAnsi="仿宋" w:eastAsia="仿宋_GB2312" w:cs="仿宋_GB2312"/>
                <w:color w:val="auto"/>
                <w:sz w:val="24"/>
              </w:rPr>
            </w:pPr>
          </w:p>
        </w:tc>
        <w:tc>
          <w:tcPr>
            <w:tcW w:w="553" w:type="dxa"/>
          </w:tcPr>
          <w:p w14:paraId="5C84E936">
            <w:pPr>
              <w:spacing w:line="360" w:lineRule="auto"/>
              <w:rPr>
                <w:rFonts w:ascii="仿宋_GB2312" w:hAnsi="仿宋" w:eastAsia="仿宋_GB2312" w:cs="仿宋_GB2312"/>
                <w:color w:val="auto"/>
                <w:sz w:val="24"/>
              </w:rPr>
            </w:pPr>
          </w:p>
        </w:tc>
        <w:tc>
          <w:tcPr>
            <w:tcW w:w="553" w:type="dxa"/>
          </w:tcPr>
          <w:p w14:paraId="33C2E824">
            <w:pPr>
              <w:spacing w:line="360" w:lineRule="auto"/>
              <w:rPr>
                <w:rFonts w:ascii="仿宋_GB2312" w:hAnsi="仿宋" w:eastAsia="仿宋_GB2312" w:cs="仿宋_GB2312"/>
                <w:color w:val="auto"/>
                <w:sz w:val="24"/>
              </w:rPr>
            </w:pPr>
          </w:p>
        </w:tc>
        <w:tc>
          <w:tcPr>
            <w:tcW w:w="553" w:type="dxa"/>
          </w:tcPr>
          <w:p w14:paraId="75C7BB64">
            <w:pPr>
              <w:spacing w:line="360" w:lineRule="auto"/>
              <w:rPr>
                <w:rFonts w:ascii="仿宋_GB2312" w:hAnsi="仿宋" w:eastAsia="仿宋_GB2312" w:cs="仿宋_GB2312"/>
                <w:color w:val="auto"/>
                <w:sz w:val="24"/>
              </w:rPr>
            </w:pPr>
          </w:p>
        </w:tc>
        <w:tc>
          <w:tcPr>
            <w:tcW w:w="553" w:type="dxa"/>
          </w:tcPr>
          <w:p w14:paraId="27244968">
            <w:pPr>
              <w:spacing w:line="360" w:lineRule="auto"/>
              <w:rPr>
                <w:rFonts w:ascii="仿宋_GB2312" w:hAnsi="仿宋" w:eastAsia="仿宋_GB2312" w:cs="仿宋_GB2312"/>
                <w:color w:val="auto"/>
                <w:sz w:val="24"/>
              </w:rPr>
            </w:pPr>
          </w:p>
        </w:tc>
        <w:tc>
          <w:tcPr>
            <w:tcW w:w="553" w:type="dxa"/>
          </w:tcPr>
          <w:p w14:paraId="531E442D">
            <w:pPr>
              <w:spacing w:line="360" w:lineRule="auto"/>
              <w:rPr>
                <w:rFonts w:ascii="仿宋_GB2312" w:hAnsi="仿宋" w:eastAsia="仿宋_GB2312" w:cs="仿宋_GB2312"/>
                <w:color w:val="auto"/>
                <w:sz w:val="24"/>
              </w:rPr>
            </w:pPr>
          </w:p>
        </w:tc>
        <w:tc>
          <w:tcPr>
            <w:tcW w:w="553" w:type="dxa"/>
          </w:tcPr>
          <w:p w14:paraId="52A4A392">
            <w:pPr>
              <w:spacing w:line="360" w:lineRule="auto"/>
              <w:rPr>
                <w:rFonts w:ascii="仿宋_GB2312" w:hAnsi="仿宋" w:eastAsia="仿宋_GB2312" w:cs="仿宋_GB2312"/>
                <w:color w:val="auto"/>
                <w:sz w:val="24"/>
              </w:rPr>
            </w:pPr>
          </w:p>
        </w:tc>
        <w:tc>
          <w:tcPr>
            <w:tcW w:w="553" w:type="dxa"/>
          </w:tcPr>
          <w:p w14:paraId="15192070">
            <w:pPr>
              <w:spacing w:line="360" w:lineRule="auto"/>
              <w:rPr>
                <w:rFonts w:ascii="仿宋_GB2312" w:hAnsi="仿宋" w:eastAsia="仿宋_GB2312" w:cs="仿宋_GB2312"/>
                <w:color w:val="auto"/>
                <w:sz w:val="24"/>
              </w:rPr>
            </w:pPr>
          </w:p>
        </w:tc>
      </w:tr>
      <w:tr w14:paraId="2F8B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B3E7AD7">
            <w:pPr>
              <w:spacing w:line="360" w:lineRule="auto"/>
              <w:rPr>
                <w:rFonts w:ascii="仿宋_GB2312" w:hAnsi="仿宋" w:eastAsia="仿宋_GB2312" w:cs="仿宋_GB2312"/>
                <w:color w:val="auto"/>
                <w:sz w:val="24"/>
              </w:rPr>
            </w:pPr>
          </w:p>
        </w:tc>
        <w:tc>
          <w:tcPr>
            <w:tcW w:w="552" w:type="dxa"/>
          </w:tcPr>
          <w:p w14:paraId="49D01B94">
            <w:pPr>
              <w:spacing w:line="360" w:lineRule="auto"/>
              <w:rPr>
                <w:rFonts w:ascii="仿宋_GB2312" w:hAnsi="仿宋" w:eastAsia="仿宋_GB2312" w:cs="仿宋_GB2312"/>
                <w:color w:val="auto"/>
                <w:sz w:val="24"/>
              </w:rPr>
            </w:pPr>
          </w:p>
        </w:tc>
        <w:tc>
          <w:tcPr>
            <w:tcW w:w="552" w:type="dxa"/>
          </w:tcPr>
          <w:p w14:paraId="727E3D21">
            <w:pPr>
              <w:spacing w:line="360" w:lineRule="auto"/>
              <w:rPr>
                <w:rFonts w:ascii="仿宋_GB2312" w:hAnsi="仿宋" w:eastAsia="仿宋_GB2312" w:cs="仿宋_GB2312"/>
                <w:color w:val="auto"/>
                <w:sz w:val="24"/>
              </w:rPr>
            </w:pPr>
          </w:p>
        </w:tc>
        <w:tc>
          <w:tcPr>
            <w:tcW w:w="552" w:type="dxa"/>
          </w:tcPr>
          <w:p w14:paraId="69133630">
            <w:pPr>
              <w:spacing w:line="360" w:lineRule="auto"/>
              <w:rPr>
                <w:rFonts w:ascii="仿宋_GB2312" w:hAnsi="仿宋" w:eastAsia="仿宋_GB2312" w:cs="仿宋_GB2312"/>
                <w:color w:val="auto"/>
                <w:sz w:val="24"/>
              </w:rPr>
            </w:pPr>
          </w:p>
        </w:tc>
        <w:tc>
          <w:tcPr>
            <w:tcW w:w="552" w:type="dxa"/>
          </w:tcPr>
          <w:p w14:paraId="7CD951C4">
            <w:pPr>
              <w:spacing w:line="360" w:lineRule="auto"/>
              <w:rPr>
                <w:rFonts w:ascii="仿宋_GB2312" w:hAnsi="仿宋" w:eastAsia="仿宋_GB2312" w:cs="仿宋_GB2312"/>
                <w:color w:val="auto"/>
                <w:sz w:val="24"/>
              </w:rPr>
            </w:pPr>
          </w:p>
        </w:tc>
        <w:tc>
          <w:tcPr>
            <w:tcW w:w="552" w:type="dxa"/>
          </w:tcPr>
          <w:p w14:paraId="64BA47DD">
            <w:pPr>
              <w:spacing w:line="360" w:lineRule="auto"/>
              <w:rPr>
                <w:rFonts w:ascii="仿宋_GB2312" w:hAnsi="仿宋" w:eastAsia="仿宋_GB2312" w:cs="仿宋_GB2312"/>
                <w:color w:val="auto"/>
                <w:sz w:val="24"/>
              </w:rPr>
            </w:pPr>
          </w:p>
        </w:tc>
        <w:tc>
          <w:tcPr>
            <w:tcW w:w="552" w:type="dxa"/>
          </w:tcPr>
          <w:p w14:paraId="0A98DF1D">
            <w:pPr>
              <w:spacing w:line="360" w:lineRule="auto"/>
              <w:rPr>
                <w:rFonts w:ascii="仿宋_GB2312" w:hAnsi="仿宋" w:eastAsia="仿宋_GB2312" w:cs="仿宋_GB2312"/>
                <w:color w:val="auto"/>
                <w:sz w:val="24"/>
              </w:rPr>
            </w:pPr>
          </w:p>
        </w:tc>
        <w:tc>
          <w:tcPr>
            <w:tcW w:w="553" w:type="dxa"/>
          </w:tcPr>
          <w:p w14:paraId="45E38F9D">
            <w:pPr>
              <w:spacing w:line="360" w:lineRule="auto"/>
              <w:rPr>
                <w:rFonts w:ascii="仿宋_GB2312" w:hAnsi="仿宋" w:eastAsia="仿宋_GB2312" w:cs="仿宋_GB2312"/>
                <w:color w:val="auto"/>
                <w:sz w:val="24"/>
              </w:rPr>
            </w:pPr>
          </w:p>
        </w:tc>
        <w:tc>
          <w:tcPr>
            <w:tcW w:w="553" w:type="dxa"/>
          </w:tcPr>
          <w:p w14:paraId="1FE56682">
            <w:pPr>
              <w:spacing w:line="360" w:lineRule="auto"/>
              <w:rPr>
                <w:rFonts w:ascii="仿宋_GB2312" w:hAnsi="仿宋" w:eastAsia="仿宋_GB2312" w:cs="仿宋_GB2312"/>
                <w:color w:val="auto"/>
                <w:sz w:val="24"/>
              </w:rPr>
            </w:pPr>
          </w:p>
        </w:tc>
        <w:tc>
          <w:tcPr>
            <w:tcW w:w="553" w:type="dxa"/>
          </w:tcPr>
          <w:p w14:paraId="4D873664">
            <w:pPr>
              <w:spacing w:line="360" w:lineRule="auto"/>
              <w:rPr>
                <w:rFonts w:ascii="仿宋_GB2312" w:hAnsi="仿宋" w:eastAsia="仿宋_GB2312" w:cs="仿宋_GB2312"/>
                <w:color w:val="auto"/>
                <w:sz w:val="24"/>
              </w:rPr>
            </w:pPr>
          </w:p>
        </w:tc>
        <w:tc>
          <w:tcPr>
            <w:tcW w:w="553" w:type="dxa"/>
          </w:tcPr>
          <w:p w14:paraId="49AA05C5">
            <w:pPr>
              <w:spacing w:line="360" w:lineRule="auto"/>
              <w:rPr>
                <w:rFonts w:ascii="仿宋_GB2312" w:hAnsi="仿宋" w:eastAsia="仿宋_GB2312" w:cs="仿宋_GB2312"/>
                <w:color w:val="auto"/>
                <w:sz w:val="24"/>
              </w:rPr>
            </w:pPr>
          </w:p>
        </w:tc>
        <w:tc>
          <w:tcPr>
            <w:tcW w:w="553" w:type="dxa"/>
          </w:tcPr>
          <w:p w14:paraId="2C540C09">
            <w:pPr>
              <w:spacing w:line="360" w:lineRule="auto"/>
              <w:rPr>
                <w:rFonts w:ascii="仿宋_GB2312" w:hAnsi="仿宋" w:eastAsia="仿宋_GB2312" w:cs="仿宋_GB2312"/>
                <w:color w:val="auto"/>
                <w:sz w:val="24"/>
              </w:rPr>
            </w:pPr>
          </w:p>
        </w:tc>
        <w:tc>
          <w:tcPr>
            <w:tcW w:w="553" w:type="dxa"/>
          </w:tcPr>
          <w:p w14:paraId="69AC4CF7">
            <w:pPr>
              <w:spacing w:line="360" w:lineRule="auto"/>
              <w:rPr>
                <w:rFonts w:ascii="仿宋_GB2312" w:hAnsi="仿宋" w:eastAsia="仿宋_GB2312" w:cs="仿宋_GB2312"/>
                <w:color w:val="auto"/>
                <w:sz w:val="24"/>
              </w:rPr>
            </w:pPr>
          </w:p>
        </w:tc>
        <w:tc>
          <w:tcPr>
            <w:tcW w:w="553" w:type="dxa"/>
          </w:tcPr>
          <w:p w14:paraId="55397440">
            <w:pPr>
              <w:spacing w:line="360" w:lineRule="auto"/>
              <w:rPr>
                <w:rFonts w:ascii="仿宋_GB2312" w:hAnsi="仿宋" w:eastAsia="仿宋_GB2312" w:cs="仿宋_GB2312"/>
                <w:color w:val="auto"/>
                <w:sz w:val="24"/>
              </w:rPr>
            </w:pPr>
          </w:p>
        </w:tc>
        <w:tc>
          <w:tcPr>
            <w:tcW w:w="553" w:type="dxa"/>
          </w:tcPr>
          <w:p w14:paraId="03B60958">
            <w:pPr>
              <w:spacing w:line="360" w:lineRule="auto"/>
              <w:rPr>
                <w:rFonts w:ascii="仿宋_GB2312" w:hAnsi="仿宋" w:eastAsia="仿宋_GB2312" w:cs="仿宋_GB2312"/>
                <w:color w:val="auto"/>
                <w:sz w:val="24"/>
              </w:rPr>
            </w:pPr>
          </w:p>
        </w:tc>
        <w:tc>
          <w:tcPr>
            <w:tcW w:w="553" w:type="dxa"/>
          </w:tcPr>
          <w:p w14:paraId="5283BA81">
            <w:pPr>
              <w:spacing w:line="360" w:lineRule="auto"/>
              <w:rPr>
                <w:rFonts w:ascii="仿宋_GB2312" w:hAnsi="仿宋" w:eastAsia="仿宋_GB2312" w:cs="仿宋_GB2312"/>
                <w:color w:val="auto"/>
                <w:sz w:val="24"/>
              </w:rPr>
            </w:pPr>
          </w:p>
        </w:tc>
        <w:tc>
          <w:tcPr>
            <w:tcW w:w="553" w:type="dxa"/>
          </w:tcPr>
          <w:p w14:paraId="7B743A7D">
            <w:pPr>
              <w:spacing w:line="360" w:lineRule="auto"/>
              <w:rPr>
                <w:rFonts w:ascii="仿宋_GB2312" w:hAnsi="仿宋" w:eastAsia="仿宋_GB2312" w:cs="仿宋_GB2312"/>
                <w:color w:val="auto"/>
                <w:sz w:val="24"/>
              </w:rPr>
            </w:pPr>
          </w:p>
        </w:tc>
      </w:tr>
      <w:tr w14:paraId="0BB0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1E8C96F">
            <w:pPr>
              <w:spacing w:line="360" w:lineRule="auto"/>
              <w:rPr>
                <w:rFonts w:ascii="仿宋_GB2312" w:hAnsi="仿宋" w:eastAsia="仿宋_GB2312" w:cs="仿宋_GB2312"/>
                <w:color w:val="auto"/>
                <w:sz w:val="24"/>
              </w:rPr>
            </w:pPr>
          </w:p>
        </w:tc>
        <w:tc>
          <w:tcPr>
            <w:tcW w:w="552" w:type="dxa"/>
          </w:tcPr>
          <w:p w14:paraId="0EE7EC43">
            <w:pPr>
              <w:spacing w:line="360" w:lineRule="auto"/>
              <w:rPr>
                <w:rFonts w:ascii="仿宋_GB2312" w:hAnsi="仿宋" w:eastAsia="仿宋_GB2312" w:cs="仿宋_GB2312"/>
                <w:color w:val="auto"/>
                <w:sz w:val="24"/>
              </w:rPr>
            </w:pPr>
          </w:p>
        </w:tc>
        <w:tc>
          <w:tcPr>
            <w:tcW w:w="552" w:type="dxa"/>
          </w:tcPr>
          <w:p w14:paraId="343CA799">
            <w:pPr>
              <w:spacing w:line="360" w:lineRule="auto"/>
              <w:rPr>
                <w:rFonts w:ascii="仿宋_GB2312" w:hAnsi="仿宋" w:eastAsia="仿宋_GB2312" w:cs="仿宋_GB2312"/>
                <w:color w:val="auto"/>
                <w:sz w:val="24"/>
              </w:rPr>
            </w:pPr>
          </w:p>
        </w:tc>
        <w:tc>
          <w:tcPr>
            <w:tcW w:w="552" w:type="dxa"/>
          </w:tcPr>
          <w:p w14:paraId="14FD2941">
            <w:pPr>
              <w:spacing w:line="360" w:lineRule="auto"/>
              <w:rPr>
                <w:rFonts w:ascii="仿宋_GB2312" w:hAnsi="仿宋" w:eastAsia="仿宋_GB2312" w:cs="仿宋_GB2312"/>
                <w:color w:val="auto"/>
                <w:sz w:val="24"/>
              </w:rPr>
            </w:pPr>
          </w:p>
        </w:tc>
        <w:tc>
          <w:tcPr>
            <w:tcW w:w="552" w:type="dxa"/>
          </w:tcPr>
          <w:p w14:paraId="7CDAD0A2">
            <w:pPr>
              <w:spacing w:line="360" w:lineRule="auto"/>
              <w:rPr>
                <w:rFonts w:ascii="仿宋_GB2312" w:hAnsi="仿宋" w:eastAsia="仿宋_GB2312" w:cs="仿宋_GB2312"/>
                <w:color w:val="auto"/>
                <w:sz w:val="24"/>
              </w:rPr>
            </w:pPr>
          </w:p>
        </w:tc>
        <w:tc>
          <w:tcPr>
            <w:tcW w:w="552" w:type="dxa"/>
          </w:tcPr>
          <w:p w14:paraId="7D72F7B9">
            <w:pPr>
              <w:spacing w:line="360" w:lineRule="auto"/>
              <w:rPr>
                <w:rFonts w:ascii="仿宋_GB2312" w:hAnsi="仿宋" w:eastAsia="仿宋_GB2312" w:cs="仿宋_GB2312"/>
                <w:color w:val="auto"/>
                <w:sz w:val="24"/>
              </w:rPr>
            </w:pPr>
          </w:p>
        </w:tc>
        <w:tc>
          <w:tcPr>
            <w:tcW w:w="552" w:type="dxa"/>
          </w:tcPr>
          <w:p w14:paraId="54D39DEF">
            <w:pPr>
              <w:spacing w:line="360" w:lineRule="auto"/>
              <w:rPr>
                <w:rFonts w:ascii="仿宋_GB2312" w:hAnsi="仿宋" w:eastAsia="仿宋_GB2312" w:cs="仿宋_GB2312"/>
                <w:color w:val="auto"/>
                <w:sz w:val="24"/>
              </w:rPr>
            </w:pPr>
          </w:p>
        </w:tc>
        <w:tc>
          <w:tcPr>
            <w:tcW w:w="553" w:type="dxa"/>
          </w:tcPr>
          <w:p w14:paraId="03F45FF5">
            <w:pPr>
              <w:spacing w:line="360" w:lineRule="auto"/>
              <w:rPr>
                <w:rFonts w:ascii="仿宋_GB2312" w:hAnsi="仿宋" w:eastAsia="仿宋_GB2312" w:cs="仿宋_GB2312"/>
                <w:color w:val="auto"/>
                <w:sz w:val="24"/>
              </w:rPr>
            </w:pPr>
          </w:p>
        </w:tc>
        <w:tc>
          <w:tcPr>
            <w:tcW w:w="553" w:type="dxa"/>
          </w:tcPr>
          <w:p w14:paraId="6B22FB33">
            <w:pPr>
              <w:spacing w:line="360" w:lineRule="auto"/>
              <w:rPr>
                <w:rFonts w:ascii="仿宋_GB2312" w:hAnsi="仿宋" w:eastAsia="仿宋_GB2312" w:cs="仿宋_GB2312"/>
                <w:color w:val="auto"/>
                <w:sz w:val="24"/>
              </w:rPr>
            </w:pPr>
          </w:p>
        </w:tc>
        <w:tc>
          <w:tcPr>
            <w:tcW w:w="553" w:type="dxa"/>
          </w:tcPr>
          <w:p w14:paraId="598F10CC">
            <w:pPr>
              <w:spacing w:line="360" w:lineRule="auto"/>
              <w:rPr>
                <w:rFonts w:ascii="仿宋_GB2312" w:hAnsi="仿宋" w:eastAsia="仿宋_GB2312" w:cs="仿宋_GB2312"/>
                <w:color w:val="auto"/>
                <w:sz w:val="24"/>
              </w:rPr>
            </w:pPr>
          </w:p>
        </w:tc>
        <w:tc>
          <w:tcPr>
            <w:tcW w:w="553" w:type="dxa"/>
          </w:tcPr>
          <w:p w14:paraId="0432A700">
            <w:pPr>
              <w:spacing w:line="360" w:lineRule="auto"/>
              <w:rPr>
                <w:rFonts w:ascii="仿宋_GB2312" w:hAnsi="仿宋" w:eastAsia="仿宋_GB2312" w:cs="仿宋_GB2312"/>
                <w:color w:val="auto"/>
                <w:sz w:val="24"/>
              </w:rPr>
            </w:pPr>
          </w:p>
        </w:tc>
        <w:tc>
          <w:tcPr>
            <w:tcW w:w="553" w:type="dxa"/>
          </w:tcPr>
          <w:p w14:paraId="7F3A72F4">
            <w:pPr>
              <w:spacing w:line="360" w:lineRule="auto"/>
              <w:rPr>
                <w:rFonts w:ascii="仿宋_GB2312" w:hAnsi="仿宋" w:eastAsia="仿宋_GB2312" w:cs="仿宋_GB2312"/>
                <w:color w:val="auto"/>
                <w:sz w:val="24"/>
              </w:rPr>
            </w:pPr>
          </w:p>
        </w:tc>
        <w:tc>
          <w:tcPr>
            <w:tcW w:w="553" w:type="dxa"/>
          </w:tcPr>
          <w:p w14:paraId="035212BE">
            <w:pPr>
              <w:spacing w:line="360" w:lineRule="auto"/>
              <w:rPr>
                <w:rFonts w:ascii="仿宋_GB2312" w:hAnsi="仿宋" w:eastAsia="仿宋_GB2312" w:cs="仿宋_GB2312"/>
                <w:color w:val="auto"/>
                <w:sz w:val="24"/>
              </w:rPr>
            </w:pPr>
          </w:p>
        </w:tc>
        <w:tc>
          <w:tcPr>
            <w:tcW w:w="553" w:type="dxa"/>
          </w:tcPr>
          <w:p w14:paraId="5B96E29B">
            <w:pPr>
              <w:spacing w:line="360" w:lineRule="auto"/>
              <w:rPr>
                <w:rFonts w:ascii="仿宋_GB2312" w:hAnsi="仿宋" w:eastAsia="仿宋_GB2312" w:cs="仿宋_GB2312"/>
                <w:color w:val="auto"/>
                <w:sz w:val="24"/>
              </w:rPr>
            </w:pPr>
          </w:p>
        </w:tc>
        <w:tc>
          <w:tcPr>
            <w:tcW w:w="553" w:type="dxa"/>
          </w:tcPr>
          <w:p w14:paraId="70CC2E4C">
            <w:pPr>
              <w:spacing w:line="360" w:lineRule="auto"/>
              <w:rPr>
                <w:rFonts w:ascii="仿宋_GB2312" w:hAnsi="仿宋" w:eastAsia="仿宋_GB2312" w:cs="仿宋_GB2312"/>
                <w:color w:val="auto"/>
                <w:sz w:val="24"/>
              </w:rPr>
            </w:pPr>
          </w:p>
        </w:tc>
        <w:tc>
          <w:tcPr>
            <w:tcW w:w="553" w:type="dxa"/>
          </w:tcPr>
          <w:p w14:paraId="00D709DB">
            <w:pPr>
              <w:spacing w:line="360" w:lineRule="auto"/>
              <w:rPr>
                <w:rFonts w:ascii="仿宋_GB2312" w:hAnsi="仿宋" w:eastAsia="仿宋_GB2312" w:cs="仿宋_GB2312"/>
                <w:color w:val="auto"/>
                <w:sz w:val="24"/>
              </w:rPr>
            </w:pPr>
          </w:p>
        </w:tc>
        <w:tc>
          <w:tcPr>
            <w:tcW w:w="553" w:type="dxa"/>
          </w:tcPr>
          <w:p w14:paraId="1ECFF9A3">
            <w:pPr>
              <w:spacing w:line="360" w:lineRule="auto"/>
              <w:rPr>
                <w:rFonts w:ascii="仿宋_GB2312" w:hAnsi="仿宋" w:eastAsia="仿宋_GB2312" w:cs="仿宋_GB2312"/>
                <w:color w:val="auto"/>
                <w:sz w:val="24"/>
              </w:rPr>
            </w:pPr>
          </w:p>
        </w:tc>
      </w:tr>
      <w:tr w14:paraId="2232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4377F98">
            <w:pPr>
              <w:spacing w:line="360" w:lineRule="auto"/>
              <w:rPr>
                <w:rFonts w:ascii="仿宋_GB2312" w:hAnsi="仿宋" w:eastAsia="仿宋_GB2312" w:cs="仿宋_GB2312"/>
                <w:color w:val="auto"/>
                <w:sz w:val="24"/>
              </w:rPr>
            </w:pPr>
          </w:p>
        </w:tc>
        <w:tc>
          <w:tcPr>
            <w:tcW w:w="552" w:type="dxa"/>
          </w:tcPr>
          <w:p w14:paraId="4EBCCEDB">
            <w:pPr>
              <w:spacing w:line="360" w:lineRule="auto"/>
              <w:rPr>
                <w:rFonts w:ascii="仿宋_GB2312" w:hAnsi="仿宋" w:eastAsia="仿宋_GB2312" w:cs="仿宋_GB2312"/>
                <w:color w:val="auto"/>
                <w:sz w:val="24"/>
              </w:rPr>
            </w:pPr>
          </w:p>
        </w:tc>
        <w:tc>
          <w:tcPr>
            <w:tcW w:w="552" w:type="dxa"/>
          </w:tcPr>
          <w:p w14:paraId="2CE4035D">
            <w:pPr>
              <w:spacing w:line="360" w:lineRule="auto"/>
              <w:rPr>
                <w:rFonts w:ascii="仿宋_GB2312" w:hAnsi="仿宋" w:eastAsia="仿宋_GB2312" w:cs="仿宋_GB2312"/>
                <w:color w:val="auto"/>
                <w:sz w:val="24"/>
              </w:rPr>
            </w:pPr>
          </w:p>
        </w:tc>
        <w:tc>
          <w:tcPr>
            <w:tcW w:w="552" w:type="dxa"/>
          </w:tcPr>
          <w:p w14:paraId="1BEC287F">
            <w:pPr>
              <w:spacing w:line="360" w:lineRule="auto"/>
              <w:rPr>
                <w:rFonts w:ascii="仿宋_GB2312" w:hAnsi="仿宋" w:eastAsia="仿宋_GB2312" w:cs="仿宋_GB2312"/>
                <w:color w:val="auto"/>
                <w:sz w:val="24"/>
              </w:rPr>
            </w:pPr>
          </w:p>
        </w:tc>
        <w:tc>
          <w:tcPr>
            <w:tcW w:w="552" w:type="dxa"/>
          </w:tcPr>
          <w:p w14:paraId="04563715">
            <w:pPr>
              <w:spacing w:line="360" w:lineRule="auto"/>
              <w:rPr>
                <w:rFonts w:ascii="仿宋_GB2312" w:hAnsi="仿宋" w:eastAsia="仿宋_GB2312" w:cs="仿宋_GB2312"/>
                <w:color w:val="auto"/>
                <w:sz w:val="24"/>
              </w:rPr>
            </w:pPr>
          </w:p>
        </w:tc>
        <w:tc>
          <w:tcPr>
            <w:tcW w:w="552" w:type="dxa"/>
          </w:tcPr>
          <w:p w14:paraId="73BA6B8B">
            <w:pPr>
              <w:spacing w:line="360" w:lineRule="auto"/>
              <w:rPr>
                <w:rFonts w:ascii="仿宋_GB2312" w:hAnsi="仿宋" w:eastAsia="仿宋_GB2312" w:cs="仿宋_GB2312"/>
                <w:color w:val="auto"/>
                <w:sz w:val="24"/>
              </w:rPr>
            </w:pPr>
          </w:p>
        </w:tc>
        <w:tc>
          <w:tcPr>
            <w:tcW w:w="552" w:type="dxa"/>
          </w:tcPr>
          <w:p w14:paraId="53805A07">
            <w:pPr>
              <w:spacing w:line="360" w:lineRule="auto"/>
              <w:rPr>
                <w:rFonts w:ascii="仿宋_GB2312" w:hAnsi="仿宋" w:eastAsia="仿宋_GB2312" w:cs="仿宋_GB2312"/>
                <w:color w:val="auto"/>
                <w:sz w:val="24"/>
              </w:rPr>
            </w:pPr>
          </w:p>
        </w:tc>
        <w:tc>
          <w:tcPr>
            <w:tcW w:w="553" w:type="dxa"/>
          </w:tcPr>
          <w:p w14:paraId="126B691A">
            <w:pPr>
              <w:spacing w:line="360" w:lineRule="auto"/>
              <w:rPr>
                <w:rFonts w:ascii="仿宋_GB2312" w:hAnsi="仿宋" w:eastAsia="仿宋_GB2312" w:cs="仿宋_GB2312"/>
                <w:color w:val="auto"/>
                <w:sz w:val="24"/>
              </w:rPr>
            </w:pPr>
          </w:p>
        </w:tc>
        <w:tc>
          <w:tcPr>
            <w:tcW w:w="553" w:type="dxa"/>
          </w:tcPr>
          <w:p w14:paraId="58A06FA2">
            <w:pPr>
              <w:spacing w:line="360" w:lineRule="auto"/>
              <w:rPr>
                <w:rFonts w:ascii="仿宋_GB2312" w:hAnsi="仿宋" w:eastAsia="仿宋_GB2312" w:cs="仿宋_GB2312"/>
                <w:color w:val="auto"/>
                <w:sz w:val="24"/>
              </w:rPr>
            </w:pPr>
          </w:p>
        </w:tc>
        <w:tc>
          <w:tcPr>
            <w:tcW w:w="553" w:type="dxa"/>
          </w:tcPr>
          <w:p w14:paraId="3DBDE73E">
            <w:pPr>
              <w:spacing w:line="360" w:lineRule="auto"/>
              <w:rPr>
                <w:rFonts w:ascii="仿宋_GB2312" w:hAnsi="仿宋" w:eastAsia="仿宋_GB2312" w:cs="仿宋_GB2312"/>
                <w:color w:val="auto"/>
                <w:sz w:val="24"/>
              </w:rPr>
            </w:pPr>
          </w:p>
        </w:tc>
        <w:tc>
          <w:tcPr>
            <w:tcW w:w="553" w:type="dxa"/>
          </w:tcPr>
          <w:p w14:paraId="41ECD233">
            <w:pPr>
              <w:spacing w:line="360" w:lineRule="auto"/>
              <w:rPr>
                <w:rFonts w:ascii="仿宋_GB2312" w:hAnsi="仿宋" w:eastAsia="仿宋_GB2312" w:cs="仿宋_GB2312"/>
                <w:color w:val="auto"/>
                <w:sz w:val="24"/>
              </w:rPr>
            </w:pPr>
          </w:p>
        </w:tc>
        <w:tc>
          <w:tcPr>
            <w:tcW w:w="553" w:type="dxa"/>
          </w:tcPr>
          <w:p w14:paraId="04E815B4">
            <w:pPr>
              <w:spacing w:line="360" w:lineRule="auto"/>
              <w:rPr>
                <w:rFonts w:ascii="仿宋_GB2312" w:hAnsi="仿宋" w:eastAsia="仿宋_GB2312" w:cs="仿宋_GB2312"/>
                <w:color w:val="auto"/>
                <w:sz w:val="24"/>
              </w:rPr>
            </w:pPr>
          </w:p>
        </w:tc>
        <w:tc>
          <w:tcPr>
            <w:tcW w:w="553" w:type="dxa"/>
          </w:tcPr>
          <w:p w14:paraId="09F1EFD1">
            <w:pPr>
              <w:spacing w:line="360" w:lineRule="auto"/>
              <w:rPr>
                <w:rFonts w:ascii="仿宋_GB2312" w:hAnsi="仿宋" w:eastAsia="仿宋_GB2312" w:cs="仿宋_GB2312"/>
                <w:color w:val="auto"/>
                <w:sz w:val="24"/>
              </w:rPr>
            </w:pPr>
          </w:p>
        </w:tc>
        <w:tc>
          <w:tcPr>
            <w:tcW w:w="553" w:type="dxa"/>
          </w:tcPr>
          <w:p w14:paraId="276FA236">
            <w:pPr>
              <w:spacing w:line="360" w:lineRule="auto"/>
              <w:rPr>
                <w:rFonts w:ascii="仿宋_GB2312" w:hAnsi="仿宋" w:eastAsia="仿宋_GB2312" w:cs="仿宋_GB2312"/>
                <w:color w:val="auto"/>
                <w:sz w:val="24"/>
              </w:rPr>
            </w:pPr>
          </w:p>
        </w:tc>
        <w:tc>
          <w:tcPr>
            <w:tcW w:w="553" w:type="dxa"/>
          </w:tcPr>
          <w:p w14:paraId="49BEABDB">
            <w:pPr>
              <w:spacing w:line="360" w:lineRule="auto"/>
              <w:rPr>
                <w:rFonts w:ascii="仿宋_GB2312" w:hAnsi="仿宋" w:eastAsia="仿宋_GB2312" w:cs="仿宋_GB2312"/>
                <w:color w:val="auto"/>
                <w:sz w:val="24"/>
              </w:rPr>
            </w:pPr>
          </w:p>
        </w:tc>
        <w:tc>
          <w:tcPr>
            <w:tcW w:w="553" w:type="dxa"/>
          </w:tcPr>
          <w:p w14:paraId="2FF00F7F">
            <w:pPr>
              <w:spacing w:line="360" w:lineRule="auto"/>
              <w:rPr>
                <w:rFonts w:ascii="仿宋_GB2312" w:hAnsi="仿宋" w:eastAsia="仿宋_GB2312" w:cs="仿宋_GB2312"/>
                <w:color w:val="auto"/>
                <w:sz w:val="24"/>
              </w:rPr>
            </w:pPr>
          </w:p>
        </w:tc>
        <w:tc>
          <w:tcPr>
            <w:tcW w:w="553" w:type="dxa"/>
          </w:tcPr>
          <w:p w14:paraId="2E89FEA0">
            <w:pPr>
              <w:spacing w:line="360" w:lineRule="auto"/>
              <w:rPr>
                <w:rFonts w:ascii="仿宋_GB2312" w:hAnsi="仿宋" w:eastAsia="仿宋_GB2312" w:cs="仿宋_GB2312"/>
                <w:color w:val="auto"/>
                <w:sz w:val="24"/>
              </w:rPr>
            </w:pPr>
          </w:p>
        </w:tc>
      </w:tr>
      <w:tr w14:paraId="1553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08AC39B">
            <w:pPr>
              <w:spacing w:line="360" w:lineRule="auto"/>
              <w:rPr>
                <w:rFonts w:ascii="仿宋_GB2312" w:hAnsi="仿宋" w:eastAsia="仿宋_GB2312" w:cs="仿宋_GB2312"/>
                <w:color w:val="auto"/>
                <w:sz w:val="24"/>
              </w:rPr>
            </w:pPr>
          </w:p>
        </w:tc>
        <w:tc>
          <w:tcPr>
            <w:tcW w:w="552" w:type="dxa"/>
          </w:tcPr>
          <w:p w14:paraId="62471C6E">
            <w:pPr>
              <w:spacing w:line="360" w:lineRule="auto"/>
              <w:rPr>
                <w:rFonts w:ascii="仿宋_GB2312" w:hAnsi="仿宋" w:eastAsia="仿宋_GB2312" w:cs="仿宋_GB2312"/>
                <w:color w:val="auto"/>
                <w:sz w:val="24"/>
              </w:rPr>
            </w:pPr>
          </w:p>
        </w:tc>
        <w:tc>
          <w:tcPr>
            <w:tcW w:w="552" w:type="dxa"/>
          </w:tcPr>
          <w:p w14:paraId="65030E15">
            <w:pPr>
              <w:spacing w:line="360" w:lineRule="auto"/>
              <w:rPr>
                <w:rFonts w:ascii="仿宋_GB2312" w:hAnsi="仿宋" w:eastAsia="仿宋_GB2312" w:cs="仿宋_GB2312"/>
                <w:color w:val="auto"/>
                <w:sz w:val="24"/>
              </w:rPr>
            </w:pPr>
          </w:p>
        </w:tc>
        <w:tc>
          <w:tcPr>
            <w:tcW w:w="552" w:type="dxa"/>
          </w:tcPr>
          <w:p w14:paraId="74C8E621">
            <w:pPr>
              <w:spacing w:line="360" w:lineRule="auto"/>
              <w:rPr>
                <w:rFonts w:ascii="仿宋_GB2312" w:hAnsi="仿宋" w:eastAsia="仿宋_GB2312" w:cs="仿宋_GB2312"/>
                <w:color w:val="auto"/>
                <w:sz w:val="24"/>
              </w:rPr>
            </w:pPr>
          </w:p>
        </w:tc>
        <w:tc>
          <w:tcPr>
            <w:tcW w:w="552" w:type="dxa"/>
          </w:tcPr>
          <w:p w14:paraId="222099BE">
            <w:pPr>
              <w:spacing w:line="360" w:lineRule="auto"/>
              <w:rPr>
                <w:rFonts w:ascii="仿宋_GB2312" w:hAnsi="仿宋" w:eastAsia="仿宋_GB2312" w:cs="仿宋_GB2312"/>
                <w:color w:val="auto"/>
                <w:sz w:val="24"/>
              </w:rPr>
            </w:pPr>
          </w:p>
        </w:tc>
        <w:tc>
          <w:tcPr>
            <w:tcW w:w="552" w:type="dxa"/>
          </w:tcPr>
          <w:p w14:paraId="035582CF">
            <w:pPr>
              <w:spacing w:line="360" w:lineRule="auto"/>
              <w:rPr>
                <w:rFonts w:ascii="仿宋_GB2312" w:hAnsi="仿宋" w:eastAsia="仿宋_GB2312" w:cs="仿宋_GB2312"/>
                <w:color w:val="auto"/>
                <w:sz w:val="24"/>
              </w:rPr>
            </w:pPr>
          </w:p>
        </w:tc>
        <w:tc>
          <w:tcPr>
            <w:tcW w:w="552" w:type="dxa"/>
          </w:tcPr>
          <w:p w14:paraId="1C59D84B">
            <w:pPr>
              <w:spacing w:line="360" w:lineRule="auto"/>
              <w:rPr>
                <w:rFonts w:ascii="仿宋_GB2312" w:hAnsi="仿宋" w:eastAsia="仿宋_GB2312" w:cs="仿宋_GB2312"/>
                <w:color w:val="auto"/>
                <w:sz w:val="24"/>
              </w:rPr>
            </w:pPr>
          </w:p>
        </w:tc>
        <w:tc>
          <w:tcPr>
            <w:tcW w:w="553" w:type="dxa"/>
          </w:tcPr>
          <w:p w14:paraId="63A33D03">
            <w:pPr>
              <w:spacing w:line="360" w:lineRule="auto"/>
              <w:rPr>
                <w:rFonts w:ascii="仿宋_GB2312" w:hAnsi="仿宋" w:eastAsia="仿宋_GB2312" w:cs="仿宋_GB2312"/>
                <w:color w:val="auto"/>
                <w:sz w:val="24"/>
              </w:rPr>
            </w:pPr>
          </w:p>
        </w:tc>
        <w:tc>
          <w:tcPr>
            <w:tcW w:w="553" w:type="dxa"/>
          </w:tcPr>
          <w:p w14:paraId="792800E9">
            <w:pPr>
              <w:spacing w:line="360" w:lineRule="auto"/>
              <w:rPr>
                <w:rFonts w:ascii="仿宋_GB2312" w:hAnsi="仿宋" w:eastAsia="仿宋_GB2312" w:cs="仿宋_GB2312"/>
                <w:color w:val="auto"/>
                <w:sz w:val="24"/>
              </w:rPr>
            </w:pPr>
          </w:p>
        </w:tc>
        <w:tc>
          <w:tcPr>
            <w:tcW w:w="553" w:type="dxa"/>
          </w:tcPr>
          <w:p w14:paraId="60E979A7">
            <w:pPr>
              <w:spacing w:line="360" w:lineRule="auto"/>
              <w:rPr>
                <w:rFonts w:ascii="仿宋_GB2312" w:hAnsi="仿宋" w:eastAsia="仿宋_GB2312" w:cs="仿宋_GB2312"/>
                <w:color w:val="auto"/>
                <w:sz w:val="24"/>
              </w:rPr>
            </w:pPr>
          </w:p>
        </w:tc>
        <w:tc>
          <w:tcPr>
            <w:tcW w:w="553" w:type="dxa"/>
          </w:tcPr>
          <w:p w14:paraId="5A081E36">
            <w:pPr>
              <w:spacing w:line="360" w:lineRule="auto"/>
              <w:rPr>
                <w:rFonts w:ascii="仿宋_GB2312" w:hAnsi="仿宋" w:eastAsia="仿宋_GB2312" w:cs="仿宋_GB2312"/>
                <w:color w:val="auto"/>
                <w:sz w:val="24"/>
              </w:rPr>
            </w:pPr>
          </w:p>
        </w:tc>
        <w:tc>
          <w:tcPr>
            <w:tcW w:w="553" w:type="dxa"/>
          </w:tcPr>
          <w:p w14:paraId="21C51406">
            <w:pPr>
              <w:spacing w:line="360" w:lineRule="auto"/>
              <w:rPr>
                <w:rFonts w:ascii="仿宋_GB2312" w:hAnsi="仿宋" w:eastAsia="仿宋_GB2312" w:cs="仿宋_GB2312"/>
                <w:color w:val="auto"/>
                <w:sz w:val="24"/>
              </w:rPr>
            </w:pPr>
          </w:p>
        </w:tc>
        <w:tc>
          <w:tcPr>
            <w:tcW w:w="553" w:type="dxa"/>
          </w:tcPr>
          <w:p w14:paraId="61FBB728">
            <w:pPr>
              <w:spacing w:line="360" w:lineRule="auto"/>
              <w:rPr>
                <w:rFonts w:ascii="仿宋_GB2312" w:hAnsi="仿宋" w:eastAsia="仿宋_GB2312" w:cs="仿宋_GB2312"/>
                <w:color w:val="auto"/>
                <w:sz w:val="24"/>
              </w:rPr>
            </w:pPr>
          </w:p>
        </w:tc>
        <w:tc>
          <w:tcPr>
            <w:tcW w:w="553" w:type="dxa"/>
          </w:tcPr>
          <w:p w14:paraId="45DD6DFC">
            <w:pPr>
              <w:spacing w:line="360" w:lineRule="auto"/>
              <w:rPr>
                <w:rFonts w:ascii="仿宋_GB2312" w:hAnsi="仿宋" w:eastAsia="仿宋_GB2312" w:cs="仿宋_GB2312"/>
                <w:color w:val="auto"/>
                <w:sz w:val="24"/>
              </w:rPr>
            </w:pPr>
          </w:p>
        </w:tc>
        <w:tc>
          <w:tcPr>
            <w:tcW w:w="553" w:type="dxa"/>
          </w:tcPr>
          <w:p w14:paraId="3AE8D269">
            <w:pPr>
              <w:spacing w:line="360" w:lineRule="auto"/>
              <w:rPr>
                <w:rFonts w:ascii="仿宋_GB2312" w:hAnsi="仿宋" w:eastAsia="仿宋_GB2312" w:cs="仿宋_GB2312"/>
                <w:color w:val="auto"/>
                <w:sz w:val="24"/>
              </w:rPr>
            </w:pPr>
          </w:p>
        </w:tc>
        <w:tc>
          <w:tcPr>
            <w:tcW w:w="553" w:type="dxa"/>
          </w:tcPr>
          <w:p w14:paraId="19CACD93">
            <w:pPr>
              <w:spacing w:line="360" w:lineRule="auto"/>
              <w:rPr>
                <w:rFonts w:ascii="仿宋_GB2312" w:hAnsi="仿宋" w:eastAsia="仿宋_GB2312" w:cs="仿宋_GB2312"/>
                <w:color w:val="auto"/>
                <w:sz w:val="24"/>
              </w:rPr>
            </w:pPr>
          </w:p>
        </w:tc>
        <w:tc>
          <w:tcPr>
            <w:tcW w:w="553" w:type="dxa"/>
          </w:tcPr>
          <w:p w14:paraId="2CF05054">
            <w:pPr>
              <w:spacing w:line="360" w:lineRule="auto"/>
              <w:rPr>
                <w:rFonts w:ascii="仿宋_GB2312" w:hAnsi="仿宋" w:eastAsia="仿宋_GB2312" w:cs="仿宋_GB2312"/>
                <w:color w:val="auto"/>
                <w:sz w:val="24"/>
              </w:rPr>
            </w:pPr>
          </w:p>
        </w:tc>
      </w:tr>
      <w:tr w14:paraId="037A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8003B69">
            <w:pPr>
              <w:spacing w:line="360" w:lineRule="auto"/>
              <w:rPr>
                <w:rFonts w:ascii="仿宋_GB2312" w:hAnsi="仿宋" w:eastAsia="仿宋_GB2312" w:cs="仿宋_GB2312"/>
                <w:color w:val="auto"/>
                <w:sz w:val="24"/>
              </w:rPr>
            </w:pPr>
          </w:p>
        </w:tc>
        <w:tc>
          <w:tcPr>
            <w:tcW w:w="552" w:type="dxa"/>
          </w:tcPr>
          <w:p w14:paraId="00EDFE08">
            <w:pPr>
              <w:spacing w:line="360" w:lineRule="auto"/>
              <w:rPr>
                <w:rFonts w:ascii="仿宋_GB2312" w:hAnsi="仿宋" w:eastAsia="仿宋_GB2312" w:cs="仿宋_GB2312"/>
                <w:color w:val="auto"/>
                <w:sz w:val="24"/>
              </w:rPr>
            </w:pPr>
          </w:p>
        </w:tc>
        <w:tc>
          <w:tcPr>
            <w:tcW w:w="552" w:type="dxa"/>
          </w:tcPr>
          <w:p w14:paraId="26CB89DB">
            <w:pPr>
              <w:spacing w:line="360" w:lineRule="auto"/>
              <w:rPr>
                <w:rFonts w:ascii="仿宋_GB2312" w:hAnsi="仿宋" w:eastAsia="仿宋_GB2312" w:cs="仿宋_GB2312"/>
                <w:color w:val="auto"/>
                <w:sz w:val="24"/>
              </w:rPr>
            </w:pPr>
          </w:p>
        </w:tc>
        <w:tc>
          <w:tcPr>
            <w:tcW w:w="552" w:type="dxa"/>
          </w:tcPr>
          <w:p w14:paraId="57CD828B">
            <w:pPr>
              <w:spacing w:line="360" w:lineRule="auto"/>
              <w:rPr>
                <w:rFonts w:ascii="仿宋_GB2312" w:hAnsi="仿宋" w:eastAsia="仿宋_GB2312" w:cs="仿宋_GB2312"/>
                <w:color w:val="auto"/>
                <w:sz w:val="24"/>
              </w:rPr>
            </w:pPr>
          </w:p>
        </w:tc>
        <w:tc>
          <w:tcPr>
            <w:tcW w:w="552" w:type="dxa"/>
          </w:tcPr>
          <w:p w14:paraId="254FCC43">
            <w:pPr>
              <w:spacing w:line="360" w:lineRule="auto"/>
              <w:rPr>
                <w:rFonts w:ascii="仿宋_GB2312" w:hAnsi="仿宋" w:eastAsia="仿宋_GB2312" w:cs="仿宋_GB2312"/>
                <w:color w:val="auto"/>
                <w:sz w:val="24"/>
              </w:rPr>
            </w:pPr>
          </w:p>
        </w:tc>
        <w:tc>
          <w:tcPr>
            <w:tcW w:w="552" w:type="dxa"/>
          </w:tcPr>
          <w:p w14:paraId="141D411E">
            <w:pPr>
              <w:spacing w:line="360" w:lineRule="auto"/>
              <w:rPr>
                <w:rFonts w:ascii="仿宋_GB2312" w:hAnsi="仿宋" w:eastAsia="仿宋_GB2312" w:cs="仿宋_GB2312"/>
                <w:color w:val="auto"/>
                <w:sz w:val="24"/>
              </w:rPr>
            </w:pPr>
          </w:p>
        </w:tc>
        <w:tc>
          <w:tcPr>
            <w:tcW w:w="552" w:type="dxa"/>
          </w:tcPr>
          <w:p w14:paraId="713A47E3">
            <w:pPr>
              <w:spacing w:line="360" w:lineRule="auto"/>
              <w:rPr>
                <w:rFonts w:ascii="仿宋_GB2312" w:hAnsi="仿宋" w:eastAsia="仿宋_GB2312" w:cs="仿宋_GB2312"/>
                <w:color w:val="auto"/>
                <w:sz w:val="24"/>
              </w:rPr>
            </w:pPr>
          </w:p>
        </w:tc>
        <w:tc>
          <w:tcPr>
            <w:tcW w:w="553" w:type="dxa"/>
          </w:tcPr>
          <w:p w14:paraId="02689B82">
            <w:pPr>
              <w:spacing w:line="360" w:lineRule="auto"/>
              <w:rPr>
                <w:rFonts w:ascii="仿宋_GB2312" w:hAnsi="仿宋" w:eastAsia="仿宋_GB2312" w:cs="仿宋_GB2312"/>
                <w:color w:val="auto"/>
                <w:sz w:val="24"/>
              </w:rPr>
            </w:pPr>
          </w:p>
        </w:tc>
        <w:tc>
          <w:tcPr>
            <w:tcW w:w="553" w:type="dxa"/>
          </w:tcPr>
          <w:p w14:paraId="6A3C7787">
            <w:pPr>
              <w:spacing w:line="360" w:lineRule="auto"/>
              <w:rPr>
                <w:rFonts w:ascii="仿宋_GB2312" w:hAnsi="仿宋" w:eastAsia="仿宋_GB2312" w:cs="仿宋_GB2312"/>
                <w:color w:val="auto"/>
                <w:sz w:val="24"/>
              </w:rPr>
            </w:pPr>
          </w:p>
        </w:tc>
        <w:tc>
          <w:tcPr>
            <w:tcW w:w="553" w:type="dxa"/>
          </w:tcPr>
          <w:p w14:paraId="1A8D6101">
            <w:pPr>
              <w:spacing w:line="360" w:lineRule="auto"/>
              <w:rPr>
                <w:rFonts w:ascii="仿宋_GB2312" w:hAnsi="仿宋" w:eastAsia="仿宋_GB2312" w:cs="仿宋_GB2312"/>
                <w:color w:val="auto"/>
                <w:sz w:val="24"/>
              </w:rPr>
            </w:pPr>
          </w:p>
        </w:tc>
        <w:tc>
          <w:tcPr>
            <w:tcW w:w="553" w:type="dxa"/>
          </w:tcPr>
          <w:p w14:paraId="61A822F1">
            <w:pPr>
              <w:spacing w:line="360" w:lineRule="auto"/>
              <w:rPr>
                <w:rFonts w:ascii="仿宋_GB2312" w:hAnsi="仿宋" w:eastAsia="仿宋_GB2312" w:cs="仿宋_GB2312"/>
                <w:color w:val="auto"/>
                <w:sz w:val="24"/>
              </w:rPr>
            </w:pPr>
          </w:p>
        </w:tc>
        <w:tc>
          <w:tcPr>
            <w:tcW w:w="553" w:type="dxa"/>
          </w:tcPr>
          <w:p w14:paraId="63355913">
            <w:pPr>
              <w:spacing w:line="360" w:lineRule="auto"/>
              <w:rPr>
                <w:rFonts w:ascii="仿宋_GB2312" w:hAnsi="仿宋" w:eastAsia="仿宋_GB2312" w:cs="仿宋_GB2312"/>
                <w:color w:val="auto"/>
                <w:sz w:val="24"/>
              </w:rPr>
            </w:pPr>
          </w:p>
        </w:tc>
        <w:tc>
          <w:tcPr>
            <w:tcW w:w="553" w:type="dxa"/>
          </w:tcPr>
          <w:p w14:paraId="2BB797C0">
            <w:pPr>
              <w:spacing w:line="360" w:lineRule="auto"/>
              <w:rPr>
                <w:rFonts w:ascii="仿宋_GB2312" w:hAnsi="仿宋" w:eastAsia="仿宋_GB2312" w:cs="仿宋_GB2312"/>
                <w:color w:val="auto"/>
                <w:sz w:val="24"/>
              </w:rPr>
            </w:pPr>
          </w:p>
        </w:tc>
        <w:tc>
          <w:tcPr>
            <w:tcW w:w="553" w:type="dxa"/>
          </w:tcPr>
          <w:p w14:paraId="420C6D81">
            <w:pPr>
              <w:spacing w:line="360" w:lineRule="auto"/>
              <w:rPr>
                <w:rFonts w:ascii="仿宋_GB2312" w:hAnsi="仿宋" w:eastAsia="仿宋_GB2312" w:cs="仿宋_GB2312"/>
                <w:color w:val="auto"/>
                <w:sz w:val="24"/>
              </w:rPr>
            </w:pPr>
          </w:p>
        </w:tc>
        <w:tc>
          <w:tcPr>
            <w:tcW w:w="553" w:type="dxa"/>
          </w:tcPr>
          <w:p w14:paraId="07767121">
            <w:pPr>
              <w:spacing w:line="360" w:lineRule="auto"/>
              <w:rPr>
                <w:rFonts w:ascii="仿宋_GB2312" w:hAnsi="仿宋" w:eastAsia="仿宋_GB2312" w:cs="仿宋_GB2312"/>
                <w:color w:val="auto"/>
                <w:sz w:val="24"/>
              </w:rPr>
            </w:pPr>
          </w:p>
        </w:tc>
        <w:tc>
          <w:tcPr>
            <w:tcW w:w="553" w:type="dxa"/>
          </w:tcPr>
          <w:p w14:paraId="02736FB8">
            <w:pPr>
              <w:spacing w:line="360" w:lineRule="auto"/>
              <w:rPr>
                <w:rFonts w:ascii="仿宋_GB2312" w:hAnsi="仿宋" w:eastAsia="仿宋_GB2312" w:cs="仿宋_GB2312"/>
                <w:color w:val="auto"/>
                <w:sz w:val="24"/>
              </w:rPr>
            </w:pPr>
          </w:p>
        </w:tc>
        <w:tc>
          <w:tcPr>
            <w:tcW w:w="553" w:type="dxa"/>
          </w:tcPr>
          <w:p w14:paraId="2FC5E146">
            <w:pPr>
              <w:spacing w:line="360" w:lineRule="auto"/>
              <w:rPr>
                <w:rFonts w:ascii="仿宋_GB2312" w:hAnsi="仿宋" w:eastAsia="仿宋_GB2312" w:cs="仿宋_GB2312"/>
                <w:color w:val="auto"/>
                <w:sz w:val="24"/>
              </w:rPr>
            </w:pPr>
          </w:p>
        </w:tc>
      </w:tr>
      <w:tr w14:paraId="027A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78D64A5">
            <w:pPr>
              <w:spacing w:line="360" w:lineRule="auto"/>
              <w:rPr>
                <w:rFonts w:ascii="仿宋_GB2312" w:hAnsi="仿宋" w:eastAsia="仿宋_GB2312" w:cs="仿宋_GB2312"/>
                <w:color w:val="auto"/>
                <w:sz w:val="24"/>
              </w:rPr>
            </w:pPr>
          </w:p>
        </w:tc>
        <w:tc>
          <w:tcPr>
            <w:tcW w:w="552" w:type="dxa"/>
          </w:tcPr>
          <w:p w14:paraId="1FA1E208">
            <w:pPr>
              <w:spacing w:line="360" w:lineRule="auto"/>
              <w:rPr>
                <w:rFonts w:ascii="仿宋_GB2312" w:hAnsi="仿宋" w:eastAsia="仿宋_GB2312" w:cs="仿宋_GB2312"/>
                <w:color w:val="auto"/>
                <w:sz w:val="24"/>
              </w:rPr>
            </w:pPr>
          </w:p>
        </w:tc>
        <w:tc>
          <w:tcPr>
            <w:tcW w:w="552" w:type="dxa"/>
          </w:tcPr>
          <w:p w14:paraId="294E1B45">
            <w:pPr>
              <w:spacing w:line="360" w:lineRule="auto"/>
              <w:rPr>
                <w:rFonts w:ascii="仿宋_GB2312" w:hAnsi="仿宋" w:eastAsia="仿宋_GB2312" w:cs="仿宋_GB2312"/>
                <w:color w:val="auto"/>
                <w:sz w:val="24"/>
              </w:rPr>
            </w:pPr>
          </w:p>
        </w:tc>
        <w:tc>
          <w:tcPr>
            <w:tcW w:w="552" w:type="dxa"/>
          </w:tcPr>
          <w:p w14:paraId="16F37147">
            <w:pPr>
              <w:spacing w:line="360" w:lineRule="auto"/>
              <w:rPr>
                <w:rFonts w:ascii="仿宋_GB2312" w:hAnsi="仿宋" w:eastAsia="仿宋_GB2312" w:cs="仿宋_GB2312"/>
                <w:color w:val="auto"/>
                <w:sz w:val="24"/>
              </w:rPr>
            </w:pPr>
          </w:p>
        </w:tc>
        <w:tc>
          <w:tcPr>
            <w:tcW w:w="552" w:type="dxa"/>
          </w:tcPr>
          <w:p w14:paraId="2A72C579">
            <w:pPr>
              <w:spacing w:line="360" w:lineRule="auto"/>
              <w:rPr>
                <w:rFonts w:ascii="仿宋_GB2312" w:hAnsi="仿宋" w:eastAsia="仿宋_GB2312" w:cs="仿宋_GB2312"/>
                <w:color w:val="auto"/>
                <w:sz w:val="24"/>
              </w:rPr>
            </w:pPr>
          </w:p>
        </w:tc>
        <w:tc>
          <w:tcPr>
            <w:tcW w:w="552" w:type="dxa"/>
          </w:tcPr>
          <w:p w14:paraId="2140852C">
            <w:pPr>
              <w:spacing w:line="360" w:lineRule="auto"/>
              <w:rPr>
                <w:rFonts w:ascii="仿宋_GB2312" w:hAnsi="仿宋" w:eastAsia="仿宋_GB2312" w:cs="仿宋_GB2312"/>
                <w:color w:val="auto"/>
                <w:sz w:val="24"/>
              </w:rPr>
            </w:pPr>
          </w:p>
        </w:tc>
        <w:tc>
          <w:tcPr>
            <w:tcW w:w="552" w:type="dxa"/>
          </w:tcPr>
          <w:p w14:paraId="6D735CD0">
            <w:pPr>
              <w:spacing w:line="360" w:lineRule="auto"/>
              <w:rPr>
                <w:rFonts w:ascii="仿宋_GB2312" w:hAnsi="仿宋" w:eastAsia="仿宋_GB2312" w:cs="仿宋_GB2312"/>
                <w:color w:val="auto"/>
                <w:sz w:val="24"/>
              </w:rPr>
            </w:pPr>
          </w:p>
        </w:tc>
        <w:tc>
          <w:tcPr>
            <w:tcW w:w="553" w:type="dxa"/>
          </w:tcPr>
          <w:p w14:paraId="71AC6AD7">
            <w:pPr>
              <w:spacing w:line="360" w:lineRule="auto"/>
              <w:rPr>
                <w:rFonts w:ascii="仿宋_GB2312" w:hAnsi="仿宋" w:eastAsia="仿宋_GB2312" w:cs="仿宋_GB2312"/>
                <w:color w:val="auto"/>
                <w:sz w:val="24"/>
              </w:rPr>
            </w:pPr>
          </w:p>
        </w:tc>
        <w:tc>
          <w:tcPr>
            <w:tcW w:w="553" w:type="dxa"/>
          </w:tcPr>
          <w:p w14:paraId="4F46F263">
            <w:pPr>
              <w:spacing w:line="360" w:lineRule="auto"/>
              <w:rPr>
                <w:rFonts w:ascii="仿宋_GB2312" w:hAnsi="仿宋" w:eastAsia="仿宋_GB2312" w:cs="仿宋_GB2312"/>
                <w:color w:val="auto"/>
                <w:sz w:val="24"/>
              </w:rPr>
            </w:pPr>
          </w:p>
        </w:tc>
        <w:tc>
          <w:tcPr>
            <w:tcW w:w="553" w:type="dxa"/>
          </w:tcPr>
          <w:p w14:paraId="6B3CBB05">
            <w:pPr>
              <w:spacing w:line="360" w:lineRule="auto"/>
              <w:rPr>
                <w:rFonts w:ascii="仿宋_GB2312" w:hAnsi="仿宋" w:eastAsia="仿宋_GB2312" w:cs="仿宋_GB2312"/>
                <w:color w:val="auto"/>
                <w:sz w:val="24"/>
              </w:rPr>
            </w:pPr>
          </w:p>
        </w:tc>
        <w:tc>
          <w:tcPr>
            <w:tcW w:w="553" w:type="dxa"/>
          </w:tcPr>
          <w:p w14:paraId="1144F3A9">
            <w:pPr>
              <w:spacing w:line="360" w:lineRule="auto"/>
              <w:rPr>
                <w:rFonts w:ascii="仿宋_GB2312" w:hAnsi="仿宋" w:eastAsia="仿宋_GB2312" w:cs="仿宋_GB2312"/>
                <w:color w:val="auto"/>
                <w:sz w:val="24"/>
              </w:rPr>
            </w:pPr>
          </w:p>
        </w:tc>
        <w:tc>
          <w:tcPr>
            <w:tcW w:w="553" w:type="dxa"/>
          </w:tcPr>
          <w:p w14:paraId="2E290805">
            <w:pPr>
              <w:spacing w:line="360" w:lineRule="auto"/>
              <w:rPr>
                <w:rFonts w:ascii="仿宋_GB2312" w:hAnsi="仿宋" w:eastAsia="仿宋_GB2312" w:cs="仿宋_GB2312"/>
                <w:color w:val="auto"/>
                <w:sz w:val="24"/>
              </w:rPr>
            </w:pPr>
          </w:p>
        </w:tc>
        <w:tc>
          <w:tcPr>
            <w:tcW w:w="553" w:type="dxa"/>
          </w:tcPr>
          <w:p w14:paraId="266C0AF0">
            <w:pPr>
              <w:spacing w:line="360" w:lineRule="auto"/>
              <w:rPr>
                <w:rFonts w:ascii="仿宋_GB2312" w:hAnsi="仿宋" w:eastAsia="仿宋_GB2312" w:cs="仿宋_GB2312"/>
                <w:color w:val="auto"/>
                <w:sz w:val="24"/>
              </w:rPr>
            </w:pPr>
          </w:p>
        </w:tc>
        <w:tc>
          <w:tcPr>
            <w:tcW w:w="553" w:type="dxa"/>
          </w:tcPr>
          <w:p w14:paraId="6B4B28F0">
            <w:pPr>
              <w:spacing w:line="360" w:lineRule="auto"/>
              <w:rPr>
                <w:rFonts w:ascii="仿宋_GB2312" w:hAnsi="仿宋" w:eastAsia="仿宋_GB2312" w:cs="仿宋_GB2312"/>
                <w:color w:val="auto"/>
                <w:sz w:val="24"/>
              </w:rPr>
            </w:pPr>
          </w:p>
        </w:tc>
        <w:tc>
          <w:tcPr>
            <w:tcW w:w="553" w:type="dxa"/>
          </w:tcPr>
          <w:p w14:paraId="2DA0F493">
            <w:pPr>
              <w:spacing w:line="360" w:lineRule="auto"/>
              <w:rPr>
                <w:rFonts w:ascii="仿宋_GB2312" w:hAnsi="仿宋" w:eastAsia="仿宋_GB2312" w:cs="仿宋_GB2312"/>
                <w:color w:val="auto"/>
                <w:sz w:val="24"/>
              </w:rPr>
            </w:pPr>
          </w:p>
        </w:tc>
        <w:tc>
          <w:tcPr>
            <w:tcW w:w="553" w:type="dxa"/>
          </w:tcPr>
          <w:p w14:paraId="5892DF0E">
            <w:pPr>
              <w:spacing w:line="360" w:lineRule="auto"/>
              <w:rPr>
                <w:rFonts w:ascii="仿宋_GB2312" w:hAnsi="仿宋" w:eastAsia="仿宋_GB2312" w:cs="仿宋_GB2312"/>
                <w:color w:val="auto"/>
                <w:sz w:val="24"/>
              </w:rPr>
            </w:pPr>
          </w:p>
        </w:tc>
        <w:tc>
          <w:tcPr>
            <w:tcW w:w="553" w:type="dxa"/>
          </w:tcPr>
          <w:p w14:paraId="2BF35ADC">
            <w:pPr>
              <w:spacing w:line="360" w:lineRule="auto"/>
              <w:rPr>
                <w:rFonts w:ascii="仿宋_GB2312" w:hAnsi="仿宋" w:eastAsia="仿宋_GB2312" w:cs="仿宋_GB2312"/>
                <w:color w:val="auto"/>
                <w:sz w:val="24"/>
              </w:rPr>
            </w:pPr>
          </w:p>
        </w:tc>
      </w:tr>
    </w:tbl>
    <w:p w14:paraId="5A5EF905">
      <w:pPr>
        <w:snapToGrid w:val="0"/>
        <w:spacing w:line="360" w:lineRule="auto"/>
        <w:ind w:firstLine="5662"/>
        <w:rPr>
          <w:rFonts w:hAnsi="宋体"/>
          <w:color w:val="auto"/>
          <w:szCs w:val="21"/>
        </w:rPr>
      </w:pPr>
      <w:r>
        <w:rPr>
          <w:rFonts w:hint="eastAsia" w:ascii="仿宋_GB2312" w:hAnsi="仿宋" w:eastAsia="仿宋_GB2312" w:cs="仿宋_GB2312"/>
          <w:b/>
          <w:color w:val="auto"/>
          <w:sz w:val="24"/>
        </w:rPr>
        <w:t>注：投标人可按上述时间表的格式自行编制切合实际的具体时间表。</w:t>
      </w:r>
      <w:r>
        <w:rPr>
          <w:rFonts w:hAnsi="宋体"/>
          <w:color w:val="auto"/>
          <w:szCs w:val="21"/>
        </w:rPr>
        <w:t xml:space="preserve"> </w:t>
      </w:r>
    </w:p>
    <w:p w14:paraId="29D4A6B5">
      <w:pPr>
        <w:snapToGrid w:val="0"/>
        <w:spacing w:line="360" w:lineRule="auto"/>
        <w:ind w:firstLine="472" w:firstLineChars="196"/>
        <w:rPr>
          <w:rFonts w:ascii="仿宋_GB2312" w:hAnsi="仿宋" w:eastAsia="仿宋_GB2312" w:cs="仿宋_GB2312"/>
          <w:b/>
          <w:bCs/>
          <w:color w:val="auto"/>
          <w:kern w:val="0"/>
          <w:sz w:val="24"/>
          <w:lang w:val="zh-CN"/>
        </w:rPr>
      </w:pPr>
      <w:r>
        <w:rPr>
          <w:rFonts w:hint="eastAsia" w:ascii="仿宋_GB2312" w:hAnsi="仿宋" w:eastAsia="仿宋_GB2312" w:cs="仿宋_GB2312"/>
          <w:b/>
          <w:bCs/>
          <w:color w:val="auto"/>
          <w:kern w:val="0"/>
          <w:sz w:val="24"/>
          <w:lang w:val="zh-CN"/>
        </w:rPr>
        <w:t>（三）项目实施人员一览表</w:t>
      </w:r>
    </w:p>
    <w:p w14:paraId="6964F392">
      <w:pPr>
        <w:spacing w:line="360" w:lineRule="auto"/>
        <w:jc w:val="center"/>
        <w:rPr>
          <w:rFonts w:ascii="仿宋_GB2312" w:hAnsi="仿宋" w:eastAsia="仿宋_GB2312" w:cs="仿宋_GB2312"/>
          <w:b/>
          <w:bCs/>
          <w:color w:val="auto"/>
          <w:sz w:val="24"/>
        </w:rPr>
      </w:pPr>
      <w:r>
        <w:rPr>
          <w:rFonts w:hint="eastAsia" w:ascii="仿宋_GB2312" w:hAnsi="仿宋" w:eastAsia="仿宋_GB2312" w:cs="仿宋_GB2312"/>
          <w:color w:val="auto"/>
          <w:sz w:val="24"/>
        </w:rPr>
        <w:t>（由投标人根据采购需求及招标文件要求编制）</w:t>
      </w:r>
    </w:p>
    <w:p w14:paraId="7088F070">
      <w:pPr>
        <w:pStyle w:val="17"/>
        <w:rPr>
          <w:color w:val="auto"/>
          <w:sz w:val="24"/>
          <w:szCs w:val="24"/>
        </w:rPr>
      </w:pPr>
      <w:r>
        <w:rPr>
          <w:rFonts w:hint="eastAsia"/>
          <w:color w:val="auto"/>
          <w:sz w:val="24"/>
          <w:szCs w:val="24"/>
        </w:rPr>
        <w:t>所投分标：</w:t>
      </w:r>
      <w:r>
        <w:rPr>
          <w:rFonts w:hint="eastAsia"/>
          <w:color w:val="auto"/>
          <w:sz w:val="24"/>
          <w:szCs w:val="24"/>
          <w:u w:val="single"/>
        </w:rPr>
        <w:t xml:space="preserve">     </w:t>
      </w:r>
      <w:r>
        <w:rPr>
          <w:rFonts w:hint="eastAsia"/>
          <w:color w:val="auto"/>
          <w:sz w:val="24"/>
          <w:szCs w:val="24"/>
        </w:rPr>
        <w:t>分标</w:t>
      </w:r>
    </w:p>
    <w:p w14:paraId="60370DF6">
      <w:pPr>
        <w:keepNext/>
        <w:autoSpaceDE w:val="0"/>
        <w:autoSpaceDN w:val="0"/>
        <w:spacing w:line="360" w:lineRule="auto"/>
        <w:ind w:firstLine="477"/>
        <w:rPr>
          <w:rFonts w:ascii="仿宋_GB2312" w:hAnsi="仿宋" w:eastAsia="仿宋_GB2312" w:cs="仿宋_GB2312"/>
          <w:b/>
          <w:color w:val="auto"/>
          <w:sz w:val="24"/>
        </w:rPr>
      </w:pPr>
      <w:r>
        <w:rPr>
          <w:rFonts w:hint="eastAsia" w:ascii="仿宋_GB2312" w:hAnsi="仿宋" w:eastAsia="仿宋_GB2312" w:cs="仿宋_GB2312"/>
          <w:b/>
          <w:color w:val="auto"/>
          <w:sz w:val="24"/>
        </w:rPr>
        <w:t>附表A:本项目的项目经理情况表</w:t>
      </w:r>
    </w:p>
    <w:tbl>
      <w:tblPr>
        <w:tblStyle w:val="34"/>
        <w:tblW w:w="0" w:type="auto"/>
        <w:tblInd w:w="0" w:type="dxa"/>
        <w:tblLayout w:type="fixed"/>
        <w:tblCellMar>
          <w:top w:w="0" w:type="dxa"/>
          <w:left w:w="108" w:type="dxa"/>
          <w:bottom w:w="0" w:type="dxa"/>
          <w:right w:w="108" w:type="dxa"/>
        </w:tblCellMar>
      </w:tblPr>
      <w:tblGrid>
        <w:gridCol w:w="2061"/>
        <w:gridCol w:w="1287"/>
        <w:gridCol w:w="1260"/>
        <w:gridCol w:w="4147"/>
      </w:tblGrid>
      <w:tr w14:paraId="57F18F01">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DA2E021">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0947016A">
            <w:pPr>
              <w:autoSpaceDE w:val="0"/>
              <w:autoSpaceDN w:val="0"/>
              <w:spacing w:line="360" w:lineRule="auto"/>
              <w:jc w:val="center"/>
              <w:rPr>
                <w:rFonts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248C332A">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1130746A">
            <w:pPr>
              <w:autoSpaceDE w:val="0"/>
              <w:autoSpaceDN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投标截止时间前三年业绩及承担的主要工作情况，曾担任项目经理的项目应列明细</w:t>
            </w:r>
          </w:p>
        </w:tc>
      </w:tr>
      <w:tr w14:paraId="0EA235B4">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B02BC18">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88A5571">
            <w:pPr>
              <w:autoSpaceDE w:val="0"/>
              <w:autoSpaceDN w:val="0"/>
              <w:spacing w:line="360" w:lineRule="auto"/>
              <w:jc w:val="center"/>
              <w:rPr>
                <w:rFonts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5CCFF9D">
            <w:pPr>
              <w:autoSpaceDE w:val="0"/>
              <w:autoSpaceDN w:val="0"/>
              <w:spacing w:line="360" w:lineRule="auto"/>
              <w:jc w:val="center"/>
              <w:rPr>
                <w:rFonts w:ascii="仿宋_GB2312" w:hAnsi="仿宋" w:eastAsia="仿宋_GB2312" w:cs="仿宋_GB2312"/>
                <w:color w:val="auto"/>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0C3B68E1">
            <w:pPr>
              <w:autoSpaceDE w:val="0"/>
              <w:autoSpaceDN w:val="0"/>
              <w:spacing w:line="360" w:lineRule="auto"/>
              <w:jc w:val="center"/>
              <w:rPr>
                <w:rFonts w:ascii="仿宋_GB2312" w:hAnsi="仿宋" w:eastAsia="仿宋_GB2312" w:cs="仿宋_GB2312"/>
                <w:color w:val="auto"/>
                <w:sz w:val="24"/>
              </w:rPr>
            </w:pPr>
          </w:p>
        </w:tc>
      </w:tr>
      <w:tr w14:paraId="31A21BDF">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2128119">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CE4B298">
            <w:pPr>
              <w:autoSpaceDE w:val="0"/>
              <w:autoSpaceDN w:val="0"/>
              <w:spacing w:line="360" w:lineRule="auto"/>
              <w:jc w:val="center"/>
              <w:rPr>
                <w:rFonts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588137B0">
            <w:pPr>
              <w:autoSpaceDE w:val="0"/>
              <w:autoSpaceDN w:val="0"/>
              <w:spacing w:line="360" w:lineRule="auto"/>
              <w:jc w:val="center"/>
              <w:rPr>
                <w:rFonts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B1C4427">
            <w:pPr>
              <w:autoSpaceDE w:val="0"/>
              <w:autoSpaceDN w:val="0"/>
              <w:spacing w:line="360" w:lineRule="auto"/>
              <w:jc w:val="center"/>
              <w:rPr>
                <w:rFonts w:ascii="仿宋_GB2312" w:hAnsi="仿宋" w:eastAsia="仿宋_GB2312" w:cs="仿宋_GB2312"/>
                <w:color w:val="auto"/>
                <w:sz w:val="24"/>
              </w:rPr>
            </w:pPr>
          </w:p>
        </w:tc>
      </w:tr>
      <w:tr w14:paraId="5ADFCD2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14286564">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4DA31BB4">
            <w:pPr>
              <w:autoSpaceDE w:val="0"/>
              <w:autoSpaceDN w:val="0"/>
              <w:spacing w:line="360" w:lineRule="auto"/>
              <w:jc w:val="center"/>
              <w:rPr>
                <w:rFonts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613ED20C">
            <w:pPr>
              <w:autoSpaceDE w:val="0"/>
              <w:autoSpaceDN w:val="0"/>
              <w:spacing w:line="360" w:lineRule="auto"/>
              <w:jc w:val="center"/>
              <w:rPr>
                <w:rFonts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649A6EE">
            <w:pPr>
              <w:autoSpaceDE w:val="0"/>
              <w:autoSpaceDN w:val="0"/>
              <w:spacing w:line="360" w:lineRule="auto"/>
              <w:jc w:val="center"/>
              <w:rPr>
                <w:rFonts w:ascii="仿宋_GB2312" w:hAnsi="仿宋" w:eastAsia="仿宋_GB2312" w:cs="仿宋_GB2312"/>
                <w:color w:val="auto"/>
                <w:sz w:val="24"/>
              </w:rPr>
            </w:pPr>
          </w:p>
        </w:tc>
      </w:tr>
      <w:tr w14:paraId="6123034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65B10052">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14BD43BD">
            <w:pPr>
              <w:autoSpaceDE w:val="0"/>
              <w:autoSpaceDN w:val="0"/>
              <w:spacing w:line="360" w:lineRule="auto"/>
              <w:jc w:val="center"/>
              <w:rPr>
                <w:rFonts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4B4BDCD1">
            <w:pPr>
              <w:autoSpaceDE w:val="0"/>
              <w:autoSpaceDN w:val="0"/>
              <w:spacing w:line="360" w:lineRule="auto"/>
              <w:jc w:val="center"/>
              <w:rPr>
                <w:rFonts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D398AA4">
            <w:pPr>
              <w:autoSpaceDE w:val="0"/>
              <w:autoSpaceDN w:val="0"/>
              <w:spacing w:line="360" w:lineRule="auto"/>
              <w:jc w:val="center"/>
              <w:rPr>
                <w:rFonts w:ascii="仿宋_GB2312" w:hAnsi="仿宋" w:eastAsia="仿宋_GB2312" w:cs="仿宋_GB2312"/>
                <w:color w:val="auto"/>
                <w:sz w:val="24"/>
              </w:rPr>
            </w:pPr>
          </w:p>
        </w:tc>
      </w:tr>
      <w:tr w14:paraId="0F7EEEFA">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3850EFDC">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5E95C2F8">
            <w:pPr>
              <w:autoSpaceDE w:val="0"/>
              <w:autoSpaceDN w:val="0"/>
              <w:spacing w:line="360" w:lineRule="auto"/>
              <w:jc w:val="center"/>
              <w:rPr>
                <w:rFonts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1169AF4C">
            <w:pPr>
              <w:autoSpaceDE w:val="0"/>
              <w:autoSpaceDN w:val="0"/>
              <w:spacing w:line="360" w:lineRule="auto"/>
              <w:jc w:val="center"/>
              <w:rPr>
                <w:rFonts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98E5C4D">
            <w:pPr>
              <w:autoSpaceDE w:val="0"/>
              <w:autoSpaceDN w:val="0"/>
              <w:spacing w:line="360" w:lineRule="auto"/>
              <w:jc w:val="center"/>
              <w:rPr>
                <w:rFonts w:ascii="仿宋_GB2312" w:hAnsi="仿宋" w:eastAsia="仿宋_GB2312" w:cs="仿宋_GB2312"/>
                <w:color w:val="auto"/>
                <w:sz w:val="24"/>
              </w:rPr>
            </w:pPr>
          </w:p>
        </w:tc>
      </w:tr>
      <w:tr w14:paraId="03D80415">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44BD0148">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2FBDEA9B">
            <w:pPr>
              <w:autoSpaceDE w:val="0"/>
              <w:autoSpaceDN w:val="0"/>
              <w:spacing w:line="360" w:lineRule="auto"/>
              <w:jc w:val="center"/>
              <w:rPr>
                <w:rFonts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50172BFB">
            <w:pPr>
              <w:autoSpaceDE w:val="0"/>
              <w:autoSpaceDN w:val="0"/>
              <w:spacing w:line="360" w:lineRule="auto"/>
              <w:jc w:val="center"/>
              <w:rPr>
                <w:rFonts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1D34646">
            <w:pPr>
              <w:autoSpaceDE w:val="0"/>
              <w:autoSpaceDN w:val="0"/>
              <w:spacing w:line="360" w:lineRule="auto"/>
              <w:jc w:val="center"/>
              <w:rPr>
                <w:rFonts w:ascii="仿宋_GB2312" w:hAnsi="仿宋" w:eastAsia="仿宋_GB2312" w:cs="仿宋_GB2312"/>
                <w:color w:val="auto"/>
                <w:sz w:val="24"/>
              </w:rPr>
            </w:pPr>
          </w:p>
        </w:tc>
      </w:tr>
      <w:tr w14:paraId="5AD6D453">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27EBB2B0">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1B176E65">
            <w:pPr>
              <w:autoSpaceDE w:val="0"/>
              <w:autoSpaceDN w:val="0"/>
              <w:spacing w:line="360" w:lineRule="auto"/>
              <w:jc w:val="center"/>
              <w:rPr>
                <w:rFonts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73E4E449">
            <w:pPr>
              <w:autoSpaceDE w:val="0"/>
              <w:autoSpaceDN w:val="0"/>
              <w:spacing w:line="360" w:lineRule="auto"/>
              <w:jc w:val="center"/>
              <w:rPr>
                <w:rFonts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229D086">
            <w:pPr>
              <w:autoSpaceDE w:val="0"/>
              <w:autoSpaceDN w:val="0"/>
              <w:spacing w:line="360" w:lineRule="auto"/>
              <w:jc w:val="center"/>
              <w:rPr>
                <w:rFonts w:ascii="仿宋_GB2312" w:hAnsi="仿宋" w:eastAsia="仿宋_GB2312" w:cs="仿宋_GB2312"/>
                <w:color w:val="auto"/>
                <w:sz w:val="24"/>
              </w:rPr>
            </w:pPr>
          </w:p>
        </w:tc>
      </w:tr>
      <w:tr w14:paraId="67BE755F">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7AE542D1">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45981AA8">
            <w:pPr>
              <w:autoSpaceDE w:val="0"/>
              <w:autoSpaceDN w:val="0"/>
              <w:spacing w:line="360" w:lineRule="auto"/>
              <w:jc w:val="center"/>
              <w:rPr>
                <w:rFonts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558BF4C7">
            <w:pPr>
              <w:autoSpaceDE w:val="0"/>
              <w:autoSpaceDN w:val="0"/>
              <w:spacing w:line="360" w:lineRule="auto"/>
              <w:jc w:val="center"/>
              <w:rPr>
                <w:rFonts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4F3D03F">
            <w:pPr>
              <w:autoSpaceDE w:val="0"/>
              <w:autoSpaceDN w:val="0"/>
              <w:spacing w:line="360" w:lineRule="auto"/>
              <w:jc w:val="center"/>
              <w:rPr>
                <w:rFonts w:ascii="仿宋_GB2312" w:hAnsi="仿宋" w:eastAsia="仿宋_GB2312" w:cs="仿宋_GB2312"/>
                <w:color w:val="auto"/>
                <w:sz w:val="24"/>
              </w:rPr>
            </w:pPr>
          </w:p>
        </w:tc>
      </w:tr>
      <w:tr w14:paraId="03E78C0D">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269A89C">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A3A7A08">
            <w:pPr>
              <w:autoSpaceDE w:val="0"/>
              <w:autoSpaceDN w:val="0"/>
              <w:spacing w:line="360" w:lineRule="auto"/>
              <w:jc w:val="center"/>
              <w:rPr>
                <w:rFonts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514CB18C">
            <w:pPr>
              <w:autoSpaceDE w:val="0"/>
              <w:autoSpaceDN w:val="0"/>
              <w:spacing w:line="360" w:lineRule="auto"/>
              <w:jc w:val="center"/>
              <w:rPr>
                <w:rFonts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DFF8993">
            <w:pPr>
              <w:autoSpaceDE w:val="0"/>
              <w:autoSpaceDN w:val="0"/>
              <w:spacing w:line="360" w:lineRule="auto"/>
              <w:jc w:val="center"/>
              <w:rPr>
                <w:rFonts w:ascii="仿宋_GB2312" w:hAnsi="仿宋" w:eastAsia="仿宋_GB2312" w:cs="仿宋_GB2312"/>
                <w:color w:val="auto"/>
                <w:sz w:val="24"/>
              </w:rPr>
            </w:pPr>
          </w:p>
        </w:tc>
      </w:tr>
    </w:tbl>
    <w:p w14:paraId="4B29FBB8">
      <w:pPr>
        <w:autoSpaceDE w:val="0"/>
        <w:autoSpaceDN w:val="0"/>
        <w:spacing w:line="360" w:lineRule="auto"/>
        <w:rPr>
          <w:rFonts w:ascii="仿宋_GB2312" w:hAnsi="仿宋" w:eastAsia="仿宋_GB2312" w:cs="仿宋_GB2312"/>
          <w:b/>
          <w:color w:val="auto"/>
          <w:sz w:val="24"/>
        </w:rPr>
      </w:pPr>
      <w:r>
        <w:rPr>
          <w:rFonts w:hint="eastAsia" w:ascii="仿宋_GB2312" w:hAnsi="仿宋" w:eastAsia="仿宋_GB2312" w:cs="仿宋_GB2312"/>
          <w:b/>
          <w:color w:val="auto"/>
          <w:sz w:val="24"/>
        </w:rPr>
        <w:t>注：须随表提交相应的证书复印件并注明所在投标技术文件页码。</w:t>
      </w:r>
    </w:p>
    <w:p w14:paraId="2D1956A3">
      <w:pPr>
        <w:autoSpaceDE w:val="0"/>
        <w:autoSpaceDN w:val="0"/>
        <w:spacing w:line="360" w:lineRule="auto"/>
        <w:rPr>
          <w:rFonts w:ascii="仿宋_GB2312" w:hAnsi="仿宋" w:eastAsia="仿宋_GB2312" w:cs="仿宋_GB2312"/>
          <w:b/>
          <w:color w:val="auto"/>
          <w:sz w:val="24"/>
        </w:rPr>
      </w:pPr>
      <w:r>
        <w:rPr>
          <w:rFonts w:hint="eastAsia" w:ascii="仿宋_GB2312" w:hAnsi="仿宋" w:eastAsia="仿宋_GB2312" w:cs="仿宋_GB2312"/>
          <w:b/>
          <w:color w:val="auto"/>
          <w:sz w:val="24"/>
        </w:rPr>
        <w:t>附表B:本项目的项目小组人员情况表</w:t>
      </w:r>
      <w:r>
        <w:rPr>
          <w:rFonts w:hint="eastAsia" w:ascii="仿宋_GB2312" w:hAnsi="仿宋" w:eastAsia="仿宋_GB2312" w:cs="仿宋_GB2312"/>
          <w:color w:val="auto"/>
          <w:sz w:val="24"/>
        </w:rPr>
        <w:t>（按此格式自制）</w:t>
      </w:r>
    </w:p>
    <w:tbl>
      <w:tblPr>
        <w:tblStyle w:val="34"/>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3E989AB">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443027F">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323B6E22">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148346C">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BCC586C">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40A9912">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学历</w:t>
            </w:r>
          </w:p>
          <w:p w14:paraId="3F5AE865">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D1C146A">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专业</w:t>
            </w:r>
          </w:p>
          <w:p w14:paraId="52F078F8">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A2B756A">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职称</w:t>
            </w:r>
          </w:p>
          <w:p w14:paraId="656D39B4">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94A2369">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2AC7FF1">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1AEC1B56">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参与本项目的到位情况</w:t>
            </w:r>
          </w:p>
        </w:tc>
      </w:tr>
      <w:tr w14:paraId="7984D19E">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D2EBC04">
            <w:pPr>
              <w:autoSpaceDE w:val="0"/>
              <w:autoSpaceDN w:val="0"/>
              <w:spacing w:line="360" w:lineRule="auto"/>
              <w:jc w:val="center"/>
              <w:rPr>
                <w:rFonts w:ascii="仿宋_GB2312" w:hAnsi="仿宋" w:eastAsia="仿宋_GB2312" w:cs="仿宋_GB2312"/>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10BEDF9E">
            <w:pPr>
              <w:autoSpaceDE w:val="0"/>
              <w:autoSpaceDN w:val="0"/>
              <w:spacing w:line="360" w:lineRule="auto"/>
              <w:rPr>
                <w:rFonts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361A48E8">
            <w:pPr>
              <w:autoSpaceDE w:val="0"/>
              <w:autoSpaceDN w:val="0"/>
              <w:spacing w:line="360" w:lineRule="auto"/>
              <w:rPr>
                <w:rFonts w:ascii="仿宋_GB2312" w:hAnsi="仿宋" w:eastAsia="仿宋_GB2312" w:cs="仿宋_GB2312"/>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20E26077">
            <w:pPr>
              <w:autoSpaceDE w:val="0"/>
              <w:autoSpaceDN w:val="0"/>
              <w:spacing w:line="360" w:lineRule="auto"/>
              <w:rPr>
                <w:rFonts w:ascii="仿宋_GB2312" w:hAnsi="仿宋" w:eastAsia="仿宋_GB2312" w:cs="仿宋_GB2312"/>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20AA90E6">
            <w:pPr>
              <w:autoSpaceDE w:val="0"/>
              <w:autoSpaceDN w:val="0"/>
              <w:spacing w:line="360" w:lineRule="auto"/>
              <w:rPr>
                <w:rFonts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EE15D4E">
            <w:pPr>
              <w:autoSpaceDE w:val="0"/>
              <w:autoSpaceDN w:val="0"/>
              <w:spacing w:line="360" w:lineRule="auto"/>
              <w:rPr>
                <w:rFonts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0475344">
            <w:pPr>
              <w:autoSpaceDE w:val="0"/>
              <w:autoSpaceDN w:val="0"/>
              <w:spacing w:line="360" w:lineRule="auto"/>
              <w:rPr>
                <w:rFonts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893648F">
            <w:pPr>
              <w:autoSpaceDE w:val="0"/>
              <w:autoSpaceDN w:val="0"/>
              <w:spacing w:line="360" w:lineRule="auto"/>
              <w:rPr>
                <w:rFonts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49EA6A07">
            <w:pPr>
              <w:autoSpaceDE w:val="0"/>
              <w:autoSpaceDN w:val="0"/>
              <w:spacing w:line="360" w:lineRule="auto"/>
              <w:rPr>
                <w:rFonts w:ascii="仿宋_GB2312" w:hAnsi="仿宋" w:eastAsia="仿宋_GB2312" w:cs="仿宋_GB2312"/>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2AB5DB08">
            <w:pPr>
              <w:autoSpaceDE w:val="0"/>
              <w:autoSpaceDN w:val="0"/>
              <w:spacing w:line="360" w:lineRule="auto"/>
              <w:rPr>
                <w:rFonts w:ascii="仿宋_GB2312" w:hAnsi="仿宋" w:eastAsia="仿宋_GB2312" w:cs="仿宋_GB2312"/>
                <w:color w:val="auto"/>
                <w:sz w:val="24"/>
              </w:rPr>
            </w:pPr>
          </w:p>
        </w:tc>
      </w:tr>
      <w:tr w14:paraId="33044A60">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6AD214EF">
            <w:pPr>
              <w:autoSpaceDE w:val="0"/>
              <w:autoSpaceDN w:val="0"/>
              <w:spacing w:line="360" w:lineRule="auto"/>
              <w:jc w:val="center"/>
              <w:rPr>
                <w:rFonts w:ascii="仿宋_GB2312" w:hAnsi="仿宋" w:eastAsia="仿宋_GB2312" w:cs="仿宋_GB2312"/>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1341C221">
            <w:pPr>
              <w:autoSpaceDE w:val="0"/>
              <w:autoSpaceDN w:val="0"/>
              <w:spacing w:line="360" w:lineRule="auto"/>
              <w:rPr>
                <w:rFonts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509F221F">
            <w:pPr>
              <w:autoSpaceDE w:val="0"/>
              <w:autoSpaceDN w:val="0"/>
              <w:spacing w:line="360" w:lineRule="auto"/>
              <w:rPr>
                <w:rFonts w:ascii="仿宋_GB2312" w:hAnsi="仿宋" w:eastAsia="仿宋_GB2312" w:cs="仿宋_GB2312"/>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583164E5">
            <w:pPr>
              <w:autoSpaceDE w:val="0"/>
              <w:autoSpaceDN w:val="0"/>
              <w:spacing w:line="360" w:lineRule="auto"/>
              <w:rPr>
                <w:rFonts w:ascii="仿宋_GB2312" w:hAnsi="仿宋" w:eastAsia="仿宋_GB2312" w:cs="仿宋_GB2312"/>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33CC06E4">
            <w:pPr>
              <w:autoSpaceDE w:val="0"/>
              <w:autoSpaceDN w:val="0"/>
              <w:spacing w:line="360" w:lineRule="auto"/>
              <w:rPr>
                <w:rFonts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9B9B3B5">
            <w:pPr>
              <w:autoSpaceDE w:val="0"/>
              <w:autoSpaceDN w:val="0"/>
              <w:spacing w:line="360" w:lineRule="auto"/>
              <w:rPr>
                <w:rFonts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524FF686">
            <w:pPr>
              <w:autoSpaceDE w:val="0"/>
              <w:autoSpaceDN w:val="0"/>
              <w:spacing w:line="360" w:lineRule="auto"/>
              <w:rPr>
                <w:rFonts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4869D21C">
            <w:pPr>
              <w:autoSpaceDE w:val="0"/>
              <w:autoSpaceDN w:val="0"/>
              <w:spacing w:line="360" w:lineRule="auto"/>
              <w:rPr>
                <w:rFonts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9BBC346">
            <w:pPr>
              <w:autoSpaceDE w:val="0"/>
              <w:autoSpaceDN w:val="0"/>
              <w:spacing w:line="360" w:lineRule="auto"/>
              <w:rPr>
                <w:rFonts w:ascii="仿宋_GB2312" w:hAnsi="仿宋" w:eastAsia="仿宋_GB2312" w:cs="仿宋_GB2312"/>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59495F1C">
            <w:pPr>
              <w:autoSpaceDE w:val="0"/>
              <w:autoSpaceDN w:val="0"/>
              <w:spacing w:line="360" w:lineRule="auto"/>
              <w:rPr>
                <w:rFonts w:ascii="仿宋_GB2312" w:hAnsi="仿宋" w:eastAsia="仿宋_GB2312" w:cs="仿宋_GB2312"/>
                <w:color w:val="auto"/>
                <w:sz w:val="24"/>
              </w:rPr>
            </w:pPr>
          </w:p>
        </w:tc>
      </w:tr>
    </w:tbl>
    <w:p w14:paraId="1AE5F64E">
      <w:pPr>
        <w:spacing w:line="360" w:lineRule="auto"/>
        <w:rPr>
          <w:rFonts w:ascii="仿宋_GB2312" w:hAnsi="仿宋" w:eastAsia="仿宋_GB2312" w:cs="仿宋_GB2312"/>
          <w:b/>
          <w:bCs/>
          <w:color w:val="auto"/>
          <w:sz w:val="24"/>
        </w:rPr>
      </w:pPr>
      <w:r>
        <w:rPr>
          <w:rFonts w:hint="eastAsia" w:ascii="仿宋_GB2312" w:hAnsi="仿宋" w:eastAsia="仿宋_GB2312" w:cs="仿宋_GB2312"/>
          <w:b/>
          <w:color w:val="auto"/>
          <w:sz w:val="24"/>
        </w:rPr>
        <w:t>注：投标人可按上述的格式自行编制，须随表提交相应的证书复印件并注明所在投标技术文件页码。</w:t>
      </w:r>
    </w:p>
    <w:p w14:paraId="5895EBDA">
      <w:pPr>
        <w:spacing w:line="360" w:lineRule="auto"/>
        <w:rPr>
          <w:rFonts w:ascii="仿宋_GB2312" w:hAnsi="仿宋" w:eastAsia="仿宋_GB2312" w:cs="仿宋_GB2312"/>
          <w:b/>
          <w:bCs/>
          <w:color w:val="auto"/>
          <w:sz w:val="24"/>
        </w:rPr>
      </w:pPr>
      <w:r>
        <w:rPr>
          <w:rFonts w:hint="eastAsia" w:ascii="仿宋_GB2312" w:hAnsi="仿宋" w:eastAsia="仿宋_GB2312" w:cs="仿宋_GB2312"/>
          <w:b/>
          <w:color w:val="auto"/>
          <w:sz w:val="24"/>
        </w:rPr>
        <w:t>附表C:本项目的项目经理和小组人员近3个月交纳社保记录情况表</w:t>
      </w:r>
      <w:r>
        <w:rPr>
          <w:rFonts w:hint="eastAsia" w:ascii="仿宋_GB2312" w:hAnsi="仿宋" w:eastAsia="仿宋_GB2312" w:cs="仿宋_GB2312"/>
          <w:color w:val="auto"/>
          <w:sz w:val="24"/>
        </w:rPr>
        <w:t>（以社保局缴纳凭证作附件）</w:t>
      </w:r>
    </w:p>
    <w:p w14:paraId="70B93B9B">
      <w:pPr>
        <w:snapToGrid w:val="0"/>
        <w:spacing w:line="360" w:lineRule="auto"/>
        <w:ind w:firstLine="472" w:firstLineChars="196"/>
        <w:rPr>
          <w:rFonts w:ascii="仿宋_GB2312" w:hAnsi="仿宋" w:eastAsia="仿宋_GB2312" w:cs="仿宋_GB2312"/>
          <w:b/>
          <w:bCs/>
          <w:color w:val="auto"/>
          <w:kern w:val="0"/>
          <w:sz w:val="24"/>
          <w:lang w:val="zh-CN"/>
        </w:rPr>
      </w:pPr>
      <w:r>
        <w:rPr>
          <w:rFonts w:hint="eastAsia" w:ascii="仿宋_GB2312" w:hAnsi="仿宋" w:eastAsia="仿宋_GB2312" w:cs="仿宋_GB2312"/>
          <w:b/>
          <w:bCs/>
          <w:color w:val="auto"/>
          <w:kern w:val="0"/>
          <w:sz w:val="24"/>
          <w:lang w:val="zh-CN"/>
        </w:rPr>
        <w:t>（四）技术服务内容</w:t>
      </w:r>
    </w:p>
    <w:p w14:paraId="0E967C6B">
      <w:pPr>
        <w:autoSpaceDE w:val="0"/>
        <w:autoSpaceDN w:val="0"/>
        <w:spacing w:line="360" w:lineRule="auto"/>
        <w:ind w:firstLine="480" w:firstLineChars="200"/>
        <w:jc w:val="left"/>
        <w:rPr>
          <w:rFonts w:ascii="仿宋_GB2312" w:hAnsi="仿宋" w:eastAsia="仿宋_GB2312" w:cs="仿宋_GB2312"/>
          <w:color w:val="auto"/>
          <w:sz w:val="24"/>
        </w:rPr>
      </w:pPr>
      <w:r>
        <w:rPr>
          <w:rFonts w:hint="eastAsia" w:ascii="仿宋_GB2312" w:hAnsi="仿宋" w:eastAsia="仿宋_GB2312" w:cs="仿宋_GB2312"/>
          <w:color w:val="auto"/>
          <w:sz w:val="24"/>
        </w:rPr>
        <w:t>（由投标人根据采购需求及招标文件要求编制）</w:t>
      </w:r>
    </w:p>
    <w:p w14:paraId="737EEC88">
      <w:pPr>
        <w:snapToGrid w:val="0"/>
        <w:spacing w:line="360" w:lineRule="auto"/>
        <w:ind w:firstLine="472" w:firstLineChars="196"/>
        <w:rPr>
          <w:rFonts w:ascii="仿宋_GB2312" w:hAnsi="仿宋" w:eastAsia="仿宋_GB2312" w:cs="仿宋_GB2312"/>
          <w:b/>
          <w:bCs/>
          <w:color w:val="auto"/>
          <w:kern w:val="0"/>
          <w:sz w:val="24"/>
          <w:lang w:val="zh-CN"/>
        </w:rPr>
      </w:pPr>
      <w:r>
        <w:rPr>
          <w:rFonts w:hint="eastAsia" w:ascii="仿宋_GB2312" w:hAnsi="仿宋" w:eastAsia="仿宋_GB2312" w:cs="仿宋_GB2312"/>
          <w:b/>
          <w:bCs/>
          <w:color w:val="auto"/>
          <w:kern w:val="0"/>
          <w:sz w:val="24"/>
          <w:lang w:val="zh-CN"/>
        </w:rPr>
        <w:t>（五）技术培训内容</w:t>
      </w:r>
    </w:p>
    <w:p w14:paraId="133AEF9C">
      <w:pPr>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（由投标人根据采购需求自行编制）</w:t>
      </w:r>
    </w:p>
    <w:p w14:paraId="141C6210">
      <w:pPr>
        <w:keepNext/>
        <w:autoSpaceDE w:val="0"/>
        <w:autoSpaceDN w:val="0"/>
        <w:spacing w:line="360" w:lineRule="auto"/>
        <w:ind w:firstLine="477"/>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附表: 培训日程及费用</w:t>
      </w:r>
    </w:p>
    <w:tbl>
      <w:tblPr>
        <w:tblStyle w:val="34"/>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4A0A6D08">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6316F1C3">
            <w:pPr>
              <w:tabs>
                <w:tab w:val="center" w:pos="1690"/>
              </w:tabs>
              <w:suppressAutoHyphens/>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769DE8BF">
            <w:pPr>
              <w:tabs>
                <w:tab w:val="center" w:pos="595"/>
              </w:tabs>
              <w:suppressAutoHyphens/>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5C6645FD">
            <w:pPr>
              <w:tabs>
                <w:tab w:val="center" w:pos="595"/>
              </w:tabs>
              <w:suppressAutoHyphens/>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76331547">
            <w:pPr>
              <w:tabs>
                <w:tab w:val="center" w:pos="1028"/>
              </w:tabs>
              <w:suppressAutoHyphens/>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1783EC3C">
            <w:pPr>
              <w:tabs>
                <w:tab w:val="center" w:pos="595"/>
              </w:tabs>
              <w:suppressAutoHyphens/>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3094904D">
            <w:pPr>
              <w:tabs>
                <w:tab w:val="center" w:pos="520"/>
              </w:tabs>
              <w:suppressAutoHyphens/>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0DFC701A">
            <w:pPr>
              <w:suppressAutoHyphens/>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课程费用</w:t>
            </w:r>
          </w:p>
        </w:tc>
      </w:tr>
      <w:tr w14:paraId="1281AFE6">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34ED2C3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color w:val="auto"/>
                <w:sz w:val="24"/>
              </w:rPr>
            </w:pPr>
          </w:p>
        </w:tc>
        <w:tc>
          <w:tcPr>
            <w:tcW w:w="1254" w:type="dxa"/>
            <w:tcBorders>
              <w:top w:val="single" w:color="auto" w:sz="6" w:space="0"/>
              <w:left w:val="single" w:color="auto" w:sz="6" w:space="0"/>
              <w:bottom w:val="nil"/>
              <w:right w:val="single" w:color="auto" w:sz="6" w:space="0"/>
            </w:tcBorders>
          </w:tcPr>
          <w:p w14:paraId="3F6FE07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color w:val="auto"/>
                <w:sz w:val="24"/>
              </w:rPr>
            </w:pPr>
          </w:p>
        </w:tc>
        <w:tc>
          <w:tcPr>
            <w:tcW w:w="930" w:type="dxa"/>
            <w:tcBorders>
              <w:top w:val="single" w:color="auto" w:sz="6" w:space="0"/>
              <w:left w:val="single" w:color="auto" w:sz="6" w:space="0"/>
              <w:bottom w:val="nil"/>
              <w:right w:val="nil"/>
            </w:tcBorders>
          </w:tcPr>
          <w:p w14:paraId="08D47A3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color w:val="auto"/>
                <w:sz w:val="24"/>
              </w:rPr>
            </w:pPr>
          </w:p>
        </w:tc>
        <w:tc>
          <w:tcPr>
            <w:tcW w:w="953" w:type="dxa"/>
            <w:tcBorders>
              <w:top w:val="single" w:color="auto" w:sz="6" w:space="0"/>
              <w:left w:val="single" w:color="auto" w:sz="6" w:space="0"/>
              <w:bottom w:val="nil"/>
              <w:right w:val="nil"/>
            </w:tcBorders>
          </w:tcPr>
          <w:p w14:paraId="1AFB97F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color w:val="auto"/>
                <w:sz w:val="24"/>
              </w:rPr>
            </w:pPr>
          </w:p>
        </w:tc>
        <w:tc>
          <w:tcPr>
            <w:tcW w:w="997" w:type="dxa"/>
            <w:tcBorders>
              <w:top w:val="single" w:color="auto" w:sz="6" w:space="0"/>
              <w:left w:val="single" w:color="auto" w:sz="6" w:space="0"/>
              <w:bottom w:val="nil"/>
              <w:right w:val="nil"/>
            </w:tcBorders>
          </w:tcPr>
          <w:p w14:paraId="42AFC98C">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color w:val="auto"/>
                <w:sz w:val="24"/>
              </w:rPr>
            </w:pPr>
          </w:p>
        </w:tc>
        <w:tc>
          <w:tcPr>
            <w:tcW w:w="1440" w:type="dxa"/>
            <w:tcBorders>
              <w:top w:val="single" w:color="auto" w:sz="6" w:space="0"/>
              <w:left w:val="single" w:color="auto" w:sz="6" w:space="0"/>
              <w:bottom w:val="nil"/>
              <w:right w:val="nil"/>
            </w:tcBorders>
          </w:tcPr>
          <w:p w14:paraId="1EFC2012">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color w:val="auto"/>
                <w:sz w:val="24"/>
              </w:rPr>
            </w:pPr>
          </w:p>
        </w:tc>
        <w:tc>
          <w:tcPr>
            <w:tcW w:w="1620" w:type="dxa"/>
            <w:tcBorders>
              <w:top w:val="single" w:color="auto" w:sz="6" w:space="0"/>
              <w:left w:val="single" w:color="auto" w:sz="6" w:space="0"/>
              <w:bottom w:val="nil"/>
              <w:right w:val="single" w:color="auto" w:sz="6" w:space="0"/>
            </w:tcBorders>
          </w:tcPr>
          <w:p w14:paraId="7CEE254D">
            <w:pPr>
              <w:suppressAutoHyphens/>
              <w:autoSpaceDE w:val="0"/>
              <w:autoSpaceDN w:val="0"/>
              <w:spacing w:line="360" w:lineRule="auto"/>
              <w:rPr>
                <w:rFonts w:ascii="仿宋_GB2312" w:hAnsi="仿宋" w:eastAsia="仿宋_GB2312" w:cs="仿宋_GB2312"/>
                <w:color w:val="auto"/>
                <w:sz w:val="24"/>
              </w:rPr>
            </w:pPr>
          </w:p>
        </w:tc>
      </w:tr>
      <w:tr w14:paraId="5431A4F8">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4B3AD62B">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color w:val="auto"/>
                <w:sz w:val="24"/>
              </w:rPr>
            </w:pPr>
          </w:p>
        </w:tc>
        <w:tc>
          <w:tcPr>
            <w:tcW w:w="1254" w:type="dxa"/>
            <w:tcBorders>
              <w:top w:val="single" w:color="auto" w:sz="6" w:space="0"/>
              <w:left w:val="single" w:color="auto" w:sz="6" w:space="0"/>
              <w:bottom w:val="nil"/>
              <w:right w:val="single" w:color="auto" w:sz="6" w:space="0"/>
            </w:tcBorders>
          </w:tcPr>
          <w:p w14:paraId="192FFA7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color w:val="auto"/>
                <w:sz w:val="24"/>
              </w:rPr>
            </w:pPr>
          </w:p>
        </w:tc>
        <w:tc>
          <w:tcPr>
            <w:tcW w:w="930" w:type="dxa"/>
            <w:tcBorders>
              <w:top w:val="single" w:color="auto" w:sz="6" w:space="0"/>
              <w:left w:val="single" w:color="auto" w:sz="6" w:space="0"/>
              <w:bottom w:val="nil"/>
              <w:right w:val="nil"/>
            </w:tcBorders>
          </w:tcPr>
          <w:p w14:paraId="48ED0A7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color w:val="auto"/>
                <w:sz w:val="24"/>
              </w:rPr>
            </w:pPr>
          </w:p>
        </w:tc>
        <w:tc>
          <w:tcPr>
            <w:tcW w:w="953" w:type="dxa"/>
            <w:tcBorders>
              <w:top w:val="single" w:color="auto" w:sz="6" w:space="0"/>
              <w:left w:val="single" w:color="auto" w:sz="6" w:space="0"/>
              <w:bottom w:val="nil"/>
              <w:right w:val="nil"/>
            </w:tcBorders>
          </w:tcPr>
          <w:p w14:paraId="4F12DE5D">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color w:val="auto"/>
                <w:sz w:val="24"/>
              </w:rPr>
            </w:pPr>
          </w:p>
        </w:tc>
        <w:tc>
          <w:tcPr>
            <w:tcW w:w="997" w:type="dxa"/>
            <w:tcBorders>
              <w:top w:val="single" w:color="auto" w:sz="6" w:space="0"/>
              <w:left w:val="single" w:color="auto" w:sz="6" w:space="0"/>
              <w:bottom w:val="nil"/>
              <w:right w:val="nil"/>
            </w:tcBorders>
          </w:tcPr>
          <w:p w14:paraId="630FAB5B">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color w:val="auto"/>
                <w:sz w:val="24"/>
              </w:rPr>
            </w:pPr>
          </w:p>
        </w:tc>
        <w:tc>
          <w:tcPr>
            <w:tcW w:w="1440" w:type="dxa"/>
            <w:tcBorders>
              <w:top w:val="single" w:color="auto" w:sz="6" w:space="0"/>
              <w:left w:val="single" w:color="auto" w:sz="6" w:space="0"/>
              <w:bottom w:val="nil"/>
              <w:right w:val="nil"/>
            </w:tcBorders>
          </w:tcPr>
          <w:p w14:paraId="3037A02A">
            <w:pPr>
              <w:tabs>
                <w:tab w:val="left" w:pos="7"/>
              </w:tabs>
              <w:suppressAutoHyphens/>
              <w:autoSpaceDE w:val="0"/>
              <w:autoSpaceDN w:val="0"/>
              <w:spacing w:line="360" w:lineRule="auto"/>
              <w:rPr>
                <w:rFonts w:ascii="仿宋_GB2312" w:hAnsi="仿宋" w:eastAsia="仿宋_GB2312" w:cs="仿宋_GB2312"/>
                <w:color w:val="auto"/>
                <w:sz w:val="24"/>
              </w:rPr>
            </w:pPr>
          </w:p>
        </w:tc>
        <w:tc>
          <w:tcPr>
            <w:tcW w:w="1620" w:type="dxa"/>
            <w:tcBorders>
              <w:top w:val="single" w:color="auto" w:sz="6" w:space="0"/>
              <w:left w:val="single" w:color="auto" w:sz="6" w:space="0"/>
              <w:bottom w:val="nil"/>
              <w:right w:val="single" w:color="auto" w:sz="6" w:space="0"/>
            </w:tcBorders>
          </w:tcPr>
          <w:p w14:paraId="1DAB9E8C">
            <w:pPr>
              <w:suppressAutoHyphens/>
              <w:autoSpaceDE w:val="0"/>
              <w:autoSpaceDN w:val="0"/>
              <w:spacing w:line="360" w:lineRule="auto"/>
              <w:rPr>
                <w:rFonts w:ascii="仿宋_GB2312" w:hAnsi="仿宋" w:eastAsia="仿宋_GB2312" w:cs="仿宋_GB2312"/>
                <w:color w:val="auto"/>
                <w:sz w:val="24"/>
              </w:rPr>
            </w:pPr>
          </w:p>
        </w:tc>
      </w:tr>
      <w:tr w14:paraId="2DF997BF">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227A79B4">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5AB09CA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color w:val="auto"/>
                <w:sz w:val="24"/>
              </w:rPr>
            </w:pPr>
          </w:p>
        </w:tc>
        <w:tc>
          <w:tcPr>
            <w:tcW w:w="930" w:type="dxa"/>
            <w:tcBorders>
              <w:top w:val="single" w:color="auto" w:sz="6" w:space="0"/>
              <w:left w:val="single" w:color="auto" w:sz="6" w:space="0"/>
              <w:bottom w:val="single" w:color="auto" w:sz="6" w:space="0"/>
              <w:right w:val="single" w:color="auto" w:sz="6" w:space="0"/>
            </w:tcBorders>
          </w:tcPr>
          <w:p w14:paraId="405B7FA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color w:val="auto"/>
                <w:sz w:val="24"/>
              </w:rPr>
            </w:pPr>
          </w:p>
        </w:tc>
        <w:tc>
          <w:tcPr>
            <w:tcW w:w="953" w:type="dxa"/>
            <w:tcBorders>
              <w:top w:val="single" w:color="auto" w:sz="6" w:space="0"/>
              <w:left w:val="single" w:color="auto" w:sz="6" w:space="0"/>
              <w:bottom w:val="single" w:color="auto" w:sz="6" w:space="0"/>
              <w:right w:val="single" w:color="auto" w:sz="6" w:space="0"/>
            </w:tcBorders>
          </w:tcPr>
          <w:p w14:paraId="606A8B3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color w:val="auto"/>
                <w:sz w:val="24"/>
              </w:rPr>
            </w:pPr>
          </w:p>
        </w:tc>
        <w:tc>
          <w:tcPr>
            <w:tcW w:w="997" w:type="dxa"/>
            <w:tcBorders>
              <w:top w:val="single" w:color="auto" w:sz="6" w:space="0"/>
              <w:left w:val="single" w:color="auto" w:sz="6" w:space="0"/>
              <w:bottom w:val="single" w:color="auto" w:sz="6" w:space="0"/>
              <w:right w:val="single" w:color="auto" w:sz="6" w:space="0"/>
            </w:tcBorders>
          </w:tcPr>
          <w:p w14:paraId="50F391B6">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color w:val="auto"/>
                <w:sz w:val="24"/>
              </w:rPr>
            </w:pPr>
          </w:p>
        </w:tc>
        <w:tc>
          <w:tcPr>
            <w:tcW w:w="1440" w:type="dxa"/>
            <w:tcBorders>
              <w:top w:val="single" w:color="auto" w:sz="6" w:space="0"/>
              <w:left w:val="single" w:color="auto" w:sz="6" w:space="0"/>
              <w:bottom w:val="single" w:color="auto" w:sz="6" w:space="0"/>
              <w:right w:val="single" w:color="auto" w:sz="6" w:space="0"/>
            </w:tcBorders>
          </w:tcPr>
          <w:p w14:paraId="18FEB9BC">
            <w:pPr>
              <w:tabs>
                <w:tab w:val="left" w:pos="7"/>
              </w:tabs>
              <w:suppressAutoHyphens/>
              <w:autoSpaceDE w:val="0"/>
              <w:autoSpaceDN w:val="0"/>
              <w:spacing w:line="360" w:lineRule="auto"/>
              <w:rPr>
                <w:rFonts w:ascii="仿宋_GB2312" w:hAnsi="仿宋" w:eastAsia="仿宋_GB2312" w:cs="仿宋_GB2312"/>
                <w:color w:val="auto"/>
                <w:sz w:val="24"/>
              </w:rPr>
            </w:pPr>
          </w:p>
        </w:tc>
        <w:tc>
          <w:tcPr>
            <w:tcW w:w="1620" w:type="dxa"/>
            <w:tcBorders>
              <w:top w:val="single" w:color="auto" w:sz="6" w:space="0"/>
              <w:left w:val="single" w:color="auto" w:sz="6" w:space="0"/>
              <w:bottom w:val="single" w:color="auto" w:sz="6" w:space="0"/>
              <w:right w:val="single" w:color="auto" w:sz="6" w:space="0"/>
            </w:tcBorders>
          </w:tcPr>
          <w:p w14:paraId="0A428CDB">
            <w:pPr>
              <w:suppressAutoHyphens/>
              <w:autoSpaceDE w:val="0"/>
              <w:autoSpaceDN w:val="0"/>
              <w:spacing w:line="360" w:lineRule="auto"/>
              <w:rPr>
                <w:rFonts w:ascii="仿宋_GB2312" w:hAnsi="仿宋" w:eastAsia="仿宋_GB2312" w:cs="仿宋_GB2312"/>
                <w:color w:val="auto"/>
                <w:sz w:val="24"/>
              </w:rPr>
            </w:pPr>
          </w:p>
        </w:tc>
      </w:tr>
    </w:tbl>
    <w:p w14:paraId="352436F2">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注解:A</w:t>
      </w:r>
      <w:r>
        <w:rPr>
          <w:rFonts w:hint="eastAsia" w:ascii="仿宋_GB2312" w:hAnsi="仿宋" w:eastAsia="仿宋_GB2312" w:cs="仿宋_GB2312"/>
          <w:color w:val="auto"/>
          <w:sz w:val="24"/>
        </w:rPr>
        <w:tab/>
      </w:r>
      <w:r>
        <w:rPr>
          <w:rFonts w:hint="eastAsia" w:ascii="仿宋_GB2312" w:hAnsi="仿宋" w:eastAsia="仿宋_GB2312" w:cs="仿宋_GB2312"/>
          <w:color w:val="auto"/>
          <w:sz w:val="24"/>
        </w:rPr>
        <w:t>课程清单按时间顺序排列，并提供以下详细资料：</w:t>
      </w:r>
    </w:p>
    <w:p w14:paraId="4B9EE357">
      <w:pPr>
        <w:numPr>
          <w:ilvl w:val="0"/>
          <w:numId w:val="2"/>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1140"/>
        </w:tabs>
        <w:suppressAutoHyphens/>
        <w:autoSpaceDE w:val="0"/>
        <w:autoSpaceDN w:val="0"/>
        <w:adjustRightInd w:val="0"/>
        <w:spacing w:line="360" w:lineRule="auto"/>
        <w:ind w:left="1069" w:hanging="420"/>
        <w:rPr>
          <w:rFonts w:ascii="仿宋_GB2312" w:hAnsi="仿宋" w:eastAsia="仿宋_GB2312" w:cs="仿宋_GB2312"/>
          <w:color w:val="auto"/>
          <w:sz w:val="24"/>
        </w:rPr>
      </w:pPr>
      <w:r>
        <w:rPr>
          <w:rFonts w:hint="eastAsia" w:ascii="仿宋_GB2312" w:hAnsi="仿宋" w:eastAsia="仿宋_GB2312" w:cs="仿宋_GB2312"/>
          <w:color w:val="auto"/>
          <w:sz w:val="24"/>
        </w:rPr>
        <w:t>课程概要</w:t>
      </w:r>
    </w:p>
    <w:p w14:paraId="1772FA30">
      <w:pPr>
        <w:numPr>
          <w:ilvl w:val="0"/>
          <w:numId w:val="2"/>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1140"/>
        </w:tabs>
        <w:suppressAutoHyphens/>
        <w:autoSpaceDE w:val="0"/>
        <w:autoSpaceDN w:val="0"/>
        <w:adjustRightInd w:val="0"/>
        <w:spacing w:line="360" w:lineRule="auto"/>
        <w:ind w:left="1069" w:hanging="420"/>
        <w:rPr>
          <w:rFonts w:ascii="仿宋_GB2312" w:hAnsi="仿宋" w:eastAsia="仿宋_GB2312" w:cs="仿宋_GB2312"/>
          <w:color w:val="auto"/>
          <w:sz w:val="24"/>
        </w:rPr>
      </w:pPr>
      <w:r>
        <w:rPr>
          <w:rFonts w:hint="eastAsia" w:ascii="仿宋_GB2312" w:hAnsi="仿宋" w:eastAsia="仿宋_GB2312" w:cs="仿宋_GB2312"/>
          <w:color w:val="auto"/>
          <w:sz w:val="24"/>
        </w:rPr>
        <w:t>课程目的</w:t>
      </w:r>
    </w:p>
    <w:p w14:paraId="009A4AD2">
      <w:pPr>
        <w:numPr>
          <w:ilvl w:val="0"/>
          <w:numId w:val="2"/>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1140"/>
        </w:tabs>
        <w:suppressAutoHyphens/>
        <w:autoSpaceDE w:val="0"/>
        <w:autoSpaceDN w:val="0"/>
        <w:adjustRightInd w:val="0"/>
        <w:spacing w:line="360" w:lineRule="auto"/>
        <w:ind w:left="1069" w:hanging="420"/>
        <w:rPr>
          <w:rFonts w:ascii="仿宋_GB2312" w:hAnsi="仿宋" w:eastAsia="仿宋_GB2312" w:cs="仿宋_GB2312"/>
          <w:color w:val="auto"/>
          <w:sz w:val="24"/>
        </w:rPr>
      </w:pPr>
      <w:r>
        <w:rPr>
          <w:rFonts w:hint="eastAsia" w:ascii="仿宋_GB2312" w:hAnsi="仿宋" w:eastAsia="仿宋_GB2312" w:cs="仿宋_GB2312"/>
          <w:color w:val="auto"/>
          <w:sz w:val="24"/>
        </w:rPr>
        <w:t>教学方式</w:t>
      </w:r>
    </w:p>
    <w:p w14:paraId="09AC3AA4">
      <w:pPr>
        <w:numPr>
          <w:ilvl w:val="0"/>
          <w:numId w:val="2"/>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1140"/>
        </w:tabs>
        <w:suppressAutoHyphens/>
        <w:autoSpaceDE w:val="0"/>
        <w:autoSpaceDN w:val="0"/>
        <w:adjustRightInd w:val="0"/>
        <w:spacing w:line="360" w:lineRule="auto"/>
        <w:ind w:left="1069" w:hanging="420"/>
        <w:rPr>
          <w:rFonts w:ascii="仿宋_GB2312" w:hAnsi="仿宋" w:eastAsia="仿宋_GB2312" w:cs="仿宋_GB2312"/>
          <w:color w:val="auto"/>
          <w:sz w:val="24"/>
        </w:rPr>
      </w:pPr>
      <w:r>
        <w:rPr>
          <w:rFonts w:hint="eastAsia" w:ascii="仿宋_GB2312" w:hAnsi="仿宋" w:eastAsia="仿宋_GB2312" w:cs="仿宋_GB2312"/>
          <w:color w:val="auto"/>
          <w:sz w:val="24"/>
        </w:rPr>
        <w:t>先决条件</w:t>
      </w:r>
    </w:p>
    <w:p w14:paraId="3E02F5AE">
      <w:pPr>
        <w:numPr>
          <w:ilvl w:val="0"/>
          <w:numId w:val="2"/>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1140"/>
        </w:tabs>
        <w:suppressAutoHyphens/>
        <w:autoSpaceDE w:val="0"/>
        <w:autoSpaceDN w:val="0"/>
        <w:adjustRightInd w:val="0"/>
        <w:spacing w:line="360" w:lineRule="auto"/>
        <w:ind w:left="1069" w:hanging="420"/>
        <w:rPr>
          <w:rFonts w:ascii="仿宋_GB2312" w:hAnsi="仿宋" w:eastAsia="仿宋_GB2312" w:cs="仿宋_GB2312"/>
          <w:color w:val="auto"/>
          <w:sz w:val="24"/>
        </w:rPr>
      </w:pPr>
      <w:r>
        <w:rPr>
          <w:rFonts w:hint="eastAsia" w:ascii="仿宋_GB2312" w:hAnsi="仿宋" w:eastAsia="仿宋_GB2312" w:cs="仿宋_GB2312"/>
          <w:color w:val="auto"/>
          <w:sz w:val="24"/>
        </w:rPr>
        <w:t>教材目录</w:t>
      </w:r>
    </w:p>
    <w:p w14:paraId="646B607E">
      <w:pPr>
        <w:autoSpaceDE w:val="0"/>
        <w:autoSpaceDN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B  按照附表A提供授课教师的简历</w:t>
      </w:r>
    </w:p>
    <w:p w14:paraId="5C0E7E01">
      <w:pPr>
        <w:autoSpaceDE w:val="0"/>
        <w:autoSpaceDN w:val="0"/>
        <w:spacing w:line="360" w:lineRule="auto"/>
        <w:rPr>
          <w:rFonts w:ascii="仿宋_GB2312" w:hAnsi="仿宋" w:eastAsia="仿宋_GB2312" w:cs="仿宋_GB2312"/>
          <w:b/>
          <w:color w:val="auto"/>
          <w:sz w:val="24"/>
        </w:rPr>
      </w:pPr>
      <w:r>
        <w:rPr>
          <w:rFonts w:hint="eastAsia" w:ascii="仿宋_GB2312" w:hAnsi="仿宋" w:eastAsia="仿宋_GB2312" w:cs="仿宋_GB2312"/>
          <w:b/>
          <w:color w:val="auto"/>
          <w:sz w:val="24"/>
        </w:rPr>
        <w:t>注：须随表提交相应的证书复印件并注明所在投标技术文件页码。</w:t>
      </w:r>
    </w:p>
    <w:p w14:paraId="2294AD52">
      <w:pPr>
        <w:snapToGrid w:val="0"/>
        <w:spacing w:line="360" w:lineRule="auto"/>
        <w:ind w:firstLine="5662"/>
        <w:rPr>
          <w:rFonts w:ascii="仿宋_GB2312" w:hAnsi="仿宋" w:eastAsia="仿宋_GB2312" w:cs="仿宋_GB2312"/>
          <w:b/>
          <w:bCs/>
          <w:color w:val="auto"/>
          <w:kern w:val="0"/>
          <w:sz w:val="24"/>
        </w:rPr>
      </w:pPr>
    </w:p>
    <w:p w14:paraId="6BCBA10C">
      <w:pPr>
        <w:snapToGrid w:val="0"/>
        <w:spacing w:line="360" w:lineRule="auto"/>
        <w:ind w:firstLine="4935" w:firstLineChars="2350"/>
        <w:rPr>
          <w:rFonts w:hAnsi="宋体"/>
          <w:color w:val="auto"/>
          <w:szCs w:val="21"/>
        </w:rPr>
      </w:pPr>
    </w:p>
    <w:p w14:paraId="66808FB6">
      <w:pPr>
        <w:snapToGrid w:val="0"/>
        <w:spacing w:line="360" w:lineRule="auto"/>
        <w:ind w:firstLine="472" w:firstLineChars="196"/>
        <w:rPr>
          <w:rFonts w:ascii="仿宋_GB2312" w:hAnsi="仿宋" w:eastAsia="仿宋_GB2312" w:cs="仿宋_GB2312"/>
          <w:b/>
          <w:bCs/>
          <w:color w:val="auto"/>
          <w:kern w:val="0"/>
          <w:sz w:val="24"/>
          <w:lang w:val="zh-CN"/>
        </w:rPr>
      </w:pPr>
      <w:r>
        <w:rPr>
          <w:rFonts w:hint="eastAsia" w:ascii="仿宋_GB2312" w:hAnsi="仿宋" w:eastAsia="仿宋_GB2312" w:cs="仿宋_GB2312"/>
          <w:b/>
          <w:bCs/>
          <w:color w:val="auto"/>
          <w:kern w:val="0"/>
          <w:sz w:val="24"/>
          <w:lang w:val="zh-CN"/>
        </w:rPr>
        <w:t>（六）售后货物方案</w:t>
      </w:r>
    </w:p>
    <w:p w14:paraId="7D4798A3">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（由投标人根据采购需求及招标文件要求编制）</w:t>
      </w:r>
    </w:p>
    <w:p w14:paraId="667E8674">
      <w:pPr>
        <w:snapToGrid w:val="0"/>
        <w:spacing w:before="165" w:beforeLines="50" w:after="50"/>
        <w:ind w:left="142"/>
        <w:jc w:val="center"/>
        <w:rPr>
          <w:rFonts w:ascii="宋体" w:hAnsi="宋体"/>
          <w:b/>
          <w:color w:val="auto"/>
          <w:sz w:val="32"/>
          <w:szCs w:val="32"/>
        </w:rPr>
      </w:pPr>
      <w:r>
        <w:rPr>
          <w:rFonts w:hint="eastAsia" w:ascii="宋体" w:hAnsi="宋体"/>
          <w:b/>
          <w:color w:val="auto"/>
          <w:sz w:val="32"/>
          <w:szCs w:val="32"/>
        </w:rPr>
        <w:t>1、售后货物承诺</w:t>
      </w:r>
    </w:p>
    <w:p w14:paraId="07E97259">
      <w:pPr>
        <w:autoSpaceDE w:val="0"/>
        <w:autoSpaceDN w:val="0"/>
        <w:spacing w:line="360" w:lineRule="auto"/>
        <w:rPr>
          <w:rFonts w:ascii="仿宋_GB2312" w:hAnsi="仿宋" w:eastAsia="仿宋_GB2312" w:cs="仿宋_GB2312"/>
          <w:b/>
          <w:color w:val="auto"/>
          <w:sz w:val="24"/>
        </w:rPr>
      </w:pPr>
      <w:r>
        <w:rPr>
          <w:rFonts w:hint="eastAsia" w:ascii="仿宋_GB2312" w:hAnsi="仿宋" w:eastAsia="仿宋_GB2312" w:cs="仿宋_GB2312"/>
          <w:b/>
          <w:color w:val="auto"/>
          <w:sz w:val="24"/>
        </w:rPr>
        <w:t>附表A:售后货物机构情况表</w:t>
      </w:r>
      <w:r>
        <w:rPr>
          <w:rFonts w:hint="eastAsia" w:ascii="仿宋_GB2312" w:hAnsi="仿宋" w:eastAsia="仿宋_GB2312" w:cs="仿宋_GB2312"/>
          <w:color w:val="auto"/>
          <w:sz w:val="24"/>
        </w:rPr>
        <w:t>（按此格式自制）</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6D76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DD068B4">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序号</w:t>
            </w:r>
          </w:p>
        </w:tc>
        <w:tc>
          <w:tcPr>
            <w:tcW w:w="2340" w:type="dxa"/>
          </w:tcPr>
          <w:p w14:paraId="1B4D27E6">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机构名称</w:t>
            </w:r>
          </w:p>
        </w:tc>
        <w:tc>
          <w:tcPr>
            <w:tcW w:w="1095" w:type="dxa"/>
          </w:tcPr>
          <w:p w14:paraId="0C989FEC">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机构性质</w:t>
            </w:r>
          </w:p>
        </w:tc>
        <w:tc>
          <w:tcPr>
            <w:tcW w:w="1245" w:type="dxa"/>
          </w:tcPr>
          <w:p w14:paraId="6DFEB5C8">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注册地址</w:t>
            </w:r>
          </w:p>
        </w:tc>
        <w:tc>
          <w:tcPr>
            <w:tcW w:w="1980" w:type="dxa"/>
          </w:tcPr>
          <w:p w14:paraId="064D7F0B">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货物技术人员数量</w:t>
            </w:r>
          </w:p>
        </w:tc>
        <w:tc>
          <w:tcPr>
            <w:tcW w:w="1260" w:type="dxa"/>
          </w:tcPr>
          <w:p w14:paraId="5E13D338">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联系电话</w:t>
            </w:r>
          </w:p>
        </w:tc>
      </w:tr>
      <w:tr w14:paraId="46EE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EE58B34">
            <w:pPr>
              <w:autoSpaceDE w:val="0"/>
              <w:autoSpaceDN w:val="0"/>
              <w:spacing w:line="360" w:lineRule="auto"/>
              <w:jc w:val="center"/>
              <w:rPr>
                <w:rFonts w:ascii="仿宋_GB2312" w:hAnsi="仿宋" w:eastAsia="仿宋_GB2312" w:cs="仿宋_GB2312"/>
                <w:color w:val="auto"/>
                <w:sz w:val="24"/>
              </w:rPr>
            </w:pPr>
          </w:p>
        </w:tc>
        <w:tc>
          <w:tcPr>
            <w:tcW w:w="2340" w:type="dxa"/>
          </w:tcPr>
          <w:p w14:paraId="6186A72B">
            <w:pPr>
              <w:autoSpaceDE w:val="0"/>
              <w:autoSpaceDN w:val="0"/>
              <w:spacing w:line="360" w:lineRule="auto"/>
              <w:jc w:val="center"/>
              <w:rPr>
                <w:rFonts w:ascii="仿宋_GB2312" w:hAnsi="仿宋" w:eastAsia="仿宋_GB2312" w:cs="仿宋_GB2312"/>
                <w:color w:val="auto"/>
                <w:sz w:val="24"/>
              </w:rPr>
            </w:pPr>
          </w:p>
        </w:tc>
        <w:tc>
          <w:tcPr>
            <w:tcW w:w="1095" w:type="dxa"/>
          </w:tcPr>
          <w:p w14:paraId="30C84D66">
            <w:pPr>
              <w:autoSpaceDE w:val="0"/>
              <w:autoSpaceDN w:val="0"/>
              <w:spacing w:line="360" w:lineRule="auto"/>
              <w:jc w:val="center"/>
              <w:rPr>
                <w:rFonts w:ascii="仿宋_GB2312" w:hAnsi="仿宋" w:eastAsia="仿宋_GB2312" w:cs="仿宋_GB2312"/>
                <w:color w:val="auto"/>
                <w:sz w:val="24"/>
              </w:rPr>
            </w:pPr>
          </w:p>
        </w:tc>
        <w:tc>
          <w:tcPr>
            <w:tcW w:w="1245" w:type="dxa"/>
          </w:tcPr>
          <w:p w14:paraId="547E2957">
            <w:pPr>
              <w:autoSpaceDE w:val="0"/>
              <w:autoSpaceDN w:val="0"/>
              <w:spacing w:line="360" w:lineRule="auto"/>
              <w:jc w:val="center"/>
              <w:rPr>
                <w:rFonts w:ascii="仿宋_GB2312" w:hAnsi="仿宋" w:eastAsia="仿宋_GB2312" w:cs="仿宋_GB2312"/>
                <w:color w:val="auto"/>
                <w:sz w:val="24"/>
              </w:rPr>
            </w:pPr>
          </w:p>
        </w:tc>
        <w:tc>
          <w:tcPr>
            <w:tcW w:w="1980" w:type="dxa"/>
          </w:tcPr>
          <w:p w14:paraId="41284CF8">
            <w:pPr>
              <w:autoSpaceDE w:val="0"/>
              <w:autoSpaceDN w:val="0"/>
              <w:spacing w:line="360" w:lineRule="auto"/>
              <w:jc w:val="center"/>
              <w:rPr>
                <w:rFonts w:ascii="仿宋_GB2312" w:hAnsi="仿宋" w:eastAsia="仿宋_GB2312" w:cs="仿宋_GB2312"/>
                <w:color w:val="auto"/>
                <w:sz w:val="24"/>
              </w:rPr>
            </w:pPr>
          </w:p>
        </w:tc>
        <w:tc>
          <w:tcPr>
            <w:tcW w:w="1260" w:type="dxa"/>
          </w:tcPr>
          <w:p w14:paraId="370A6698">
            <w:pPr>
              <w:autoSpaceDE w:val="0"/>
              <w:autoSpaceDN w:val="0"/>
              <w:spacing w:line="360" w:lineRule="auto"/>
              <w:jc w:val="center"/>
              <w:rPr>
                <w:rFonts w:ascii="仿宋_GB2312" w:hAnsi="仿宋" w:eastAsia="仿宋_GB2312" w:cs="仿宋_GB2312"/>
                <w:color w:val="auto"/>
                <w:sz w:val="24"/>
              </w:rPr>
            </w:pPr>
          </w:p>
        </w:tc>
      </w:tr>
      <w:tr w14:paraId="69393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8728FEE">
            <w:pPr>
              <w:autoSpaceDE w:val="0"/>
              <w:autoSpaceDN w:val="0"/>
              <w:spacing w:line="360" w:lineRule="auto"/>
              <w:jc w:val="center"/>
              <w:rPr>
                <w:rFonts w:ascii="仿宋_GB2312" w:hAnsi="仿宋" w:eastAsia="仿宋_GB2312" w:cs="仿宋_GB2312"/>
                <w:color w:val="auto"/>
                <w:sz w:val="24"/>
              </w:rPr>
            </w:pPr>
          </w:p>
        </w:tc>
        <w:tc>
          <w:tcPr>
            <w:tcW w:w="2340" w:type="dxa"/>
          </w:tcPr>
          <w:p w14:paraId="6A8091AE">
            <w:pPr>
              <w:autoSpaceDE w:val="0"/>
              <w:autoSpaceDN w:val="0"/>
              <w:spacing w:line="360" w:lineRule="auto"/>
              <w:jc w:val="center"/>
              <w:rPr>
                <w:rFonts w:ascii="仿宋_GB2312" w:hAnsi="仿宋" w:eastAsia="仿宋_GB2312" w:cs="仿宋_GB2312"/>
                <w:color w:val="auto"/>
                <w:sz w:val="24"/>
              </w:rPr>
            </w:pPr>
          </w:p>
        </w:tc>
        <w:tc>
          <w:tcPr>
            <w:tcW w:w="1095" w:type="dxa"/>
          </w:tcPr>
          <w:p w14:paraId="23F39D79">
            <w:pPr>
              <w:autoSpaceDE w:val="0"/>
              <w:autoSpaceDN w:val="0"/>
              <w:spacing w:line="360" w:lineRule="auto"/>
              <w:jc w:val="center"/>
              <w:rPr>
                <w:rFonts w:ascii="仿宋_GB2312" w:hAnsi="仿宋" w:eastAsia="仿宋_GB2312" w:cs="仿宋_GB2312"/>
                <w:color w:val="auto"/>
                <w:sz w:val="24"/>
              </w:rPr>
            </w:pPr>
          </w:p>
        </w:tc>
        <w:tc>
          <w:tcPr>
            <w:tcW w:w="1245" w:type="dxa"/>
          </w:tcPr>
          <w:p w14:paraId="2A1D39A7">
            <w:pPr>
              <w:autoSpaceDE w:val="0"/>
              <w:autoSpaceDN w:val="0"/>
              <w:spacing w:line="360" w:lineRule="auto"/>
              <w:jc w:val="center"/>
              <w:rPr>
                <w:rFonts w:ascii="仿宋_GB2312" w:hAnsi="仿宋" w:eastAsia="仿宋_GB2312" w:cs="仿宋_GB2312"/>
                <w:color w:val="auto"/>
                <w:sz w:val="24"/>
              </w:rPr>
            </w:pPr>
          </w:p>
        </w:tc>
        <w:tc>
          <w:tcPr>
            <w:tcW w:w="1980" w:type="dxa"/>
          </w:tcPr>
          <w:p w14:paraId="44DEB58F">
            <w:pPr>
              <w:autoSpaceDE w:val="0"/>
              <w:autoSpaceDN w:val="0"/>
              <w:spacing w:line="360" w:lineRule="auto"/>
              <w:jc w:val="center"/>
              <w:rPr>
                <w:rFonts w:ascii="仿宋_GB2312" w:hAnsi="仿宋" w:eastAsia="仿宋_GB2312" w:cs="仿宋_GB2312"/>
                <w:color w:val="auto"/>
                <w:sz w:val="24"/>
              </w:rPr>
            </w:pPr>
          </w:p>
        </w:tc>
        <w:tc>
          <w:tcPr>
            <w:tcW w:w="1260" w:type="dxa"/>
          </w:tcPr>
          <w:p w14:paraId="5388BFA8">
            <w:pPr>
              <w:autoSpaceDE w:val="0"/>
              <w:autoSpaceDN w:val="0"/>
              <w:spacing w:line="360" w:lineRule="auto"/>
              <w:jc w:val="center"/>
              <w:rPr>
                <w:rFonts w:ascii="仿宋_GB2312" w:hAnsi="仿宋" w:eastAsia="仿宋_GB2312" w:cs="仿宋_GB2312"/>
                <w:color w:val="auto"/>
                <w:sz w:val="24"/>
              </w:rPr>
            </w:pPr>
          </w:p>
        </w:tc>
      </w:tr>
      <w:tr w14:paraId="586A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F8754EC">
            <w:pPr>
              <w:autoSpaceDE w:val="0"/>
              <w:autoSpaceDN w:val="0"/>
              <w:spacing w:line="360" w:lineRule="auto"/>
              <w:jc w:val="center"/>
              <w:rPr>
                <w:rFonts w:ascii="仿宋_GB2312" w:hAnsi="仿宋" w:eastAsia="仿宋_GB2312" w:cs="仿宋_GB2312"/>
                <w:color w:val="auto"/>
                <w:sz w:val="24"/>
              </w:rPr>
            </w:pPr>
          </w:p>
        </w:tc>
        <w:tc>
          <w:tcPr>
            <w:tcW w:w="2340" w:type="dxa"/>
          </w:tcPr>
          <w:p w14:paraId="66E98B27">
            <w:pPr>
              <w:autoSpaceDE w:val="0"/>
              <w:autoSpaceDN w:val="0"/>
              <w:spacing w:line="360" w:lineRule="auto"/>
              <w:jc w:val="center"/>
              <w:rPr>
                <w:rFonts w:ascii="仿宋_GB2312" w:hAnsi="仿宋" w:eastAsia="仿宋_GB2312" w:cs="仿宋_GB2312"/>
                <w:color w:val="auto"/>
                <w:sz w:val="24"/>
              </w:rPr>
            </w:pPr>
          </w:p>
        </w:tc>
        <w:tc>
          <w:tcPr>
            <w:tcW w:w="1095" w:type="dxa"/>
          </w:tcPr>
          <w:p w14:paraId="12C1468B">
            <w:pPr>
              <w:autoSpaceDE w:val="0"/>
              <w:autoSpaceDN w:val="0"/>
              <w:spacing w:line="360" w:lineRule="auto"/>
              <w:jc w:val="center"/>
              <w:rPr>
                <w:rFonts w:ascii="仿宋_GB2312" w:hAnsi="仿宋" w:eastAsia="仿宋_GB2312" w:cs="仿宋_GB2312"/>
                <w:color w:val="auto"/>
                <w:sz w:val="24"/>
              </w:rPr>
            </w:pPr>
          </w:p>
        </w:tc>
        <w:tc>
          <w:tcPr>
            <w:tcW w:w="1245" w:type="dxa"/>
          </w:tcPr>
          <w:p w14:paraId="3164658C">
            <w:pPr>
              <w:autoSpaceDE w:val="0"/>
              <w:autoSpaceDN w:val="0"/>
              <w:spacing w:line="360" w:lineRule="auto"/>
              <w:jc w:val="center"/>
              <w:rPr>
                <w:rFonts w:ascii="仿宋_GB2312" w:hAnsi="仿宋" w:eastAsia="仿宋_GB2312" w:cs="仿宋_GB2312"/>
                <w:color w:val="auto"/>
                <w:sz w:val="24"/>
              </w:rPr>
            </w:pPr>
          </w:p>
        </w:tc>
        <w:tc>
          <w:tcPr>
            <w:tcW w:w="1980" w:type="dxa"/>
          </w:tcPr>
          <w:p w14:paraId="5C9D30C3">
            <w:pPr>
              <w:autoSpaceDE w:val="0"/>
              <w:autoSpaceDN w:val="0"/>
              <w:spacing w:line="360" w:lineRule="auto"/>
              <w:jc w:val="center"/>
              <w:rPr>
                <w:rFonts w:ascii="仿宋_GB2312" w:hAnsi="仿宋" w:eastAsia="仿宋_GB2312" w:cs="仿宋_GB2312"/>
                <w:color w:val="auto"/>
                <w:sz w:val="24"/>
              </w:rPr>
            </w:pPr>
          </w:p>
        </w:tc>
        <w:tc>
          <w:tcPr>
            <w:tcW w:w="1260" w:type="dxa"/>
          </w:tcPr>
          <w:p w14:paraId="7EC3312B">
            <w:pPr>
              <w:autoSpaceDE w:val="0"/>
              <w:autoSpaceDN w:val="0"/>
              <w:spacing w:line="360" w:lineRule="auto"/>
              <w:jc w:val="center"/>
              <w:rPr>
                <w:rFonts w:ascii="仿宋_GB2312" w:hAnsi="仿宋" w:eastAsia="仿宋_GB2312" w:cs="仿宋_GB2312"/>
                <w:color w:val="auto"/>
                <w:sz w:val="24"/>
              </w:rPr>
            </w:pPr>
          </w:p>
        </w:tc>
      </w:tr>
    </w:tbl>
    <w:p w14:paraId="091C8020">
      <w:pPr>
        <w:autoSpaceDE w:val="0"/>
        <w:autoSpaceDN w:val="0"/>
        <w:spacing w:line="360" w:lineRule="auto"/>
        <w:rPr>
          <w:rFonts w:ascii="仿宋_GB2312" w:hAnsi="仿宋" w:eastAsia="仿宋_GB2312" w:cs="仿宋_GB2312"/>
          <w:b/>
          <w:color w:val="auto"/>
          <w:sz w:val="24"/>
        </w:rPr>
      </w:pPr>
      <w:r>
        <w:rPr>
          <w:rFonts w:hint="eastAsia" w:ascii="仿宋_GB2312" w:hAnsi="仿宋" w:eastAsia="仿宋_GB2312" w:cs="仿宋_GB2312"/>
          <w:b/>
          <w:color w:val="auto"/>
          <w:sz w:val="24"/>
        </w:rPr>
        <w:t>注：关于项目涉及的所有售后货物机构均在本表注明，包括投标人本单位和符合条件的第三方货物机构；</w:t>
      </w:r>
    </w:p>
    <w:p w14:paraId="6DD056D1">
      <w:pPr>
        <w:autoSpaceDE w:val="0"/>
        <w:autoSpaceDN w:val="0"/>
        <w:spacing w:line="360" w:lineRule="auto"/>
        <w:rPr>
          <w:rFonts w:ascii="仿宋_GB2312" w:hAnsi="仿宋" w:eastAsia="仿宋_GB2312" w:cs="仿宋_GB2312"/>
          <w:color w:val="auto"/>
          <w:kern w:val="0"/>
          <w:sz w:val="24"/>
        </w:rPr>
      </w:pPr>
    </w:p>
    <w:p w14:paraId="09972E8C">
      <w:pPr>
        <w:autoSpaceDE w:val="0"/>
        <w:autoSpaceDN w:val="0"/>
        <w:spacing w:line="360" w:lineRule="auto"/>
        <w:rPr>
          <w:rFonts w:ascii="仿宋_GB2312" w:hAnsi="仿宋" w:eastAsia="仿宋_GB2312" w:cs="仿宋_GB2312"/>
          <w:color w:val="auto"/>
          <w:kern w:val="0"/>
          <w:sz w:val="24"/>
        </w:rPr>
      </w:pPr>
      <w:r>
        <w:rPr>
          <w:rFonts w:hint="eastAsia" w:ascii="仿宋_GB2312" w:hAnsi="仿宋" w:eastAsia="仿宋_GB2312" w:cs="仿宋_GB2312"/>
          <w:b/>
          <w:color w:val="auto"/>
          <w:kern w:val="0"/>
          <w:sz w:val="24"/>
        </w:rPr>
        <w:t>附表B：售后货物人员情况表</w:t>
      </w:r>
      <w:r>
        <w:rPr>
          <w:rFonts w:hint="eastAsia" w:ascii="仿宋_GB2312" w:hAnsi="仿宋" w:eastAsia="仿宋_GB2312" w:cs="仿宋_GB2312"/>
          <w:color w:val="auto"/>
          <w:sz w:val="24"/>
        </w:rPr>
        <w:t>（按此格式自制）</w:t>
      </w:r>
    </w:p>
    <w:tbl>
      <w:tblPr>
        <w:tblStyle w:val="34"/>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3032EDD1">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36990727">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序号</w:t>
            </w:r>
          </w:p>
          <w:p w14:paraId="437CADF0">
            <w:pPr>
              <w:autoSpaceDE w:val="0"/>
              <w:autoSpaceDN w:val="0"/>
              <w:spacing w:line="360" w:lineRule="auto"/>
              <w:jc w:val="center"/>
              <w:rPr>
                <w:rFonts w:ascii="仿宋_GB2312" w:hAnsi="仿宋" w:eastAsia="仿宋_GB2312" w:cs="仿宋_GB2312"/>
                <w:color w:val="auto"/>
                <w:sz w:val="24"/>
              </w:rPr>
            </w:pPr>
          </w:p>
        </w:tc>
        <w:tc>
          <w:tcPr>
            <w:tcW w:w="746" w:type="dxa"/>
            <w:tcBorders>
              <w:top w:val="single" w:color="auto" w:sz="6" w:space="0"/>
              <w:left w:val="single" w:color="auto" w:sz="4" w:space="0"/>
              <w:bottom w:val="single" w:color="auto" w:sz="6" w:space="0"/>
              <w:right w:val="single" w:color="auto" w:sz="6" w:space="0"/>
            </w:tcBorders>
            <w:vAlign w:val="center"/>
          </w:tcPr>
          <w:p w14:paraId="39BCC3AD">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7C42F02A">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7F2EB9A">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3616491C">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23309A82">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33231723">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3B77F7F1">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2B19CCBA">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2345466">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452F8A6A">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到达现场时间</w:t>
            </w:r>
          </w:p>
        </w:tc>
      </w:tr>
      <w:tr w14:paraId="7F0B1A49">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51828936">
            <w:pPr>
              <w:autoSpaceDE w:val="0"/>
              <w:autoSpaceDN w:val="0"/>
              <w:spacing w:line="360" w:lineRule="auto"/>
              <w:jc w:val="center"/>
              <w:rPr>
                <w:rFonts w:ascii="仿宋_GB2312" w:hAnsi="仿宋" w:eastAsia="仿宋_GB2312" w:cs="仿宋_GB2312"/>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752A6856">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总协调人</w:t>
            </w:r>
          </w:p>
        </w:tc>
        <w:tc>
          <w:tcPr>
            <w:tcW w:w="787" w:type="dxa"/>
            <w:tcBorders>
              <w:top w:val="single" w:color="auto" w:sz="6" w:space="0"/>
              <w:left w:val="single" w:color="auto" w:sz="6" w:space="0"/>
              <w:bottom w:val="single" w:color="auto" w:sz="6" w:space="0"/>
              <w:right w:val="single" w:color="auto" w:sz="6" w:space="0"/>
            </w:tcBorders>
          </w:tcPr>
          <w:p w14:paraId="304BCCCA">
            <w:pPr>
              <w:autoSpaceDE w:val="0"/>
              <w:autoSpaceDN w:val="0"/>
              <w:spacing w:line="360" w:lineRule="auto"/>
              <w:rPr>
                <w:rFonts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04F092EF">
            <w:pPr>
              <w:autoSpaceDE w:val="0"/>
              <w:autoSpaceDN w:val="0"/>
              <w:spacing w:line="360" w:lineRule="auto"/>
              <w:rPr>
                <w:rFonts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1823EB69">
            <w:pPr>
              <w:autoSpaceDE w:val="0"/>
              <w:autoSpaceDN w:val="0"/>
              <w:spacing w:line="360" w:lineRule="auto"/>
              <w:rPr>
                <w:rFonts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DB5B177">
            <w:pPr>
              <w:autoSpaceDE w:val="0"/>
              <w:autoSpaceDN w:val="0"/>
              <w:spacing w:line="360" w:lineRule="auto"/>
              <w:rPr>
                <w:rFonts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C584A92">
            <w:pPr>
              <w:autoSpaceDE w:val="0"/>
              <w:autoSpaceDN w:val="0"/>
              <w:spacing w:line="360" w:lineRule="auto"/>
              <w:rPr>
                <w:rFonts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8D7FC69">
            <w:pPr>
              <w:autoSpaceDE w:val="0"/>
              <w:autoSpaceDN w:val="0"/>
              <w:spacing w:line="360" w:lineRule="auto"/>
              <w:rPr>
                <w:rFonts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01255605">
            <w:pPr>
              <w:autoSpaceDE w:val="0"/>
              <w:autoSpaceDN w:val="0"/>
              <w:spacing w:line="360" w:lineRule="auto"/>
              <w:rPr>
                <w:rFonts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61F02C7E">
            <w:pPr>
              <w:autoSpaceDE w:val="0"/>
              <w:autoSpaceDN w:val="0"/>
              <w:spacing w:line="360" w:lineRule="auto"/>
              <w:rPr>
                <w:rFonts w:ascii="仿宋_GB2312" w:hAnsi="仿宋" w:eastAsia="仿宋_GB2312" w:cs="仿宋_GB2312"/>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7DCC97F4">
            <w:pPr>
              <w:autoSpaceDE w:val="0"/>
              <w:autoSpaceDN w:val="0"/>
              <w:spacing w:line="360" w:lineRule="auto"/>
              <w:rPr>
                <w:rFonts w:ascii="仿宋_GB2312" w:hAnsi="仿宋" w:eastAsia="仿宋_GB2312" w:cs="仿宋_GB2312"/>
                <w:color w:val="auto"/>
                <w:sz w:val="24"/>
              </w:rPr>
            </w:pPr>
          </w:p>
        </w:tc>
      </w:tr>
      <w:tr w14:paraId="4973A9D9">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05B7969">
            <w:pPr>
              <w:autoSpaceDE w:val="0"/>
              <w:autoSpaceDN w:val="0"/>
              <w:spacing w:line="360" w:lineRule="auto"/>
              <w:jc w:val="center"/>
              <w:rPr>
                <w:rFonts w:ascii="仿宋_GB2312" w:hAnsi="仿宋" w:eastAsia="仿宋_GB2312" w:cs="仿宋_GB2312"/>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480D43B1">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售后人员</w:t>
            </w:r>
          </w:p>
        </w:tc>
        <w:tc>
          <w:tcPr>
            <w:tcW w:w="787" w:type="dxa"/>
            <w:tcBorders>
              <w:top w:val="single" w:color="auto" w:sz="6" w:space="0"/>
              <w:left w:val="single" w:color="auto" w:sz="6" w:space="0"/>
              <w:bottom w:val="single" w:color="auto" w:sz="6" w:space="0"/>
              <w:right w:val="single" w:color="auto" w:sz="6" w:space="0"/>
            </w:tcBorders>
          </w:tcPr>
          <w:p w14:paraId="3DAFFA5C">
            <w:pPr>
              <w:autoSpaceDE w:val="0"/>
              <w:autoSpaceDN w:val="0"/>
              <w:spacing w:line="360" w:lineRule="auto"/>
              <w:rPr>
                <w:rFonts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71D4BC5C">
            <w:pPr>
              <w:autoSpaceDE w:val="0"/>
              <w:autoSpaceDN w:val="0"/>
              <w:spacing w:line="360" w:lineRule="auto"/>
              <w:rPr>
                <w:rFonts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590EEF16">
            <w:pPr>
              <w:autoSpaceDE w:val="0"/>
              <w:autoSpaceDN w:val="0"/>
              <w:spacing w:line="360" w:lineRule="auto"/>
              <w:rPr>
                <w:rFonts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3251EEE">
            <w:pPr>
              <w:autoSpaceDE w:val="0"/>
              <w:autoSpaceDN w:val="0"/>
              <w:spacing w:line="360" w:lineRule="auto"/>
              <w:rPr>
                <w:rFonts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5356BF6C">
            <w:pPr>
              <w:autoSpaceDE w:val="0"/>
              <w:autoSpaceDN w:val="0"/>
              <w:spacing w:line="360" w:lineRule="auto"/>
              <w:rPr>
                <w:rFonts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DF2FBD7">
            <w:pPr>
              <w:autoSpaceDE w:val="0"/>
              <w:autoSpaceDN w:val="0"/>
              <w:spacing w:line="360" w:lineRule="auto"/>
              <w:rPr>
                <w:rFonts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42C0A916">
            <w:pPr>
              <w:autoSpaceDE w:val="0"/>
              <w:autoSpaceDN w:val="0"/>
              <w:spacing w:line="360" w:lineRule="auto"/>
              <w:rPr>
                <w:rFonts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EC6CE40">
            <w:pPr>
              <w:autoSpaceDE w:val="0"/>
              <w:autoSpaceDN w:val="0"/>
              <w:spacing w:line="360" w:lineRule="auto"/>
              <w:rPr>
                <w:rFonts w:ascii="仿宋_GB2312" w:hAnsi="仿宋" w:eastAsia="仿宋_GB2312" w:cs="仿宋_GB2312"/>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6CF9FE37">
            <w:pPr>
              <w:autoSpaceDE w:val="0"/>
              <w:autoSpaceDN w:val="0"/>
              <w:spacing w:line="360" w:lineRule="auto"/>
              <w:rPr>
                <w:rFonts w:ascii="仿宋_GB2312" w:hAnsi="仿宋" w:eastAsia="仿宋_GB2312" w:cs="仿宋_GB2312"/>
                <w:color w:val="auto"/>
                <w:sz w:val="24"/>
              </w:rPr>
            </w:pPr>
          </w:p>
        </w:tc>
      </w:tr>
      <w:tr w14:paraId="1F770DF9">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31CA44DE">
            <w:pPr>
              <w:autoSpaceDE w:val="0"/>
              <w:autoSpaceDN w:val="0"/>
              <w:spacing w:line="360" w:lineRule="auto"/>
              <w:jc w:val="center"/>
              <w:rPr>
                <w:rFonts w:ascii="仿宋_GB2312" w:hAnsi="仿宋" w:eastAsia="仿宋_GB2312" w:cs="仿宋_GB2312"/>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01BF4010">
            <w:pPr>
              <w:autoSpaceDE w:val="0"/>
              <w:autoSpaceDN w:val="0"/>
              <w:spacing w:line="360" w:lineRule="auto"/>
              <w:jc w:val="center"/>
              <w:rPr>
                <w:rFonts w:ascii="仿宋_GB2312" w:hAnsi="仿宋" w:eastAsia="仿宋_GB2312" w:cs="仿宋_GB2312"/>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45C579C">
            <w:pPr>
              <w:autoSpaceDE w:val="0"/>
              <w:autoSpaceDN w:val="0"/>
              <w:spacing w:line="360" w:lineRule="auto"/>
              <w:rPr>
                <w:rFonts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5A45E845">
            <w:pPr>
              <w:autoSpaceDE w:val="0"/>
              <w:autoSpaceDN w:val="0"/>
              <w:spacing w:line="360" w:lineRule="auto"/>
              <w:rPr>
                <w:rFonts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3C99C68">
            <w:pPr>
              <w:autoSpaceDE w:val="0"/>
              <w:autoSpaceDN w:val="0"/>
              <w:spacing w:line="360" w:lineRule="auto"/>
              <w:rPr>
                <w:rFonts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63EABF7">
            <w:pPr>
              <w:autoSpaceDE w:val="0"/>
              <w:autoSpaceDN w:val="0"/>
              <w:spacing w:line="360" w:lineRule="auto"/>
              <w:rPr>
                <w:rFonts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6762DFD0">
            <w:pPr>
              <w:autoSpaceDE w:val="0"/>
              <w:autoSpaceDN w:val="0"/>
              <w:spacing w:line="360" w:lineRule="auto"/>
              <w:rPr>
                <w:rFonts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76907AE">
            <w:pPr>
              <w:autoSpaceDE w:val="0"/>
              <w:autoSpaceDN w:val="0"/>
              <w:spacing w:line="360" w:lineRule="auto"/>
              <w:rPr>
                <w:rFonts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5CC20C6F">
            <w:pPr>
              <w:autoSpaceDE w:val="0"/>
              <w:autoSpaceDN w:val="0"/>
              <w:spacing w:line="360" w:lineRule="auto"/>
              <w:rPr>
                <w:rFonts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5412F59B">
            <w:pPr>
              <w:autoSpaceDE w:val="0"/>
              <w:autoSpaceDN w:val="0"/>
              <w:spacing w:line="360" w:lineRule="auto"/>
              <w:rPr>
                <w:rFonts w:ascii="仿宋_GB2312" w:hAnsi="仿宋" w:eastAsia="仿宋_GB2312" w:cs="仿宋_GB2312"/>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47F6AEF3">
            <w:pPr>
              <w:autoSpaceDE w:val="0"/>
              <w:autoSpaceDN w:val="0"/>
              <w:spacing w:line="360" w:lineRule="auto"/>
              <w:rPr>
                <w:rFonts w:ascii="仿宋_GB2312" w:hAnsi="仿宋" w:eastAsia="仿宋_GB2312" w:cs="仿宋_GB2312"/>
                <w:color w:val="auto"/>
                <w:sz w:val="24"/>
              </w:rPr>
            </w:pPr>
          </w:p>
        </w:tc>
      </w:tr>
      <w:tr w14:paraId="4E8C720A">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07A55EA">
            <w:pPr>
              <w:autoSpaceDE w:val="0"/>
              <w:autoSpaceDN w:val="0"/>
              <w:spacing w:line="360" w:lineRule="auto"/>
              <w:jc w:val="center"/>
              <w:rPr>
                <w:rFonts w:ascii="仿宋_GB2312" w:hAnsi="仿宋" w:eastAsia="仿宋_GB2312" w:cs="仿宋_GB2312"/>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33A8A947">
            <w:pPr>
              <w:autoSpaceDE w:val="0"/>
              <w:autoSpaceDN w:val="0"/>
              <w:spacing w:line="360" w:lineRule="auto"/>
              <w:jc w:val="center"/>
              <w:rPr>
                <w:rFonts w:ascii="仿宋_GB2312" w:hAnsi="仿宋" w:eastAsia="仿宋_GB2312" w:cs="仿宋_GB2312"/>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59B90EFE">
            <w:pPr>
              <w:autoSpaceDE w:val="0"/>
              <w:autoSpaceDN w:val="0"/>
              <w:spacing w:line="360" w:lineRule="auto"/>
              <w:rPr>
                <w:rFonts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72BF3EE5">
            <w:pPr>
              <w:autoSpaceDE w:val="0"/>
              <w:autoSpaceDN w:val="0"/>
              <w:spacing w:line="360" w:lineRule="auto"/>
              <w:rPr>
                <w:rFonts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1DB0231">
            <w:pPr>
              <w:autoSpaceDE w:val="0"/>
              <w:autoSpaceDN w:val="0"/>
              <w:spacing w:line="360" w:lineRule="auto"/>
              <w:rPr>
                <w:rFonts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6F6F353E">
            <w:pPr>
              <w:autoSpaceDE w:val="0"/>
              <w:autoSpaceDN w:val="0"/>
              <w:spacing w:line="360" w:lineRule="auto"/>
              <w:rPr>
                <w:rFonts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DD2BBCE">
            <w:pPr>
              <w:autoSpaceDE w:val="0"/>
              <w:autoSpaceDN w:val="0"/>
              <w:spacing w:line="360" w:lineRule="auto"/>
              <w:rPr>
                <w:rFonts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FF9B34C">
            <w:pPr>
              <w:autoSpaceDE w:val="0"/>
              <w:autoSpaceDN w:val="0"/>
              <w:spacing w:line="360" w:lineRule="auto"/>
              <w:rPr>
                <w:rFonts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268D0394">
            <w:pPr>
              <w:autoSpaceDE w:val="0"/>
              <w:autoSpaceDN w:val="0"/>
              <w:spacing w:line="360" w:lineRule="auto"/>
              <w:rPr>
                <w:rFonts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55EEBA2">
            <w:pPr>
              <w:autoSpaceDE w:val="0"/>
              <w:autoSpaceDN w:val="0"/>
              <w:spacing w:line="360" w:lineRule="auto"/>
              <w:rPr>
                <w:rFonts w:ascii="仿宋_GB2312" w:hAnsi="仿宋" w:eastAsia="仿宋_GB2312" w:cs="仿宋_GB2312"/>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57A7C04C">
            <w:pPr>
              <w:autoSpaceDE w:val="0"/>
              <w:autoSpaceDN w:val="0"/>
              <w:spacing w:line="360" w:lineRule="auto"/>
              <w:rPr>
                <w:rFonts w:ascii="仿宋_GB2312" w:hAnsi="仿宋" w:eastAsia="仿宋_GB2312" w:cs="仿宋_GB2312"/>
                <w:color w:val="auto"/>
                <w:sz w:val="24"/>
              </w:rPr>
            </w:pPr>
          </w:p>
        </w:tc>
      </w:tr>
    </w:tbl>
    <w:p w14:paraId="32029EAF">
      <w:pPr>
        <w:snapToGrid w:val="0"/>
        <w:spacing w:before="120" w:line="360" w:lineRule="auto"/>
        <w:ind w:firstLine="472" w:firstLineChars="196"/>
        <w:rPr>
          <w:rFonts w:ascii="仿宋_GB2312" w:hAnsi="仿宋" w:eastAsia="仿宋_GB2312" w:cs="仿宋_GB2312"/>
          <w:b/>
          <w:bCs/>
          <w:color w:val="auto"/>
          <w:kern w:val="0"/>
          <w:sz w:val="24"/>
          <w:lang w:val="zh-CN"/>
        </w:rPr>
      </w:pPr>
      <w:r>
        <w:rPr>
          <w:rFonts w:hint="eastAsia" w:ascii="仿宋_GB2312" w:hAnsi="仿宋" w:eastAsia="仿宋_GB2312" w:cs="仿宋_GB2312"/>
          <w:b/>
          <w:bCs/>
          <w:color w:val="auto"/>
          <w:kern w:val="0"/>
          <w:sz w:val="24"/>
          <w:lang w:val="zh-CN"/>
        </w:rPr>
        <w:t>（七）其他（根据采购需求内容由投标人自行决定是否还有其他内容）</w:t>
      </w:r>
    </w:p>
    <w:p w14:paraId="088A3C6C">
      <w:pPr>
        <w:snapToGrid w:val="0"/>
        <w:spacing w:before="165" w:beforeLines="50" w:after="50"/>
        <w:ind w:left="142"/>
        <w:jc w:val="center"/>
        <w:rPr>
          <w:rFonts w:ascii="宋体" w:hAnsi="宋体"/>
          <w:b/>
          <w:color w:val="auto"/>
          <w:sz w:val="32"/>
          <w:szCs w:val="32"/>
        </w:rPr>
      </w:pPr>
    </w:p>
    <w:p w14:paraId="3A162FF7">
      <w:pPr>
        <w:snapToGrid w:val="0"/>
        <w:spacing w:before="165" w:beforeLines="50" w:line="360" w:lineRule="auto"/>
        <w:ind w:right="480" w:firstLine="3967" w:firstLineChars="1653"/>
        <w:rPr>
          <w:rFonts w:ascii="宋体" w:hAnsi="宋体"/>
          <w:color w:val="auto"/>
          <w:sz w:val="24"/>
        </w:rPr>
      </w:pPr>
    </w:p>
    <w:p w14:paraId="6BB77EB7">
      <w:pPr>
        <w:snapToGrid w:val="0"/>
        <w:spacing w:line="360" w:lineRule="auto"/>
        <w:ind w:firstLine="5160" w:firstLineChars="21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投标人名称(电子签章)：</w:t>
      </w:r>
    </w:p>
    <w:p w14:paraId="6821AD93">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7ACD6BA3">
      <w:pPr>
        <w:snapToGrid w:val="0"/>
        <w:spacing w:before="165" w:beforeLines="50" w:after="50"/>
        <w:jc w:val="left"/>
        <w:rPr>
          <w:rFonts w:ascii="宋体" w:hAnsi="宋体"/>
          <w:color w:val="auto"/>
          <w:sz w:val="24"/>
        </w:rPr>
      </w:pPr>
      <w:r>
        <w:rPr>
          <w:rFonts w:ascii="宋体" w:hAnsi="宋体"/>
          <w:b/>
          <w:color w:val="auto"/>
          <w:sz w:val="24"/>
        </w:rPr>
        <w:br w:type="page"/>
      </w:r>
      <w:r>
        <w:rPr>
          <w:rFonts w:hint="eastAsia" w:ascii="宋体" w:hAnsi="宋体"/>
          <w:color w:val="auto"/>
          <w:sz w:val="24"/>
        </w:rPr>
        <w:t xml:space="preserve"> </w:t>
      </w:r>
    </w:p>
    <w:p w14:paraId="6E6247C2">
      <w:pPr>
        <w:snapToGrid w:val="0"/>
        <w:spacing w:before="165" w:beforeLines="50" w:after="50"/>
        <w:ind w:left="142"/>
        <w:jc w:val="center"/>
        <w:rPr>
          <w:rFonts w:ascii="宋体" w:hAnsi="宋体"/>
          <w:b/>
          <w:color w:val="auto"/>
          <w:sz w:val="32"/>
          <w:szCs w:val="32"/>
        </w:rPr>
      </w:pPr>
      <w:r>
        <w:rPr>
          <w:rFonts w:hint="eastAsia" w:ascii="宋体" w:hAnsi="宋体"/>
          <w:b/>
          <w:color w:val="auto"/>
          <w:sz w:val="32"/>
          <w:szCs w:val="32"/>
        </w:rPr>
        <w:t>三、对本项目总体要求和理解（如有要求）</w:t>
      </w:r>
    </w:p>
    <w:p w14:paraId="435F2F9D">
      <w:pPr>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（由投标人根据采购需求自行编制）</w:t>
      </w:r>
    </w:p>
    <w:p w14:paraId="73ED5B62">
      <w:pPr>
        <w:snapToGrid w:val="0"/>
        <w:spacing w:line="360" w:lineRule="auto"/>
        <w:ind w:firstLine="5160" w:firstLineChars="2150"/>
        <w:rPr>
          <w:rFonts w:ascii="仿宋_GB2312" w:hAnsi="仿宋" w:eastAsia="仿宋_GB2312" w:cs="仿宋_GB2312"/>
          <w:color w:val="auto"/>
          <w:kern w:val="0"/>
          <w:sz w:val="24"/>
          <w:lang w:val="zh-CN"/>
        </w:rPr>
      </w:pPr>
    </w:p>
    <w:p w14:paraId="202B92D2">
      <w:pPr>
        <w:snapToGrid w:val="0"/>
        <w:spacing w:line="360" w:lineRule="auto"/>
        <w:ind w:firstLine="5160" w:firstLineChars="21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投标人名称(电子签章)：</w:t>
      </w:r>
    </w:p>
    <w:p w14:paraId="36CBB6E2">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61DD1722">
      <w:pPr>
        <w:snapToGrid w:val="0"/>
        <w:spacing w:before="165" w:beforeLines="50" w:after="50"/>
        <w:ind w:left="142"/>
        <w:jc w:val="center"/>
        <w:rPr>
          <w:rFonts w:ascii="宋体" w:hAnsi="宋体"/>
          <w:b/>
          <w:color w:val="auto"/>
          <w:sz w:val="32"/>
          <w:szCs w:val="32"/>
        </w:rPr>
      </w:pPr>
    </w:p>
    <w:p w14:paraId="724764FB">
      <w:pPr>
        <w:snapToGrid w:val="0"/>
        <w:spacing w:before="165" w:beforeLines="50" w:after="50"/>
        <w:ind w:left="142"/>
        <w:jc w:val="center"/>
        <w:rPr>
          <w:rFonts w:ascii="宋体" w:hAnsi="宋体"/>
          <w:b/>
          <w:color w:val="auto"/>
          <w:sz w:val="32"/>
          <w:szCs w:val="32"/>
        </w:rPr>
      </w:pPr>
      <w:r>
        <w:rPr>
          <w:rFonts w:hint="eastAsia" w:ascii="宋体" w:hAnsi="宋体"/>
          <w:b/>
          <w:color w:val="auto"/>
          <w:sz w:val="32"/>
          <w:szCs w:val="32"/>
        </w:rPr>
        <w:t>四、产品出厂标准、质量检测报告</w:t>
      </w:r>
    </w:p>
    <w:p w14:paraId="6DC2DA94">
      <w:pPr>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（由投标人根据采购需求自行编制）</w:t>
      </w:r>
    </w:p>
    <w:p w14:paraId="044F8EA7">
      <w:pPr>
        <w:snapToGrid w:val="0"/>
        <w:spacing w:before="165" w:beforeLines="50" w:after="50"/>
        <w:ind w:left="142"/>
        <w:jc w:val="center"/>
        <w:rPr>
          <w:rFonts w:ascii="宋体" w:hAnsi="宋体"/>
          <w:b/>
          <w:color w:val="auto"/>
          <w:sz w:val="32"/>
          <w:szCs w:val="32"/>
        </w:rPr>
      </w:pPr>
    </w:p>
    <w:p w14:paraId="1C644FA4">
      <w:pPr>
        <w:snapToGrid w:val="0"/>
        <w:spacing w:line="360" w:lineRule="auto"/>
        <w:ind w:firstLine="5160" w:firstLineChars="21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投标人名称(电子签章)：</w:t>
      </w:r>
    </w:p>
    <w:p w14:paraId="0CC5409A">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441A9B8E">
      <w:pPr>
        <w:spacing w:line="360" w:lineRule="auto"/>
        <w:jc w:val="center"/>
        <w:rPr>
          <w:rFonts w:ascii="宋体" w:hAnsi="宋体"/>
          <w:b/>
          <w:color w:val="auto"/>
          <w:sz w:val="32"/>
          <w:szCs w:val="32"/>
        </w:rPr>
      </w:pPr>
      <w:r>
        <w:rPr>
          <w:rFonts w:hint="eastAsia" w:ascii="宋体" w:hAnsi="宋体"/>
          <w:b/>
          <w:color w:val="auto"/>
          <w:sz w:val="32"/>
          <w:szCs w:val="32"/>
        </w:rPr>
        <w:t>五、优惠条件及特殊承诺</w:t>
      </w:r>
    </w:p>
    <w:p w14:paraId="5F6EB339">
      <w:pPr>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（由投标人根据采购需求自行编制）</w:t>
      </w:r>
    </w:p>
    <w:p w14:paraId="3A50CA96">
      <w:pPr>
        <w:spacing w:line="360" w:lineRule="auto"/>
        <w:jc w:val="center"/>
        <w:rPr>
          <w:rFonts w:ascii="仿宋_GB2312" w:hAnsi="仿宋" w:eastAsia="仿宋_GB2312" w:cs="仿宋_GB2312"/>
          <w:color w:val="auto"/>
          <w:sz w:val="18"/>
          <w:szCs w:val="18"/>
        </w:rPr>
      </w:pPr>
    </w:p>
    <w:p w14:paraId="1428DE29">
      <w:pPr>
        <w:snapToGrid w:val="0"/>
        <w:spacing w:line="360" w:lineRule="auto"/>
        <w:ind w:firstLine="5040" w:firstLineChars="21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投标人名称(电子签章)：</w:t>
      </w:r>
    </w:p>
    <w:p w14:paraId="411ABDD7">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5593B4E0">
      <w:pPr>
        <w:snapToGrid w:val="0"/>
        <w:spacing w:before="165" w:beforeLines="50" w:after="50"/>
        <w:ind w:left="142"/>
        <w:jc w:val="center"/>
        <w:rPr>
          <w:rFonts w:ascii="宋体" w:hAnsi="宋体"/>
          <w:b/>
          <w:color w:val="auto"/>
          <w:sz w:val="32"/>
          <w:szCs w:val="32"/>
        </w:rPr>
      </w:pPr>
    </w:p>
    <w:p w14:paraId="2C0625DE">
      <w:pPr>
        <w:rPr>
          <w:rFonts w:hint="eastAsia" w:ascii="宋体" w:hAnsi="宋体"/>
          <w:b/>
          <w:color w:val="auto"/>
          <w:sz w:val="32"/>
          <w:szCs w:val="32"/>
        </w:rPr>
      </w:pPr>
      <w:r>
        <w:rPr>
          <w:rFonts w:hint="eastAsia" w:ascii="宋体" w:hAnsi="宋体"/>
          <w:b/>
          <w:color w:val="auto"/>
          <w:sz w:val="32"/>
          <w:szCs w:val="32"/>
        </w:rPr>
        <w:br w:type="page"/>
      </w:r>
    </w:p>
    <w:p w14:paraId="0FAB0272">
      <w:pPr>
        <w:snapToGrid w:val="0"/>
        <w:spacing w:before="165" w:beforeLines="50" w:after="50"/>
        <w:ind w:left="142"/>
        <w:jc w:val="center"/>
        <w:rPr>
          <w:rFonts w:ascii="宋体" w:hAnsi="宋体"/>
          <w:b/>
          <w:color w:val="auto"/>
          <w:sz w:val="32"/>
          <w:szCs w:val="32"/>
        </w:rPr>
      </w:pPr>
      <w:r>
        <w:rPr>
          <w:rFonts w:hint="eastAsia" w:ascii="宋体" w:hAnsi="宋体"/>
          <w:b/>
          <w:color w:val="auto"/>
          <w:sz w:val="32"/>
          <w:szCs w:val="32"/>
        </w:rPr>
        <w:t>六、投标人对项目的合理化建议和改进措施</w:t>
      </w:r>
    </w:p>
    <w:p w14:paraId="13DDC8FA">
      <w:pPr>
        <w:spacing w:line="360" w:lineRule="auto"/>
        <w:ind w:firstLine="4048" w:firstLineChars="1687"/>
        <w:rPr>
          <w:rFonts w:ascii="仿宋_GB2312" w:hAnsi="仿宋" w:eastAsia="仿宋_GB2312" w:cs="仿宋_GB2312"/>
          <w:color w:val="auto"/>
          <w:sz w:val="24"/>
        </w:rPr>
      </w:pPr>
      <w:r>
        <w:rPr>
          <w:rFonts w:hint="eastAsia" w:ascii="仿宋_GB2312" w:hAnsi="仿宋" w:eastAsia="仿宋_GB2312" w:cs="仿宋_GB2312"/>
          <w:color w:val="auto"/>
          <w:sz w:val="24"/>
        </w:rPr>
        <w:t>（格式自拟）</w:t>
      </w:r>
    </w:p>
    <w:p w14:paraId="04A9EBB9">
      <w:pPr>
        <w:snapToGrid w:val="0"/>
        <w:spacing w:line="360" w:lineRule="auto"/>
        <w:ind w:firstLine="4935" w:firstLineChars="2350"/>
        <w:rPr>
          <w:rFonts w:hAnsi="宋体"/>
          <w:color w:val="auto"/>
          <w:szCs w:val="21"/>
        </w:rPr>
      </w:pPr>
      <w:r>
        <w:rPr>
          <w:rFonts w:hAnsi="宋体"/>
          <w:color w:val="auto"/>
          <w:szCs w:val="21"/>
        </w:rPr>
        <w:t xml:space="preserve"> </w:t>
      </w:r>
    </w:p>
    <w:p w14:paraId="19F70E9C">
      <w:pPr>
        <w:snapToGrid w:val="0"/>
        <w:spacing w:line="360" w:lineRule="auto"/>
        <w:ind w:firstLine="4935" w:firstLineChars="2350"/>
        <w:rPr>
          <w:rFonts w:hAnsi="宋体"/>
          <w:color w:val="auto"/>
          <w:szCs w:val="21"/>
        </w:rPr>
      </w:pPr>
    </w:p>
    <w:p w14:paraId="3BC00A39">
      <w:pPr>
        <w:snapToGrid w:val="0"/>
        <w:spacing w:line="360" w:lineRule="auto"/>
        <w:ind w:firstLine="4935" w:firstLineChars="2350"/>
        <w:rPr>
          <w:rFonts w:hAnsi="宋体"/>
          <w:color w:val="auto"/>
          <w:szCs w:val="21"/>
        </w:rPr>
      </w:pPr>
    </w:p>
    <w:p w14:paraId="28C9F195">
      <w:pPr>
        <w:snapToGrid w:val="0"/>
        <w:spacing w:line="360" w:lineRule="auto"/>
        <w:ind w:firstLine="4935" w:firstLineChars="2350"/>
        <w:rPr>
          <w:rFonts w:hAnsi="宋体"/>
          <w:color w:val="auto"/>
          <w:szCs w:val="21"/>
        </w:rPr>
      </w:pPr>
    </w:p>
    <w:p w14:paraId="0EE8F0E1">
      <w:pPr>
        <w:snapToGrid w:val="0"/>
        <w:spacing w:line="360" w:lineRule="auto"/>
        <w:ind w:firstLine="4935" w:firstLineChars="2350"/>
        <w:rPr>
          <w:rFonts w:ascii="仿宋_GB2312" w:hAnsi="仿宋" w:eastAsia="仿宋_GB2312" w:cs="仿宋_GB2312"/>
          <w:color w:val="auto"/>
          <w:kern w:val="0"/>
          <w:sz w:val="24"/>
        </w:rPr>
      </w:pPr>
      <w:r>
        <w:rPr>
          <w:rFonts w:hAnsi="宋体"/>
          <w:color w:val="auto"/>
          <w:szCs w:val="21"/>
        </w:rPr>
        <w:t xml:space="preserve">  </w:t>
      </w:r>
      <w:r>
        <w:rPr>
          <w:rFonts w:hint="eastAsia" w:ascii="仿宋_GB2312" w:hAnsi="仿宋" w:eastAsia="仿宋_GB2312" w:cs="仿宋_GB2312"/>
          <w:color w:val="auto"/>
          <w:kern w:val="0"/>
          <w:sz w:val="24"/>
          <w:lang w:val="zh-CN"/>
        </w:rPr>
        <w:t>投标人名称(电子签章)：</w:t>
      </w:r>
    </w:p>
    <w:p w14:paraId="599CEA8C">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5A85798F">
      <w:pPr>
        <w:autoSpaceDE w:val="0"/>
        <w:autoSpaceDN w:val="0"/>
        <w:spacing w:line="360" w:lineRule="auto"/>
        <w:ind w:firstLine="120"/>
        <w:rPr>
          <w:rFonts w:ascii="仿宋_GB2312" w:hAnsi="仿宋" w:eastAsia="仿宋_GB2312" w:cs="仿宋_GB2312"/>
          <w:color w:val="auto"/>
          <w:sz w:val="24"/>
        </w:rPr>
      </w:pPr>
    </w:p>
    <w:p w14:paraId="0F98A6F5">
      <w:pPr>
        <w:spacing w:line="360" w:lineRule="auto"/>
        <w:jc w:val="center"/>
        <w:rPr>
          <w:rFonts w:ascii="宋体" w:hAnsi="宋体"/>
          <w:b/>
          <w:color w:val="auto"/>
          <w:sz w:val="32"/>
          <w:szCs w:val="32"/>
        </w:rPr>
      </w:pPr>
      <w:r>
        <w:rPr>
          <w:rFonts w:hint="eastAsia" w:ascii="宋体" w:hAnsi="宋体"/>
          <w:b/>
          <w:color w:val="auto"/>
          <w:sz w:val="32"/>
          <w:szCs w:val="32"/>
        </w:rPr>
        <w:t>七、认为需要的其他技术文件或说明</w:t>
      </w:r>
    </w:p>
    <w:p w14:paraId="7194F412">
      <w:pPr>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（由投标人根据采购需求自行编制）</w:t>
      </w:r>
    </w:p>
    <w:p w14:paraId="63C36C67">
      <w:pPr>
        <w:spacing w:line="360" w:lineRule="auto"/>
        <w:jc w:val="center"/>
        <w:rPr>
          <w:rFonts w:ascii="仿宋_GB2312" w:hAnsi="仿宋" w:eastAsia="仿宋_GB2312" w:cs="仿宋_GB2312"/>
          <w:color w:val="auto"/>
          <w:sz w:val="24"/>
        </w:rPr>
      </w:pPr>
    </w:p>
    <w:p w14:paraId="6AD23EE7">
      <w:pPr>
        <w:autoSpaceDE w:val="0"/>
        <w:autoSpaceDN w:val="0"/>
        <w:spacing w:line="360" w:lineRule="auto"/>
        <w:ind w:firstLine="4800" w:firstLineChars="2000"/>
        <w:rPr>
          <w:rFonts w:ascii="仿宋_GB2312" w:hAnsi="仿宋" w:eastAsia="仿宋_GB2312" w:cs="仿宋_GB2312"/>
          <w:color w:val="auto"/>
          <w:sz w:val="24"/>
        </w:rPr>
      </w:pPr>
      <w:r>
        <w:rPr>
          <w:rFonts w:hint="eastAsia" w:ascii="仿宋_GB2312" w:hAnsi="仿宋" w:eastAsia="仿宋_GB2312" w:cs="仿宋_GB2312"/>
          <w:color w:val="auto"/>
          <w:kern w:val="0"/>
          <w:sz w:val="24"/>
        </w:rPr>
        <w:t>投标人名称（电子</w:t>
      </w:r>
      <w:r>
        <w:rPr>
          <w:rFonts w:hint="eastAsia" w:ascii="仿宋_GB2312" w:hAnsi="仿宋" w:eastAsia="仿宋_GB2312" w:cs="仿宋_GB2312"/>
          <w:color w:val="auto"/>
          <w:kern w:val="0"/>
          <w:sz w:val="24"/>
          <w:lang w:val="zh-CN"/>
        </w:rPr>
        <w:t>签章</w:t>
      </w:r>
      <w:r>
        <w:rPr>
          <w:rFonts w:hint="eastAsia" w:ascii="仿宋_GB2312" w:hAnsi="仿宋" w:eastAsia="仿宋_GB2312" w:cs="仿宋_GB2312"/>
          <w:color w:val="auto"/>
          <w:kern w:val="0"/>
          <w:sz w:val="24"/>
        </w:rPr>
        <w:t xml:space="preserve">）：                       </w:t>
      </w:r>
    </w:p>
    <w:p w14:paraId="46F9B99D">
      <w:pPr>
        <w:autoSpaceDE w:val="0"/>
        <w:autoSpaceDN w:val="0"/>
        <w:spacing w:line="360" w:lineRule="auto"/>
        <w:rPr>
          <w:rFonts w:ascii="仿宋_GB2312" w:hAnsi="仿宋" w:eastAsia="仿宋_GB2312" w:cs="仿宋_GB2312"/>
          <w:b/>
          <w:bCs/>
          <w:color w:val="auto"/>
          <w:sz w:val="30"/>
          <w:szCs w:val="30"/>
        </w:rPr>
      </w:pP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  年  月   日</w:t>
      </w:r>
    </w:p>
    <w:p w14:paraId="01F15641">
      <w:pPr>
        <w:snapToGrid w:val="0"/>
        <w:spacing w:before="165" w:beforeLines="50" w:after="50"/>
        <w:jc w:val="center"/>
        <w:outlineLvl w:val="1"/>
        <w:rPr>
          <w:rFonts w:ascii="宋体" w:hAnsi="宋体"/>
          <w:b/>
          <w:bCs/>
          <w:color w:val="auto"/>
          <w:sz w:val="24"/>
        </w:rPr>
        <w:sectPr>
          <w:pgSz w:w="11906" w:h="16838"/>
          <w:pgMar w:top="1134" w:right="1134" w:bottom="1134" w:left="1134" w:header="720" w:footer="720" w:gutter="0"/>
          <w:cols w:space="720" w:num="1"/>
          <w:docGrid w:type="lines" w:linePitch="331" w:charSpace="0"/>
        </w:sectPr>
      </w:pPr>
    </w:p>
    <w:p w14:paraId="0A4B0FFD">
      <w:pPr>
        <w:pStyle w:val="17"/>
        <w:jc w:val="center"/>
        <w:outlineLvl w:val="1"/>
        <w:rPr>
          <w:rFonts w:hAnsi="宋体"/>
          <w:b/>
          <w:bCs/>
          <w:color w:val="auto"/>
          <w:sz w:val="28"/>
          <w:szCs w:val="28"/>
        </w:rPr>
      </w:pPr>
      <w:bookmarkStart w:id="307" w:name="_Toc80093015"/>
      <w:r>
        <w:rPr>
          <w:rFonts w:hint="eastAsia" w:hAnsi="宋体"/>
          <w:b/>
          <w:bCs/>
          <w:color w:val="auto"/>
          <w:sz w:val="28"/>
          <w:szCs w:val="28"/>
        </w:rPr>
        <w:t>第五节 报价文件格式</w:t>
      </w:r>
      <w:bookmarkEnd w:id="307"/>
    </w:p>
    <w:p w14:paraId="2AECDF60">
      <w:pPr>
        <w:snapToGrid w:val="0"/>
        <w:spacing w:before="165" w:beforeLines="50" w:after="50" w:line="400" w:lineRule="exact"/>
        <w:rPr>
          <w:rFonts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电子投标文件</w:t>
      </w:r>
    </w:p>
    <w:p w14:paraId="250AEDB4">
      <w:pPr>
        <w:snapToGrid w:val="0"/>
        <w:spacing w:before="165" w:beforeLines="50" w:after="50" w:line="400" w:lineRule="exact"/>
        <w:jc w:val="center"/>
        <w:rPr>
          <w:rFonts w:ascii="宋体" w:hAnsi="宋体"/>
          <w:bCs/>
          <w:color w:val="auto"/>
          <w:sz w:val="24"/>
          <w:szCs w:val="20"/>
        </w:rPr>
      </w:pPr>
    </w:p>
    <w:p w14:paraId="095E42FF">
      <w:pPr>
        <w:snapToGrid w:val="0"/>
        <w:spacing w:before="165" w:beforeLines="50" w:after="50" w:line="400" w:lineRule="exact"/>
        <w:jc w:val="center"/>
        <w:rPr>
          <w:rFonts w:ascii="宋体" w:hAnsi="宋体"/>
          <w:b/>
          <w:bCs/>
          <w:color w:val="auto"/>
          <w:sz w:val="32"/>
          <w:szCs w:val="32"/>
        </w:rPr>
      </w:pPr>
      <w:r>
        <w:rPr>
          <w:rFonts w:hint="eastAsia" w:ascii="宋体" w:hAnsi="宋体"/>
          <w:b/>
          <w:bCs/>
          <w:color w:val="auto"/>
          <w:sz w:val="32"/>
          <w:szCs w:val="32"/>
        </w:rPr>
        <w:t>报价文件（封面）</w:t>
      </w:r>
    </w:p>
    <w:p w14:paraId="5EB527C4">
      <w:pPr>
        <w:snapToGrid w:val="0"/>
        <w:spacing w:before="165" w:beforeLines="50" w:after="50" w:line="400" w:lineRule="exact"/>
        <w:rPr>
          <w:rFonts w:ascii="宋体" w:hAnsi="宋体"/>
          <w:bCs/>
          <w:color w:val="auto"/>
          <w:sz w:val="24"/>
          <w:szCs w:val="20"/>
        </w:rPr>
      </w:pPr>
    </w:p>
    <w:p w14:paraId="130D7112">
      <w:pPr>
        <w:snapToGrid w:val="0"/>
        <w:spacing w:before="165" w:beforeLines="50" w:after="50" w:line="400" w:lineRule="exact"/>
        <w:rPr>
          <w:rFonts w:ascii="宋体" w:hAnsi="宋体"/>
          <w:bCs/>
          <w:color w:val="auto"/>
          <w:sz w:val="24"/>
          <w:szCs w:val="20"/>
        </w:rPr>
      </w:pPr>
    </w:p>
    <w:p w14:paraId="38BCD72D">
      <w:pPr>
        <w:snapToGrid w:val="0"/>
        <w:spacing w:before="165" w:beforeLines="50" w:after="50" w:line="400" w:lineRule="exact"/>
        <w:rPr>
          <w:rFonts w:ascii="宋体" w:hAnsi="宋体"/>
          <w:bCs/>
          <w:color w:val="auto"/>
          <w:sz w:val="24"/>
          <w:szCs w:val="20"/>
        </w:rPr>
      </w:pPr>
    </w:p>
    <w:p w14:paraId="6B669054">
      <w:pPr>
        <w:snapToGrid w:val="0"/>
        <w:spacing w:before="165" w:beforeLines="50" w:after="50" w:line="400" w:lineRule="exact"/>
        <w:rPr>
          <w:rFonts w:ascii="宋体" w:hAnsi="宋体"/>
          <w:bCs/>
          <w:color w:val="auto"/>
          <w:sz w:val="24"/>
          <w:szCs w:val="20"/>
        </w:rPr>
      </w:pPr>
    </w:p>
    <w:p w14:paraId="715C9EED">
      <w:pPr>
        <w:snapToGrid w:val="0"/>
        <w:spacing w:before="165" w:beforeLines="50" w:after="50" w:line="400" w:lineRule="exact"/>
        <w:ind w:firstLine="360" w:firstLineChars="150"/>
        <w:rPr>
          <w:rFonts w:ascii="宋体" w:hAnsi="宋体"/>
          <w:bCs/>
          <w:color w:val="auto"/>
          <w:sz w:val="24"/>
        </w:rPr>
      </w:pPr>
      <w:r>
        <w:rPr>
          <w:rFonts w:hint="eastAsia" w:ascii="宋体" w:hAnsi="宋体"/>
          <w:bCs/>
          <w:color w:val="auto"/>
          <w:sz w:val="24"/>
        </w:rPr>
        <w:t xml:space="preserve">项目名称： </w:t>
      </w:r>
    </w:p>
    <w:p w14:paraId="32E94E8D">
      <w:pPr>
        <w:snapToGrid w:val="0"/>
        <w:spacing w:before="165" w:beforeLines="50" w:after="50" w:line="400" w:lineRule="exact"/>
        <w:ind w:firstLine="360" w:firstLineChars="150"/>
        <w:rPr>
          <w:rFonts w:ascii="宋体" w:hAnsi="宋体"/>
          <w:bCs/>
          <w:color w:val="auto"/>
          <w:sz w:val="24"/>
        </w:rPr>
      </w:pPr>
    </w:p>
    <w:p w14:paraId="111368CE">
      <w:pPr>
        <w:snapToGrid w:val="0"/>
        <w:spacing w:before="165" w:beforeLines="50" w:after="50" w:line="400" w:lineRule="exact"/>
        <w:ind w:firstLine="360" w:firstLineChars="150"/>
        <w:rPr>
          <w:rFonts w:ascii="宋体" w:hAnsi="宋体"/>
          <w:bCs/>
          <w:color w:val="auto"/>
          <w:sz w:val="24"/>
        </w:rPr>
      </w:pPr>
      <w:r>
        <w:rPr>
          <w:rFonts w:hint="eastAsia" w:ascii="宋体" w:hAnsi="宋体"/>
          <w:bCs/>
          <w:color w:val="auto"/>
          <w:sz w:val="24"/>
        </w:rPr>
        <w:t xml:space="preserve">项目编号： </w:t>
      </w:r>
    </w:p>
    <w:p w14:paraId="246100BE">
      <w:pPr>
        <w:snapToGrid w:val="0"/>
        <w:spacing w:before="165" w:beforeLines="50" w:after="50" w:line="400" w:lineRule="exact"/>
        <w:ind w:firstLine="360" w:firstLineChars="150"/>
        <w:rPr>
          <w:rFonts w:ascii="宋体" w:hAnsi="宋体"/>
          <w:bCs/>
          <w:color w:val="auto"/>
          <w:sz w:val="24"/>
        </w:rPr>
      </w:pPr>
    </w:p>
    <w:p w14:paraId="0E232BAD">
      <w:pPr>
        <w:snapToGrid w:val="0"/>
        <w:spacing w:before="165" w:beforeLines="50" w:after="50" w:line="400" w:lineRule="exact"/>
        <w:ind w:firstLine="360" w:firstLineChars="150"/>
        <w:rPr>
          <w:rFonts w:ascii="宋体" w:hAnsi="宋体"/>
          <w:bCs/>
          <w:color w:val="auto"/>
          <w:sz w:val="24"/>
        </w:rPr>
      </w:pPr>
      <w:r>
        <w:rPr>
          <w:rFonts w:hint="eastAsia" w:ascii="宋体" w:hAnsi="宋体"/>
          <w:bCs/>
          <w:color w:val="auto"/>
          <w:sz w:val="24"/>
        </w:rPr>
        <w:t>所投分标：</w:t>
      </w:r>
    </w:p>
    <w:p w14:paraId="671A32D2">
      <w:pPr>
        <w:snapToGrid w:val="0"/>
        <w:spacing w:before="165" w:beforeLines="50" w:after="50" w:line="400" w:lineRule="exact"/>
        <w:ind w:firstLine="360" w:firstLineChars="150"/>
        <w:rPr>
          <w:rFonts w:ascii="宋体" w:hAnsi="宋体"/>
          <w:bCs/>
          <w:color w:val="auto"/>
          <w:sz w:val="24"/>
        </w:rPr>
      </w:pPr>
    </w:p>
    <w:p w14:paraId="24B433A9">
      <w:pPr>
        <w:snapToGrid w:val="0"/>
        <w:spacing w:before="165" w:beforeLines="50" w:after="50" w:line="400" w:lineRule="exact"/>
        <w:ind w:firstLine="360" w:firstLineChars="150"/>
        <w:rPr>
          <w:rFonts w:ascii="宋体" w:hAnsi="宋体"/>
          <w:bCs/>
          <w:color w:val="auto"/>
          <w:sz w:val="24"/>
        </w:rPr>
      </w:pPr>
      <w:r>
        <w:rPr>
          <w:rFonts w:hint="eastAsia" w:ascii="宋体" w:hAnsi="宋体"/>
          <w:bCs/>
          <w:color w:val="auto"/>
          <w:sz w:val="24"/>
        </w:rPr>
        <w:t>投标人名称：</w:t>
      </w:r>
    </w:p>
    <w:p w14:paraId="76A90B8C">
      <w:pPr>
        <w:snapToGrid w:val="0"/>
        <w:spacing w:before="165" w:beforeLines="50" w:after="50" w:line="400" w:lineRule="exact"/>
        <w:ind w:firstLine="360" w:firstLineChars="150"/>
        <w:rPr>
          <w:rFonts w:ascii="宋体" w:hAnsi="宋体"/>
          <w:bCs/>
          <w:color w:val="auto"/>
          <w:sz w:val="24"/>
        </w:rPr>
      </w:pPr>
    </w:p>
    <w:p w14:paraId="69CCB34A">
      <w:pPr>
        <w:snapToGrid w:val="0"/>
        <w:spacing w:before="165" w:beforeLines="50" w:after="50" w:line="400" w:lineRule="exact"/>
        <w:ind w:firstLine="360" w:firstLineChars="150"/>
        <w:rPr>
          <w:rFonts w:ascii="宋体" w:hAnsi="宋体"/>
          <w:bCs/>
          <w:color w:val="auto"/>
          <w:sz w:val="24"/>
        </w:rPr>
      </w:pPr>
      <w:r>
        <w:rPr>
          <w:rFonts w:hint="eastAsia" w:ascii="宋体" w:hAnsi="宋体"/>
          <w:bCs/>
          <w:color w:val="auto"/>
          <w:sz w:val="24"/>
        </w:rPr>
        <w:t>投标人地址：</w:t>
      </w:r>
    </w:p>
    <w:p w14:paraId="3032D29A">
      <w:pPr>
        <w:pStyle w:val="8"/>
        <w:snapToGrid w:val="0"/>
        <w:spacing w:before="50" w:after="50" w:line="400" w:lineRule="exact"/>
        <w:ind w:firstLine="960" w:firstLineChars="400"/>
        <w:rPr>
          <w:rFonts w:ascii="宋体" w:hAnsi="宋体"/>
          <w:bCs/>
          <w:color w:val="auto"/>
          <w:sz w:val="24"/>
          <w:szCs w:val="24"/>
        </w:rPr>
      </w:pPr>
    </w:p>
    <w:p w14:paraId="3D3CB5C4">
      <w:pPr>
        <w:snapToGrid w:val="0"/>
        <w:spacing w:before="165" w:beforeLines="50" w:after="50" w:line="400" w:lineRule="exact"/>
        <w:rPr>
          <w:rFonts w:ascii="宋体" w:hAnsi="宋体"/>
          <w:color w:val="auto"/>
          <w:sz w:val="24"/>
        </w:rPr>
        <w:sectPr>
          <w:pgSz w:w="11906" w:h="16838"/>
          <w:pgMar w:top="1134" w:right="1134" w:bottom="1134" w:left="1134" w:header="720" w:footer="720" w:gutter="0"/>
          <w:cols w:space="720" w:num="1"/>
          <w:docGrid w:type="lines" w:linePitch="331" w:charSpace="0"/>
        </w:sectPr>
      </w:pPr>
      <w:r>
        <w:rPr>
          <w:rFonts w:hint="eastAsia" w:ascii="宋体" w:hAnsi="宋体"/>
          <w:color w:val="auto"/>
          <w:sz w:val="24"/>
        </w:rPr>
        <w:t xml:space="preserve">                                                       年  月  日</w:t>
      </w:r>
    </w:p>
    <w:p w14:paraId="5E529BA7">
      <w:pPr>
        <w:rPr>
          <w:rFonts w:ascii="宋体" w:hAnsi="宋体" w:cs="宋体"/>
          <w:color w:val="auto"/>
        </w:rPr>
      </w:pPr>
    </w:p>
    <w:p w14:paraId="6D65339B">
      <w:pPr>
        <w:snapToGrid w:val="0"/>
        <w:spacing w:before="165" w:beforeLines="50" w:after="50" w:line="400" w:lineRule="exact"/>
        <w:jc w:val="center"/>
        <w:rPr>
          <w:rFonts w:ascii="宋体" w:hAnsi="宋体"/>
          <w:b/>
          <w:bCs/>
          <w:color w:val="auto"/>
          <w:sz w:val="32"/>
          <w:szCs w:val="32"/>
        </w:rPr>
      </w:pPr>
      <w:r>
        <w:rPr>
          <w:rFonts w:hint="eastAsia" w:ascii="宋体" w:hAnsi="宋体"/>
          <w:b/>
          <w:bCs/>
          <w:color w:val="auto"/>
          <w:sz w:val="32"/>
          <w:szCs w:val="32"/>
        </w:rPr>
        <w:t>报价文件目录</w:t>
      </w:r>
    </w:p>
    <w:p w14:paraId="42929556">
      <w:pPr>
        <w:rPr>
          <w:rFonts w:ascii="宋体" w:hAnsi="宋体" w:cs="宋体"/>
          <w:color w:val="auto"/>
        </w:rPr>
      </w:pPr>
    </w:p>
    <w:p w14:paraId="28D0E3C4">
      <w:pPr>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一、投标函………………………………………………………（页码）</w:t>
      </w:r>
    </w:p>
    <w:p w14:paraId="56F7BDB4">
      <w:pPr>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二、开标一览表…………………………………………………（页码）</w:t>
      </w:r>
    </w:p>
    <w:p w14:paraId="73C34D6D">
      <w:pPr>
        <w:spacing w:line="360" w:lineRule="auto"/>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三、中小企业声明函……………………………………………（页码）</w:t>
      </w:r>
    </w:p>
    <w:p w14:paraId="0723DC24">
      <w:pPr>
        <w:spacing w:line="360" w:lineRule="auto"/>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四、投标人针对报价需要说明的其他文件和说明……………（页码）</w:t>
      </w:r>
    </w:p>
    <w:p w14:paraId="5EC5BE0E">
      <w:pPr>
        <w:spacing w:line="360" w:lineRule="auto"/>
        <w:rPr>
          <w:rFonts w:hint="eastAsia" w:ascii="仿宋_GB2312" w:hAnsi="仿宋" w:eastAsia="仿宋_GB2312" w:cs="仿宋_GB2312"/>
          <w:color w:val="auto"/>
          <w:kern w:val="0"/>
          <w:sz w:val="24"/>
        </w:rPr>
      </w:pPr>
    </w:p>
    <w:p w14:paraId="0AEE5083">
      <w:pPr>
        <w:snapToGrid w:val="0"/>
        <w:spacing w:before="165" w:beforeLines="50" w:after="50" w:line="400" w:lineRule="exact"/>
        <w:ind w:firstLine="300" w:firstLineChars="100"/>
        <w:rPr>
          <w:rFonts w:ascii="宋体" w:hAnsi="宋体"/>
          <w:color w:val="auto"/>
          <w:sz w:val="30"/>
          <w:szCs w:val="20"/>
        </w:rPr>
        <w:sectPr>
          <w:pgSz w:w="11906" w:h="16838"/>
          <w:pgMar w:top="1134" w:right="1134" w:bottom="1134" w:left="1134" w:header="720" w:footer="720" w:gutter="0"/>
          <w:cols w:space="720" w:num="1"/>
          <w:docGrid w:type="lines" w:linePitch="331" w:charSpace="0"/>
        </w:sectPr>
      </w:pPr>
    </w:p>
    <w:p w14:paraId="27CC862D">
      <w:pPr>
        <w:pStyle w:val="17"/>
        <w:spacing w:line="500" w:lineRule="exact"/>
        <w:jc w:val="center"/>
        <w:rPr>
          <w:rFonts w:ascii="Times New Roman" w:hAnsi="Times New Roman"/>
          <w:b/>
          <w:bCs/>
          <w:color w:val="auto"/>
          <w:sz w:val="30"/>
          <w:szCs w:val="30"/>
        </w:rPr>
      </w:pPr>
      <w:r>
        <w:rPr>
          <w:rFonts w:hint="eastAsia" w:ascii="Times New Roman" w:hAnsi="Times New Roman"/>
          <w:b/>
          <w:bCs/>
          <w:color w:val="auto"/>
          <w:sz w:val="30"/>
          <w:szCs w:val="30"/>
        </w:rPr>
        <w:t>一、投标函</w:t>
      </w:r>
    </w:p>
    <w:p w14:paraId="3529F013">
      <w:pPr>
        <w:pStyle w:val="17"/>
        <w:spacing w:line="440" w:lineRule="exact"/>
        <w:ind w:firstLine="420" w:firstLineChars="200"/>
        <w:rPr>
          <w:rFonts w:ascii="Times New Roman" w:hAnsi="Times New Roman"/>
          <w:color w:val="auto"/>
        </w:rPr>
      </w:pPr>
      <w:r>
        <w:rPr>
          <w:rFonts w:hint="eastAsia" w:ascii="Times New Roman" w:hAnsi="Times New Roman"/>
          <w:color w:val="auto"/>
        </w:rPr>
        <w:t>致：</w:t>
      </w:r>
      <w:r>
        <w:rPr>
          <w:rFonts w:ascii="Times New Roman" w:hAnsi="Times New Roman"/>
          <w:color w:val="auto"/>
          <w:u w:val="single"/>
        </w:rPr>
        <w:t xml:space="preserve">                      </w:t>
      </w:r>
      <w:r>
        <w:rPr>
          <w:rFonts w:hint="eastAsia" w:ascii="Times New Roman" w:hAnsi="Times New Roman"/>
          <w:color w:val="auto"/>
        </w:rPr>
        <w:t>（采购代理机构名称）</w:t>
      </w:r>
    </w:p>
    <w:p w14:paraId="7E28387C">
      <w:pPr>
        <w:pStyle w:val="17"/>
        <w:spacing w:line="440" w:lineRule="exact"/>
        <w:ind w:firstLine="420" w:firstLineChars="200"/>
        <w:rPr>
          <w:color w:val="auto"/>
        </w:rPr>
      </w:pPr>
      <w:r>
        <w:rPr>
          <w:rFonts w:hint="eastAsia"/>
          <w:color w:val="auto"/>
        </w:rPr>
        <w:t>我方已仔细阅读了贵方组织的</w:t>
      </w:r>
      <w:r>
        <w:rPr>
          <w:rFonts w:ascii="Times New Roman" w:hAnsi="Times New Roman"/>
          <w:color w:val="auto"/>
          <w:u w:val="single"/>
        </w:rPr>
        <w:t xml:space="preserve">                    </w:t>
      </w:r>
      <w:r>
        <w:rPr>
          <w:rFonts w:hint="eastAsia"/>
          <w:color w:val="auto"/>
        </w:rPr>
        <w:t>项目（项目编号：             ）的招标文件的全部内容，授权</w:t>
      </w:r>
      <w:r>
        <w:rPr>
          <w:rFonts w:ascii="Times New Roman" w:hAnsi="Times New Roman"/>
          <w:color w:val="auto"/>
          <w:u w:val="single"/>
        </w:rPr>
        <w:t xml:space="preserve">                      </w:t>
      </w:r>
      <w:r>
        <w:rPr>
          <w:rFonts w:hint="eastAsia"/>
          <w:color w:val="auto"/>
        </w:rPr>
        <w:t>(全权代表姓名)</w:t>
      </w:r>
      <w:r>
        <w:rPr>
          <w:rFonts w:ascii="Times New Roman" w:hAnsi="Times New Roman"/>
          <w:color w:val="auto"/>
          <w:u w:val="single"/>
        </w:rPr>
        <w:t xml:space="preserve">          </w:t>
      </w:r>
      <w:r>
        <w:rPr>
          <w:rFonts w:hint="eastAsia"/>
          <w:color w:val="auto"/>
        </w:rPr>
        <w:t xml:space="preserve"> (职务、职称)为全权代表，现正式递交下述文件参加贵方组织的本次政府采购活动： </w:t>
      </w:r>
    </w:p>
    <w:p w14:paraId="6C624CAB">
      <w:pPr>
        <w:pStyle w:val="17"/>
        <w:spacing w:line="440" w:lineRule="exact"/>
        <w:ind w:firstLine="420" w:firstLineChars="200"/>
        <w:rPr>
          <w:color w:val="auto"/>
        </w:rPr>
      </w:pPr>
      <w:r>
        <w:rPr>
          <w:rFonts w:hint="eastAsia"/>
          <w:color w:val="auto"/>
        </w:rPr>
        <w:t>一、报价文件电子版一份（包含按投标人须知前附表要求提交的全部文件）；</w:t>
      </w:r>
    </w:p>
    <w:p w14:paraId="5041AD74">
      <w:pPr>
        <w:pStyle w:val="17"/>
        <w:spacing w:line="440" w:lineRule="exact"/>
        <w:ind w:firstLine="482"/>
        <w:rPr>
          <w:color w:val="auto"/>
        </w:rPr>
      </w:pPr>
      <w:r>
        <w:rPr>
          <w:rFonts w:hint="eastAsia"/>
          <w:color w:val="auto"/>
        </w:rPr>
        <w:t>二、资格文件电子版一份（包含按投标人须知前附表要求提交的全部文件）；</w:t>
      </w:r>
    </w:p>
    <w:p w14:paraId="770F780D">
      <w:pPr>
        <w:pStyle w:val="17"/>
        <w:spacing w:line="440" w:lineRule="exact"/>
        <w:ind w:firstLine="482"/>
        <w:rPr>
          <w:color w:val="auto"/>
        </w:rPr>
      </w:pPr>
      <w:r>
        <w:rPr>
          <w:rFonts w:hint="eastAsia"/>
          <w:color w:val="auto"/>
        </w:rPr>
        <w:t>三、</w:t>
      </w:r>
      <w:r>
        <w:rPr>
          <w:rFonts w:hint="eastAsia" w:hAnsi="宋体"/>
          <w:color w:val="auto"/>
        </w:rPr>
        <w:t>技术</w:t>
      </w:r>
      <w:r>
        <w:rPr>
          <w:rFonts w:hint="eastAsia"/>
          <w:color w:val="auto"/>
        </w:rPr>
        <w:t>文件电子版一份（包含按投标人须知前附表要求提交的全部文件）；</w:t>
      </w:r>
    </w:p>
    <w:p w14:paraId="7EABFAF3">
      <w:pPr>
        <w:pStyle w:val="17"/>
        <w:spacing w:line="440" w:lineRule="exact"/>
        <w:ind w:firstLine="482"/>
        <w:rPr>
          <w:color w:val="auto"/>
        </w:rPr>
      </w:pPr>
      <w:r>
        <w:rPr>
          <w:rFonts w:hint="eastAsia" w:hAnsi="宋体"/>
          <w:color w:val="auto"/>
        </w:rPr>
        <w:t>四、</w:t>
      </w:r>
      <w:r>
        <w:rPr>
          <w:rFonts w:hint="eastAsia"/>
          <w:color w:val="auto"/>
        </w:rPr>
        <w:t>商务</w:t>
      </w:r>
      <w:r>
        <w:rPr>
          <w:rFonts w:hint="eastAsia" w:hAnsi="宋体"/>
          <w:color w:val="auto"/>
        </w:rPr>
        <w:t>文件</w:t>
      </w:r>
      <w:r>
        <w:rPr>
          <w:rFonts w:hint="eastAsia"/>
          <w:color w:val="auto"/>
        </w:rPr>
        <w:t>电子版一份（包含按投标人须知前附表要求提交的全部文件）；</w:t>
      </w:r>
    </w:p>
    <w:p w14:paraId="3C387DA1">
      <w:pPr>
        <w:pStyle w:val="17"/>
        <w:spacing w:line="440" w:lineRule="exact"/>
        <w:ind w:firstLine="482"/>
        <w:rPr>
          <w:rFonts w:ascii="Times New Roman" w:hAnsi="Times New Roman"/>
          <w:color w:val="auto"/>
        </w:rPr>
      </w:pPr>
      <w:r>
        <w:rPr>
          <w:rFonts w:hint="eastAsia"/>
          <w:color w:val="auto"/>
        </w:rPr>
        <w:t>据此函，签字人兹宣布：</w:t>
      </w:r>
    </w:p>
    <w:p w14:paraId="521D1D2E">
      <w:pPr>
        <w:pStyle w:val="17"/>
        <w:spacing w:line="440" w:lineRule="exact"/>
        <w:ind w:firstLine="420" w:firstLineChars="200"/>
        <w:rPr>
          <w:rFonts w:ascii="Times New Roman" w:hAnsi="Times New Roman"/>
          <w:color w:val="auto"/>
        </w:rPr>
      </w:pPr>
      <w:r>
        <w:rPr>
          <w:rFonts w:hint="eastAsia"/>
          <w:color w:val="auto"/>
        </w:rPr>
        <w:t>1、我方愿意以（大写）人民币</w:t>
      </w:r>
      <w:r>
        <w:rPr>
          <w:rFonts w:hint="eastAsia"/>
          <w:color w:val="auto"/>
          <w:u w:val="single"/>
        </w:rPr>
        <w:t xml:space="preserve">              </w:t>
      </w:r>
      <w:r>
        <w:rPr>
          <w:rFonts w:hint="eastAsia"/>
          <w:color w:val="auto"/>
        </w:rPr>
        <w:t>元 (￥</w:t>
      </w:r>
      <w:r>
        <w:rPr>
          <w:rFonts w:hint="eastAsia"/>
          <w:color w:val="auto"/>
          <w:u w:val="single"/>
        </w:rPr>
        <w:t xml:space="preserve">          </w:t>
      </w:r>
      <w:r>
        <w:rPr>
          <w:rFonts w:hint="eastAsia"/>
          <w:color w:val="auto"/>
        </w:rPr>
        <w:t>元)的投标总报价，提交货物成果时间（无分标时填写）</w:t>
      </w:r>
      <w:r>
        <w:rPr>
          <w:rFonts w:hint="eastAsia"/>
          <w:color w:val="auto"/>
          <w:u w:val="single"/>
        </w:rPr>
        <w:t xml:space="preserve">              </w:t>
      </w:r>
      <w:r>
        <w:rPr>
          <w:rFonts w:hint="eastAsia"/>
          <w:color w:val="auto"/>
        </w:rPr>
        <w:t>，提供本项目</w:t>
      </w:r>
      <w:r>
        <w:rPr>
          <w:rFonts w:hint="eastAsia" w:hAnsi="Times New Roman"/>
          <w:color w:val="auto"/>
        </w:rPr>
        <w:t>招标文件第二章</w:t>
      </w:r>
      <w:r>
        <w:rPr>
          <w:rFonts w:hint="eastAsia"/>
          <w:color w:val="auto"/>
        </w:rPr>
        <w:t>“货物需求”中的相应的采购内容。</w:t>
      </w:r>
    </w:p>
    <w:p w14:paraId="318CDBD4">
      <w:pPr>
        <w:pStyle w:val="17"/>
        <w:spacing w:line="440" w:lineRule="exact"/>
        <w:ind w:firstLine="420" w:firstLineChars="200"/>
        <w:rPr>
          <w:rFonts w:ascii="Times New Roman" w:hAnsi="Times New Roman"/>
          <w:color w:val="auto"/>
        </w:rPr>
      </w:pPr>
      <w:r>
        <w:rPr>
          <w:rFonts w:hint="eastAsia"/>
          <w:color w:val="auto"/>
        </w:rPr>
        <w:t>其中（有分标时填写）：</w:t>
      </w:r>
    </w:p>
    <w:p w14:paraId="1888B898">
      <w:pPr>
        <w:pStyle w:val="17"/>
        <w:spacing w:line="360" w:lineRule="exact"/>
        <w:ind w:firstLine="420" w:firstLineChars="200"/>
        <w:rPr>
          <w:color w:val="auto"/>
          <w:u w:val="single"/>
        </w:rPr>
      </w:pPr>
      <w:r>
        <w:rPr>
          <w:rFonts w:hint="eastAsia"/>
          <w:color w:val="auto"/>
          <w:u w:val="single"/>
        </w:rPr>
        <w:t xml:space="preserve">  </w:t>
      </w:r>
      <w:r>
        <w:rPr>
          <w:rFonts w:hint="eastAsia"/>
          <w:color w:val="auto"/>
        </w:rPr>
        <w:t>分标报价为（大写）人民币</w:t>
      </w:r>
      <w:r>
        <w:rPr>
          <w:rFonts w:hint="eastAsia"/>
          <w:color w:val="auto"/>
          <w:u w:val="single"/>
        </w:rPr>
        <w:t xml:space="preserve">              </w:t>
      </w:r>
      <w:r>
        <w:rPr>
          <w:rFonts w:hint="eastAsia"/>
          <w:color w:val="auto"/>
        </w:rPr>
        <w:t>元 (￥</w:t>
      </w:r>
      <w:r>
        <w:rPr>
          <w:rFonts w:hint="eastAsia"/>
          <w:color w:val="auto"/>
          <w:u w:val="single"/>
        </w:rPr>
        <w:t xml:space="preserve">          </w:t>
      </w:r>
      <w:r>
        <w:rPr>
          <w:rFonts w:hint="eastAsia"/>
          <w:color w:val="auto"/>
        </w:rPr>
        <w:t>元)，提交货物成果时间：</w:t>
      </w:r>
      <w:r>
        <w:rPr>
          <w:rFonts w:hint="eastAsia"/>
          <w:color w:val="auto"/>
          <w:u w:val="single"/>
        </w:rPr>
        <w:t xml:space="preserve">          </w:t>
      </w:r>
      <w:r>
        <w:rPr>
          <w:rFonts w:hint="eastAsia"/>
          <w:color w:val="auto"/>
        </w:rPr>
        <w:t>；</w:t>
      </w:r>
    </w:p>
    <w:p w14:paraId="7708892B">
      <w:pPr>
        <w:pStyle w:val="17"/>
        <w:spacing w:line="360" w:lineRule="exact"/>
        <w:ind w:firstLine="420" w:firstLineChars="200"/>
        <w:rPr>
          <w:color w:val="auto"/>
          <w:u w:val="single"/>
        </w:rPr>
      </w:pPr>
      <w:r>
        <w:rPr>
          <w:rFonts w:hint="eastAsia"/>
          <w:color w:val="auto"/>
          <w:u w:val="single"/>
        </w:rPr>
        <w:t xml:space="preserve">  </w:t>
      </w:r>
      <w:r>
        <w:rPr>
          <w:rFonts w:hint="eastAsia"/>
          <w:color w:val="auto"/>
        </w:rPr>
        <w:t>分标报价为（大写）人民币</w:t>
      </w:r>
      <w:r>
        <w:rPr>
          <w:rFonts w:hint="eastAsia"/>
          <w:color w:val="auto"/>
          <w:u w:val="single"/>
        </w:rPr>
        <w:t xml:space="preserve">              </w:t>
      </w:r>
      <w:r>
        <w:rPr>
          <w:rFonts w:hint="eastAsia"/>
          <w:color w:val="auto"/>
        </w:rPr>
        <w:t>元 (￥</w:t>
      </w:r>
      <w:r>
        <w:rPr>
          <w:rFonts w:hint="eastAsia"/>
          <w:color w:val="auto"/>
          <w:u w:val="single"/>
        </w:rPr>
        <w:t xml:space="preserve">          </w:t>
      </w:r>
      <w:r>
        <w:rPr>
          <w:rFonts w:hint="eastAsia"/>
          <w:color w:val="auto"/>
        </w:rPr>
        <w:t>元)，提交货物成果时间：</w:t>
      </w:r>
      <w:r>
        <w:rPr>
          <w:rFonts w:hint="eastAsia"/>
          <w:color w:val="auto"/>
          <w:u w:val="single"/>
        </w:rPr>
        <w:t xml:space="preserve">          </w:t>
      </w:r>
      <w:r>
        <w:rPr>
          <w:rFonts w:hint="eastAsia"/>
          <w:color w:val="auto"/>
        </w:rPr>
        <w:t>；</w:t>
      </w:r>
    </w:p>
    <w:p w14:paraId="52F19F60">
      <w:pPr>
        <w:pStyle w:val="17"/>
        <w:spacing w:line="360" w:lineRule="exact"/>
        <w:ind w:firstLine="420" w:firstLineChars="200"/>
        <w:rPr>
          <w:color w:val="auto"/>
          <w:u w:val="single"/>
        </w:rPr>
      </w:pPr>
      <w:r>
        <w:rPr>
          <w:rFonts w:hint="eastAsia"/>
          <w:color w:val="auto"/>
        </w:rPr>
        <w:t>......</w:t>
      </w:r>
    </w:p>
    <w:p w14:paraId="2F2C48B4">
      <w:pPr>
        <w:pStyle w:val="17"/>
        <w:spacing w:line="360" w:lineRule="exact"/>
        <w:ind w:firstLine="420" w:firstLineChars="200"/>
        <w:rPr>
          <w:color w:val="auto"/>
          <w:u w:val="single"/>
        </w:rPr>
      </w:pPr>
      <w:r>
        <w:rPr>
          <w:rFonts w:hint="eastAsia"/>
          <w:color w:val="auto"/>
        </w:rPr>
        <w:t>2、我方同意自本项目招标文件“第三章 投标人须知”第一节 投标人须知前附表 第21.2项规定的投标截止时间（开标时间）起遵循</w:t>
      </w:r>
      <w:r>
        <w:rPr>
          <w:rFonts w:hint="eastAsia" w:hAnsi="宋体"/>
          <w:color w:val="auto"/>
        </w:rPr>
        <w:t>本投标函</w:t>
      </w:r>
      <w:r>
        <w:rPr>
          <w:rFonts w:hint="eastAsia"/>
          <w:color w:val="auto"/>
        </w:rPr>
        <w:t>，并承诺在“投标人须知前附表”第17.2项规定的投标有效期内不修改、撤销投标文件。</w:t>
      </w:r>
    </w:p>
    <w:p w14:paraId="58BE0D2E">
      <w:pPr>
        <w:pStyle w:val="17"/>
        <w:spacing w:line="360" w:lineRule="exact"/>
        <w:ind w:firstLine="420" w:firstLineChars="200"/>
        <w:rPr>
          <w:color w:val="auto"/>
          <w:u w:val="single"/>
        </w:rPr>
      </w:pPr>
      <w:r>
        <w:rPr>
          <w:rFonts w:hint="eastAsia"/>
          <w:color w:val="auto"/>
        </w:rPr>
        <w:t>3、我方所递交的投标文件及有关资料都是内容完整、真实和准确的。</w:t>
      </w:r>
    </w:p>
    <w:p w14:paraId="0FE78966">
      <w:pPr>
        <w:pStyle w:val="17"/>
        <w:spacing w:line="360" w:lineRule="exact"/>
        <w:ind w:firstLine="420" w:firstLineChars="200"/>
        <w:rPr>
          <w:color w:val="auto"/>
          <w:u w:val="single"/>
        </w:rPr>
      </w:pPr>
      <w:r>
        <w:rPr>
          <w:rFonts w:hint="eastAsia"/>
          <w:color w:val="auto"/>
        </w:rPr>
        <w:t>4、我方承诺未被列入失信被执行人、重大税收违法案件当事人名单、政府采购严重违法失信行为记录名单，并已经具备《中华人民共和国政府采购法》中规定的参加政府采购活动的供应商应当具备的条件：</w:t>
      </w:r>
    </w:p>
    <w:p w14:paraId="74348751">
      <w:pPr>
        <w:pStyle w:val="17"/>
        <w:numPr>
          <w:ilvl w:val="0"/>
          <w:numId w:val="3"/>
        </w:numPr>
        <w:spacing w:line="440" w:lineRule="exact"/>
        <w:rPr>
          <w:color w:val="auto"/>
        </w:rPr>
      </w:pPr>
      <w:r>
        <w:rPr>
          <w:rFonts w:hint="eastAsia"/>
          <w:color w:val="auto"/>
        </w:rPr>
        <w:t>具有独立承担民事责任的能力；</w:t>
      </w:r>
    </w:p>
    <w:p w14:paraId="75A127DA">
      <w:pPr>
        <w:pStyle w:val="17"/>
        <w:numPr>
          <w:ilvl w:val="0"/>
          <w:numId w:val="3"/>
        </w:numPr>
        <w:spacing w:line="440" w:lineRule="exact"/>
        <w:rPr>
          <w:color w:val="auto"/>
        </w:rPr>
      </w:pPr>
      <w:r>
        <w:rPr>
          <w:rFonts w:hint="eastAsia"/>
          <w:color w:val="auto"/>
        </w:rPr>
        <w:t>具有良好的商业信誉和健全的财务会计制度；</w:t>
      </w:r>
    </w:p>
    <w:p w14:paraId="75C56AFC">
      <w:pPr>
        <w:pStyle w:val="17"/>
        <w:numPr>
          <w:ilvl w:val="0"/>
          <w:numId w:val="3"/>
        </w:numPr>
        <w:spacing w:line="440" w:lineRule="exact"/>
        <w:rPr>
          <w:color w:val="auto"/>
        </w:rPr>
      </w:pPr>
      <w:r>
        <w:rPr>
          <w:rFonts w:hint="eastAsia"/>
          <w:color w:val="auto"/>
        </w:rPr>
        <w:t>具有履行合同所必需的设备和专业技术能力；</w:t>
      </w:r>
    </w:p>
    <w:p w14:paraId="0F8B2D7B">
      <w:pPr>
        <w:pStyle w:val="17"/>
        <w:numPr>
          <w:ilvl w:val="0"/>
          <w:numId w:val="3"/>
        </w:numPr>
        <w:spacing w:line="440" w:lineRule="exact"/>
        <w:rPr>
          <w:color w:val="auto"/>
        </w:rPr>
      </w:pPr>
      <w:r>
        <w:rPr>
          <w:rFonts w:hint="eastAsia"/>
          <w:color w:val="auto"/>
        </w:rPr>
        <w:t>有依法缴纳税收和社会保障资金的良好记录；</w:t>
      </w:r>
    </w:p>
    <w:p w14:paraId="5D9935C2">
      <w:pPr>
        <w:pStyle w:val="17"/>
        <w:numPr>
          <w:ilvl w:val="0"/>
          <w:numId w:val="3"/>
        </w:numPr>
        <w:spacing w:line="440" w:lineRule="exact"/>
        <w:rPr>
          <w:color w:val="auto"/>
        </w:rPr>
      </w:pPr>
      <w:r>
        <w:rPr>
          <w:rFonts w:hint="eastAsia"/>
          <w:color w:val="auto"/>
        </w:rPr>
        <w:t>参加政府采购活动前三年内，在经营活动中没有重大违法记录；</w:t>
      </w:r>
    </w:p>
    <w:p w14:paraId="7699FA03">
      <w:pPr>
        <w:pStyle w:val="17"/>
        <w:numPr>
          <w:ilvl w:val="0"/>
          <w:numId w:val="3"/>
        </w:numPr>
        <w:spacing w:line="440" w:lineRule="exact"/>
        <w:rPr>
          <w:color w:val="auto"/>
        </w:rPr>
      </w:pPr>
      <w:r>
        <w:rPr>
          <w:rFonts w:hint="eastAsia"/>
          <w:color w:val="auto"/>
        </w:rPr>
        <w:t>法律、行政法规规定的其他条件。</w:t>
      </w:r>
    </w:p>
    <w:p w14:paraId="0C3A9AE0">
      <w:pPr>
        <w:pStyle w:val="17"/>
        <w:spacing w:line="440" w:lineRule="exact"/>
        <w:ind w:firstLine="482"/>
        <w:rPr>
          <w:color w:val="auto"/>
        </w:rPr>
      </w:pPr>
      <w:r>
        <w:rPr>
          <w:rFonts w:hint="eastAsia"/>
          <w:color w:val="auto"/>
        </w:rPr>
        <w:t>5、</w:t>
      </w:r>
      <w:r>
        <w:rPr>
          <w:rFonts w:hint="eastAsia"/>
          <w:color w:val="auto"/>
          <w:szCs w:val="21"/>
        </w:rPr>
        <w:t>如本项目采购内容涉及须符合国家强制规定的，我方承诺我方本次投标（包括资格条件和所投产品）均符合国家有关强制规定。</w:t>
      </w:r>
    </w:p>
    <w:p w14:paraId="3D7606CC">
      <w:pPr>
        <w:pStyle w:val="17"/>
        <w:spacing w:line="440" w:lineRule="exact"/>
        <w:ind w:firstLine="420" w:firstLineChars="200"/>
        <w:rPr>
          <w:color w:val="auto"/>
        </w:rPr>
      </w:pPr>
      <w:r>
        <w:rPr>
          <w:rFonts w:hint="eastAsia"/>
          <w:color w:val="auto"/>
        </w:rPr>
        <w:t>6、如我方中标，我方承诺在收到中标通知书后，在中标通知书规定的期限内，</w:t>
      </w:r>
      <w:r>
        <w:rPr>
          <w:rFonts w:hint="eastAsia" w:hAnsi="宋体"/>
          <w:color w:val="auto"/>
        </w:rPr>
        <w:t>根据招标文件、我方的投标文件及有关澄清承诺书的要求按第五章“拟签订的合同文本”与采购人订立书面合同，并按照合同约定</w:t>
      </w:r>
      <w:r>
        <w:rPr>
          <w:rFonts w:hint="eastAsia"/>
          <w:color w:val="auto"/>
        </w:rPr>
        <w:t>承担完成合同的责任和义务。</w:t>
      </w:r>
    </w:p>
    <w:p w14:paraId="137C48EA">
      <w:pPr>
        <w:pStyle w:val="17"/>
        <w:spacing w:line="440" w:lineRule="exact"/>
        <w:ind w:firstLine="420" w:firstLineChars="200"/>
        <w:rPr>
          <w:color w:val="auto"/>
        </w:rPr>
      </w:pPr>
      <w:r>
        <w:rPr>
          <w:rFonts w:hint="eastAsia"/>
          <w:color w:val="auto"/>
        </w:rPr>
        <w:t>7、我方已详细审核招标文件，我方知道必须放弃提出含糊不清或误解问题的权利。</w:t>
      </w:r>
    </w:p>
    <w:p w14:paraId="77C7877D">
      <w:pPr>
        <w:pStyle w:val="17"/>
        <w:spacing w:line="440" w:lineRule="exact"/>
        <w:ind w:firstLine="420" w:firstLineChars="200"/>
        <w:rPr>
          <w:color w:val="auto"/>
        </w:rPr>
      </w:pPr>
      <w:r>
        <w:rPr>
          <w:rFonts w:hint="eastAsia"/>
          <w:color w:val="auto"/>
        </w:rPr>
        <w:t>8、我方同意应贵方要求提供与本投标有关的任何数据或资料。若贵方需要，我方愿意提供我方作出的一切承诺的证明材料。</w:t>
      </w:r>
    </w:p>
    <w:p w14:paraId="77872D9C">
      <w:pPr>
        <w:pStyle w:val="17"/>
        <w:spacing w:line="440" w:lineRule="exact"/>
        <w:ind w:firstLine="420" w:firstLineChars="200"/>
        <w:rPr>
          <w:color w:val="auto"/>
        </w:rPr>
      </w:pPr>
      <w:r>
        <w:rPr>
          <w:rFonts w:hint="eastAsia"/>
          <w:color w:val="auto"/>
        </w:rPr>
        <w:t>9、我方完全理解贵方不一定接受投标报价最低的投标人为中标供应商的行为。</w:t>
      </w:r>
    </w:p>
    <w:p w14:paraId="4E6C2075">
      <w:pPr>
        <w:pStyle w:val="17"/>
        <w:spacing w:line="440" w:lineRule="exact"/>
        <w:ind w:firstLine="420" w:firstLineChars="200"/>
        <w:rPr>
          <w:color w:val="auto"/>
        </w:rPr>
      </w:pPr>
      <w:r>
        <w:rPr>
          <w:rFonts w:hint="eastAsia"/>
          <w:color w:val="auto"/>
        </w:rPr>
        <w:t>10、我方将严格遵守《中华人民共和国政府采购法》第七十七条的规定，即供应商有下列情形之一的，处以采购金额千分之五以上千分之十</w:t>
      </w:r>
      <w:r>
        <w:rPr>
          <w:rFonts w:hint="eastAsia" w:hAnsi="宋体"/>
          <w:color w:val="auto"/>
        </w:rPr>
        <w:t>以下的罚款，列入不良行为记录名单，在一至三年内禁止参加政府采购活动，有违法所得的，并处没收违法所得，情节严重的，由工商行政管理机关吊销营业执照；构成犯罪的，依法追究刑事责任：</w:t>
      </w:r>
    </w:p>
    <w:p w14:paraId="5E6F6FF1">
      <w:pPr>
        <w:pStyle w:val="17"/>
        <w:numPr>
          <w:ilvl w:val="0"/>
          <w:numId w:val="4"/>
        </w:numPr>
        <w:tabs>
          <w:tab w:val="left" w:pos="1140"/>
        </w:tabs>
        <w:spacing w:line="440" w:lineRule="exact"/>
        <w:rPr>
          <w:rFonts w:hAnsi="宋体"/>
          <w:color w:val="auto"/>
        </w:rPr>
      </w:pPr>
      <w:r>
        <w:rPr>
          <w:rFonts w:hint="eastAsia" w:hAnsi="宋体"/>
          <w:color w:val="auto"/>
        </w:rPr>
        <w:t>提供虚假材料谋取中标、成交的；</w:t>
      </w:r>
    </w:p>
    <w:p w14:paraId="0DADE97B">
      <w:pPr>
        <w:pStyle w:val="17"/>
        <w:numPr>
          <w:ilvl w:val="0"/>
          <w:numId w:val="4"/>
        </w:numPr>
        <w:tabs>
          <w:tab w:val="left" w:pos="1140"/>
        </w:tabs>
        <w:spacing w:line="440" w:lineRule="exact"/>
        <w:rPr>
          <w:rFonts w:hAnsi="宋体"/>
          <w:color w:val="auto"/>
        </w:rPr>
      </w:pPr>
      <w:r>
        <w:rPr>
          <w:rFonts w:hint="eastAsia" w:hAnsi="宋体"/>
          <w:color w:val="auto"/>
        </w:rPr>
        <w:t>采取不正当手段诋毁、排挤其他供应商的；</w:t>
      </w:r>
    </w:p>
    <w:p w14:paraId="5A38EA03">
      <w:pPr>
        <w:pStyle w:val="17"/>
        <w:numPr>
          <w:ilvl w:val="0"/>
          <w:numId w:val="4"/>
        </w:numPr>
        <w:tabs>
          <w:tab w:val="left" w:pos="1140"/>
        </w:tabs>
        <w:spacing w:line="440" w:lineRule="exact"/>
        <w:rPr>
          <w:color w:val="auto"/>
        </w:rPr>
      </w:pPr>
      <w:r>
        <w:rPr>
          <w:rFonts w:hint="eastAsia" w:hAnsi="宋体"/>
          <w:color w:val="auto"/>
        </w:rPr>
        <w:t>与采购人、其他供应商或者采购代理机构恶意串通的；</w:t>
      </w:r>
    </w:p>
    <w:p w14:paraId="59BADF49">
      <w:pPr>
        <w:pStyle w:val="17"/>
        <w:numPr>
          <w:ilvl w:val="0"/>
          <w:numId w:val="4"/>
        </w:numPr>
        <w:tabs>
          <w:tab w:val="left" w:pos="1140"/>
        </w:tabs>
        <w:spacing w:line="440" w:lineRule="exact"/>
        <w:rPr>
          <w:color w:val="auto"/>
        </w:rPr>
      </w:pPr>
      <w:r>
        <w:rPr>
          <w:rFonts w:hint="eastAsia" w:hAnsi="宋体"/>
          <w:color w:val="auto"/>
        </w:rPr>
        <w:t>向采购人、采购代理机构行贿或者提供其他不正当利益的；</w:t>
      </w:r>
    </w:p>
    <w:p w14:paraId="32F60D9B">
      <w:pPr>
        <w:pStyle w:val="17"/>
        <w:numPr>
          <w:ilvl w:val="0"/>
          <w:numId w:val="4"/>
        </w:numPr>
        <w:tabs>
          <w:tab w:val="left" w:pos="1140"/>
        </w:tabs>
        <w:spacing w:line="440" w:lineRule="exact"/>
        <w:rPr>
          <w:color w:val="auto"/>
        </w:rPr>
      </w:pPr>
      <w:r>
        <w:rPr>
          <w:rFonts w:hint="eastAsia" w:hAnsi="宋体"/>
          <w:color w:val="auto"/>
        </w:rPr>
        <w:t>在招标采购过程中与采购人进行协商谈判的；</w:t>
      </w:r>
    </w:p>
    <w:p w14:paraId="6342B1C3">
      <w:pPr>
        <w:pStyle w:val="17"/>
        <w:numPr>
          <w:ilvl w:val="0"/>
          <w:numId w:val="4"/>
        </w:numPr>
        <w:tabs>
          <w:tab w:val="left" w:pos="1140"/>
        </w:tabs>
        <w:spacing w:line="440" w:lineRule="exact"/>
        <w:rPr>
          <w:color w:val="auto"/>
        </w:rPr>
      </w:pPr>
      <w:r>
        <w:rPr>
          <w:rFonts w:hint="eastAsia" w:hAnsi="宋体"/>
          <w:color w:val="auto"/>
        </w:rPr>
        <w:t>拒绝有关部门监督检查或提供虚假情况的。</w:t>
      </w:r>
    </w:p>
    <w:p w14:paraId="5D9FD50E">
      <w:pPr>
        <w:pStyle w:val="17"/>
        <w:spacing w:line="440" w:lineRule="exact"/>
        <w:ind w:left="420"/>
        <w:rPr>
          <w:color w:val="auto"/>
        </w:rPr>
      </w:pPr>
      <w:r>
        <w:rPr>
          <w:rFonts w:hint="eastAsia"/>
          <w:color w:val="auto"/>
        </w:rPr>
        <w:t>11、我方及由本人担任法定代表人的其他机构最近三年内被处罚的违法行为有：</w:t>
      </w:r>
      <w:r>
        <w:rPr>
          <w:rFonts w:hint="eastAsia"/>
          <w:color w:val="auto"/>
          <w:u w:val="single"/>
        </w:rPr>
        <w:t xml:space="preserve">                                        </w:t>
      </w:r>
    </w:p>
    <w:p w14:paraId="6A29F988">
      <w:pPr>
        <w:pStyle w:val="17"/>
        <w:spacing w:line="440" w:lineRule="exact"/>
        <w:ind w:left="420"/>
        <w:rPr>
          <w:color w:val="auto"/>
        </w:rPr>
      </w:pPr>
      <w:r>
        <w:rPr>
          <w:rFonts w:hint="eastAsia"/>
          <w:color w:val="auto"/>
          <w:u w:val="single"/>
        </w:rPr>
        <w:t xml:space="preserve">                                                                                                                        </w:t>
      </w:r>
    </w:p>
    <w:p w14:paraId="0C5757F6">
      <w:pPr>
        <w:pStyle w:val="17"/>
        <w:spacing w:line="360" w:lineRule="auto"/>
        <w:ind w:firstLine="420"/>
        <w:rPr>
          <w:color w:val="auto"/>
        </w:rPr>
      </w:pPr>
      <w:r>
        <w:rPr>
          <w:rFonts w:hint="eastAsia"/>
          <w:color w:val="auto"/>
        </w:rPr>
        <w:t>12、以上事项如有虚假或隐瞒，我方愿意承担一切后果，并不再寻求任何旨在减轻或免除法律责任的辩解。</w:t>
      </w:r>
    </w:p>
    <w:p w14:paraId="04141770">
      <w:pPr>
        <w:pStyle w:val="17"/>
        <w:spacing w:line="360" w:lineRule="auto"/>
        <w:ind w:firstLine="420"/>
        <w:rPr>
          <w:color w:val="auto"/>
        </w:rPr>
      </w:pPr>
      <w:r>
        <w:rPr>
          <w:rFonts w:hint="eastAsia"/>
          <w:color w:val="auto"/>
        </w:rPr>
        <w:t>13、与本投标有关的一切正式往来信函请寄：</w:t>
      </w:r>
      <w:r>
        <w:rPr>
          <w:rFonts w:hint="eastAsia"/>
          <w:color w:val="auto"/>
          <w:u w:val="single"/>
        </w:rPr>
        <w:t xml:space="preserve"> </w:t>
      </w:r>
    </w:p>
    <w:p w14:paraId="5CF8F0DF">
      <w:pPr>
        <w:pStyle w:val="17"/>
        <w:spacing w:line="360" w:lineRule="auto"/>
        <w:ind w:firstLine="420"/>
        <w:rPr>
          <w:color w:val="auto"/>
        </w:rPr>
      </w:pPr>
      <w:r>
        <w:rPr>
          <w:rFonts w:hint="eastAsia"/>
          <w:color w:val="auto"/>
        </w:rPr>
        <w:t>地址：</w:t>
      </w:r>
      <w:r>
        <w:rPr>
          <w:rFonts w:hint="eastAsia"/>
          <w:color w:val="auto"/>
          <w:u w:val="single"/>
        </w:rPr>
        <w:t xml:space="preserve">                                                        </w:t>
      </w:r>
      <w:r>
        <w:rPr>
          <w:rFonts w:hint="eastAsia"/>
          <w:color w:val="auto"/>
        </w:rPr>
        <w:t xml:space="preserve"> </w:t>
      </w:r>
    </w:p>
    <w:p w14:paraId="1CE1DE62">
      <w:pPr>
        <w:pStyle w:val="17"/>
        <w:spacing w:line="360" w:lineRule="auto"/>
        <w:ind w:firstLine="420"/>
        <w:rPr>
          <w:color w:val="auto"/>
          <w:u w:val="single"/>
        </w:rPr>
      </w:pPr>
      <w:r>
        <w:rPr>
          <w:rFonts w:hint="eastAsia"/>
          <w:color w:val="auto"/>
        </w:rPr>
        <w:t>电话：</w:t>
      </w:r>
      <w:r>
        <w:rPr>
          <w:rFonts w:hint="eastAsia"/>
          <w:color w:val="auto"/>
          <w:u w:val="single"/>
        </w:rPr>
        <w:t xml:space="preserve">                                      　　　　　　　　　</w:t>
      </w:r>
    </w:p>
    <w:p w14:paraId="45EA12D3">
      <w:pPr>
        <w:pStyle w:val="17"/>
        <w:spacing w:line="360" w:lineRule="auto"/>
        <w:ind w:firstLine="420"/>
        <w:rPr>
          <w:color w:val="auto"/>
        </w:rPr>
      </w:pPr>
      <w:r>
        <w:rPr>
          <w:rFonts w:hint="eastAsia"/>
          <w:color w:val="auto"/>
        </w:rPr>
        <w:t>传真：</w:t>
      </w:r>
      <w:r>
        <w:rPr>
          <w:rFonts w:hint="eastAsia"/>
          <w:color w:val="auto"/>
          <w:u w:val="single"/>
        </w:rPr>
        <w:t>　　　　　　　　　　　　　　　　　　　　　　　　　　　　</w:t>
      </w:r>
    </w:p>
    <w:p w14:paraId="7BA6F8D9">
      <w:pPr>
        <w:pStyle w:val="17"/>
        <w:spacing w:line="360" w:lineRule="auto"/>
        <w:ind w:firstLine="420"/>
        <w:rPr>
          <w:color w:val="auto"/>
          <w:u w:val="single"/>
        </w:rPr>
      </w:pPr>
      <w:r>
        <w:rPr>
          <w:rFonts w:hint="eastAsia"/>
          <w:color w:val="auto"/>
        </w:rPr>
        <w:t>邮政编码：</w:t>
      </w:r>
      <w:r>
        <w:rPr>
          <w:rFonts w:hint="eastAsia"/>
          <w:color w:val="auto"/>
          <w:u w:val="single"/>
        </w:rPr>
        <w:t xml:space="preserve">                                                    </w:t>
      </w:r>
    </w:p>
    <w:p w14:paraId="057221B4">
      <w:pPr>
        <w:pStyle w:val="17"/>
        <w:spacing w:line="360" w:lineRule="auto"/>
        <w:ind w:firstLine="420"/>
        <w:rPr>
          <w:color w:val="auto"/>
          <w:u w:val="single"/>
        </w:rPr>
      </w:pPr>
      <w:r>
        <w:rPr>
          <w:rFonts w:hint="eastAsia"/>
          <w:color w:val="auto"/>
        </w:rPr>
        <w:t>开户名称：</w:t>
      </w:r>
      <w:r>
        <w:rPr>
          <w:rFonts w:hint="eastAsia"/>
          <w:color w:val="auto"/>
          <w:u w:val="single"/>
        </w:rPr>
        <w:t xml:space="preserve">                                                    </w:t>
      </w:r>
    </w:p>
    <w:p w14:paraId="6AEF63A5">
      <w:pPr>
        <w:pStyle w:val="17"/>
        <w:spacing w:line="360" w:lineRule="auto"/>
        <w:ind w:firstLine="420"/>
        <w:rPr>
          <w:color w:val="auto"/>
          <w:u w:val="single"/>
        </w:rPr>
      </w:pPr>
      <w:r>
        <w:rPr>
          <w:rFonts w:hint="eastAsia"/>
          <w:color w:val="auto"/>
        </w:rPr>
        <w:t>开户银行：</w:t>
      </w:r>
      <w:r>
        <w:rPr>
          <w:rFonts w:hint="eastAsia"/>
          <w:color w:val="auto"/>
          <w:u w:val="single"/>
        </w:rPr>
        <w:t xml:space="preserve">                                                    </w:t>
      </w:r>
    </w:p>
    <w:p w14:paraId="4E554A99">
      <w:pPr>
        <w:pStyle w:val="17"/>
        <w:spacing w:line="360" w:lineRule="auto"/>
        <w:ind w:firstLine="420"/>
        <w:rPr>
          <w:color w:val="auto"/>
          <w:u w:val="single"/>
        </w:rPr>
      </w:pPr>
      <w:r>
        <w:rPr>
          <w:rFonts w:hint="eastAsia"/>
          <w:color w:val="auto"/>
        </w:rPr>
        <w:t>银行账号：</w:t>
      </w:r>
      <w:r>
        <w:rPr>
          <w:rFonts w:hint="eastAsia"/>
          <w:color w:val="auto"/>
          <w:u w:val="single"/>
        </w:rPr>
        <w:t xml:space="preserve">                                                    </w:t>
      </w:r>
    </w:p>
    <w:p w14:paraId="70E63FB1">
      <w:pPr>
        <w:snapToGrid w:val="0"/>
        <w:spacing w:line="360" w:lineRule="auto"/>
        <w:ind w:firstLine="5040" w:firstLineChars="21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投标人名称(电子签章)：</w:t>
      </w:r>
    </w:p>
    <w:p w14:paraId="7F83F19D">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17427B66">
      <w:pPr>
        <w:snapToGrid w:val="0"/>
        <w:spacing w:line="360" w:lineRule="auto"/>
        <w:ind w:firstLine="5160" w:firstLineChars="2150"/>
        <w:rPr>
          <w:rFonts w:ascii="仿宋_GB2312" w:hAnsi="仿宋" w:eastAsia="仿宋_GB2312" w:cs="仿宋_GB2312"/>
          <w:color w:val="auto"/>
          <w:kern w:val="0"/>
          <w:sz w:val="24"/>
          <w:lang w:val="zh-CN"/>
        </w:rPr>
        <w:sectPr>
          <w:pgSz w:w="11906" w:h="16838"/>
          <w:pgMar w:top="1134" w:right="1134" w:bottom="1134" w:left="1134" w:header="720" w:footer="720" w:gutter="0"/>
          <w:cols w:space="720" w:num="1"/>
          <w:docGrid w:type="lines" w:linePitch="331" w:charSpace="0"/>
        </w:sectPr>
      </w:pPr>
    </w:p>
    <w:p w14:paraId="3D785BAF">
      <w:pPr>
        <w:pStyle w:val="17"/>
        <w:spacing w:line="360" w:lineRule="auto"/>
        <w:jc w:val="center"/>
        <w:rPr>
          <w:b/>
          <w:color w:val="auto"/>
          <w:sz w:val="30"/>
          <w:szCs w:val="30"/>
        </w:rPr>
      </w:pPr>
      <w:r>
        <w:rPr>
          <w:rFonts w:hint="eastAsia" w:hAnsi="宋体"/>
          <w:color w:val="auto"/>
          <w:sz w:val="30"/>
        </w:rPr>
        <w:t>二、</w:t>
      </w:r>
      <w:r>
        <w:rPr>
          <w:rFonts w:hint="eastAsia"/>
          <w:b/>
          <w:color w:val="auto"/>
          <w:sz w:val="30"/>
          <w:szCs w:val="30"/>
        </w:rPr>
        <w:t>开标一览表</w:t>
      </w:r>
      <w:r>
        <w:rPr>
          <w:rFonts w:hint="eastAsia" w:ascii="仿宋_GB2312" w:hAnsi="仿宋" w:eastAsia="仿宋_GB2312" w:cs="仿宋_GB2312"/>
          <w:b/>
          <w:color w:val="auto"/>
          <w:kern w:val="0"/>
          <w:sz w:val="24"/>
          <w:lang w:val="zh-CN"/>
        </w:rPr>
        <w:t>(单位均为人民币元)</w:t>
      </w:r>
    </w:p>
    <w:p w14:paraId="1E7C1994">
      <w:pPr>
        <w:snapToGrid w:val="0"/>
        <w:spacing w:before="50" w:after="50" w:line="360" w:lineRule="auto"/>
        <w:rPr>
          <w:rFonts w:ascii="宋体" w:hAnsi="宋体"/>
          <w:color w:val="auto"/>
          <w:sz w:val="24"/>
          <w:u w:val="single"/>
        </w:rPr>
      </w:pPr>
      <w:r>
        <w:rPr>
          <w:rFonts w:hint="eastAsia" w:ascii="宋体" w:hAnsi="宋体"/>
          <w:color w:val="auto"/>
          <w:sz w:val="24"/>
        </w:rPr>
        <w:t>项目名称：</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项目编号：</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分标：</w:t>
      </w:r>
      <w:r>
        <w:rPr>
          <w:rFonts w:hint="eastAsia" w:ascii="宋体" w:hAnsi="宋体"/>
          <w:color w:val="auto"/>
          <w:sz w:val="24"/>
          <w:u w:val="single"/>
        </w:rPr>
        <w:t xml:space="preserve">           </w:t>
      </w:r>
    </w:p>
    <w:p w14:paraId="52E9D1BE">
      <w:pPr>
        <w:pStyle w:val="17"/>
        <w:spacing w:line="360" w:lineRule="auto"/>
        <w:rPr>
          <w:b/>
          <w:color w:val="auto"/>
          <w:sz w:val="32"/>
        </w:rPr>
      </w:pPr>
      <w:r>
        <w:rPr>
          <w:rFonts w:hint="eastAsia" w:hAnsi="宋体"/>
          <w:color w:val="auto"/>
          <w:sz w:val="24"/>
        </w:rPr>
        <w:t>投标人名称：</w:t>
      </w:r>
      <w:r>
        <w:rPr>
          <w:rFonts w:hint="eastAsia" w:hAnsi="宋体"/>
          <w:color w:val="auto"/>
          <w:sz w:val="24"/>
          <w:u w:val="single"/>
        </w:rPr>
        <w:t xml:space="preserve">                     </w:t>
      </w:r>
      <w:r>
        <w:rPr>
          <w:rFonts w:hint="eastAsia" w:hAnsi="宋体"/>
          <w:color w:val="auto"/>
          <w:sz w:val="24"/>
        </w:rPr>
        <w:t xml:space="preserve">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0D015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3F1A6B71">
            <w:pPr>
              <w:rPr>
                <w:rFonts w:ascii="宋体" w:hAnsi="宋体"/>
                <w:color w:val="auto"/>
                <w:szCs w:val="22"/>
              </w:rPr>
            </w:pPr>
            <w:r>
              <w:rPr>
                <w:rFonts w:hint="eastAsia" w:ascii="宋体" w:hAnsi="宋体"/>
                <w:color w:val="auto"/>
                <w:szCs w:val="22"/>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6DB46F07">
            <w:pPr>
              <w:rPr>
                <w:rFonts w:ascii="宋体" w:hAnsi="宋体"/>
                <w:color w:val="auto"/>
                <w:szCs w:val="22"/>
              </w:rPr>
            </w:pPr>
            <w:r>
              <w:rPr>
                <w:rFonts w:hint="eastAsia" w:ascii="宋体" w:hAnsi="宋体"/>
                <w:color w:val="auto"/>
                <w:szCs w:val="22"/>
              </w:rPr>
              <w:t>货物名称</w:t>
            </w:r>
          </w:p>
        </w:tc>
        <w:tc>
          <w:tcPr>
            <w:tcW w:w="2064" w:type="dxa"/>
            <w:tcBorders>
              <w:top w:val="single" w:color="auto" w:sz="4" w:space="0"/>
              <w:left w:val="single" w:color="auto" w:sz="4" w:space="0"/>
              <w:bottom w:val="single" w:color="auto" w:sz="4" w:space="0"/>
              <w:right w:val="single" w:color="auto" w:sz="4" w:space="0"/>
            </w:tcBorders>
            <w:vAlign w:val="center"/>
          </w:tcPr>
          <w:p w14:paraId="7105D509">
            <w:pPr>
              <w:jc w:val="center"/>
              <w:rPr>
                <w:rFonts w:ascii="宋体" w:hAnsi="宋体"/>
                <w:color w:val="auto"/>
                <w:szCs w:val="22"/>
              </w:rPr>
            </w:pPr>
            <w:r>
              <w:rPr>
                <w:rFonts w:hint="eastAsia" w:ascii="宋体" w:hAnsi="宋体"/>
                <w:color w:val="auto"/>
                <w:szCs w:val="22"/>
              </w:rPr>
              <w:t>具体货物内容</w:t>
            </w:r>
          </w:p>
        </w:tc>
        <w:tc>
          <w:tcPr>
            <w:tcW w:w="1080" w:type="dxa"/>
            <w:tcBorders>
              <w:top w:val="single" w:color="auto" w:sz="4" w:space="0"/>
              <w:left w:val="single" w:color="auto" w:sz="4" w:space="0"/>
              <w:bottom w:val="single" w:color="auto" w:sz="4" w:space="0"/>
              <w:right w:val="single" w:color="auto" w:sz="4" w:space="0"/>
            </w:tcBorders>
            <w:vAlign w:val="center"/>
          </w:tcPr>
          <w:p w14:paraId="5A2F13BB">
            <w:pPr>
              <w:jc w:val="center"/>
              <w:rPr>
                <w:rFonts w:ascii="宋体" w:hAnsi="宋体"/>
                <w:color w:val="auto"/>
                <w:szCs w:val="22"/>
              </w:rPr>
            </w:pPr>
            <w:r>
              <w:rPr>
                <w:rFonts w:hint="eastAsia" w:ascii="宋体" w:hAnsi="宋体"/>
                <w:color w:val="auto"/>
                <w:szCs w:val="22"/>
              </w:rPr>
              <w:t>数量</w:t>
            </w:r>
            <w:r>
              <w:rPr>
                <w:rFonts w:ascii="宋体" w:hAnsi="宋体"/>
                <w:color w:val="auto"/>
                <w:szCs w:val="22"/>
              </w:rPr>
              <w:t>①</w:t>
            </w:r>
          </w:p>
        </w:tc>
        <w:tc>
          <w:tcPr>
            <w:tcW w:w="1260" w:type="dxa"/>
            <w:tcBorders>
              <w:top w:val="single" w:color="auto" w:sz="4" w:space="0"/>
              <w:left w:val="single" w:color="auto" w:sz="4" w:space="0"/>
              <w:bottom w:val="single" w:color="auto" w:sz="4" w:space="0"/>
              <w:right w:val="single" w:color="auto" w:sz="4" w:space="0"/>
            </w:tcBorders>
            <w:vAlign w:val="center"/>
          </w:tcPr>
          <w:p w14:paraId="58242EE3">
            <w:pPr>
              <w:rPr>
                <w:rFonts w:ascii="宋体" w:hAnsi="宋体"/>
                <w:color w:val="auto"/>
                <w:szCs w:val="22"/>
              </w:rPr>
            </w:pPr>
            <w:r>
              <w:rPr>
                <w:rFonts w:hint="eastAsia" w:ascii="宋体" w:hAnsi="宋体"/>
                <w:color w:val="auto"/>
                <w:szCs w:val="22"/>
              </w:rPr>
              <w:t>单价</w:t>
            </w:r>
            <w:r>
              <w:rPr>
                <w:rFonts w:ascii="宋体" w:hAnsi="宋体"/>
                <w:color w:val="auto"/>
                <w:szCs w:val="22"/>
              </w:rPr>
              <w:t>(</w:t>
            </w:r>
            <w:r>
              <w:rPr>
                <w:rFonts w:hint="eastAsia" w:ascii="宋体" w:hAnsi="宋体"/>
                <w:color w:val="auto"/>
                <w:szCs w:val="22"/>
              </w:rPr>
              <w:t>元</w:t>
            </w:r>
            <w:r>
              <w:rPr>
                <w:rFonts w:ascii="宋体" w:hAnsi="宋体"/>
                <w:color w:val="auto"/>
                <w:szCs w:val="22"/>
              </w:rPr>
              <w:t>)②</w:t>
            </w:r>
          </w:p>
        </w:tc>
        <w:tc>
          <w:tcPr>
            <w:tcW w:w="1516" w:type="dxa"/>
            <w:tcBorders>
              <w:top w:val="single" w:color="auto" w:sz="4" w:space="0"/>
              <w:left w:val="single" w:color="auto" w:sz="4" w:space="0"/>
              <w:bottom w:val="single" w:color="auto" w:sz="4" w:space="0"/>
              <w:right w:val="single" w:color="auto" w:sz="4" w:space="0"/>
            </w:tcBorders>
            <w:vAlign w:val="center"/>
          </w:tcPr>
          <w:p w14:paraId="0ED81BF9">
            <w:pPr>
              <w:rPr>
                <w:rFonts w:ascii="宋体" w:hAnsi="宋体"/>
                <w:color w:val="auto"/>
                <w:szCs w:val="22"/>
              </w:rPr>
            </w:pPr>
            <w:r>
              <w:rPr>
                <w:rFonts w:hint="eastAsia" w:ascii="宋体" w:hAnsi="宋体"/>
                <w:color w:val="auto"/>
                <w:szCs w:val="22"/>
              </w:rPr>
              <w:t>单项合价（元）</w:t>
            </w:r>
          </w:p>
          <w:p w14:paraId="0DBAB2E9">
            <w:pPr>
              <w:rPr>
                <w:rFonts w:ascii="宋体" w:hAnsi="宋体"/>
                <w:color w:val="auto"/>
                <w:szCs w:val="22"/>
              </w:rPr>
            </w:pPr>
            <w:r>
              <w:rPr>
                <w:rFonts w:ascii="宋体" w:hAnsi="宋体"/>
                <w:color w:val="auto"/>
                <w:szCs w:val="22"/>
              </w:rPr>
              <w:t>③</w:t>
            </w:r>
            <w:r>
              <w:rPr>
                <w:rFonts w:hint="eastAsia" w:ascii="宋体" w:hAnsi="宋体"/>
                <w:color w:val="auto"/>
                <w:szCs w:val="22"/>
              </w:rPr>
              <w:t>＝</w:t>
            </w:r>
            <w:r>
              <w:rPr>
                <w:rFonts w:ascii="宋体" w:hAnsi="宋体"/>
                <w:color w:val="auto"/>
                <w:szCs w:val="22"/>
              </w:rPr>
              <w:t>①×②</w:t>
            </w:r>
            <w:r>
              <w:rPr>
                <w:rFonts w:hint="eastAsia" w:ascii="宋体" w:hAnsi="宋体"/>
                <w:color w:val="auto"/>
                <w:szCs w:val="22"/>
              </w:rPr>
              <w:t>/费率</w:t>
            </w:r>
          </w:p>
        </w:tc>
        <w:tc>
          <w:tcPr>
            <w:tcW w:w="957" w:type="dxa"/>
            <w:tcBorders>
              <w:top w:val="single" w:color="auto" w:sz="4" w:space="0"/>
              <w:left w:val="single" w:color="auto" w:sz="4" w:space="0"/>
              <w:bottom w:val="single" w:color="auto" w:sz="4" w:space="0"/>
              <w:right w:val="single" w:color="auto" w:sz="4" w:space="0"/>
            </w:tcBorders>
          </w:tcPr>
          <w:p w14:paraId="371BE1DE">
            <w:pPr>
              <w:spacing w:line="360" w:lineRule="auto"/>
              <w:jc w:val="center"/>
              <w:rPr>
                <w:rFonts w:ascii="宋体" w:hAnsi="宋体"/>
                <w:color w:val="auto"/>
                <w:szCs w:val="22"/>
              </w:rPr>
            </w:pPr>
            <w:r>
              <w:rPr>
                <w:rFonts w:hint="eastAsia" w:ascii="宋体" w:hAnsi="宋体"/>
                <w:color w:val="auto"/>
                <w:szCs w:val="22"/>
              </w:rPr>
              <w:t>货物要求（年限）</w:t>
            </w:r>
          </w:p>
        </w:tc>
        <w:tc>
          <w:tcPr>
            <w:tcW w:w="957" w:type="dxa"/>
            <w:tcBorders>
              <w:top w:val="single" w:color="auto" w:sz="4" w:space="0"/>
              <w:left w:val="single" w:color="auto" w:sz="4" w:space="0"/>
              <w:bottom w:val="single" w:color="auto" w:sz="4" w:space="0"/>
              <w:right w:val="single" w:color="auto" w:sz="4" w:space="0"/>
            </w:tcBorders>
            <w:vAlign w:val="center"/>
          </w:tcPr>
          <w:p w14:paraId="4D1E5E52">
            <w:pPr>
              <w:rPr>
                <w:rFonts w:ascii="宋体" w:hAnsi="宋体"/>
                <w:color w:val="auto"/>
                <w:szCs w:val="22"/>
              </w:rPr>
            </w:pPr>
            <w:r>
              <w:rPr>
                <w:rFonts w:hint="eastAsia" w:ascii="宋体" w:hAnsi="宋体"/>
                <w:color w:val="auto"/>
                <w:szCs w:val="22"/>
              </w:rPr>
              <w:t>备注</w:t>
            </w:r>
          </w:p>
        </w:tc>
      </w:tr>
      <w:tr w14:paraId="61E8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5813C701">
            <w:pPr>
              <w:rPr>
                <w:rFonts w:ascii="宋体" w:hAnsi="宋体"/>
                <w:color w:val="auto"/>
                <w:szCs w:val="22"/>
              </w:rPr>
            </w:pPr>
            <w:r>
              <w:rPr>
                <w:rFonts w:ascii="宋体" w:hAnsi="宋体"/>
                <w:color w:val="auto"/>
                <w:szCs w:val="22"/>
              </w:rPr>
              <w:t>1</w:t>
            </w:r>
          </w:p>
        </w:tc>
        <w:tc>
          <w:tcPr>
            <w:tcW w:w="1260" w:type="dxa"/>
            <w:tcBorders>
              <w:top w:val="single" w:color="auto" w:sz="4" w:space="0"/>
              <w:left w:val="single" w:color="auto" w:sz="4" w:space="0"/>
              <w:bottom w:val="single" w:color="auto" w:sz="4" w:space="0"/>
              <w:right w:val="single" w:color="auto" w:sz="4" w:space="0"/>
            </w:tcBorders>
            <w:vAlign w:val="center"/>
          </w:tcPr>
          <w:p w14:paraId="30BAA8F5">
            <w:pPr>
              <w:rPr>
                <w:rFonts w:ascii="宋体" w:hAnsi="宋体"/>
                <w:color w:val="auto"/>
                <w:szCs w:val="22"/>
              </w:rPr>
            </w:pPr>
          </w:p>
        </w:tc>
        <w:tc>
          <w:tcPr>
            <w:tcW w:w="2064" w:type="dxa"/>
            <w:tcBorders>
              <w:top w:val="single" w:color="auto" w:sz="4" w:space="0"/>
              <w:left w:val="single" w:color="auto" w:sz="4" w:space="0"/>
              <w:bottom w:val="single" w:color="auto" w:sz="4" w:space="0"/>
              <w:right w:val="single" w:color="auto" w:sz="4" w:space="0"/>
            </w:tcBorders>
            <w:vAlign w:val="center"/>
          </w:tcPr>
          <w:p w14:paraId="386281C6">
            <w:pPr>
              <w:rPr>
                <w:rFonts w:ascii="宋体" w:hAnsi="宋体"/>
                <w:color w:val="auto"/>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2ECDDB87">
            <w:pPr>
              <w:rPr>
                <w:rFonts w:ascii="宋体" w:hAnsi="宋体"/>
                <w:color w:val="auto"/>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6B25D2D0">
            <w:pPr>
              <w:rPr>
                <w:rFonts w:ascii="宋体" w:hAnsi="宋体"/>
                <w:color w:val="auto"/>
                <w:szCs w:val="22"/>
              </w:rPr>
            </w:pPr>
          </w:p>
        </w:tc>
        <w:tc>
          <w:tcPr>
            <w:tcW w:w="1516" w:type="dxa"/>
            <w:tcBorders>
              <w:top w:val="single" w:color="auto" w:sz="4" w:space="0"/>
              <w:left w:val="single" w:color="auto" w:sz="4" w:space="0"/>
              <w:bottom w:val="single" w:color="auto" w:sz="4" w:space="0"/>
              <w:right w:val="single" w:color="auto" w:sz="4" w:space="0"/>
            </w:tcBorders>
            <w:vAlign w:val="center"/>
          </w:tcPr>
          <w:p w14:paraId="1CC59EE5">
            <w:pPr>
              <w:rPr>
                <w:rFonts w:ascii="宋体" w:hAnsi="宋体"/>
                <w:color w:val="auto"/>
                <w:szCs w:val="22"/>
              </w:rPr>
            </w:pPr>
          </w:p>
        </w:tc>
        <w:tc>
          <w:tcPr>
            <w:tcW w:w="957" w:type="dxa"/>
            <w:tcBorders>
              <w:top w:val="single" w:color="auto" w:sz="4" w:space="0"/>
              <w:left w:val="single" w:color="auto" w:sz="4" w:space="0"/>
              <w:bottom w:val="single" w:color="auto" w:sz="4" w:space="0"/>
              <w:right w:val="single" w:color="auto" w:sz="4" w:space="0"/>
            </w:tcBorders>
          </w:tcPr>
          <w:p w14:paraId="20B381CA">
            <w:pPr>
              <w:rPr>
                <w:rFonts w:ascii="宋体" w:hAnsi="宋体"/>
                <w:color w:val="auto"/>
                <w:szCs w:val="22"/>
              </w:rPr>
            </w:pPr>
          </w:p>
        </w:tc>
        <w:tc>
          <w:tcPr>
            <w:tcW w:w="957" w:type="dxa"/>
            <w:tcBorders>
              <w:top w:val="single" w:color="auto" w:sz="4" w:space="0"/>
              <w:left w:val="single" w:color="auto" w:sz="4" w:space="0"/>
              <w:bottom w:val="single" w:color="auto" w:sz="4" w:space="0"/>
              <w:right w:val="single" w:color="auto" w:sz="4" w:space="0"/>
            </w:tcBorders>
            <w:vAlign w:val="center"/>
          </w:tcPr>
          <w:p w14:paraId="57FFDEBE">
            <w:pPr>
              <w:rPr>
                <w:rFonts w:ascii="宋体" w:hAnsi="宋体"/>
                <w:color w:val="auto"/>
                <w:szCs w:val="22"/>
              </w:rPr>
            </w:pPr>
          </w:p>
        </w:tc>
      </w:tr>
      <w:tr w14:paraId="7A16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108AFB2A">
            <w:pPr>
              <w:rPr>
                <w:rFonts w:ascii="宋体" w:hAnsi="宋体"/>
                <w:color w:val="auto"/>
                <w:szCs w:val="22"/>
              </w:rPr>
            </w:pPr>
            <w:r>
              <w:rPr>
                <w:rFonts w:ascii="宋体" w:hAnsi="宋体"/>
                <w:color w:val="auto"/>
                <w:szCs w:val="22"/>
              </w:rPr>
              <w:t>2</w:t>
            </w:r>
          </w:p>
        </w:tc>
        <w:tc>
          <w:tcPr>
            <w:tcW w:w="1260" w:type="dxa"/>
            <w:tcBorders>
              <w:top w:val="single" w:color="auto" w:sz="4" w:space="0"/>
              <w:left w:val="single" w:color="auto" w:sz="4" w:space="0"/>
              <w:bottom w:val="single" w:color="auto" w:sz="4" w:space="0"/>
              <w:right w:val="single" w:color="auto" w:sz="4" w:space="0"/>
            </w:tcBorders>
            <w:vAlign w:val="center"/>
          </w:tcPr>
          <w:p w14:paraId="60BC68B6">
            <w:pPr>
              <w:rPr>
                <w:rFonts w:ascii="宋体" w:hAnsi="宋体"/>
                <w:color w:val="auto"/>
                <w:szCs w:val="22"/>
              </w:rPr>
            </w:pPr>
          </w:p>
        </w:tc>
        <w:tc>
          <w:tcPr>
            <w:tcW w:w="2064" w:type="dxa"/>
            <w:tcBorders>
              <w:top w:val="single" w:color="auto" w:sz="4" w:space="0"/>
              <w:left w:val="single" w:color="auto" w:sz="4" w:space="0"/>
              <w:bottom w:val="single" w:color="auto" w:sz="4" w:space="0"/>
              <w:right w:val="single" w:color="auto" w:sz="4" w:space="0"/>
            </w:tcBorders>
            <w:vAlign w:val="center"/>
          </w:tcPr>
          <w:p w14:paraId="2563346C">
            <w:pPr>
              <w:rPr>
                <w:rFonts w:ascii="宋体" w:hAnsi="宋体"/>
                <w:color w:val="auto"/>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7E13814D">
            <w:pPr>
              <w:rPr>
                <w:rFonts w:ascii="宋体" w:hAnsi="宋体"/>
                <w:color w:val="auto"/>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38FF6E1F">
            <w:pPr>
              <w:rPr>
                <w:rFonts w:ascii="宋体" w:hAnsi="宋体"/>
                <w:color w:val="auto"/>
                <w:szCs w:val="22"/>
              </w:rPr>
            </w:pPr>
          </w:p>
        </w:tc>
        <w:tc>
          <w:tcPr>
            <w:tcW w:w="1516" w:type="dxa"/>
            <w:tcBorders>
              <w:top w:val="single" w:color="auto" w:sz="4" w:space="0"/>
              <w:left w:val="single" w:color="auto" w:sz="4" w:space="0"/>
              <w:bottom w:val="single" w:color="auto" w:sz="4" w:space="0"/>
              <w:right w:val="single" w:color="auto" w:sz="4" w:space="0"/>
            </w:tcBorders>
            <w:vAlign w:val="center"/>
          </w:tcPr>
          <w:p w14:paraId="4199DF57">
            <w:pPr>
              <w:rPr>
                <w:rFonts w:ascii="宋体" w:hAnsi="宋体"/>
                <w:color w:val="auto"/>
                <w:szCs w:val="22"/>
              </w:rPr>
            </w:pPr>
          </w:p>
        </w:tc>
        <w:tc>
          <w:tcPr>
            <w:tcW w:w="957" w:type="dxa"/>
            <w:tcBorders>
              <w:top w:val="single" w:color="auto" w:sz="4" w:space="0"/>
              <w:left w:val="single" w:color="auto" w:sz="4" w:space="0"/>
              <w:bottom w:val="single" w:color="auto" w:sz="4" w:space="0"/>
              <w:right w:val="single" w:color="auto" w:sz="4" w:space="0"/>
            </w:tcBorders>
          </w:tcPr>
          <w:p w14:paraId="3A911E66">
            <w:pPr>
              <w:rPr>
                <w:rFonts w:ascii="宋体" w:hAnsi="宋体"/>
                <w:color w:val="auto"/>
                <w:szCs w:val="22"/>
              </w:rPr>
            </w:pPr>
          </w:p>
        </w:tc>
        <w:tc>
          <w:tcPr>
            <w:tcW w:w="957" w:type="dxa"/>
            <w:tcBorders>
              <w:top w:val="single" w:color="auto" w:sz="4" w:space="0"/>
              <w:left w:val="single" w:color="auto" w:sz="4" w:space="0"/>
              <w:bottom w:val="single" w:color="auto" w:sz="4" w:space="0"/>
              <w:right w:val="single" w:color="auto" w:sz="4" w:space="0"/>
            </w:tcBorders>
            <w:vAlign w:val="center"/>
          </w:tcPr>
          <w:p w14:paraId="4BA0603C">
            <w:pPr>
              <w:rPr>
                <w:rFonts w:ascii="宋体" w:hAnsi="宋体"/>
                <w:color w:val="auto"/>
                <w:szCs w:val="22"/>
              </w:rPr>
            </w:pPr>
          </w:p>
        </w:tc>
      </w:tr>
      <w:tr w14:paraId="0AA6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072CF2C6">
            <w:pPr>
              <w:rPr>
                <w:rFonts w:ascii="宋体" w:hAnsi="宋体"/>
                <w:color w:val="auto"/>
                <w:szCs w:val="22"/>
              </w:rPr>
            </w:pPr>
            <w:r>
              <w:rPr>
                <w:rFonts w:ascii="宋体" w:hAnsi="宋体"/>
                <w:color w:val="auto"/>
                <w:szCs w:val="22"/>
              </w:rPr>
              <w:t>...</w:t>
            </w:r>
          </w:p>
        </w:tc>
        <w:tc>
          <w:tcPr>
            <w:tcW w:w="1260" w:type="dxa"/>
            <w:tcBorders>
              <w:top w:val="single" w:color="auto" w:sz="4" w:space="0"/>
              <w:left w:val="single" w:color="auto" w:sz="4" w:space="0"/>
              <w:bottom w:val="single" w:color="auto" w:sz="4" w:space="0"/>
              <w:right w:val="single" w:color="auto" w:sz="4" w:space="0"/>
            </w:tcBorders>
            <w:vAlign w:val="center"/>
          </w:tcPr>
          <w:p w14:paraId="64AA791E">
            <w:pPr>
              <w:rPr>
                <w:rFonts w:ascii="宋体" w:hAnsi="宋体"/>
                <w:color w:val="auto"/>
                <w:szCs w:val="22"/>
              </w:rPr>
            </w:pPr>
          </w:p>
        </w:tc>
        <w:tc>
          <w:tcPr>
            <w:tcW w:w="2064" w:type="dxa"/>
            <w:tcBorders>
              <w:top w:val="single" w:color="auto" w:sz="4" w:space="0"/>
              <w:left w:val="single" w:color="auto" w:sz="4" w:space="0"/>
              <w:bottom w:val="single" w:color="auto" w:sz="4" w:space="0"/>
              <w:right w:val="single" w:color="auto" w:sz="4" w:space="0"/>
            </w:tcBorders>
            <w:vAlign w:val="center"/>
          </w:tcPr>
          <w:p w14:paraId="133ECCFB">
            <w:pPr>
              <w:rPr>
                <w:rFonts w:ascii="宋体" w:hAnsi="宋体"/>
                <w:color w:val="auto"/>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6E7FC1C3">
            <w:pPr>
              <w:rPr>
                <w:rFonts w:ascii="宋体" w:hAnsi="宋体"/>
                <w:color w:val="auto"/>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7A728605">
            <w:pPr>
              <w:rPr>
                <w:rFonts w:ascii="宋体" w:hAnsi="宋体"/>
                <w:color w:val="auto"/>
                <w:szCs w:val="22"/>
              </w:rPr>
            </w:pPr>
          </w:p>
        </w:tc>
        <w:tc>
          <w:tcPr>
            <w:tcW w:w="1516" w:type="dxa"/>
            <w:tcBorders>
              <w:top w:val="single" w:color="auto" w:sz="4" w:space="0"/>
              <w:left w:val="single" w:color="auto" w:sz="4" w:space="0"/>
              <w:bottom w:val="single" w:color="auto" w:sz="4" w:space="0"/>
              <w:right w:val="single" w:color="auto" w:sz="4" w:space="0"/>
            </w:tcBorders>
            <w:vAlign w:val="center"/>
          </w:tcPr>
          <w:p w14:paraId="387B8D1E">
            <w:pPr>
              <w:rPr>
                <w:rFonts w:ascii="宋体" w:hAnsi="宋体"/>
                <w:color w:val="auto"/>
                <w:szCs w:val="22"/>
              </w:rPr>
            </w:pPr>
          </w:p>
        </w:tc>
        <w:tc>
          <w:tcPr>
            <w:tcW w:w="957" w:type="dxa"/>
            <w:tcBorders>
              <w:top w:val="single" w:color="auto" w:sz="4" w:space="0"/>
              <w:left w:val="single" w:color="auto" w:sz="4" w:space="0"/>
              <w:bottom w:val="single" w:color="auto" w:sz="4" w:space="0"/>
              <w:right w:val="single" w:color="auto" w:sz="4" w:space="0"/>
            </w:tcBorders>
          </w:tcPr>
          <w:p w14:paraId="100744E4">
            <w:pPr>
              <w:rPr>
                <w:rFonts w:ascii="宋体" w:hAnsi="宋体"/>
                <w:color w:val="auto"/>
                <w:szCs w:val="22"/>
              </w:rPr>
            </w:pPr>
          </w:p>
        </w:tc>
        <w:tc>
          <w:tcPr>
            <w:tcW w:w="957" w:type="dxa"/>
            <w:tcBorders>
              <w:top w:val="single" w:color="auto" w:sz="4" w:space="0"/>
              <w:left w:val="single" w:color="auto" w:sz="4" w:space="0"/>
              <w:bottom w:val="single" w:color="auto" w:sz="4" w:space="0"/>
              <w:right w:val="single" w:color="auto" w:sz="4" w:space="0"/>
            </w:tcBorders>
            <w:vAlign w:val="center"/>
          </w:tcPr>
          <w:p w14:paraId="7E5FF73F">
            <w:pPr>
              <w:rPr>
                <w:rFonts w:ascii="宋体" w:hAnsi="宋体"/>
                <w:color w:val="auto"/>
                <w:szCs w:val="22"/>
              </w:rPr>
            </w:pPr>
          </w:p>
        </w:tc>
      </w:tr>
      <w:tr w14:paraId="4296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79D24FEA">
            <w:pPr>
              <w:rPr>
                <w:rFonts w:ascii="宋体" w:hAnsi="宋体"/>
                <w:color w:val="auto"/>
                <w:szCs w:val="22"/>
              </w:rPr>
            </w:pPr>
            <w:r>
              <w:rPr>
                <w:rFonts w:hint="eastAsia" w:ascii="宋体" w:hAnsi="宋体"/>
                <w:color w:val="auto"/>
                <w:szCs w:val="22"/>
              </w:rPr>
              <w:t>报价合计（包含税费等所有费用）：（大写）人民币</w:t>
            </w:r>
            <w:r>
              <w:rPr>
                <w:rFonts w:ascii="宋体" w:hAnsi="宋体"/>
                <w:color w:val="auto"/>
                <w:szCs w:val="22"/>
              </w:rPr>
              <w:t xml:space="preserve">                                       </w:t>
            </w:r>
            <w:r>
              <w:rPr>
                <w:rFonts w:hint="eastAsia" w:ascii="宋体" w:hAnsi="宋体"/>
                <w:color w:val="auto"/>
                <w:szCs w:val="22"/>
              </w:rPr>
              <w:t>（￥</w:t>
            </w:r>
            <w:r>
              <w:rPr>
                <w:rFonts w:ascii="宋体" w:hAnsi="宋体"/>
                <w:color w:val="auto"/>
                <w:szCs w:val="22"/>
              </w:rPr>
              <w:t xml:space="preserve">                </w:t>
            </w:r>
            <w:r>
              <w:rPr>
                <w:rFonts w:hint="eastAsia" w:ascii="宋体" w:hAnsi="宋体"/>
                <w:color w:val="auto"/>
                <w:szCs w:val="22"/>
              </w:rPr>
              <w:t>元）</w:t>
            </w:r>
          </w:p>
        </w:tc>
      </w:tr>
      <w:tr w14:paraId="5797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17103922">
            <w:pPr>
              <w:rPr>
                <w:rFonts w:ascii="宋体" w:hAnsi="宋体"/>
                <w:color w:val="auto"/>
                <w:szCs w:val="22"/>
              </w:rPr>
            </w:pPr>
            <w:r>
              <w:rPr>
                <w:rFonts w:hint="eastAsia" w:ascii="宋体" w:hAnsi="宋体"/>
                <w:color w:val="auto"/>
                <w:szCs w:val="21"/>
                <w:u w:val="single"/>
              </w:rPr>
              <w:t>　　</w:t>
            </w:r>
            <w:r>
              <w:rPr>
                <w:rFonts w:hint="eastAsia" w:ascii="宋体" w:hAnsi="宋体"/>
                <w:color w:val="auto"/>
                <w:szCs w:val="21"/>
              </w:rPr>
              <w:t>分标（此处有分标时填写具体分标号，无分标时填写</w:t>
            </w:r>
            <w:r>
              <w:rPr>
                <w:rFonts w:ascii="宋体" w:hAnsi="宋体"/>
                <w:color w:val="auto"/>
                <w:szCs w:val="21"/>
              </w:rPr>
              <w:t>“</w:t>
            </w:r>
            <w:r>
              <w:rPr>
                <w:rFonts w:hint="eastAsia" w:ascii="宋体" w:hAnsi="宋体"/>
                <w:color w:val="auto"/>
                <w:szCs w:val="21"/>
              </w:rPr>
              <w:t>无</w:t>
            </w:r>
            <w:r>
              <w:rPr>
                <w:rFonts w:ascii="宋体" w:hAnsi="宋体"/>
                <w:color w:val="auto"/>
                <w:szCs w:val="21"/>
              </w:rPr>
              <w:t>”</w:t>
            </w:r>
            <w:r>
              <w:rPr>
                <w:rFonts w:hint="eastAsia" w:ascii="宋体" w:hAnsi="宋体"/>
                <w:color w:val="auto"/>
                <w:szCs w:val="21"/>
              </w:rPr>
              <w:t>）</w:t>
            </w:r>
          </w:p>
        </w:tc>
      </w:tr>
      <w:tr w14:paraId="5D67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07420CA5">
            <w:pPr>
              <w:rPr>
                <w:rFonts w:ascii="宋体" w:hAnsi="宋体"/>
                <w:color w:val="auto"/>
                <w:szCs w:val="22"/>
              </w:rPr>
            </w:pPr>
            <w:r>
              <w:rPr>
                <w:rFonts w:hint="eastAsia" w:ascii="宋体" w:hAnsi="宋体" w:cs="宋体"/>
                <w:color w:val="auto"/>
                <w:szCs w:val="21"/>
              </w:rPr>
              <w:t>交货时间及地点</w:t>
            </w:r>
            <w:r>
              <w:rPr>
                <w:rFonts w:hint="eastAsia" w:ascii="宋体" w:hAnsi="宋体"/>
                <w:color w:val="auto"/>
                <w:szCs w:val="22"/>
              </w:rPr>
              <w:t>：</w:t>
            </w:r>
          </w:p>
        </w:tc>
      </w:tr>
      <w:tr w14:paraId="21D4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791FC4D5">
            <w:pPr>
              <w:rPr>
                <w:rFonts w:ascii="宋体" w:hAnsi="宋体"/>
                <w:color w:val="auto"/>
                <w:szCs w:val="22"/>
              </w:rPr>
            </w:pPr>
            <w:r>
              <w:rPr>
                <w:rFonts w:hint="eastAsia" w:ascii="宋体" w:hAnsi="宋体" w:cs="宋体"/>
                <w:bCs/>
                <w:color w:val="auto"/>
                <w:szCs w:val="21"/>
              </w:rPr>
              <w:t>验收标准、规范</w:t>
            </w:r>
            <w:r>
              <w:rPr>
                <w:rFonts w:hint="eastAsia" w:ascii="宋体" w:hAnsi="宋体"/>
                <w:color w:val="auto"/>
                <w:szCs w:val="22"/>
              </w:rPr>
              <w:t>：</w:t>
            </w:r>
          </w:p>
        </w:tc>
      </w:tr>
    </w:tbl>
    <w:p w14:paraId="7B6E3BD5">
      <w:pPr>
        <w:snapToGrid w:val="0"/>
        <w:spacing w:before="50" w:after="50" w:line="360" w:lineRule="auto"/>
        <w:ind w:firstLine="480" w:firstLineChars="200"/>
        <w:jc w:val="left"/>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 xml:space="preserve">注： </w:t>
      </w:r>
    </w:p>
    <w:p w14:paraId="4696E191">
      <w:pPr>
        <w:snapToGrid w:val="0"/>
        <w:spacing w:before="50" w:after="50" w:line="360" w:lineRule="auto"/>
        <w:ind w:firstLine="480" w:firstLineChars="200"/>
        <w:jc w:val="left"/>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1、 投标人需按本表格式填写，不得自行更改，也不得留空, 如有多分标，按分标分别提供开标一览表，必须加盖投标人有效电子公章，</w:t>
      </w:r>
      <w:r>
        <w:rPr>
          <w:rFonts w:hint="eastAsia" w:ascii="仿宋_GB2312" w:hAnsi="仿宋" w:eastAsia="仿宋_GB2312" w:cs="仿宋_GB2312"/>
          <w:b/>
          <w:color w:val="auto"/>
          <w:kern w:val="0"/>
          <w:sz w:val="24"/>
          <w:lang w:val="zh-CN"/>
        </w:rPr>
        <w:t>否则其投标作无效标处理。</w:t>
      </w:r>
    </w:p>
    <w:p w14:paraId="781AB743">
      <w:pPr>
        <w:snapToGrid w:val="0"/>
        <w:spacing w:before="50" w:after="50" w:line="360" w:lineRule="auto"/>
        <w:ind w:firstLine="480" w:firstLineChars="200"/>
        <w:jc w:val="left"/>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2、本表内容均不能涂改，</w:t>
      </w:r>
      <w:r>
        <w:rPr>
          <w:rFonts w:hint="eastAsia" w:ascii="仿宋_GB2312" w:hAnsi="仿宋" w:eastAsia="仿宋_GB2312" w:cs="仿宋_GB2312"/>
          <w:b/>
          <w:color w:val="auto"/>
          <w:kern w:val="0"/>
          <w:sz w:val="24"/>
          <w:lang w:val="zh-CN"/>
        </w:rPr>
        <w:t>否则其投标作无效标处理。</w:t>
      </w:r>
    </w:p>
    <w:p w14:paraId="0C8E112F">
      <w:pPr>
        <w:snapToGrid w:val="0"/>
        <w:spacing w:before="50" w:after="50" w:line="360" w:lineRule="auto"/>
        <w:ind w:firstLine="480" w:firstLineChars="200"/>
        <w:jc w:val="left"/>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lang w:val="zh-CN"/>
        </w:rPr>
        <w:t>3、如为联合体投标，“投标人名称”处必须列明联合体各方名称，并标注联合体牵头人名称，且盖章处须加盖联合体各方公章，</w:t>
      </w:r>
      <w:r>
        <w:rPr>
          <w:rFonts w:hint="eastAsia" w:ascii="仿宋_GB2312" w:hAnsi="仿宋" w:eastAsia="仿宋_GB2312" w:cs="仿宋_GB2312"/>
          <w:b/>
          <w:color w:val="auto"/>
          <w:kern w:val="0"/>
          <w:sz w:val="24"/>
          <w:lang w:val="zh-CN"/>
        </w:rPr>
        <w:t>否则其投标作无效标处理。</w:t>
      </w:r>
    </w:p>
    <w:p w14:paraId="0BA744BF">
      <w:pPr>
        <w:snapToGrid w:val="0"/>
        <w:spacing w:line="360" w:lineRule="auto"/>
        <w:ind w:firstLine="480" w:firstLineChars="200"/>
        <w:jc w:val="left"/>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4、以上表格要求细分项目及报价，在“具体货物内容”一栏中，填写具体货物，</w:t>
      </w:r>
      <w:r>
        <w:rPr>
          <w:rFonts w:hint="eastAsia" w:ascii="仿宋_GB2312" w:hAnsi="仿宋" w:eastAsia="仿宋_GB2312" w:cs="仿宋_GB2312"/>
          <w:b/>
          <w:color w:val="auto"/>
          <w:kern w:val="0"/>
          <w:sz w:val="24"/>
          <w:lang w:val="zh-CN"/>
        </w:rPr>
        <w:t>否则其投标作无效标处理。</w:t>
      </w:r>
      <w:r>
        <w:rPr>
          <w:rFonts w:hint="eastAsia" w:ascii="仿宋_GB2312" w:hAnsi="仿宋" w:eastAsia="仿宋_GB2312" w:cs="仿宋_GB2312"/>
          <w:color w:val="auto"/>
          <w:kern w:val="0"/>
          <w:sz w:val="24"/>
          <w:lang w:val="zh-CN"/>
        </w:rPr>
        <w:t>。</w:t>
      </w:r>
    </w:p>
    <w:p w14:paraId="351A63BA">
      <w:pPr>
        <w:snapToGrid w:val="0"/>
        <w:spacing w:line="360" w:lineRule="auto"/>
        <w:ind w:firstLine="480" w:firstLineChars="200"/>
        <w:jc w:val="left"/>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5、特别提示：采购机构将对项目名称和项目编号，中标供应商名称、地址和中标金额，主要中标标的的名称、规格型号、数量、单价、货物要求等予以公示。</w:t>
      </w:r>
    </w:p>
    <w:p w14:paraId="3540BFB7">
      <w:pPr>
        <w:snapToGrid w:val="0"/>
        <w:spacing w:line="360" w:lineRule="auto"/>
        <w:ind w:firstLine="480" w:firstLineChars="200"/>
        <w:jc w:val="left"/>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szCs w:val="22"/>
          <w:lang w:val="zh-CN"/>
        </w:rPr>
        <w:t>6、</w:t>
      </w:r>
      <w:r>
        <w:rPr>
          <w:rFonts w:hint="eastAsia" w:ascii="仿宋_GB2312" w:hAnsi="仿宋" w:eastAsia="仿宋_GB2312" w:cs="仿宋_GB2312"/>
          <w:color w:val="auto"/>
          <w:kern w:val="0"/>
          <w:sz w:val="24"/>
          <w:lang w:val="zh-CN"/>
        </w:rPr>
        <w:t>符合招标文件中列明的可享受中小企业扶持政策的投标人，请填写中小企业声明函。注：投标人</w:t>
      </w:r>
      <w:r>
        <w:rPr>
          <w:rFonts w:ascii="仿宋_GB2312" w:hAnsi="仿宋" w:eastAsia="仿宋_GB2312" w:cs="仿宋_GB2312"/>
          <w:color w:val="auto"/>
          <w:kern w:val="0"/>
          <w:sz w:val="24"/>
          <w:lang w:val="zh-CN"/>
        </w:rPr>
        <w:t>提供</w:t>
      </w:r>
      <w:r>
        <w:rPr>
          <w:rFonts w:hint="eastAsia" w:ascii="仿宋_GB2312" w:hAnsi="仿宋" w:eastAsia="仿宋_GB2312" w:cs="仿宋_GB2312"/>
          <w:color w:val="auto"/>
          <w:kern w:val="0"/>
          <w:sz w:val="24"/>
          <w:lang w:val="zh-CN"/>
        </w:rPr>
        <w:t>的中小企业</w:t>
      </w:r>
      <w:r>
        <w:rPr>
          <w:rFonts w:ascii="仿宋_GB2312" w:hAnsi="仿宋" w:eastAsia="仿宋_GB2312" w:cs="仿宋_GB2312"/>
          <w:color w:val="auto"/>
          <w:kern w:val="0"/>
          <w:sz w:val="24"/>
          <w:lang w:val="zh-CN"/>
        </w:rPr>
        <w:t>声明函内容不实的，属于提供虚假材料谋取中标、成交，依照《中华人民共和国政府采购法》等国家有关规定追究相应责任。</w:t>
      </w:r>
    </w:p>
    <w:p w14:paraId="73BA02A1">
      <w:pPr>
        <w:snapToGrid w:val="0"/>
        <w:spacing w:line="360" w:lineRule="auto"/>
        <w:ind w:firstLine="5040" w:firstLineChars="21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投标人名称(电子签章)：</w:t>
      </w:r>
    </w:p>
    <w:p w14:paraId="04DE915A">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34D46A41">
      <w:pPr>
        <w:pStyle w:val="17"/>
        <w:spacing w:line="500" w:lineRule="exact"/>
        <w:ind w:firstLine="450" w:firstLineChars="150"/>
        <w:rPr>
          <w:rFonts w:hAnsi="宋体"/>
          <w:color w:val="auto"/>
          <w:sz w:val="30"/>
        </w:rPr>
        <w:sectPr>
          <w:pgSz w:w="11906" w:h="16838"/>
          <w:pgMar w:top="1134" w:right="1134" w:bottom="1134" w:left="1134" w:header="720" w:footer="720" w:gutter="0"/>
          <w:cols w:space="720" w:num="1"/>
          <w:docGrid w:type="lines" w:linePitch="331" w:charSpace="0"/>
        </w:sectPr>
      </w:pPr>
    </w:p>
    <w:p w14:paraId="633F19C3">
      <w:pPr>
        <w:pStyle w:val="17"/>
        <w:jc w:val="center"/>
        <w:rPr>
          <w:rFonts w:ascii="Times New Roman" w:hAnsi="Times New Roman"/>
          <w:b/>
          <w:color w:val="auto"/>
          <w:sz w:val="30"/>
          <w:szCs w:val="30"/>
        </w:rPr>
      </w:pPr>
      <w:r>
        <w:rPr>
          <w:rFonts w:hint="eastAsia" w:ascii="Times New Roman" w:hAnsi="Times New Roman"/>
          <w:b/>
          <w:color w:val="auto"/>
          <w:sz w:val="30"/>
          <w:szCs w:val="30"/>
        </w:rPr>
        <w:t>三、中小企业声明函</w:t>
      </w:r>
    </w:p>
    <w:p w14:paraId="106A2C49">
      <w:pPr>
        <w:pStyle w:val="14"/>
        <w:spacing w:line="240" w:lineRule="auto"/>
        <w:ind w:firstLine="0"/>
        <w:rPr>
          <w:rFonts w:ascii="Times New Roman" w:hAnsi="Times New Roman"/>
          <w:color w:val="auto"/>
          <w:sz w:val="21"/>
          <w:szCs w:val="21"/>
        </w:rPr>
      </w:pPr>
      <w:r>
        <w:rPr>
          <w:rFonts w:hint="eastAsia" w:ascii="Times New Roman" w:hAnsi="宋体"/>
          <w:color w:val="auto"/>
          <w:sz w:val="21"/>
          <w:szCs w:val="21"/>
        </w:rPr>
        <w:t>说明：</w:t>
      </w:r>
    </w:p>
    <w:p w14:paraId="759D6D14">
      <w:pPr>
        <w:pStyle w:val="14"/>
        <w:spacing w:line="240" w:lineRule="auto"/>
        <w:ind w:firstLine="404" w:firstLineChars="200"/>
        <w:rPr>
          <w:rFonts w:ascii="Times New Roman" w:hAnsi="Times New Roman"/>
          <w:color w:val="auto"/>
          <w:sz w:val="21"/>
          <w:szCs w:val="21"/>
        </w:rPr>
      </w:pPr>
      <w:r>
        <w:rPr>
          <w:rFonts w:ascii="Times New Roman" w:hAnsi="Times New Roman"/>
          <w:color w:val="auto"/>
          <w:sz w:val="21"/>
          <w:szCs w:val="21"/>
        </w:rPr>
        <w:t>1</w:t>
      </w:r>
      <w:r>
        <w:rPr>
          <w:rFonts w:hint="eastAsia" w:ascii="Times New Roman" w:hAnsi="宋体"/>
          <w:color w:val="auto"/>
          <w:sz w:val="21"/>
          <w:szCs w:val="21"/>
        </w:rPr>
        <w:t>、本声明函主要供参加政府采购活动的中小企业填写，非中小企业无需填写。</w:t>
      </w:r>
    </w:p>
    <w:p w14:paraId="7BF44E8F">
      <w:pPr>
        <w:pStyle w:val="14"/>
        <w:spacing w:line="240" w:lineRule="auto"/>
        <w:ind w:firstLine="404" w:firstLineChars="200"/>
        <w:rPr>
          <w:rFonts w:ascii="Times New Roman" w:hAnsi="宋体"/>
          <w:color w:val="auto"/>
          <w:sz w:val="21"/>
          <w:szCs w:val="21"/>
        </w:rPr>
      </w:pPr>
      <w:r>
        <w:rPr>
          <w:rFonts w:ascii="Times New Roman" w:hAnsi="Times New Roman"/>
          <w:color w:val="auto"/>
          <w:sz w:val="21"/>
          <w:szCs w:val="21"/>
        </w:rPr>
        <w:t>2</w:t>
      </w:r>
      <w:r>
        <w:rPr>
          <w:rFonts w:hint="eastAsia" w:ascii="Times New Roman" w:hAnsi="宋体"/>
          <w:color w:val="auto"/>
          <w:sz w:val="21"/>
          <w:szCs w:val="21"/>
        </w:rPr>
        <w:t>、小型、微型企业提供中型企业提供的货物的，视同为中型企业。</w:t>
      </w:r>
    </w:p>
    <w:p w14:paraId="02D9DB84">
      <w:pPr>
        <w:pStyle w:val="14"/>
        <w:spacing w:line="240" w:lineRule="auto"/>
        <w:ind w:firstLine="404" w:firstLineChars="200"/>
        <w:rPr>
          <w:rFonts w:ascii="Times New Roman" w:hAnsi="宋体"/>
          <w:color w:val="auto"/>
          <w:sz w:val="21"/>
          <w:szCs w:val="21"/>
        </w:rPr>
      </w:pPr>
    </w:p>
    <w:p w14:paraId="0795FF83">
      <w:pPr>
        <w:pStyle w:val="13"/>
        <w:spacing w:line="360" w:lineRule="auto"/>
        <w:ind w:left="-426" w:leftChars="-203" w:right="142" w:firstLine="420" w:firstLineChars="200"/>
        <w:contextualSpacing/>
        <w:rPr>
          <w:rFonts w:ascii="宋体" w:hAnsi="宋体"/>
          <w:color w:val="auto"/>
          <w:kern w:val="24"/>
        </w:rPr>
      </w:pPr>
      <w:r>
        <w:rPr>
          <w:rFonts w:ascii="宋体" w:hAnsi="宋体"/>
          <w:color w:val="auto"/>
          <w:kern w:val="24"/>
        </w:rPr>
        <w:t>本公司（联合体）郑重声明，根据《政府采购促进中小企业发展管理办法》（财库﹝2020﹞46号）的规定，本公司（联合体）参加</w:t>
      </w:r>
      <w:r>
        <w:rPr>
          <w:rFonts w:ascii="宋体" w:hAnsi="宋体"/>
          <w:color w:val="auto"/>
          <w:kern w:val="24"/>
          <w:u w:val="single"/>
        </w:rPr>
        <w:t>（单位名称）</w:t>
      </w:r>
      <w:r>
        <w:rPr>
          <w:rFonts w:ascii="宋体" w:hAnsi="宋体"/>
          <w:color w:val="auto"/>
          <w:kern w:val="24"/>
        </w:rPr>
        <w:t>的</w:t>
      </w:r>
      <w:r>
        <w:rPr>
          <w:rFonts w:ascii="宋体" w:hAnsi="宋体"/>
          <w:color w:val="auto"/>
          <w:kern w:val="24"/>
          <w:u w:val="single"/>
        </w:rPr>
        <w:t>（项目名称）</w:t>
      </w:r>
      <w:r>
        <w:rPr>
          <w:rFonts w:ascii="宋体" w:hAnsi="宋体"/>
          <w:color w:val="auto"/>
          <w:kern w:val="24"/>
        </w:rPr>
        <w:t>采购活动，提供的货物全部由符合政策要求的中小企业制造。相关企业（含联合体中的中小企业、签订分包意向协议的中小企业）的具体情况如下：</w:t>
      </w:r>
    </w:p>
    <w:p w14:paraId="5A0D2181">
      <w:pPr>
        <w:tabs>
          <w:tab w:val="left" w:pos="1384"/>
          <w:tab w:val="left" w:pos="4562"/>
          <w:tab w:val="left" w:pos="6803"/>
        </w:tabs>
        <w:spacing w:line="360" w:lineRule="auto"/>
        <w:ind w:left="-426" w:right="-58" w:firstLine="655"/>
        <w:contextualSpacing/>
        <w:rPr>
          <w:rFonts w:ascii="宋体" w:hAnsi="宋体"/>
          <w:color w:val="auto"/>
          <w:kern w:val="24"/>
          <w:sz w:val="24"/>
        </w:rPr>
      </w:pPr>
      <w:r>
        <w:rPr>
          <w:rFonts w:ascii="宋体" w:hAnsi="宋体"/>
          <w:color w:val="auto"/>
          <w:kern w:val="24"/>
          <w:sz w:val="24"/>
        </w:rPr>
        <w:t>1.</w:t>
      </w:r>
      <w:r>
        <w:rPr>
          <w:rFonts w:ascii="宋体" w:hAnsi="宋体"/>
          <w:color w:val="auto"/>
          <w:kern w:val="24"/>
          <w:sz w:val="24"/>
          <w:u w:val="single"/>
        </w:rPr>
        <w:t>（标的名称）</w:t>
      </w:r>
      <w:r>
        <w:rPr>
          <w:rFonts w:ascii="宋体" w:hAnsi="宋体"/>
          <w:color w:val="auto"/>
          <w:kern w:val="24"/>
          <w:sz w:val="24"/>
        </w:rPr>
        <w:t>，属于</w:t>
      </w:r>
      <w:r>
        <w:rPr>
          <w:rFonts w:ascii="宋体" w:hAnsi="宋体"/>
          <w:color w:val="auto"/>
          <w:kern w:val="24"/>
          <w:sz w:val="24"/>
          <w:u w:val="single"/>
        </w:rPr>
        <w:t>（采购文件中明确的所属行业）</w:t>
      </w:r>
      <w:r>
        <w:rPr>
          <w:rFonts w:ascii="宋体" w:hAnsi="宋体"/>
          <w:color w:val="auto"/>
          <w:kern w:val="24"/>
          <w:sz w:val="24"/>
        </w:rPr>
        <w:t>行业；制造商为</w:t>
      </w:r>
      <w:r>
        <w:rPr>
          <w:rFonts w:ascii="宋体" w:hAnsi="宋体"/>
          <w:color w:val="auto"/>
          <w:kern w:val="24"/>
          <w:sz w:val="24"/>
          <w:u w:val="single"/>
        </w:rPr>
        <w:t>（企业名称）</w:t>
      </w:r>
      <w:r>
        <w:rPr>
          <w:rFonts w:ascii="宋体" w:hAnsi="宋体"/>
          <w:color w:val="auto"/>
          <w:kern w:val="24"/>
          <w:sz w:val="24"/>
        </w:rPr>
        <w:t>，从业人员</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人，营业收入为</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万元，资产总额为</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万元，属于</w:t>
      </w:r>
      <w:r>
        <w:rPr>
          <w:rFonts w:ascii="宋体" w:hAnsi="宋体"/>
          <w:color w:val="auto"/>
          <w:kern w:val="24"/>
          <w:sz w:val="24"/>
          <w:u w:val="single"/>
        </w:rPr>
        <w:t>（中型企业、小型企业、微型企业）</w:t>
      </w:r>
      <w:r>
        <w:rPr>
          <w:rFonts w:ascii="宋体" w:hAnsi="宋体"/>
          <w:color w:val="auto"/>
          <w:kern w:val="24"/>
          <w:sz w:val="24"/>
        </w:rPr>
        <w:t>；</w:t>
      </w:r>
    </w:p>
    <w:p w14:paraId="50413374">
      <w:pPr>
        <w:tabs>
          <w:tab w:val="left" w:pos="1065"/>
          <w:tab w:val="left" w:pos="6477"/>
        </w:tabs>
        <w:spacing w:line="360" w:lineRule="auto"/>
        <w:ind w:left="-426" w:right="-58" w:firstLine="655"/>
        <w:contextualSpacing/>
        <w:rPr>
          <w:rFonts w:ascii="宋体" w:hAnsi="宋体"/>
          <w:color w:val="auto"/>
          <w:kern w:val="24"/>
          <w:sz w:val="24"/>
        </w:rPr>
      </w:pPr>
      <w:r>
        <w:rPr>
          <w:rFonts w:ascii="宋体" w:hAnsi="宋体"/>
          <w:color w:val="auto"/>
          <w:kern w:val="24"/>
          <w:sz w:val="24"/>
        </w:rPr>
        <w:t>2.</w:t>
      </w:r>
      <w:r>
        <w:rPr>
          <w:rFonts w:ascii="宋体" w:hAnsi="宋体"/>
          <w:color w:val="auto"/>
          <w:kern w:val="24"/>
          <w:sz w:val="24"/>
          <w:u w:val="single"/>
        </w:rPr>
        <w:t>（标的名称）</w:t>
      </w:r>
      <w:r>
        <w:rPr>
          <w:rFonts w:ascii="宋体" w:hAnsi="宋体"/>
          <w:color w:val="auto"/>
          <w:kern w:val="24"/>
          <w:sz w:val="24"/>
        </w:rPr>
        <w:t>，属于</w:t>
      </w:r>
      <w:r>
        <w:rPr>
          <w:rFonts w:ascii="宋体" w:hAnsi="宋体"/>
          <w:color w:val="auto"/>
          <w:kern w:val="24"/>
          <w:sz w:val="24"/>
          <w:u w:val="single"/>
        </w:rPr>
        <w:t>（采购文件中明确的所属行业）</w:t>
      </w:r>
      <w:r>
        <w:rPr>
          <w:rFonts w:ascii="宋体" w:hAnsi="宋体"/>
          <w:color w:val="auto"/>
          <w:kern w:val="24"/>
          <w:sz w:val="24"/>
        </w:rPr>
        <w:t>行业；制造商为</w:t>
      </w:r>
      <w:r>
        <w:rPr>
          <w:rFonts w:ascii="宋体" w:hAnsi="宋体"/>
          <w:color w:val="auto"/>
          <w:kern w:val="24"/>
          <w:sz w:val="24"/>
          <w:u w:val="single"/>
        </w:rPr>
        <w:t>（企业名称）</w:t>
      </w:r>
      <w:r>
        <w:rPr>
          <w:rFonts w:ascii="宋体" w:hAnsi="宋体"/>
          <w:color w:val="auto"/>
          <w:kern w:val="24"/>
          <w:sz w:val="24"/>
        </w:rPr>
        <w:t>，从业人员</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人，营业收入为</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万元，资产总额为</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万元，属于</w:t>
      </w:r>
      <w:r>
        <w:rPr>
          <w:rFonts w:ascii="宋体" w:hAnsi="宋体"/>
          <w:color w:val="auto"/>
          <w:kern w:val="24"/>
          <w:sz w:val="24"/>
          <w:u w:val="single"/>
        </w:rPr>
        <w:t>（中型企业、小型企业、微型企业）</w:t>
      </w:r>
      <w:r>
        <w:rPr>
          <w:rFonts w:ascii="宋体" w:hAnsi="宋体"/>
          <w:color w:val="auto"/>
          <w:kern w:val="24"/>
          <w:sz w:val="24"/>
        </w:rPr>
        <w:t>；</w:t>
      </w:r>
    </w:p>
    <w:p w14:paraId="62F29503">
      <w:pPr>
        <w:pStyle w:val="13"/>
        <w:spacing w:line="360" w:lineRule="auto"/>
        <w:ind w:left="142" w:right="142"/>
        <w:contextualSpacing/>
        <w:rPr>
          <w:rFonts w:ascii="宋体" w:hAnsi="宋体"/>
          <w:color w:val="auto"/>
          <w:kern w:val="24"/>
        </w:rPr>
      </w:pPr>
      <w:r>
        <w:rPr>
          <w:rFonts w:ascii="宋体" w:hAnsi="宋体"/>
          <w:color w:val="auto"/>
          <w:kern w:val="24"/>
        </w:rPr>
        <w:t xml:space="preserve">…… </w:t>
      </w:r>
    </w:p>
    <w:p w14:paraId="117F6BE9">
      <w:pPr>
        <w:pStyle w:val="13"/>
        <w:spacing w:line="360" w:lineRule="auto"/>
        <w:ind w:left="-405" w:leftChars="-193" w:right="142" w:firstLine="396" w:firstLineChars="189"/>
        <w:contextualSpacing/>
        <w:rPr>
          <w:rFonts w:ascii="宋体" w:hAnsi="宋体"/>
          <w:color w:val="auto"/>
          <w:kern w:val="24"/>
        </w:rPr>
      </w:pPr>
      <w:r>
        <w:rPr>
          <w:rFonts w:ascii="宋体" w:hAnsi="宋体"/>
          <w:color w:val="auto"/>
          <w:kern w:val="24"/>
        </w:rPr>
        <w:t>以上企业，不属于大企业的分支机构，不存在控股股东为大企业的情形，也不存在与大企业的负责人为同一人的情形。</w:t>
      </w:r>
    </w:p>
    <w:p w14:paraId="256F5C08">
      <w:pPr>
        <w:pStyle w:val="13"/>
        <w:spacing w:line="360" w:lineRule="auto"/>
        <w:ind w:left="-426" w:right="142" w:firstLine="567"/>
        <w:contextualSpacing/>
        <w:rPr>
          <w:rFonts w:ascii="宋体" w:hAnsi="宋体"/>
          <w:color w:val="auto"/>
          <w:kern w:val="24"/>
        </w:rPr>
      </w:pPr>
      <w:r>
        <w:rPr>
          <w:rFonts w:ascii="宋体" w:hAnsi="宋体"/>
          <w:color w:val="auto"/>
          <w:kern w:val="24"/>
        </w:rPr>
        <w:t>本企业对上述声明内容的真实性负责。如有虚假，将依法承担相应责任。</w:t>
      </w:r>
    </w:p>
    <w:p w14:paraId="2C6CC0B2">
      <w:pPr>
        <w:pStyle w:val="17"/>
        <w:spacing w:line="360" w:lineRule="auto"/>
        <w:ind w:firstLine="420" w:firstLineChars="200"/>
        <w:rPr>
          <w:rFonts w:hAnsi="宋体"/>
          <w:color w:val="auto"/>
          <w:szCs w:val="21"/>
        </w:rPr>
      </w:pPr>
    </w:p>
    <w:p w14:paraId="21A814B0">
      <w:pPr>
        <w:pStyle w:val="17"/>
        <w:spacing w:line="360" w:lineRule="auto"/>
        <w:ind w:firstLine="420" w:firstLineChars="200"/>
        <w:rPr>
          <w:rFonts w:hAnsi="宋体"/>
          <w:color w:val="auto"/>
          <w:szCs w:val="21"/>
        </w:rPr>
      </w:pPr>
    </w:p>
    <w:p w14:paraId="3963FCC9">
      <w:pPr>
        <w:snapToGrid w:val="0"/>
        <w:spacing w:line="360" w:lineRule="auto"/>
        <w:ind w:firstLine="5040" w:firstLineChars="21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投标人名称(电子签章)：</w:t>
      </w:r>
    </w:p>
    <w:p w14:paraId="02CFDAA6">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328CD618">
      <w:pPr>
        <w:pStyle w:val="17"/>
        <w:spacing w:line="360" w:lineRule="auto"/>
        <w:ind w:firstLine="420" w:firstLineChars="200"/>
        <w:rPr>
          <w:rFonts w:hAnsi="宋体"/>
          <w:color w:val="auto"/>
          <w:szCs w:val="21"/>
        </w:rPr>
      </w:pPr>
    </w:p>
    <w:p w14:paraId="79718DB6">
      <w:pPr>
        <w:snapToGrid w:val="0"/>
        <w:spacing w:before="50" w:after="165" w:afterLines="50" w:line="360" w:lineRule="auto"/>
        <w:jc w:val="left"/>
        <w:rPr>
          <w:rFonts w:hAnsi="宋体" w:cs="宋体"/>
          <w:color w:val="auto"/>
          <w:sz w:val="20"/>
        </w:rPr>
      </w:pPr>
      <w:r>
        <w:rPr>
          <w:rFonts w:hint="eastAsia" w:hAnsi="宋体" w:cs="宋体"/>
          <w:color w:val="auto"/>
          <w:sz w:val="20"/>
        </w:rPr>
        <w:t>注：</w:t>
      </w:r>
    </w:p>
    <w:p w14:paraId="130A0FE4">
      <w:pPr>
        <w:numPr>
          <w:ilvl w:val="0"/>
          <w:numId w:val="5"/>
        </w:numPr>
        <w:snapToGrid w:val="0"/>
        <w:spacing w:before="50" w:after="165" w:afterLines="50" w:line="360" w:lineRule="auto"/>
        <w:jc w:val="left"/>
        <w:rPr>
          <w:color w:val="auto"/>
          <w:sz w:val="20"/>
        </w:rPr>
      </w:pPr>
      <w:r>
        <w:rPr>
          <w:rFonts w:hint="eastAsia"/>
          <w:color w:val="auto"/>
          <w:sz w:val="20"/>
        </w:rPr>
        <w:t>从业人员、营业收入、资产总额填报上一年度数据，无上一年度数据的新成立企业可不填报。</w:t>
      </w:r>
    </w:p>
    <w:p w14:paraId="38079012">
      <w:pPr>
        <w:snapToGrid w:val="0"/>
        <w:spacing w:before="50" w:after="165" w:afterLines="50" w:line="360" w:lineRule="auto"/>
        <w:ind w:firstLine="300" w:firstLineChars="150"/>
        <w:jc w:val="left"/>
        <w:rPr>
          <w:rFonts w:hint="eastAsia"/>
          <w:color w:val="auto"/>
          <w:sz w:val="20"/>
        </w:rPr>
      </w:pPr>
      <w:r>
        <w:rPr>
          <w:rFonts w:hint="eastAsia"/>
          <w:color w:val="auto"/>
          <w:sz w:val="20"/>
        </w:rPr>
        <w:t>2、请根据自己的真实情况出具《中小企业声明函》。依法享受中小企业优惠政策的，采购人或者采购代理机构在公告中标结果时，同时公告其《中小企业声明函》，接受社会监督。</w:t>
      </w:r>
    </w:p>
    <w:p w14:paraId="3D06010E">
      <w:pPr>
        <w:rPr>
          <w:rFonts w:hint="eastAsia"/>
          <w:color w:val="auto"/>
          <w:sz w:val="20"/>
        </w:rPr>
      </w:pPr>
      <w:r>
        <w:rPr>
          <w:rFonts w:hint="eastAsia"/>
          <w:color w:val="auto"/>
          <w:sz w:val="20"/>
        </w:rPr>
        <w:br w:type="page"/>
      </w:r>
    </w:p>
    <w:p w14:paraId="64303AA1">
      <w:pPr>
        <w:snapToGrid w:val="0"/>
        <w:spacing w:before="165" w:beforeLines="50" w:after="50"/>
        <w:jc w:val="center"/>
        <w:rPr>
          <w:rFonts w:hint="eastAsia" w:ascii="宋体" w:hAnsi="宋体" w:cs="宋体"/>
          <w:b/>
          <w:color w:val="auto"/>
          <w:sz w:val="30"/>
          <w:szCs w:val="30"/>
          <w:highlight w:val="none"/>
        </w:rPr>
      </w:pPr>
    </w:p>
    <w:p w14:paraId="64416066">
      <w:pPr>
        <w:pStyle w:val="17"/>
        <w:jc w:val="center"/>
        <w:rPr>
          <w:rFonts w:hint="eastAsia" w:ascii="Times New Roman" w:hAnsi="Times New Roman" w:eastAsia="宋体" w:cs="Times New Roman"/>
          <w:b/>
          <w:color w:val="auto"/>
          <w:sz w:val="30"/>
          <w:szCs w:val="30"/>
        </w:rPr>
      </w:pPr>
      <w:r>
        <w:rPr>
          <w:rFonts w:hint="eastAsia" w:ascii="Times New Roman" w:hAnsi="Times New Roman" w:eastAsia="宋体" w:cs="Times New Roman"/>
          <w:b/>
          <w:color w:val="auto"/>
          <w:sz w:val="30"/>
          <w:szCs w:val="30"/>
        </w:rPr>
        <w:t>四、投标人针对报价需要说明的其他文件和说明</w:t>
      </w:r>
    </w:p>
    <w:p w14:paraId="0ED4FF43">
      <w:pPr>
        <w:snapToGrid w:val="0"/>
        <w:spacing w:before="165" w:beforeLines="50" w:after="50"/>
        <w:jc w:val="center"/>
        <w:rPr>
          <w:rFonts w:hint="eastAsia" w:ascii="宋体" w:hAnsi="宋体" w:cs="宋体"/>
          <w:b/>
          <w:color w:val="auto"/>
          <w:sz w:val="30"/>
          <w:szCs w:val="30"/>
          <w:highlight w:val="none"/>
        </w:rPr>
      </w:pPr>
    </w:p>
    <w:p w14:paraId="631C1065">
      <w:pPr>
        <w:snapToGrid w:val="0"/>
        <w:spacing w:line="360" w:lineRule="auto"/>
        <w:ind w:firstLine="5040" w:firstLineChars="2100"/>
        <w:rPr>
          <w:rFonts w:hint="eastAsia" w:ascii="宋体" w:hAnsi="宋体" w:cs="宋体"/>
          <w:color w:val="auto"/>
          <w:kern w:val="0"/>
          <w:sz w:val="24"/>
          <w:highlight w:val="none"/>
          <w:lang w:val="zh-CN" w:bidi="ar"/>
        </w:rPr>
      </w:pPr>
    </w:p>
    <w:p w14:paraId="14BC5A63">
      <w:pPr>
        <w:snapToGrid w:val="0"/>
        <w:spacing w:line="360" w:lineRule="auto"/>
        <w:ind w:firstLine="5040" w:firstLineChars="2100"/>
        <w:rPr>
          <w:rFonts w:hint="eastAsia" w:ascii="宋体" w:hAnsi="宋体" w:cs="宋体"/>
          <w:color w:val="auto"/>
          <w:kern w:val="0"/>
          <w:sz w:val="24"/>
          <w:highlight w:val="none"/>
          <w:lang w:val="zh-CN" w:bidi="ar"/>
        </w:rPr>
      </w:pPr>
    </w:p>
    <w:p w14:paraId="5B012E1C">
      <w:pPr>
        <w:snapToGrid w:val="0"/>
        <w:spacing w:line="360" w:lineRule="auto"/>
        <w:ind w:firstLine="5040" w:firstLineChars="2100"/>
        <w:rPr>
          <w:rFonts w:hint="eastAsia" w:ascii="宋体" w:hAnsi="宋体" w:cs="宋体"/>
          <w:color w:val="auto"/>
          <w:kern w:val="0"/>
          <w:sz w:val="24"/>
          <w:highlight w:val="none"/>
          <w:lang w:val="zh-CN" w:bidi="ar"/>
        </w:rPr>
      </w:pPr>
    </w:p>
    <w:p w14:paraId="2CF103DA">
      <w:pPr>
        <w:snapToGrid w:val="0"/>
        <w:spacing w:line="360" w:lineRule="auto"/>
        <w:ind w:firstLine="5040" w:firstLineChars="2100"/>
        <w:rPr>
          <w:rFonts w:hint="eastAsia" w:ascii="宋体" w:hAnsi="宋体" w:cs="宋体"/>
          <w:color w:val="auto"/>
          <w:kern w:val="0"/>
          <w:sz w:val="24"/>
          <w:highlight w:val="none"/>
          <w:lang w:val="zh-CN" w:bidi="ar"/>
        </w:rPr>
      </w:pPr>
    </w:p>
    <w:p w14:paraId="66222886">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bidi="ar"/>
        </w:rPr>
        <w:t>投标人名称(电子签章)：</w:t>
      </w:r>
    </w:p>
    <w:p w14:paraId="3495DFC1">
      <w:pPr>
        <w:snapToGrid w:val="0"/>
        <w:spacing w:line="360" w:lineRule="auto"/>
        <w:ind w:firstLine="5160" w:firstLineChars="2150"/>
        <w:rPr>
          <w:rFonts w:hint="eastAsia" w:ascii="宋体" w:hAnsi="宋体" w:cs="宋体"/>
          <w:color w:val="auto"/>
          <w:szCs w:val="21"/>
          <w:highlight w:val="none"/>
        </w:rPr>
      </w:pPr>
      <w:r>
        <w:rPr>
          <w:rFonts w:hint="eastAsia" w:ascii="宋体" w:hAnsi="宋体" w:cs="宋体"/>
          <w:color w:val="auto"/>
          <w:kern w:val="0"/>
          <w:sz w:val="24"/>
          <w:highlight w:val="none"/>
          <w:lang w:val="zh-CN" w:bidi="ar"/>
        </w:rPr>
        <w:t>日期</w:t>
      </w:r>
      <w:r>
        <w:rPr>
          <w:rFonts w:hint="eastAsia" w:ascii="宋体" w:hAnsi="宋体" w:cs="宋体"/>
          <w:color w:val="auto"/>
          <w:kern w:val="0"/>
          <w:sz w:val="24"/>
          <w:highlight w:val="none"/>
          <w:lang w:bidi="ar"/>
        </w:rPr>
        <w:t xml:space="preserve">：  年  </w:t>
      </w:r>
      <w:r>
        <w:rPr>
          <w:rFonts w:hint="eastAsia" w:ascii="宋体" w:hAnsi="宋体" w:cs="宋体"/>
          <w:color w:val="auto"/>
          <w:kern w:val="0"/>
          <w:sz w:val="24"/>
          <w:highlight w:val="none"/>
          <w:lang w:val="zh-CN" w:bidi="ar"/>
        </w:rPr>
        <w:t>月</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zh-CN" w:bidi="ar"/>
        </w:rPr>
        <w:t>日</w:t>
      </w:r>
    </w:p>
    <w:p w14:paraId="407299B9">
      <w:pPr>
        <w:snapToGrid w:val="0"/>
        <w:spacing w:before="50" w:after="165" w:afterLines="50" w:line="360" w:lineRule="auto"/>
        <w:ind w:firstLine="300" w:firstLineChars="150"/>
        <w:jc w:val="left"/>
        <w:rPr>
          <w:rFonts w:hint="eastAsia"/>
          <w:color w:val="auto"/>
          <w:sz w:val="20"/>
        </w:rPr>
      </w:pPr>
    </w:p>
    <w:p w14:paraId="225D5770">
      <w:pPr>
        <w:snapToGrid w:val="0"/>
        <w:spacing w:before="50" w:after="165" w:afterLines="50" w:line="360" w:lineRule="auto"/>
        <w:ind w:firstLine="300" w:firstLineChars="150"/>
        <w:jc w:val="left"/>
        <w:rPr>
          <w:rFonts w:hint="eastAsia"/>
          <w:color w:val="auto"/>
          <w:sz w:val="20"/>
        </w:rPr>
      </w:pPr>
    </w:p>
    <w:p w14:paraId="2D7D5F63">
      <w:pPr>
        <w:snapToGrid w:val="0"/>
        <w:spacing w:before="50" w:after="165" w:afterLines="50" w:line="360" w:lineRule="auto"/>
        <w:ind w:firstLine="300" w:firstLineChars="150"/>
        <w:jc w:val="left"/>
        <w:rPr>
          <w:rFonts w:hint="eastAsia"/>
          <w:color w:val="auto"/>
          <w:sz w:val="20"/>
        </w:rPr>
        <w:sectPr>
          <w:pgSz w:w="11906" w:h="16838"/>
          <w:pgMar w:top="1134" w:right="1134" w:bottom="1134" w:left="1134" w:header="720" w:footer="720" w:gutter="0"/>
          <w:cols w:space="720" w:num="1"/>
          <w:docGrid w:type="lines" w:linePitch="331" w:charSpace="0"/>
        </w:sectPr>
      </w:pPr>
    </w:p>
    <w:p w14:paraId="04187029">
      <w:pPr>
        <w:snapToGrid w:val="0"/>
        <w:spacing w:before="165" w:beforeLines="50" w:after="50"/>
        <w:jc w:val="center"/>
        <w:outlineLvl w:val="1"/>
        <w:rPr>
          <w:rFonts w:ascii="宋体" w:hAnsi="宋体"/>
          <w:b/>
          <w:bCs/>
          <w:color w:val="auto"/>
          <w:sz w:val="28"/>
          <w:szCs w:val="28"/>
        </w:rPr>
      </w:pPr>
      <w:bookmarkStart w:id="308" w:name="_Toc80093016"/>
      <w:bookmarkStart w:id="309" w:name="_Toc19686840"/>
      <w:r>
        <w:rPr>
          <w:rFonts w:hint="eastAsia" w:ascii="宋体" w:hAnsi="宋体"/>
          <w:b/>
          <w:bCs/>
          <w:color w:val="auto"/>
          <w:sz w:val="28"/>
          <w:szCs w:val="28"/>
        </w:rPr>
        <w:t>第六节 其他文书、文件格式</w:t>
      </w:r>
      <w:bookmarkEnd w:id="308"/>
      <w:bookmarkEnd w:id="309"/>
    </w:p>
    <w:p w14:paraId="17672D1F">
      <w:pPr>
        <w:pStyle w:val="17"/>
        <w:spacing w:line="360" w:lineRule="auto"/>
        <w:jc w:val="center"/>
        <w:rPr>
          <w:b/>
          <w:color w:val="auto"/>
          <w:sz w:val="30"/>
          <w:szCs w:val="30"/>
        </w:rPr>
      </w:pPr>
      <w:r>
        <w:rPr>
          <w:rFonts w:hint="eastAsia"/>
          <w:b/>
          <w:color w:val="auto"/>
          <w:sz w:val="30"/>
          <w:szCs w:val="30"/>
        </w:rPr>
        <w:t>残疾人福利性单位声明函（格式）</w:t>
      </w:r>
    </w:p>
    <w:p w14:paraId="7BB95942">
      <w:pPr>
        <w:pStyle w:val="17"/>
        <w:spacing w:line="360" w:lineRule="auto"/>
        <w:jc w:val="center"/>
        <w:rPr>
          <w:b/>
          <w:color w:val="auto"/>
          <w:sz w:val="30"/>
          <w:szCs w:val="30"/>
        </w:rPr>
      </w:pPr>
    </w:p>
    <w:p w14:paraId="0794D6FC">
      <w:pPr>
        <w:pStyle w:val="17"/>
        <w:spacing w:line="360" w:lineRule="auto"/>
        <w:jc w:val="left"/>
        <w:rPr>
          <w:rFonts w:ascii="仿宋_GB2312" w:eastAsia="仿宋_GB2312"/>
          <w:color w:val="auto"/>
          <w:sz w:val="24"/>
          <w:szCs w:val="24"/>
        </w:rPr>
      </w:pPr>
      <w:r>
        <w:rPr>
          <w:rFonts w:hint="eastAsia"/>
          <w:color w:val="auto"/>
          <w:sz w:val="30"/>
          <w:szCs w:val="30"/>
        </w:rPr>
        <w:t xml:space="preserve">   </w:t>
      </w:r>
      <w:r>
        <w:rPr>
          <w:rFonts w:hint="eastAsia" w:ascii="仿宋_GB2312" w:eastAsia="仿宋_GB2312"/>
          <w:color w:val="auto"/>
          <w:sz w:val="24"/>
          <w:szCs w:val="24"/>
        </w:rPr>
        <w:t>本公司郑重声明，根据《财政部 民政部 中国残疾人联合会关于促进残疾人就业政府采购政策的通知》（财库〔2017〕 141号）的规定，本公司为符合条件的残疾人福利性单位，且本公司参加</w:t>
      </w:r>
      <w:r>
        <w:rPr>
          <w:rFonts w:hint="eastAsia" w:ascii="仿宋_GB2312" w:eastAsia="仿宋_GB2312"/>
          <w:color w:val="auto"/>
          <w:sz w:val="24"/>
          <w:szCs w:val="24"/>
          <w:u w:val="single"/>
        </w:rPr>
        <w:t xml:space="preserve">        </w:t>
      </w:r>
      <w:r>
        <w:rPr>
          <w:rFonts w:hint="eastAsia" w:ascii="仿宋_GB2312" w:eastAsia="仿宋_GB2312"/>
          <w:color w:val="auto"/>
          <w:sz w:val="24"/>
          <w:szCs w:val="24"/>
        </w:rPr>
        <w:t>单位的</w:t>
      </w:r>
      <w:r>
        <w:rPr>
          <w:rFonts w:hint="eastAsia" w:ascii="仿宋_GB2312" w:eastAsia="仿宋_GB2312"/>
          <w:color w:val="auto"/>
          <w:sz w:val="24"/>
          <w:szCs w:val="24"/>
          <w:u w:val="single"/>
        </w:rPr>
        <w:t xml:space="preserve">          </w:t>
      </w:r>
      <w:r>
        <w:rPr>
          <w:rFonts w:hint="eastAsia" w:ascii="仿宋_GB2312" w:eastAsia="仿宋_GB2312"/>
          <w:color w:val="auto"/>
          <w:sz w:val="24"/>
          <w:szCs w:val="24"/>
        </w:rPr>
        <w:t>项目采购活动提供本公司制造的货物（由本公司承担工程/提供服务），或者提供其他残疾人福利性单位制造的货物（不包括使用非残疾人福利性单位注册商标的货物）。</w:t>
      </w:r>
    </w:p>
    <w:p w14:paraId="00C188C3">
      <w:pPr>
        <w:pStyle w:val="17"/>
        <w:spacing w:line="360" w:lineRule="auto"/>
        <w:ind w:firstLine="480" w:firstLineChars="200"/>
        <w:jc w:val="left"/>
        <w:rPr>
          <w:rFonts w:ascii="仿宋_GB2312" w:eastAsia="仿宋_GB2312"/>
          <w:color w:val="auto"/>
          <w:sz w:val="24"/>
          <w:szCs w:val="24"/>
        </w:rPr>
      </w:pPr>
      <w:r>
        <w:rPr>
          <w:rFonts w:hint="eastAsia" w:ascii="仿宋_GB2312" w:eastAsia="仿宋_GB2312"/>
          <w:color w:val="auto"/>
          <w:sz w:val="24"/>
          <w:szCs w:val="24"/>
        </w:rPr>
        <w:t>本公司对上述声明的真实性负责。如有虚假，将依法承担相应责任。</w:t>
      </w:r>
    </w:p>
    <w:p w14:paraId="7AD8FCB5">
      <w:pPr>
        <w:pStyle w:val="17"/>
        <w:spacing w:line="360" w:lineRule="auto"/>
        <w:jc w:val="left"/>
        <w:rPr>
          <w:b/>
          <w:color w:val="auto"/>
          <w:szCs w:val="21"/>
        </w:rPr>
      </w:pPr>
    </w:p>
    <w:p w14:paraId="7A2A88B0">
      <w:pPr>
        <w:pStyle w:val="17"/>
        <w:spacing w:line="360" w:lineRule="auto"/>
        <w:jc w:val="left"/>
        <w:rPr>
          <w:b/>
          <w:color w:val="auto"/>
          <w:szCs w:val="21"/>
        </w:rPr>
      </w:pPr>
    </w:p>
    <w:p w14:paraId="084C9550">
      <w:pPr>
        <w:snapToGrid w:val="0"/>
        <w:spacing w:line="360" w:lineRule="auto"/>
        <w:ind w:left="5137" w:leftChars="1736" w:hanging="1491" w:hangingChars="825"/>
        <w:rPr>
          <w:rFonts w:ascii="仿宋_GB2312" w:hAnsi="仿宋" w:eastAsia="仿宋_GB2312" w:cs="仿宋_GB2312"/>
          <w:color w:val="auto"/>
          <w:kern w:val="0"/>
          <w:sz w:val="24"/>
        </w:rPr>
      </w:pPr>
      <w:r>
        <w:rPr>
          <w:rFonts w:hint="eastAsia"/>
          <w:b/>
          <w:color w:val="auto"/>
          <w:sz w:val="18"/>
          <w:szCs w:val="18"/>
        </w:rPr>
        <w:t xml:space="preserve">                                                                    </w:t>
      </w:r>
      <w:r>
        <w:rPr>
          <w:rFonts w:hint="eastAsia" w:ascii="仿宋_GB2312" w:hAnsi="仿宋" w:eastAsia="仿宋_GB2312" w:cs="仿宋_GB2312"/>
          <w:color w:val="auto"/>
          <w:kern w:val="0"/>
          <w:sz w:val="24"/>
          <w:lang w:val="zh-CN"/>
        </w:rPr>
        <w:t>投标人名称(电子签章)：</w:t>
      </w:r>
    </w:p>
    <w:p w14:paraId="541D7A38">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06D0ACFA">
      <w:pPr>
        <w:pStyle w:val="17"/>
        <w:spacing w:line="360" w:lineRule="auto"/>
        <w:ind w:left="5132" w:leftChars="1979" w:hanging="976" w:hangingChars="488"/>
        <w:rPr>
          <w:color w:val="auto"/>
          <w:sz w:val="20"/>
        </w:rPr>
      </w:pPr>
    </w:p>
    <w:p w14:paraId="11F61949">
      <w:pPr>
        <w:spacing w:line="360" w:lineRule="auto"/>
        <w:ind w:right="42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72AEE74B">
      <w:pPr>
        <w:snapToGrid w:val="0"/>
        <w:spacing w:before="50" w:after="165" w:afterLines="50" w:line="360" w:lineRule="auto"/>
        <w:jc w:val="left"/>
        <w:rPr>
          <w:color w:val="auto"/>
          <w:sz w:val="20"/>
        </w:rPr>
        <w:sectPr>
          <w:pgSz w:w="11906" w:h="16838"/>
          <w:pgMar w:top="1134" w:right="1134" w:bottom="1134" w:left="1134" w:header="720" w:footer="720" w:gutter="0"/>
          <w:cols w:space="720" w:num="1"/>
          <w:docGrid w:type="lines" w:linePitch="331" w:charSpace="0"/>
        </w:sectPr>
      </w:pPr>
    </w:p>
    <w:p w14:paraId="50E098B3">
      <w:pPr>
        <w:snapToGrid w:val="0"/>
        <w:spacing w:before="50" w:after="165" w:afterLines="50" w:line="360" w:lineRule="auto"/>
        <w:jc w:val="left"/>
        <w:rPr>
          <w:color w:val="auto"/>
          <w:sz w:val="20"/>
        </w:rPr>
      </w:pPr>
    </w:p>
    <w:p w14:paraId="2E64A503">
      <w:pPr>
        <w:pStyle w:val="17"/>
        <w:tabs>
          <w:tab w:val="left" w:pos="2472"/>
        </w:tabs>
        <w:spacing w:line="460" w:lineRule="exact"/>
        <w:jc w:val="center"/>
        <w:rPr>
          <w:rFonts w:ascii="Times New Roman" w:hAnsi="Times New Roman"/>
          <w:b/>
          <w:color w:val="auto"/>
          <w:sz w:val="36"/>
        </w:rPr>
      </w:pPr>
    </w:p>
    <w:p w14:paraId="2850A866">
      <w:pPr>
        <w:pStyle w:val="17"/>
        <w:tabs>
          <w:tab w:val="left" w:pos="2472"/>
        </w:tabs>
        <w:spacing w:line="460" w:lineRule="exact"/>
        <w:jc w:val="center"/>
        <w:rPr>
          <w:rFonts w:ascii="Times New Roman" w:hAnsi="Times New Roman"/>
          <w:b/>
          <w:color w:val="auto"/>
          <w:sz w:val="36"/>
        </w:rPr>
      </w:pPr>
    </w:p>
    <w:p w14:paraId="70CA1306">
      <w:pPr>
        <w:pStyle w:val="17"/>
        <w:tabs>
          <w:tab w:val="left" w:pos="2472"/>
        </w:tabs>
        <w:spacing w:line="460" w:lineRule="exact"/>
        <w:jc w:val="center"/>
        <w:rPr>
          <w:rFonts w:ascii="Times New Roman" w:hAnsi="Times New Roman"/>
          <w:b/>
          <w:color w:val="auto"/>
          <w:sz w:val="36"/>
        </w:rPr>
      </w:pPr>
    </w:p>
    <w:p w14:paraId="1D97B16F">
      <w:pPr>
        <w:pStyle w:val="17"/>
        <w:tabs>
          <w:tab w:val="left" w:pos="2472"/>
        </w:tabs>
        <w:spacing w:line="460" w:lineRule="exact"/>
        <w:jc w:val="center"/>
        <w:rPr>
          <w:rFonts w:ascii="Times New Roman" w:hAnsi="Times New Roman"/>
          <w:b/>
          <w:color w:val="auto"/>
          <w:sz w:val="36"/>
        </w:rPr>
      </w:pPr>
    </w:p>
    <w:p w14:paraId="0BE7F93D">
      <w:pPr>
        <w:pStyle w:val="17"/>
        <w:tabs>
          <w:tab w:val="left" w:pos="2472"/>
        </w:tabs>
        <w:spacing w:line="460" w:lineRule="exact"/>
        <w:jc w:val="center"/>
        <w:rPr>
          <w:rFonts w:ascii="Times New Roman" w:hAnsi="Times New Roman"/>
          <w:b/>
          <w:color w:val="auto"/>
          <w:sz w:val="36"/>
        </w:rPr>
      </w:pPr>
    </w:p>
    <w:p w14:paraId="245FD046">
      <w:pPr>
        <w:pStyle w:val="17"/>
        <w:tabs>
          <w:tab w:val="left" w:pos="2472"/>
        </w:tabs>
        <w:spacing w:line="460" w:lineRule="exact"/>
        <w:jc w:val="center"/>
        <w:rPr>
          <w:rFonts w:ascii="Times New Roman" w:hAnsi="Times New Roman"/>
          <w:b/>
          <w:color w:val="auto"/>
          <w:sz w:val="36"/>
        </w:rPr>
      </w:pPr>
    </w:p>
    <w:p w14:paraId="26AF376C">
      <w:pPr>
        <w:pStyle w:val="17"/>
        <w:tabs>
          <w:tab w:val="left" w:pos="2472"/>
        </w:tabs>
        <w:spacing w:line="460" w:lineRule="exact"/>
        <w:jc w:val="center"/>
        <w:rPr>
          <w:rFonts w:ascii="Times New Roman" w:hAnsi="Times New Roman"/>
          <w:b/>
          <w:color w:val="auto"/>
          <w:sz w:val="36"/>
        </w:rPr>
      </w:pPr>
    </w:p>
    <w:p w14:paraId="2568923C">
      <w:pPr>
        <w:pStyle w:val="17"/>
        <w:tabs>
          <w:tab w:val="left" w:pos="2472"/>
        </w:tabs>
        <w:spacing w:line="460" w:lineRule="exact"/>
        <w:jc w:val="center"/>
        <w:rPr>
          <w:rFonts w:ascii="Times New Roman" w:hAnsi="Times New Roman"/>
          <w:b/>
          <w:color w:val="auto"/>
          <w:sz w:val="36"/>
        </w:rPr>
      </w:pPr>
    </w:p>
    <w:p w14:paraId="11000CEF">
      <w:pPr>
        <w:pStyle w:val="17"/>
        <w:tabs>
          <w:tab w:val="left" w:pos="2472"/>
        </w:tabs>
        <w:spacing w:line="460" w:lineRule="exact"/>
        <w:jc w:val="center"/>
        <w:rPr>
          <w:rFonts w:ascii="Times New Roman" w:hAnsi="Times New Roman"/>
          <w:b/>
          <w:color w:val="auto"/>
          <w:sz w:val="36"/>
        </w:rPr>
      </w:pPr>
    </w:p>
    <w:p w14:paraId="7534A05E">
      <w:pPr>
        <w:pStyle w:val="17"/>
        <w:tabs>
          <w:tab w:val="left" w:pos="2472"/>
        </w:tabs>
        <w:spacing w:line="460" w:lineRule="exact"/>
        <w:jc w:val="center"/>
        <w:rPr>
          <w:rFonts w:ascii="Times New Roman" w:hAnsi="Times New Roman"/>
          <w:b/>
          <w:color w:val="auto"/>
          <w:sz w:val="36"/>
        </w:rPr>
      </w:pPr>
    </w:p>
    <w:p w14:paraId="0C5D0FF7">
      <w:pPr>
        <w:pStyle w:val="17"/>
        <w:tabs>
          <w:tab w:val="left" w:pos="2472"/>
        </w:tabs>
        <w:spacing w:line="460" w:lineRule="exact"/>
        <w:jc w:val="center"/>
        <w:rPr>
          <w:rFonts w:ascii="Times New Roman" w:hAnsi="Times New Roman"/>
          <w:b/>
          <w:color w:val="auto"/>
          <w:sz w:val="36"/>
        </w:rPr>
      </w:pPr>
    </w:p>
    <w:p w14:paraId="4B7574EF">
      <w:pPr>
        <w:pStyle w:val="17"/>
        <w:tabs>
          <w:tab w:val="left" w:pos="2472"/>
        </w:tabs>
        <w:spacing w:line="460" w:lineRule="exact"/>
        <w:jc w:val="center"/>
        <w:outlineLvl w:val="0"/>
        <w:rPr>
          <w:rFonts w:ascii="Times New Roman" w:hAnsi="Times New Roman"/>
          <w:b/>
          <w:color w:val="auto"/>
          <w:sz w:val="36"/>
        </w:rPr>
      </w:pPr>
      <w:bookmarkStart w:id="310" w:name="_Toc80093017"/>
      <w:r>
        <w:rPr>
          <w:rFonts w:hint="eastAsia" w:ascii="Times New Roman" w:hAnsi="Times New Roman"/>
          <w:b/>
          <w:color w:val="auto"/>
          <w:sz w:val="36"/>
        </w:rPr>
        <w:t>第七章 质疑、投诉证明材料格式</w:t>
      </w:r>
      <w:bookmarkEnd w:id="310"/>
    </w:p>
    <w:p w14:paraId="0973B641">
      <w:pPr>
        <w:snapToGrid w:val="0"/>
        <w:spacing w:before="50" w:after="165" w:afterLines="50" w:line="360" w:lineRule="auto"/>
        <w:ind w:firstLine="300" w:firstLineChars="150"/>
        <w:jc w:val="left"/>
        <w:rPr>
          <w:color w:val="auto"/>
          <w:sz w:val="20"/>
        </w:rPr>
        <w:sectPr>
          <w:pgSz w:w="11906" w:h="16838"/>
          <w:pgMar w:top="1134" w:right="1134" w:bottom="1134" w:left="1134" w:header="720" w:footer="720" w:gutter="0"/>
          <w:cols w:space="720" w:num="1"/>
          <w:docGrid w:type="lines" w:linePitch="331" w:charSpace="0"/>
        </w:sectPr>
      </w:pPr>
    </w:p>
    <w:p w14:paraId="380809D0">
      <w:pPr>
        <w:widowControl/>
        <w:shd w:val="clear" w:color="auto" w:fill="FFFFFF"/>
        <w:spacing w:line="260" w:lineRule="exact"/>
        <w:jc w:val="left"/>
        <w:rPr>
          <w:rFonts w:ascii="宋体" w:hAnsi="宋体"/>
          <w:b/>
          <w:bCs/>
          <w:color w:val="auto"/>
          <w:sz w:val="28"/>
          <w:szCs w:val="28"/>
        </w:rPr>
      </w:pPr>
    </w:p>
    <w:p w14:paraId="329F1C49">
      <w:pPr>
        <w:pStyle w:val="3"/>
        <w:jc w:val="center"/>
        <w:rPr>
          <w:rFonts w:ascii="宋体" w:hAnsi="宋体"/>
          <w:b w:val="0"/>
          <w:bCs w:val="0"/>
          <w:color w:val="auto"/>
        </w:rPr>
      </w:pPr>
      <w:bookmarkStart w:id="311" w:name="_Toc80093018"/>
      <w:r>
        <w:rPr>
          <w:rFonts w:hint="eastAsia" w:ascii="宋体" w:hAnsi="宋体"/>
          <w:b w:val="0"/>
          <w:bCs w:val="0"/>
          <w:color w:val="auto"/>
        </w:rPr>
        <w:t>第一节 质疑函（格式）</w:t>
      </w:r>
      <w:bookmarkEnd w:id="311"/>
    </w:p>
    <w:p w14:paraId="41A55BC9">
      <w:pPr>
        <w:jc w:val="center"/>
        <w:rPr>
          <w:rFonts w:ascii="仿宋" w:hAnsi="仿宋" w:eastAsia="仿宋" w:cs="仿宋"/>
          <w:b/>
          <w:bCs/>
          <w:color w:val="auto"/>
          <w:sz w:val="44"/>
          <w:szCs w:val="44"/>
        </w:rPr>
      </w:pPr>
      <w:r>
        <w:rPr>
          <w:rFonts w:hint="eastAsia" w:ascii="仿宋" w:hAnsi="仿宋" w:eastAsia="仿宋" w:cs="仿宋"/>
          <w:b/>
          <w:bCs/>
          <w:color w:val="auto"/>
          <w:sz w:val="44"/>
          <w:szCs w:val="44"/>
        </w:rPr>
        <w:t>质疑函范本</w:t>
      </w:r>
    </w:p>
    <w:p w14:paraId="199511E6">
      <w:pPr>
        <w:adjustRightInd w:val="0"/>
        <w:snapToGrid w:val="0"/>
        <w:spacing w:before="331" w:beforeLines="100" w:line="360" w:lineRule="auto"/>
        <w:rPr>
          <w:rFonts w:ascii="黑体" w:hAnsi="黑体" w:eastAsia="黑体" w:cs="仿宋"/>
          <w:bCs/>
          <w:color w:val="auto"/>
          <w:sz w:val="32"/>
          <w:szCs w:val="32"/>
        </w:rPr>
      </w:pPr>
      <w:r>
        <w:rPr>
          <w:rFonts w:hint="eastAsia" w:ascii="黑体" w:hAnsi="黑体" w:eastAsia="黑体" w:cs="仿宋"/>
          <w:bCs/>
          <w:color w:val="auto"/>
          <w:sz w:val="32"/>
          <w:szCs w:val="32"/>
        </w:rPr>
        <w:t>一、质疑供应商基本信息</w:t>
      </w:r>
    </w:p>
    <w:p w14:paraId="48CF04C1">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质疑供应商：</w:t>
      </w:r>
      <w:r>
        <w:rPr>
          <w:rFonts w:hint="eastAsia" w:ascii="仿宋" w:hAnsi="仿宋" w:eastAsia="仿宋" w:cs="仿宋"/>
          <w:color w:val="auto"/>
          <w:sz w:val="32"/>
          <w:szCs w:val="32"/>
          <w:u w:val="dotted"/>
        </w:rPr>
        <w:t xml:space="preserve">                                        </w:t>
      </w:r>
    </w:p>
    <w:p w14:paraId="70CF9D3E">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地址：</w:t>
      </w:r>
      <w:r>
        <w:rPr>
          <w:rFonts w:hint="eastAsia" w:ascii="仿宋" w:hAnsi="仿宋" w:eastAsia="仿宋" w:cs="仿宋"/>
          <w:color w:val="auto"/>
          <w:sz w:val="32"/>
          <w:szCs w:val="32"/>
          <w:u w:val="dotted"/>
        </w:rPr>
        <w:t xml:space="preserve">                          </w:t>
      </w:r>
      <w:r>
        <w:rPr>
          <w:rFonts w:hint="eastAsia" w:ascii="仿宋" w:hAnsi="仿宋" w:eastAsia="仿宋" w:cs="仿宋"/>
          <w:color w:val="auto"/>
          <w:sz w:val="32"/>
          <w:szCs w:val="32"/>
        </w:rPr>
        <w:t>邮编：</w:t>
      </w:r>
      <w:r>
        <w:rPr>
          <w:rFonts w:hint="eastAsia" w:ascii="仿宋" w:hAnsi="仿宋" w:eastAsia="仿宋" w:cs="仿宋"/>
          <w:color w:val="auto"/>
          <w:sz w:val="32"/>
          <w:szCs w:val="32"/>
          <w:u w:val="dotted"/>
        </w:rPr>
        <w:t xml:space="preserve">                  </w:t>
      </w:r>
    </w:p>
    <w:p w14:paraId="3DCF52D1">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联系人：</w:t>
      </w:r>
      <w:r>
        <w:rPr>
          <w:rFonts w:hint="eastAsia" w:ascii="仿宋" w:hAnsi="仿宋" w:eastAsia="仿宋" w:cs="仿宋"/>
          <w:color w:val="auto"/>
          <w:sz w:val="32"/>
          <w:szCs w:val="32"/>
          <w:u w:val="dotted"/>
        </w:rPr>
        <w:t xml:space="preserve">                      </w:t>
      </w:r>
      <w:r>
        <w:rPr>
          <w:rFonts w:hint="eastAsia" w:ascii="仿宋" w:hAnsi="仿宋" w:eastAsia="仿宋" w:cs="仿宋"/>
          <w:color w:val="auto"/>
          <w:sz w:val="32"/>
          <w:szCs w:val="32"/>
        </w:rPr>
        <w:t>联系电话：</w:t>
      </w:r>
      <w:r>
        <w:rPr>
          <w:rFonts w:hint="eastAsia" w:ascii="仿宋" w:hAnsi="仿宋" w:eastAsia="仿宋" w:cs="仿宋"/>
          <w:color w:val="auto"/>
          <w:sz w:val="32"/>
          <w:szCs w:val="32"/>
          <w:u w:val="dotted"/>
        </w:rPr>
        <w:t xml:space="preserve">                </w:t>
      </w:r>
    </w:p>
    <w:p w14:paraId="68347639">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授权代表：</w:t>
      </w:r>
      <w:r>
        <w:rPr>
          <w:rFonts w:hint="eastAsia" w:ascii="仿宋" w:hAnsi="仿宋" w:eastAsia="仿宋" w:cs="仿宋"/>
          <w:color w:val="auto"/>
          <w:sz w:val="32"/>
          <w:szCs w:val="32"/>
          <w:u w:val="dotted"/>
        </w:rPr>
        <w:t xml:space="preserve">                                          </w:t>
      </w:r>
    </w:p>
    <w:p w14:paraId="77A1A90C">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联系电话：</w:t>
      </w:r>
      <w:r>
        <w:rPr>
          <w:rFonts w:hint="eastAsia" w:ascii="仿宋" w:hAnsi="仿宋" w:eastAsia="仿宋" w:cs="仿宋"/>
          <w:color w:val="auto"/>
          <w:sz w:val="32"/>
          <w:szCs w:val="32"/>
          <w:u w:val="dotted"/>
        </w:rPr>
        <w:t xml:space="preserve">                                           </w:t>
      </w:r>
      <w:r>
        <w:rPr>
          <w:rFonts w:ascii="仿宋" w:hAnsi="仿宋" w:eastAsia="仿宋" w:cs="仿宋"/>
          <w:color w:val="auto"/>
          <w:sz w:val="32"/>
          <w:szCs w:val="32"/>
        </w:rPr>
        <w:t xml:space="preserve"> </w:t>
      </w:r>
    </w:p>
    <w:p w14:paraId="70A31736">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地址：</w:t>
      </w:r>
      <w:r>
        <w:rPr>
          <w:rFonts w:ascii="仿宋" w:hAnsi="仿宋" w:eastAsia="仿宋" w:cs="仿宋"/>
          <w:color w:val="auto"/>
          <w:sz w:val="32"/>
          <w:szCs w:val="32"/>
        </w:rPr>
        <w:t xml:space="preserve"> </w:t>
      </w:r>
      <w:r>
        <w:rPr>
          <w:rFonts w:hint="eastAsia" w:ascii="仿宋" w:hAnsi="仿宋" w:eastAsia="仿宋" w:cs="仿宋"/>
          <w:color w:val="auto"/>
          <w:sz w:val="32"/>
          <w:szCs w:val="32"/>
          <w:u w:val="dotted"/>
        </w:rPr>
        <w:t xml:space="preserve">                        </w:t>
      </w:r>
      <w:r>
        <w:rPr>
          <w:rFonts w:hint="eastAsia" w:ascii="仿宋" w:hAnsi="仿宋" w:eastAsia="仿宋" w:cs="仿宋"/>
          <w:color w:val="auto"/>
          <w:sz w:val="32"/>
          <w:szCs w:val="32"/>
        </w:rPr>
        <w:t>邮编：</w:t>
      </w:r>
      <w:r>
        <w:rPr>
          <w:rFonts w:hint="eastAsia" w:ascii="仿宋" w:hAnsi="仿宋" w:eastAsia="仿宋" w:cs="仿宋"/>
          <w:color w:val="auto"/>
          <w:sz w:val="32"/>
          <w:szCs w:val="32"/>
          <w:u w:val="dotted"/>
        </w:rPr>
        <w:t xml:space="preserve">                  </w:t>
      </w:r>
    </w:p>
    <w:p w14:paraId="3D866209">
      <w:pPr>
        <w:adjustRightInd w:val="0"/>
        <w:snapToGrid w:val="0"/>
        <w:spacing w:line="360" w:lineRule="auto"/>
        <w:rPr>
          <w:rFonts w:ascii="黑体" w:hAnsi="黑体" w:eastAsia="黑体" w:cs="仿宋"/>
          <w:bCs/>
          <w:color w:val="auto"/>
          <w:sz w:val="32"/>
          <w:szCs w:val="32"/>
        </w:rPr>
      </w:pPr>
      <w:r>
        <w:rPr>
          <w:rFonts w:hint="eastAsia" w:ascii="黑体" w:hAnsi="黑体" w:eastAsia="黑体" w:cs="仿宋"/>
          <w:bCs/>
          <w:color w:val="auto"/>
          <w:sz w:val="32"/>
          <w:szCs w:val="32"/>
        </w:rPr>
        <w:t>二、质疑项目基本情况</w:t>
      </w:r>
    </w:p>
    <w:p w14:paraId="04964DF9">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质疑项目的名称：</w:t>
      </w:r>
      <w:r>
        <w:rPr>
          <w:rFonts w:hint="eastAsia" w:ascii="仿宋" w:hAnsi="仿宋" w:eastAsia="仿宋" w:cs="仿宋"/>
          <w:color w:val="auto"/>
          <w:sz w:val="32"/>
          <w:szCs w:val="32"/>
          <w:u w:val="dotted"/>
        </w:rPr>
        <w:t xml:space="preserve">                                      </w:t>
      </w:r>
    </w:p>
    <w:p w14:paraId="02A1080E">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质疑项目的编号：</w:t>
      </w:r>
      <w:r>
        <w:rPr>
          <w:rFonts w:hint="eastAsia" w:ascii="仿宋" w:hAnsi="仿宋" w:eastAsia="仿宋" w:cs="仿宋"/>
          <w:color w:val="auto"/>
          <w:sz w:val="32"/>
          <w:szCs w:val="32"/>
          <w:u w:val="dotted"/>
        </w:rPr>
        <w:t xml:space="preserve">               </w:t>
      </w:r>
      <w:r>
        <w:rPr>
          <w:rFonts w:hint="eastAsia" w:ascii="仿宋" w:hAnsi="仿宋" w:eastAsia="仿宋" w:cs="仿宋"/>
          <w:color w:val="auto"/>
          <w:sz w:val="32"/>
          <w:szCs w:val="32"/>
        </w:rPr>
        <w:t>包号：</w:t>
      </w:r>
      <w:r>
        <w:rPr>
          <w:rFonts w:hint="eastAsia" w:ascii="仿宋" w:hAnsi="仿宋" w:eastAsia="仿宋" w:cs="仿宋"/>
          <w:color w:val="auto"/>
          <w:sz w:val="32"/>
          <w:szCs w:val="32"/>
          <w:u w:val="dotted"/>
        </w:rPr>
        <w:t xml:space="preserve">                 </w:t>
      </w:r>
    </w:p>
    <w:p w14:paraId="73C2CC24">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采购人名称：</w:t>
      </w:r>
      <w:r>
        <w:rPr>
          <w:rFonts w:hint="eastAsia" w:ascii="仿宋" w:hAnsi="仿宋" w:eastAsia="仿宋" w:cs="仿宋"/>
          <w:color w:val="auto"/>
          <w:sz w:val="32"/>
          <w:szCs w:val="32"/>
          <w:u w:val="dotted"/>
        </w:rPr>
        <w:t xml:space="preserve">                                         </w:t>
      </w:r>
    </w:p>
    <w:p w14:paraId="0A733D3C">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采购文件获取日期：</w:t>
      </w:r>
      <w:r>
        <w:rPr>
          <w:rFonts w:hint="eastAsia" w:ascii="仿宋" w:hAnsi="仿宋" w:eastAsia="仿宋" w:cs="仿宋"/>
          <w:color w:val="auto"/>
          <w:sz w:val="32"/>
          <w:szCs w:val="32"/>
          <w:u w:val="dotted"/>
        </w:rPr>
        <w:t xml:space="preserve">                                   </w:t>
      </w:r>
    </w:p>
    <w:p w14:paraId="3746722E">
      <w:pPr>
        <w:adjustRightInd w:val="0"/>
        <w:snapToGrid w:val="0"/>
        <w:spacing w:line="360" w:lineRule="auto"/>
        <w:rPr>
          <w:rFonts w:ascii="黑体" w:hAnsi="黑体" w:eastAsia="黑体" w:cs="仿宋"/>
          <w:bCs/>
          <w:color w:val="auto"/>
          <w:sz w:val="32"/>
          <w:szCs w:val="32"/>
        </w:rPr>
      </w:pPr>
      <w:r>
        <w:rPr>
          <w:rFonts w:hint="eastAsia" w:ascii="黑体" w:hAnsi="黑体" w:eastAsia="黑体" w:cs="仿宋"/>
          <w:bCs/>
          <w:color w:val="auto"/>
          <w:sz w:val="32"/>
          <w:szCs w:val="32"/>
        </w:rPr>
        <w:t>三、质疑事项具体内容</w:t>
      </w:r>
    </w:p>
    <w:p w14:paraId="2FF47C2E">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质疑事项1：</w:t>
      </w:r>
      <w:r>
        <w:rPr>
          <w:rFonts w:hint="eastAsia" w:ascii="仿宋" w:hAnsi="仿宋" w:eastAsia="仿宋" w:cs="仿宋"/>
          <w:color w:val="auto"/>
          <w:sz w:val="32"/>
          <w:szCs w:val="32"/>
          <w:u w:val="dotted"/>
        </w:rPr>
        <w:t xml:space="preserve">                                         </w:t>
      </w:r>
    </w:p>
    <w:p w14:paraId="77EAF485">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事实依据：</w:t>
      </w:r>
      <w:r>
        <w:rPr>
          <w:rFonts w:hint="eastAsia" w:ascii="仿宋" w:hAnsi="仿宋" w:eastAsia="仿宋" w:cs="仿宋"/>
          <w:color w:val="auto"/>
          <w:sz w:val="32"/>
          <w:szCs w:val="32"/>
          <w:u w:val="dotted"/>
        </w:rPr>
        <w:t xml:space="preserve">                                          </w:t>
      </w:r>
    </w:p>
    <w:p w14:paraId="02AE5898">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u w:val="dotted"/>
        </w:rPr>
        <w:t xml:space="preserve">                                                       </w:t>
      </w:r>
    </w:p>
    <w:p w14:paraId="7685015B">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法律依据：</w:t>
      </w:r>
      <w:r>
        <w:rPr>
          <w:rFonts w:hint="eastAsia" w:ascii="仿宋" w:hAnsi="仿宋" w:eastAsia="仿宋" w:cs="仿宋"/>
          <w:color w:val="auto"/>
          <w:sz w:val="32"/>
          <w:szCs w:val="32"/>
          <w:u w:val="dotted"/>
        </w:rPr>
        <w:t xml:space="preserve">                                          </w:t>
      </w:r>
    </w:p>
    <w:p w14:paraId="6CC94ABC">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u w:val="dotted"/>
        </w:rPr>
        <w:t xml:space="preserve">                                                     </w:t>
      </w:r>
    </w:p>
    <w:p w14:paraId="03AE819E">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质疑事项2</w:t>
      </w:r>
    </w:p>
    <w:p w14:paraId="5640A190">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w:t>
      </w:r>
    </w:p>
    <w:p w14:paraId="5185E014">
      <w:pPr>
        <w:adjustRightInd w:val="0"/>
        <w:snapToGrid w:val="0"/>
        <w:spacing w:line="360" w:lineRule="auto"/>
        <w:rPr>
          <w:rFonts w:ascii="黑体" w:hAnsi="黑体" w:eastAsia="黑体" w:cs="仿宋"/>
          <w:bCs/>
          <w:color w:val="auto"/>
          <w:sz w:val="32"/>
          <w:szCs w:val="32"/>
        </w:rPr>
      </w:pPr>
      <w:r>
        <w:rPr>
          <w:rFonts w:hint="eastAsia" w:ascii="黑体" w:hAnsi="黑体" w:eastAsia="黑体" w:cs="仿宋"/>
          <w:bCs/>
          <w:color w:val="auto"/>
          <w:sz w:val="32"/>
          <w:szCs w:val="32"/>
        </w:rPr>
        <w:t>四、与质疑事项相关的质疑请求</w:t>
      </w:r>
    </w:p>
    <w:p w14:paraId="3C5C401C">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请求：</w:t>
      </w:r>
      <w:r>
        <w:rPr>
          <w:rFonts w:hint="eastAsia" w:ascii="仿宋" w:hAnsi="仿宋" w:eastAsia="仿宋" w:cs="仿宋"/>
          <w:color w:val="auto"/>
          <w:sz w:val="32"/>
          <w:szCs w:val="32"/>
          <w:u w:val="dotted"/>
        </w:rPr>
        <w:t xml:space="preserve">                                               </w:t>
      </w:r>
    </w:p>
    <w:p w14:paraId="32876F9A">
      <w:pPr>
        <w:rPr>
          <w:rFonts w:ascii="仿宋_GB2312" w:eastAsia="仿宋_GB2312"/>
          <w:color w:val="auto"/>
          <w:sz w:val="30"/>
          <w:szCs w:val="30"/>
        </w:rPr>
      </w:pPr>
      <w:r>
        <w:rPr>
          <w:rFonts w:hint="eastAsia" w:ascii="仿宋_GB2312" w:eastAsia="仿宋_GB2312"/>
          <w:color w:val="auto"/>
          <w:sz w:val="30"/>
          <w:szCs w:val="30"/>
        </w:rPr>
        <w:t xml:space="preserve">签字(签章)：                   公章：                      </w:t>
      </w:r>
    </w:p>
    <w:p w14:paraId="3ABE999F">
      <w:pPr>
        <w:rPr>
          <w:rFonts w:ascii="仿宋_GB2312" w:eastAsia="仿宋_GB2312"/>
          <w:color w:val="auto"/>
          <w:sz w:val="30"/>
          <w:szCs w:val="30"/>
        </w:rPr>
      </w:pPr>
      <w:r>
        <w:rPr>
          <w:rFonts w:hint="eastAsia" w:ascii="仿宋_GB2312" w:eastAsia="仿宋_GB2312"/>
          <w:color w:val="auto"/>
          <w:sz w:val="30"/>
          <w:szCs w:val="30"/>
        </w:rPr>
        <w:t xml:space="preserve">日期：    </w:t>
      </w:r>
    </w:p>
    <w:p w14:paraId="2D67051C">
      <w:pPr>
        <w:adjustRightInd w:val="0"/>
        <w:snapToGrid w:val="0"/>
        <w:spacing w:line="360" w:lineRule="auto"/>
        <w:rPr>
          <w:rFonts w:ascii="仿宋" w:hAnsi="仿宋" w:eastAsia="仿宋" w:cs="仿宋"/>
          <w:color w:val="auto"/>
          <w:sz w:val="32"/>
          <w:szCs w:val="32"/>
        </w:rPr>
      </w:pPr>
    </w:p>
    <w:p w14:paraId="4417259B">
      <w:pPr>
        <w:rPr>
          <w:rFonts w:ascii="黑体" w:hAnsi="黑体" w:eastAsia="黑体"/>
          <w:b/>
          <w:color w:val="auto"/>
          <w:sz w:val="32"/>
          <w:szCs w:val="32"/>
        </w:rPr>
      </w:pPr>
      <w:r>
        <w:rPr>
          <w:rFonts w:ascii="黑体" w:hAnsi="黑体" w:eastAsia="黑体"/>
          <w:b/>
          <w:color w:val="auto"/>
          <w:sz w:val="32"/>
          <w:szCs w:val="32"/>
        </w:rPr>
        <w:br w:type="page"/>
      </w:r>
    </w:p>
    <w:p w14:paraId="17840B18">
      <w:pPr>
        <w:rPr>
          <w:rFonts w:ascii="黑体" w:hAnsi="黑体" w:eastAsia="黑体"/>
          <w:b/>
          <w:color w:val="auto"/>
          <w:sz w:val="32"/>
          <w:szCs w:val="32"/>
        </w:rPr>
      </w:pPr>
      <w:r>
        <w:rPr>
          <w:rFonts w:hint="eastAsia" w:ascii="黑体" w:hAnsi="黑体" w:eastAsia="黑体"/>
          <w:b/>
          <w:color w:val="auto"/>
          <w:sz w:val="32"/>
          <w:szCs w:val="32"/>
        </w:rPr>
        <w:t>质疑函制作说明：</w:t>
      </w:r>
    </w:p>
    <w:p w14:paraId="0340CBF4">
      <w:pPr>
        <w:widowControl/>
        <w:ind w:firstLine="640" w:firstLineChars="200"/>
        <w:jc w:val="left"/>
        <w:rPr>
          <w:rFonts w:ascii="仿宋_GB2312" w:eastAsia="仿宋_GB2312"/>
          <w:color w:val="auto"/>
          <w:sz w:val="32"/>
          <w:szCs w:val="32"/>
        </w:rPr>
      </w:pPr>
      <w:r>
        <w:rPr>
          <w:rFonts w:hint="eastAsia" w:ascii="仿宋_GB2312" w:eastAsia="仿宋_GB2312"/>
          <w:color w:val="auto"/>
          <w:sz w:val="32"/>
          <w:szCs w:val="32"/>
        </w:rPr>
        <w:t>1.供应商提出质疑时，应提交质疑函和必要的证明材料。</w:t>
      </w:r>
    </w:p>
    <w:p w14:paraId="13589C54">
      <w:pPr>
        <w:widowControl/>
        <w:ind w:firstLine="640" w:firstLineChars="200"/>
        <w:jc w:val="left"/>
        <w:rPr>
          <w:rFonts w:ascii="仿宋_GB2312" w:eastAsia="仿宋_GB2312"/>
          <w:color w:val="auto"/>
          <w:sz w:val="32"/>
          <w:szCs w:val="32"/>
        </w:rPr>
      </w:pPr>
      <w:r>
        <w:rPr>
          <w:rFonts w:hint="eastAsia" w:ascii="仿宋_GB2312" w:eastAsia="仿宋_GB2312"/>
          <w:color w:val="auto"/>
          <w:sz w:val="32"/>
          <w:szCs w:val="32"/>
        </w:rPr>
        <w:t>2.质疑供应商若委托代理人进行质疑的，质疑函应按要求列明“授权代表”的有关内容，并在附件中提交由质疑</w:t>
      </w:r>
      <w:r>
        <w:rPr>
          <w:rFonts w:hint="eastAsia" w:ascii="仿宋_GB2312" w:hAnsi="宋体" w:eastAsia="仿宋_GB2312" w:cs="宋体"/>
          <w:color w:val="auto"/>
          <w:kern w:val="0"/>
          <w:sz w:val="32"/>
          <w:szCs w:val="32"/>
        </w:rPr>
        <w:t>供应商签署的授权委托书。授权委托书应载明代理人的姓名或者名称、代理事项、具体权限、期限和相关事项。</w:t>
      </w:r>
    </w:p>
    <w:p w14:paraId="66E25130">
      <w:pPr>
        <w:widowControl/>
        <w:ind w:firstLine="640" w:firstLineChars="200"/>
        <w:jc w:val="left"/>
        <w:rPr>
          <w:rFonts w:ascii="仿宋_GB2312" w:eastAsia="仿宋_GB2312"/>
          <w:color w:val="auto"/>
          <w:sz w:val="32"/>
          <w:szCs w:val="32"/>
        </w:rPr>
      </w:pPr>
      <w:r>
        <w:rPr>
          <w:rFonts w:hint="eastAsia" w:ascii="仿宋_GB2312" w:eastAsia="仿宋_GB2312"/>
          <w:color w:val="auto"/>
          <w:sz w:val="32"/>
          <w:szCs w:val="32"/>
        </w:rPr>
        <w:t>3.质疑供应商若对项目的某一分包进行质疑，质疑函中应列明具体分包号。</w:t>
      </w:r>
    </w:p>
    <w:p w14:paraId="1284B4F1">
      <w:pPr>
        <w:widowControl/>
        <w:ind w:firstLine="640" w:firstLineChars="200"/>
        <w:jc w:val="left"/>
        <w:rPr>
          <w:rFonts w:ascii="仿宋_GB2312" w:eastAsia="仿宋_GB2312"/>
          <w:color w:val="auto"/>
          <w:sz w:val="32"/>
          <w:szCs w:val="32"/>
        </w:rPr>
      </w:pPr>
      <w:r>
        <w:rPr>
          <w:rFonts w:hint="eastAsia" w:ascii="仿宋_GB2312" w:eastAsia="仿宋_GB2312"/>
          <w:color w:val="auto"/>
          <w:sz w:val="32"/>
          <w:szCs w:val="32"/>
        </w:rPr>
        <w:t>4.质疑函的质疑事项应具体、明确，并有必要的事实依据和法律依据。</w:t>
      </w:r>
    </w:p>
    <w:p w14:paraId="645CF961">
      <w:pPr>
        <w:widowControl/>
        <w:ind w:firstLine="640" w:firstLineChars="200"/>
        <w:jc w:val="left"/>
        <w:rPr>
          <w:rFonts w:ascii="仿宋_GB2312" w:eastAsia="仿宋_GB2312"/>
          <w:color w:val="auto"/>
          <w:sz w:val="32"/>
          <w:szCs w:val="32"/>
        </w:rPr>
      </w:pPr>
      <w:r>
        <w:rPr>
          <w:rFonts w:hint="eastAsia" w:ascii="仿宋_GB2312" w:eastAsia="仿宋_GB2312"/>
          <w:color w:val="auto"/>
          <w:sz w:val="32"/>
          <w:szCs w:val="32"/>
        </w:rPr>
        <w:t>5.质疑函的质疑请求应与质疑事项相关。</w:t>
      </w:r>
    </w:p>
    <w:p w14:paraId="2AD971DD">
      <w:pPr>
        <w:widowControl/>
        <w:ind w:firstLine="640" w:firstLineChars="200"/>
        <w:jc w:val="left"/>
        <w:rPr>
          <w:rFonts w:ascii="仿宋_GB2312" w:eastAsia="仿宋_GB2312"/>
          <w:color w:val="auto"/>
          <w:sz w:val="32"/>
          <w:szCs w:val="32"/>
        </w:rPr>
      </w:pPr>
      <w:r>
        <w:rPr>
          <w:rFonts w:hint="eastAsia" w:ascii="仿宋_GB2312" w:eastAsia="仿宋_GB2312"/>
          <w:color w:val="auto"/>
          <w:sz w:val="32"/>
          <w:szCs w:val="32"/>
        </w:rPr>
        <w:t>6.质疑供应商为自然人的，质疑函应由本人签字；质疑供应商为法人或者其他组织的，质疑函应由法定代表人、主要负责人，或者其授权代表签字或者盖章，并加盖公章。</w:t>
      </w:r>
    </w:p>
    <w:p w14:paraId="74473FE2">
      <w:pPr>
        <w:widowControl/>
        <w:ind w:firstLine="600" w:firstLineChars="200"/>
        <w:jc w:val="left"/>
        <w:rPr>
          <w:rFonts w:ascii="仿宋_GB2312" w:eastAsia="仿宋_GB2312"/>
          <w:color w:val="auto"/>
          <w:sz w:val="30"/>
          <w:szCs w:val="30"/>
        </w:rPr>
      </w:pPr>
    </w:p>
    <w:p w14:paraId="77EA7445">
      <w:pPr>
        <w:snapToGrid w:val="0"/>
        <w:spacing w:before="50" w:after="165" w:afterLines="50" w:line="360" w:lineRule="auto"/>
        <w:ind w:firstLine="480" w:firstLineChars="200"/>
        <w:jc w:val="left"/>
        <w:rPr>
          <w:rFonts w:ascii="ˎ̥" w:hAnsi="ˎ̥" w:cs="宋体"/>
          <w:color w:val="auto"/>
          <w:kern w:val="0"/>
          <w:sz w:val="24"/>
        </w:rPr>
        <w:sectPr>
          <w:pgSz w:w="11906" w:h="16838"/>
          <w:pgMar w:top="1134" w:right="1134" w:bottom="1134" w:left="1134" w:header="720" w:footer="720" w:gutter="0"/>
          <w:cols w:space="720" w:num="1"/>
          <w:docGrid w:type="lines" w:linePitch="331" w:charSpace="0"/>
        </w:sectPr>
      </w:pPr>
    </w:p>
    <w:p w14:paraId="63BE4B5D">
      <w:pPr>
        <w:pStyle w:val="3"/>
        <w:jc w:val="center"/>
        <w:rPr>
          <w:rFonts w:ascii="宋体" w:hAnsi="宋体"/>
          <w:b w:val="0"/>
          <w:bCs w:val="0"/>
          <w:color w:val="auto"/>
        </w:rPr>
      </w:pPr>
      <w:bookmarkStart w:id="312" w:name="_Toc80093019"/>
      <w:r>
        <w:rPr>
          <w:rFonts w:hint="eastAsia" w:ascii="宋体" w:hAnsi="宋体"/>
          <w:b w:val="0"/>
          <w:bCs w:val="0"/>
          <w:color w:val="auto"/>
        </w:rPr>
        <w:t>第二节 投诉书（格式）</w:t>
      </w:r>
      <w:bookmarkEnd w:id="312"/>
    </w:p>
    <w:p w14:paraId="2461989C">
      <w:pPr>
        <w:jc w:val="center"/>
        <w:rPr>
          <w:rFonts w:ascii="宋体" w:hAnsi="宋体"/>
          <w:b/>
          <w:color w:val="auto"/>
          <w:sz w:val="44"/>
          <w:szCs w:val="44"/>
        </w:rPr>
      </w:pPr>
      <w:r>
        <w:rPr>
          <w:rFonts w:hint="eastAsia" w:ascii="宋体" w:hAnsi="宋体"/>
          <w:b/>
          <w:color w:val="auto"/>
          <w:sz w:val="44"/>
          <w:szCs w:val="44"/>
        </w:rPr>
        <w:t>投诉书范本</w:t>
      </w:r>
    </w:p>
    <w:p w14:paraId="37B0A937">
      <w:pPr>
        <w:rPr>
          <w:rFonts w:ascii="黑体" w:hAnsi="黑体" w:eastAsia="黑体"/>
          <w:color w:val="auto"/>
          <w:sz w:val="32"/>
          <w:szCs w:val="32"/>
        </w:rPr>
      </w:pPr>
      <w:r>
        <w:rPr>
          <w:rFonts w:hint="eastAsia" w:ascii="黑体" w:hAnsi="黑体" w:eastAsia="黑体"/>
          <w:color w:val="auto"/>
          <w:sz w:val="32"/>
          <w:szCs w:val="32"/>
        </w:rPr>
        <w:t>一、投诉相关主体基本情况</w:t>
      </w:r>
    </w:p>
    <w:p w14:paraId="447B12E1">
      <w:pPr>
        <w:rPr>
          <w:rFonts w:ascii="仿宋_GB2312" w:eastAsia="仿宋_GB2312"/>
          <w:color w:val="auto"/>
          <w:sz w:val="32"/>
          <w:szCs w:val="32"/>
          <w:u w:val="dotted"/>
        </w:rPr>
      </w:pPr>
      <w:r>
        <w:rPr>
          <w:rFonts w:hint="eastAsia" w:ascii="仿宋_GB2312" w:eastAsia="仿宋_GB2312"/>
          <w:color w:val="auto"/>
          <w:sz w:val="32"/>
          <w:szCs w:val="32"/>
        </w:rPr>
        <w:t>投诉人：</w:t>
      </w:r>
      <w:r>
        <w:rPr>
          <w:rFonts w:hint="eastAsia" w:ascii="仿宋_GB2312" w:eastAsia="仿宋_GB2312"/>
          <w:color w:val="auto"/>
          <w:sz w:val="32"/>
          <w:szCs w:val="32"/>
          <w:u w:val="dotted"/>
        </w:rPr>
        <w:t xml:space="preserve">                                               </w:t>
      </w:r>
    </w:p>
    <w:p w14:paraId="53C59E1F">
      <w:pPr>
        <w:rPr>
          <w:rFonts w:ascii="仿宋_GB2312" w:eastAsia="仿宋_GB2312"/>
          <w:color w:val="auto"/>
          <w:sz w:val="32"/>
          <w:szCs w:val="32"/>
          <w:u w:val="single"/>
        </w:rPr>
      </w:pPr>
      <w:r>
        <w:rPr>
          <w:rFonts w:hint="eastAsia" w:ascii="仿宋_GB2312" w:eastAsia="仿宋_GB2312"/>
          <w:color w:val="auto"/>
          <w:sz w:val="32"/>
          <w:szCs w:val="32"/>
        </w:rPr>
        <w:t>地     址：</w:t>
      </w: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邮编：</w:t>
      </w:r>
      <w:r>
        <w:rPr>
          <w:rFonts w:hint="eastAsia" w:ascii="仿宋_GB2312" w:eastAsia="仿宋_GB2312"/>
          <w:color w:val="auto"/>
          <w:sz w:val="32"/>
          <w:szCs w:val="32"/>
          <w:u w:val="dotted"/>
        </w:rPr>
        <w:t xml:space="preserve">         </w:t>
      </w:r>
    </w:p>
    <w:p w14:paraId="51795BDB">
      <w:pPr>
        <w:tabs>
          <w:tab w:val="left" w:pos="6510"/>
        </w:tabs>
        <w:jc w:val="left"/>
        <w:rPr>
          <w:rFonts w:ascii="仿宋_GB2312" w:eastAsia="仿宋_GB2312"/>
          <w:color w:val="auto"/>
          <w:sz w:val="32"/>
          <w:szCs w:val="32"/>
        </w:rPr>
      </w:pPr>
      <w:r>
        <w:rPr>
          <w:rFonts w:hint="eastAsia" w:ascii="仿宋_GB2312" w:eastAsia="仿宋_GB2312"/>
          <w:color w:val="auto"/>
          <w:sz w:val="32"/>
          <w:szCs w:val="32"/>
        </w:rPr>
        <w:t>法定代表人/主要负责人：</w:t>
      </w:r>
      <w:r>
        <w:rPr>
          <w:rFonts w:hint="eastAsia" w:ascii="仿宋_GB2312" w:eastAsia="仿宋_GB2312"/>
          <w:color w:val="auto"/>
          <w:sz w:val="32"/>
          <w:szCs w:val="32"/>
          <w:u w:val="dotted"/>
        </w:rPr>
        <w:t xml:space="preserve">                                  </w:t>
      </w:r>
    </w:p>
    <w:p w14:paraId="65BB023F">
      <w:pPr>
        <w:tabs>
          <w:tab w:val="left" w:pos="6510"/>
        </w:tabs>
        <w:rPr>
          <w:rFonts w:ascii="仿宋_GB2312" w:eastAsia="仿宋_GB2312"/>
          <w:color w:val="auto"/>
          <w:sz w:val="32"/>
          <w:szCs w:val="32"/>
          <w:u w:val="dotted"/>
        </w:rPr>
      </w:pPr>
      <w:r>
        <w:rPr>
          <w:rFonts w:hint="eastAsia" w:ascii="仿宋_GB2312" w:eastAsia="仿宋_GB2312"/>
          <w:color w:val="auto"/>
          <w:sz w:val="32"/>
          <w:szCs w:val="32"/>
        </w:rPr>
        <w:t>联系电话：</w:t>
      </w:r>
      <w:r>
        <w:rPr>
          <w:rFonts w:hint="eastAsia" w:ascii="仿宋_GB2312" w:eastAsia="仿宋_GB2312"/>
          <w:color w:val="auto"/>
          <w:sz w:val="32"/>
          <w:szCs w:val="32"/>
          <w:u w:val="dotted"/>
        </w:rPr>
        <w:t xml:space="preserve">                                             </w:t>
      </w:r>
    </w:p>
    <w:p w14:paraId="1B9C438F">
      <w:pPr>
        <w:rPr>
          <w:rFonts w:ascii="仿宋_GB2312" w:eastAsia="仿宋_GB2312"/>
          <w:color w:val="auto"/>
          <w:sz w:val="32"/>
          <w:szCs w:val="32"/>
          <w:u w:val="dotted"/>
        </w:rPr>
      </w:pPr>
      <w:r>
        <w:rPr>
          <w:rFonts w:hint="eastAsia" w:ascii="仿宋_GB2312" w:eastAsia="仿宋_GB2312"/>
          <w:color w:val="auto"/>
          <w:sz w:val="32"/>
          <w:szCs w:val="32"/>
        </w:rPr>
        <w:t>授权代表：</w:t>
      </w: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联系电话</w:t>
      </w:r>
      <w:r>
        <w:rPr>
          <w:rFonts w:hint="eastAsia" w:ascii="仿宋_GB2312" w:eastAsia="仿宋_GB2312"/>
          <w:color w:val="auto"/>
          <w:sz w:val="32"/>
          <w:szCs w:val="32"/>
          <w:u w:val="dotted"/>
        </w:rPr>
        <w:t xml:space="preserve">：                  </w:t>
      </w:r>
    </w:p>
    <w:p w14:paraId="252B60A3">
      <w:pPr>
        <w:rPr>
          <w:rFonts w:ascii="仿宋_GB2312" w:eastAsia="仿宋_GB2312"/>
          <w:color w:val="auto"/>
          <w:sz w:val="32"/>
          <w:szCs w:val="32"/>
          <w:u w:val="dotted"/>
        </w:rPr>
      </w:pPr>
      <w:r>
        <w:rPr>
          <w:rFonts w:hint="eastAsia" w:ascii="仿宋_GB2312" w:eastAsia="仿宋_GB2312"/>
          <w:color w:val="auto"/>
          <w:sz w:val="32"/>
          <w:szCs w:val="32"/>
        </w:rPr>
        <w:t>地     址：</w:t>
      </w: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邮编：</w:t>
      </w:r>
      <w:r>
        <w:rPr>
          <w:rFonts w:hint="eastAsia" w:ascii="仿宋_GB2312" w:eastAsia="仿宋_GB2312"/>
          <w:color w:val="auto"/>
          <w:sz w:val="32"/>
          <w:szCs w:val="32"/>
          <w:u w:val="dotted"/>
        </w:rPr>
        <w:t xml:space="preserve">        </w:t>
      </w:r>
    </w:p>
    <w:p w14:paraId="5212320D">
      <w:pPr>
        <w:rPr>
          <w:rFonts w:ascii="仿宋_GB2312" w:eastAsia="仿宋_GB2312"/>
          <w:color w:val="auto"/>
          <w:sz w:val="32"/>
          <w:szCs w:val="32"/>
          <w:u w:val="single"/>
        </w:rPr>
      </w:pPr>
      <w:r>
        <w:rPr>
          <w:rFonts w:hint="eastAsia" w:ascii="仿宋_GB2312" w:eastAsia="仿宋_GB2312"/>
          <w:color w:val="auto"/>
          <w:sz w:val="32"/>
          <w:szCs w:val="32"/>
        </w:rPr>
        <w:t>被投诉人1：</w:t>
      </w:r>
      <w:r>
        <w:rPr>
          <w:rFonts w:hint="eastAsia" w:ascii="仿宋_GB2312" w:eastAsia="仿宋_GB2312"/>
          <w:color w:val="auto"/>
          <w:sz w:val="32"/>
          <w:szCs w:val="32"/>
          <w:u w:val="dotted"/>
        </w:rPr>
        <w:t xml:space="preserve">                                           </w:t>
      </w:r>
    </w:p>
    <w:p w14:paraId="464FA91A">
      <w:pPr>
        <w:rPr>
          <w:rFonts w:ascii="仿宋_GB2312" w:eastAsia="仿宋_GB2312"/>
          <w:color w:val="auto"/>
          <w:sz w:val="32"/>
          <w:szCs w:val="32"/>
          <w:u w:val="single"/>
        </w:rPr>
      </w:pPr>
      <w:r>
        <w:rPr>
          <w:rFonts w:hint="eastAsia" w:ascii="仿宋_GB2312" w:eastAsia="仿宋_GB2312"/>
          <w:color w:val="auto"/>
          <w:sz w:val="32"/>
          <w:szCs w:val="32"/>
        </w:rPr>
        <w:t>地     址：</w:t>
      </w: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邮编：</w:t>
      </w:r>
      <w:r>
        <w:rPr>
          <w:rFonts w:hint="eastAsia" w:ascii="仿宋_GB2312" w:eastAsia="仿宋_GB2312"/>
          <w:color w:val="auto"/>
          <w:sz w:val="32"/>
          <w:szCs w:val="32"/>
          <w:u w:val="dotted"/>
        </w:rPr>
        <w:t xml:space="preserve">         </w:t>
      </w:r>
    </w:p>
    <w:p w14:paraId="30E61B36">
      <w:pPr>
        <w:rPr>
          <w:rFonts w:ascii="仿宋_GB2312" w:eastAsia="仿宋_GB2312"/>
          <w:color w:val="auto"/>
          <w:sz w:val="32"/>
          <w:szCs w:val="32"/>
          <w:u w:val="single"/>
        </w:rPr>
      </w:pPr>
      <w:r>
        <w:rPr>
          <w:rFonts w:hint="eastAsia" w:ascii="仿宋_GB2312" w:eastAsia="仿宋_GB2312"/>
          <w:color w:val="auto"/>
          <w:sz w:val="32"/>
          <w:szCs w:val="32"/>
        </w:rPr>
        <w:t>联系人：</w:t>
      </w: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联系电话：</w:t>
      </w:r>
      <w:r>
        <w:rPr>
          <w:rFonts w:hint="eastAsia" w:ascii="仿宋_GB2312" w:eastAsia="仿宋_GB2312"/>
          <w:color w:val="auto"/>
          <w:sz w:val="32"/>
          <w:szCs w:val="32"/>
          <w:u w:val="dotted"/>
        </w:rPr>
        <w:t xml:space="preserve">                      </w:t>
      </w:r>
    </w:p>
    <w:p w14:paraId="3FFB3E6F">
      <w:pPr>
        <w:rPr>
          <w:rFonts w:ascii="仿宋_GB2312" w:eastAsia="仿宋_GB2312"/>
          <w:color w:val="auto"/>
          <w:sz w:val="32"/>
          <w:szCs w:val="32"/>
        </w:rPr>
      </w:pPr>
      <w:r>
        <w:rPr>
          <w:rFonts w:hint="eastAsia" w:ascii="仿宋_GB2312" w:eastAsia="仿宋_GB2312"/>
          <w:color w:val="auto"/>
          <w:sz w:val="32"/>
          <w:szCs w:val="32"/>
        </w:rPr>
        <w:t>被投诉人2</w:t>
      </w:r>
    </w:p>
    <w:p w14:paraId="23E4E7D0">
      <w:pPr>
        <w:rPr>
          <w:rFonts w:ascii="仿宋_GB2312" w:eastAsia="仿宋_GB2312"/>
          <w:color w:val="auto"/>
          <w:sz w:val="32"/>
          <w:szCs w:val="32"/>
          <w:u w:val="dotted"/>
        </w:rPr>
      </w:pPr>
      <w:r>
        <w:rPr>
          <w:rFonts w:hint="eastAsia" w:ascii="仿宋_GB2312" w:eastAsia="仿宋_GB2312"/>
          <w:color w:val="auto"/>
          <w:sz w:val="32"/>
          <w:szCs w:val="32"/>
        </w:rPr>
        <w:t>……</w:t>
      </w:r>
    </w:p>
    <w:p w14:paraId="13CCD1F0">
      <w:pPr>
        <w:rPr>
          <w:rFonts w:ascii="仿宋_GB2312" w:eastAsia="仿宋_GB2312"/>
          <w:color w:val="auto"/>
          <w:sz w:val="32"/>
          <w:szCs w:val="32"/>
          <w:u w:val="single"/>
        </w:rPr>
      </w:pPr>
      <w:r>
        <w:rPr>
          <w:rFonts w:hint="eastAsia" w:ascii="仿宋_GB2312" w:eastAsia="仿宋_GB2312"/>
          <w:color w:val="auto"/>
          <w:sz w:val="32"/>
          <w:szCs w:val="32"/>
        </w:rPr>
        <w:t>相关供应商：</w:t>
      </w:r>
      <w:r>
        <w:rPr>
          <w:rFonts w:hint="eastAsia" w:ascii="仿宋_GB2312" w:eastAsia="仿宋_GB2312"/>
          <w:color w:val="auto"/>
          <w:sz w:val="32"/>
          <w:szCs w:val="32"/>
          <w:u w:val="dotted"/>
        </w:rPr>
        <w:t xml:space="preserve">                                           </w:t>
      </w:r>
    </w:p>
    <w:p w14:paraId="287320CE">
      <w:pPr>
        <w:rPr>
          <w:rFonts w:ascii="仿宋_GB2312" w:eastAsia="仿宋_GB2312"/>
          <w:color w:val="auto"/>
          <w:sz w:val="32"/>
          <w:szCs w:val="32"/>
          <w:u w:val="single"/>
        </w:rPr>
      </w:pPr>
      <w:r>
        <w:rPr>
          <w:rFonts w:hint="eastAsia" w:ascii="仿宋_GB2312" w:eastAsia="仿宋_GB2312"/>
          <w:color w:val="auto"/>
          <w:sz w:val="32"/>
          <w:szCs w:val="32"/>
        </w:rPr>
        <w:t>地     址：</w:t>
      </w: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邮编：</w:t>
      </w:r>
      <w:r>
        <w:rPr>
          <w:rFonts w:hint="eastAsia" w:ascii="仿宋_GB2312" w:eastAsia="仿宋_GB2312"/>
          <w:color w:val="auto"/>
          <w:sz w:val="32"/>
          <w:szCs w:val="32"/>
          <w:u w:val="dotted"/>
        </w:rPr>
        <w:t xml:space="preserve">          </w:t>
      </w:r>
      <w:r>
        <w:rPr>
          <w:rFonts w:hint="eastAsia" w:ascii="仿宋_GB2312" w:eastAsia="仿宋_GB2312"/>
          <w:color w:val="auto"/>
          <w:sz w:val="32"/>
          <w:szCs w:val="32"/>
          <w:u w:val="single"/>
        </w:rPr>
        <w:t xml:space="preserve"> </w:t>
      </w:r>
    </w:p>
    <w:p w14:paraId="5596C018">
      <w:pPr>
        <w:rPr>
          <w:rFonts w:ascii="仿宋_GB2312" w:eastAsia="仿宋_GB2312"/>
          <w:color w:val="auto"/>
          <w:sz w:val="32"/>
          <w:szCs w:val="32"/>
          <w:u w:val="single"/>
        </w:rPr>
      </w:pPr>
      <w:r>
        <w:rPr>
          <w:rFonts w:hint="eastAsia" w:ascii="仿宋_GB2312" w:eastAsia="仿宋_GB2312"/>
          <w:color w:val="auto"/>
          <w:sz w:val="32"/>
          <w:szCs w:val="32"/>
        </w:rPr>
        <w:t>联系人：</w:t>
      </w: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联系电话：</w:t>
      </w:r>
      <w:r>
        <w:rPr>
          <w:rFonts w:hint="eastAsia" w:ascii="仿宋_GB2312" w:eastAsia="仿宋_GB2312"/>
          <w:color w:val="auto"/>
          <w:sz w:val="32"/>
          <w:szCs w:val="32"/>
          <w:u w:val="dotted"/>
        </w:rPr>
        <w:t xml:space="preserve">                     </w:t>
      </w:r>
    </w:p>
    <w:p w14:paraId="55525C28">
      <w:pPr>
        <w:rPr>
          <w:rFonts w:ascii="黑体" w:hAnsi="黑体" w:eastAsia="黑体"/>
          <w:color w:val="auto"/>
          <w:sz w:val="32"/>
          <w:szCs w:val="32"/>
        </w:rPr>
      </w:pPr>
      <w:r>
        <w:rPr>
          <w:rFonts w:hint="eastAsia" w:ascii="黑体" w:hAnsi="黑体" w:eastAsia="黑体"/>
          <w:color w:val="auto"/>
          <w:sz w:val="32"/>
          <w:szCs w:val="32"/>
        </w:rPr>
        <w:t>二、投诉项目基本情况</w:t>
      </w:r>
    </w:p>
    <w:p w14:paraId="7A2C0302">
      <w:pPr>
        <w:rPr>
          <w:rFonts w:ascii="仿宋_GB2312" w:eastAsia="仿宋_GB2312"/>
          <w:color w:val="auto"/>
          <w:sz w:val="32"/>
          <w:szCs w:val="32"/>
          <w:u w:val="dotted"/>
        </w:rPr>
      </w:pPr>
      <w:r>
        <w:rPr>
          <w:rFonts w:hint="eastAsia" w:ascii="仿宋_GB2312" w:eastAsia="仿宋_GB2312"/>
          <w:color w:val="auto"/>
          <w:sz w:val="32"/>
          <w:szCs w:val="32"/>
        </w:rPr>
        <w:t>采购项目名称：</w:t>
      </w:r>
      <w:r>
        <w:rPr>
          <w:rFonts w:hint="eastAsia" w:ascii="仿宋_GB2312" w:eastAsia="仿宋_GB2312"/>
          <w:color w:val="auto"/>
          <w:sz w:val="32"/>
          <w:szCs w:val="32"/>
          <w:u w:val="dotted"/>
        </w:rPr>
        <w:t xml:space="preserve">                                        </w:t>
      </w:r>
    </w:p>
    <w:p w14:paraId="3DB55937">
      <w:pPr>
        <w:rPr>
          <w:rFonts w:ascii="仿宋_GB2312" w:eastAsia="仿宋_GB2312"/>
          <w:color w:val="auto"/>
          <w:sz w:val="32"/>
          <w:szCs w:val="32"/>
          <w:u w:val="single"/>
        </w:rPr>
      </w:pPr>
      <w:r>
        <w:rPr>
          <w:rFonts w:hint="eastAsia" w:ascii="仿宋_GB2312" w:eastAsia="仿宋_GB2312"/>
          <w:color w:val="auto"/>
          <w:sz w:val="32"/>
          <w:szCs w:val="32"/>
        </w:rPr>
        <w:t>采购项目编号：</w:t>
      </w: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包号：</w:t>
      </w:r>
      <w:r>
        <w:rPr>
          <w:rFonts w:hint="eastAsia" w:ascii="仿宋_GB2312" w:eastAsia="仿宋_GB2312"/>
          <w:color w:val="auto"/>
          <w:sz w:val="32"/>
          <w:szCs w:val="32"/>
          <w:u w:val="dotted"/>
        </w:rPr>
        <w:t xml:space="preserve">              </w:t>
      </w:r>
    </w:p>
    <w:p w14:paraId="7D1466F7">
      <w:pPr>
        <w:rPr>
          <w:rFonts w:ascii="仿宋_GB2312" w:eastAsia="仿宋_GB2312"/>
          <w:color w:val="auto"/>
          <w:sz w:val="32"/>
          <w:szCs w:val="32"/>
        </w:rPr>
      </w:pPr>
      <w:r>
        <w:rPr>
          <w:rFonts w:hint="eastAsia" w:ascii="仿宋_GB2312" w:eastAsia="仿宋_GB2312"/>
          <w:color w:val="auto"/>
          <w:sz w:val="32"/>
          <w:szCs w:val="32"/>
        </w:rPr>
        <w:t>采购人名称：</w:t>
      </w:r>
      <w:r>
        <w:rPr>
          <w:rFonts w:hint="eastAsia" w:ascii="仿宋_GB2312" w:eastAsia="仿宋_GB2312"/>
          <w:color w:val="auto"/>
          <w:sz w:val="32"/>
          <w:szCs w:val="32"/>
          <w:u w:val="dotted"/>
        </w:rPr>
        <w:t xml:space="preserve">                                         </w:t>
      </w:r>
    </w:p>
    <w:p w14:paraId="6F132E38">
      <w:pPr>
        <w:rPr>
          <w:rFonts w:ascii="仿宋_GB2312" w:eastAsia="仿宋_GB2312"/>
          <w:color w:val="auto"/>
          <w:sz w:val="32"/>
          <w:szCs w:val="32"/>
          <w:u w:val="single"/>
        </w:rPr>
      </w:pPr>
      <w:r>
        <w:rPr>
          <w:rFonts w:hint="eastAsia" w:ascii="仿宋_GB2312" w:eastAsia="仿宋_GB2312"/>
          <w:color w:val="auto"/>
          <w:sz w:val="32"/>
          <w:szCs w:val="32"/>
        </w:rPr>
        <w:t>代理机构名称：</w:t>
      </w:r>
      <w:r>
        <w:rPr>
          <w:rFonts w:hint="eastAsia" w:ascii="仿宋_GB2312" w:eastAsia="仿宋_GB2312"/>
          <w:color w:val="auto"/>
          <w:sz w:val="32"/>
          <w:szCs w:val="32"/>
          <w:u w:val="dotted"/>
        </w:rPr>
        <w:t xml:space="preserve">                                         </w:t>
      </w:r>
    </w:p>
    <w:p w14:paraId="13ECE831">
      <w:pPr>
        <w:rPr>
          <w:rFonts w:ascii="仿宋_GB2312" w:eastAsia="仿宋_GB2312"/>
          <w:color w:val="auto"/>
          <w:sz w:val="32"/>
          <w:szCs w:val="32"/>
          <w:u w:val="dotted"/>
        </w:rPr>
      </w:pPr>
      <w:r>
        <w:rPr>
          <w:rFonts w:hint="eastAsia" w:ascii="仿宋_GB2312" w:eastAsia="仿宋_GB2312"/>
          <w:color w:val="auto"/>
          <w:sz w:val="32"/>
          <w:szCs w:val="32"/>
        </w:rPr>
        <w:t>采购文件公告:</w:t>
      </w:r>
      <w:r>
        <w:rPr>
          <w:rFonts w:hint="eastAsia" w:ascii="仿宋_GB2312" w:eastAsia="仿宋_GB2312"/>
          <w:color w:val="auto"/>
          <w:sz w:val="32"/>
          <w:szCs w:val="32"/>
          <w:u w:val="dotted"/>
        </w:rPr>
        <w:t xml:space="preserve">是/否 </w:t>
      </w:r>
      <w:r>
        <w:rPr>
          <w:rFonts w:hint="eastAsia" w:ascii="仿宋_GB2312" w:eastAsia="仿宋_GB2312"/>
          <w:color w:val="auto"/>
          <w:sz w:val="32"/>
          <w:szCs w:val="32"/>
        </w:rPr>
        <w:t>公告期限：</w:t>
      </w:r>
      <w:r>
        <w:rPr>
          <w:rFonts w:hint="eastAsia" w:ascii="仿宋_GB2312" w:eastAsia="仿宋_GB2312"/>
          <w:color w:val="auto"/>
          <w:sz w:val="32"/>
          <w:szCs w:val="32"/>
          <w:u w:val="dotted"/>
        </w:rPr>
        <w:t xml:space="preserve">                          </w:t>
      </w:r>
    </w:p>
    <w:p w14:paraId="7D878592">
      <w:pPr>
        <w:rPr>
          <w:rFonts w:ascii="仿宋_GB2312" w:eastAsia="仿宋_GB2312"/>
          <w:color w:val="auto"/>
          <w:sz w:val="32"/>
          <w:szCs w:val="32"/>
          <w:u w:val="single"/>
        </w:rPr>
      </w:pPr>
      <w:r>
        <w:rPr>
          <w:rFonts w:hint="eastAsia" w:ascii="仿宋_GB2312" w:eastAsia="仿宋_GB2312"/>
          <w:color w:val="auto"/>
          <w:sz w:val="32"/>
          <w:szCs w:val="32"/>
        </w:rPr>
        <w:t>采购结果公告:</w:t>
      </w:r>
      <w:r>
        <w:rPr>
          <w:rFonts w:hint="eastAsia" w:ascii="仿宋_GB2312" w:eastAsia="仿宋_GB2312"/>
          <w:color w:val="auto"/>
          <w:sz w:val="32"/>
          <w:szCs w:val="32"/>
          <w:u w:val="dotted"/>
        </w:rPr>
        <w:t xml:space="preserve">是/否 </w:t>
      </w:r>
      <w:r>
        <w:rPr>
          <w:rFonts w:hint="eastAsia" w:ascii="仿宋_GB2312" w:eastAsia="仿宋_GB2312"/>
          <w:color w:val="auto"/>
          <w:sz w:val="32"/>
          <w:szCs w:val="32"/>
        </w:rPr>
        <w:t>公告期限：</w:t>
      </w:r>
      <w:r>
        <w:rPr>
          <w:rFonts w:hint="eastAsia" w:ascii="仿宋_GB2312" w:eastAsia="仿宋_GB2312"/>
          <w:color w:val="auto"/>
          <w:sz w:val="32"/>
          <w:szCs w:val="32"/>
          <w:u w:val="dotted"/>
        </w:rPr>
        <w:t xml:space="preserve">                        </w:t>
      </w:r>
    </w:p>
    <w:p w14:paraId="7810FE57">
      <w:pPr>
        <w:rPr>
          <w:rFonts w:ascii="黑体" w:hAnsi="黑体" w:eastAsia="黑体"/>
          <w:color w:val="auto"/>
          <w:sz w:val="32"/>
          <w:szCs w:val="32"/>
        </w:rPr>
      </w:pPr>
      <w:r>
        <w:rPr>
          <w:rFonts w:hint="eastAsia" w:ascii="黑体" w:hAnsi="黑体" w:eastAsia="黑体"/>
          <w:color w:val="auto"/>
          <w:sz w:val="32"/>
          <w:szCs w:val="32"/>
        </w:rPr>
        <w:t>三、质疑基本情况</w:t>
      </w:r>
    </w:p>
    <w:p w14:paraId="43A6670C">
      <w:pPr>
        <w:ind w:firstLine="640" w:firstLineChars="200"/>
        <w:rPr>
          <w:rFonts w:ascii="仿宋_GB2312" w:eastAsia="仿宋_GB2312"/>
          <w:color w:val="auto"/>
          <w:sz w:val="32"/>
          <w:szCs w:val="32"/>
          <w:u w:val="dotted"/>
        </w:rPr>
      </w:pPr>
      <w:r>
        <w:rPr>
          <w:rFonts w:hint="eastAsia" w:ascii="仿宋_GB2312" w:eastAsia="仿宋_GB2312"/>
          <w:color w:val="auto"/>
          <w:sz w:val="32"/>
          <w:szCs w:val="32"/>
        </w:rPr>
        <w:t>投诉人于</w:t>
      </w: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年</w:t>
      </w: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月</w:t>
      </w: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日,向</w:t>
      </w: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提出质疑，质疑事项为：</w:t>
      </w:r>
      <w:r>
        <w:rPr>
          <w:rFonts w:hint="eastAsia" w:ascii="仿宋_GB2312" w:eastAsia="仿宋_GB2312"/>
          <w:color w:val="auto"/>
          <w:sz w:val="32"/>
          <w:szCs w:val="32"/>
          <w:u w:val="dotted"/>
        </w:rPr>
        <w:t xml:space="preserve">                                </w:t>
      </w:r>
    </w:p>
    <w:p w14:paraId="397BEB11">
      <w:pPr>
        <w:rPr>
          <w:rFonts w:ascii="仿宋_GB2312" w:eastAsia="仿宋_GB2312"/>
          <w:color w:val="auto"/>
          <w:sz w:val="32"/>
          <w:szCs w:val="32"/>
          <w:u w:val="dotted"/>
        </w:rPr>
      </w:pP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 xml:space="preserve">  </w:t>
      </w:r>
    </w:p>
    <w:p w14:paraId="1CC769E0">
      <w:pPr>
        <w:ind w:firstLine="480" w:firstLineChars="150"/>
        <w:rPr>
          <w:rFonts w:ascii="仿宋_GB2312" w:eastAsia="仿宋_GB2312"/>
          <w:color w:val="auto"/>
          <w:sz w:val="32"/>
          <w:szCs w:val="32"/>
        </w:rPr>
      </w:pPr>
      <w:r>
        <w:rPr>
          <w:rFonts w:hint="eastAsia" w:ascii="仿宋_GB2312" w:eastAsia="仿宋_GB2312"/>
          <w:color w:val="auto"/>
          <w:sz w:val="32"/>
          <w:szCs w:val="32"/>
          <w:u w:val="dotted"/>
        </w:rPr>
        <w:t>采购人/代理机构</w:t>
      </w:r>
      <w:r>
        <w:rPr>
          <w:rFonts w:hint="eastAsia" w:ascii="仿宋_GB2312" w:eastAsia="仿宋_GB2312"/>
          <w:color w:val="auto"/>
          <w:sz w:val="32"/>
          <w:szCs w:val="32"/>
        </w:rPr>
        <w:t>于</w:t>
      </w: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年</w:t>
      </w: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月</w:t>
      </w: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日,就质疑事项作出了答复/没有在法定期限内作出答复。</w:t>
      </w:r>
    </w:p>
    <w:p w14:paraId="78F82962">
      <w:pPr>
        <w:rPr>
          <w:rFonts w:ascii="黑体" w:hAnsi="黑体" w:eastAsia="黑体"/>
          <w:color w:val="auto"/>
          <w:sz w:val="32"/>
          <w:szCs w:val="32"/>
        </w:rPr>
      </w:pPr>
      <w:r>
        <w:rPr>
          <w:rFonts w:hint="eastAsia" w:ascii="黑体" w:hAnsi="黑体" w:eastAsia="黑体"/>
          <w:color w:val="auto"/>
          <w:sz w:val="32"/>
          <w:szCs w:val="32"/>
        </w:rPr>
        <w:t>四、投诉事项具体内容</w:t>
      </w:r>
    </w:p>
    <w:p w14:paraId="312FCFEC">
      <w:pPr>
        <w:rPr>
          <w:rFonts w:ascii="仿宋_GB2312" w:eastAsia="仿宋_GB2312"/>
          <w:color w:val="auto"/>
          <w:sz w:val="32"/>
          <w:szCs w:val="32"/>
          <w:u w:val="single"/>
        </w:rPr>
      </w:pPr>
      <w:r>
        <w:rPr>
          <w:rFonts w:hint="eastAsia" w:ascii="仿宋_GB2312" w:eastAsia="仿宋_GB2312"/>
          <w:color w:val="auto"/>
          <w:sz w:val="32"/>
          <w:szCs w:val="32"/>
        </w:rPr>
        <w:t>投诉事项 1：</w:t>
      </w:r>
      <w:r>
        <w:rPr>
          <w:rFonts w:hint="eastAsia" w:ascii="仿宋_GB2312" w:eastAsia="仿宋_GB2312"/>
          <w:color w:val="auto"/>
          <w:sz w:val="32"/>
          <w:szCs w:val="32"/>
          <w:u w:val="dotted"/>
        </w:rPr>
        <w:t xml:space="preserve">                                       </w:t>
      </w:r>
    </w:p>
    <w:p w14:paraId="5912E2FE">
      <w:pPr>
        <w:rPr>
          <w:rFonts w:ascii="仿宋_GB2312" w:eastAsia="仿宋_GB2312"/>
          <w:color w:val="auto"/>
          <w:sz w:val="32"/>
          <w:szCs w:val="32"/>
        </w:rPr>
      </w:pPr>
      <w:r>
        <w:rPr>
          <w:rFonts w:hint="eastAsia" w:ascii="仿宋_GB2312" w:eastAsia="仿宋_GB2312"/>
          <w:color w:val="auto"/>
          <w:sz w:val="32"/>
          <w:szCs w:val="32"/>
        </w:rPr>
        <w:t>事实依据：</w:t>
      </w:r>
      <w:r>
        <w:rPr>
          <w:rFonts w:hint="eastAsia" w:ascii="仿宋_GB2312" w:eastAsia="仿宋_GB2312"/>
          <w:color w:val="auto"/>
          <w:sz w:val="32"/>
          <w:szCs w:val="32"/>
          <w:u w:val="dotted"/>
        </w:rPr>
        <w:t xml:space="preserve">                                         </w:t>
      </w:r>
    </w:p>
    <w:p w14:paraId="4ABDBF54">
      <w:pPr>
        <w:rPr>
          <w:rFonts w:ascii="仿宋_GB2312" w:eastAsia="仿宋_GB2312"/>
          <w:color w:val="auto"/>
          <w:sz w:val="32"/>
          <w:szCs w:val="32"/>
          <w:u w:val="dotted"/>
        </w:rPr>
      </w:pPr>
      <w:r>
        <w:rPr>
          <w:rFonts w:hint="eastAsia" w:ascii="仿宋_GB2312" w:eastAsia="仿宋_GB2312"/>
          <w:color w:val="auto"/>
          <w:sz w:val="32"/>
          <w:szCs w:val="32"/>
          <w:u w:val="dotted"/>
        </w:rPr>
        <w:t xml:space="preserve">                                                      </w:t>
      </w:r>
    </w:p>
    <w:p w14:paraId="3D71E4F0">
      <w:pPr>
        <w:rPr>
          <w:rFonts w:ascii="仿宋_GB2312" w:eastAsia="仿宋_GB2312"/>
          <w:color w:val="auto"/>
          <w:sz w:val="32"/>
          <w:szCs w:val="32"/>
          <w:u w:val="single"/>
        </w:rPr>
      </w:pPr>
      <w:r>
        <w:rPr>
          <w:rFonts w:hint="eastAsia" w:ascii="仿宋_GB2312" w:eastAsia="仿宋_GB2312"/>
          <w:color w:val="auto"/>
          <w:sz w:val="32"/>
          <w:szCs w:val="32"/>
        </w:rPr>
        <w:t>法律依据：</w:t>
      </w:r>
      <w:r>
        <w:rPr>
          <w:rFonts w:hint="eastAsia" w:ascii="仿宋_GB2312" w:eastAsia="仿宋_GB2312"/>
          <w:color w:val="auto"/>
          <w:sz w:val="32"/>
          <w:szCs w:val="32"/>
          <w:u w:val="dotted"/>
        </w:rPr>
        <w:t xml:space="preserve">                                          </w:t>
      </w:r>
    </w:p>
    <w:p w14:paraId="20A750BE">
      <w:pPr>
        <w:rPr>
          <w:rFonts w:ascii="仿宋_GB2312" w:eastAsia="仿宋_GB2312"/>
          <w:color w:val="auto"/>
          <w:sz w:val="32"/>
          <w:szCs w:val="32"/>
          <w:u w:val="dotted"/>
        </w:rPr>
      </w:pPr>
      <w:r>
        <w:rPr>
          <w:rFonts w:hint="eastAsia" w:ascii="仿宋_GB2312" w:eastAsia="仿宋_GB2312"/>
          <w:color w:val="auto"/>
          <w:sz w:val="32"/>
          <w:szCs w:val="32"/>
          <w:u w:val="dotted"/>
        </w:rPr>
        <w:t xml:space="preserve">                                                      </w:t>
      </w:r>
    </w:p>
    <w:p w14:paraId="233371B3">
      <w:pPr>
        <w:rPr>
          <w:rFonts w:ascii="仿宋_GB2312" w:eastAsia="仿宋_GB2312"/>
          <w:color w:val="auto"/>
          <w:sz w:val="32"/>
          <w:szCs w:val="32"/>
        </w:rPr>
      </w:pPr>
      <w:r>
        <w:rPr>
          <w:rFonts w:hint="eastAsia" w:ascii="仿宋_GB2312" w:eastAsia="仿宋_GB2312"/>
          <w:color w:val="auto"/>
          <w:sz w:val="32"/>
          <w:szCs w:val="32"/>
        </w:rPr>
        <w:t>投诉事项2</w:t>
      </w:r>
    </w:p>
    <w:p w14:paraId="5A5A59C8">
      <w:pPr>
        <w:rPr>
          <w:rFonts w:ascii="仿宋_GB2312" w:eastAsia="仿宋_GB2312"/>
          <w:color w:val="auto"/>
          <w:sz w:val="32"/>
          <w:szCs w:val="32"/>
          <w:u w:val="dotted"/>
        </w:rPr>
      </w:pPr>
      <w:r>
        <w:rPr>
          <w:rFonts w:hint="eastAsia" w:ascii="仿宋_GB2312" w:eastAsia="仿宋_GB2312"/>
          <w:color w:val="auto"/>
          <w:sz w:val="32"/>
          <w:szCs w:val="32"/>
        </w:rPr>
        <w:t>……</w:t>
      </w:r>
    </w:p>
    <w:p w14:paraId="26A36806">
      <w:pPr>
        <w:rPr>
          <w:rFonts w:ascii="黑体" w:hAnsi="黑体" w:eastAsia="黑体"/>
          <w:color w:val="auto"/>
          <w:sz w:val="32"/>
          <w:szCs w:val="32"/>
        </w:rPr>
      </w:pPr>
      <w:r>
        <w:rPr>
          <w:rFonts w:hint="eastAsia" w:ascii="黑体" w:hAnsi="黑体" w:eastAsia="黑体"/>
          <w:color w:val="auto"/>
          <w:sz w:val="32"/>
          <w:szCs w:val="32"/>
        </w:rPr>
        <w:t>五、与投诉事项相关的投诉请求</w:t>
      </w:r>
    </w:p>
    <w:p w14:paraId="5669B696">
      <w:pPr>
        <w:rPr>
          <w:rFonts w:ascii="仿宋_GB2312" w:eastAsia="仿宋_GB2312"/>
          <w:color w:val="auto"/>
          <w:sz w:val="32"/>
          <w:szCs w:val="32"/>
        </w:rPr>
      </w:pPr>
      <w:r>
        <w:rPr>
          <w:rFonts w:hint="eastAsia" w:ascii="仿宋_GB2312" w:eastAsia="仿宋_GB2312"/>
          <w:color w:val="auto"/>
          <w:sz w:val="32"/>
          <w:szCs w:val="32"/>
        </w:rPr>
        <w:t>请求：</w:t>
      </w: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 xml:space="preserve"> </w:t>
      </w:r>
    </w:p>
    <w:p w14:paraId="5E0EC298">
      <w:pPr>
        <w:rPr>
          <w:rFonts w:ascii="仿宋_GB2312" w:eastAsia="仿宋_GB2312"/>
          <w:color w:val="auto"/>
          <w:sz w:val="32"/>
          <w:szCs w:val="32"/>
        </w:rPr>
      </w:pPr>
      <w:r>
        <w:rPr>
          <w:rFonts w:hint="eastAsia" w:ascii="仿宋_GB2312" w:eastAsia="仿宋_GB2312"/>
          <w:color w:val="auto"/>
          <w:sz w:val="32"/>
          <w:szCs w:val="32"/>
        </w:rPr>
        <w:t xml:space="preserve">                                                </w:t>
      </w:r>
    </w:p>
    <w:p w14:paraId="73C69FCD">
      <w:pPr>
        <w:rPr>
          <w:rFonts w:ascii="仿宋_GB2312" w:eastAsia="仿宋_GB2312"/>
          <w:color w:val="auto"/>
          <w:sz w:val="32"/>
          <w:szCs w:val="32"/>
        </w:rPr>
      </w:pPr>
      <w:r>
        <w:rPr>
          <w:rFonts w:hint="eastAsia" w:ascii="仿宋_GB2312" w:eastAsia="仿宋_GB2312"/>
          <w:color w:val="auto"/>
          <w:sz w:val="32"/>
          <w:szCs w:val="32"/>
        </w:rPr>
        <w:t xml:space="preserve">签字(签章)：                   公章：                      </w:t>
      </w:r>
    </w:p>
    <w:p w14:paraId="1F76B89B">
      <w:pPr>
        <w:rPr>
          <w:rFonts w:ascii="仿宋_GB2312" w:eastAsia="仿宋_GB2312"/>
          <w:color w:val="auto"/>
          <w:sz w:val="32"/>
          <w:szCs w:val="32"/>
        </w:rPr>
      </w:pPr>
      <w:r>
        <w:rPr>
          <w:rFonts w:hint="eastAsia" w:ascii="仿宋_GB2312" w:eastAsia="仿宋_GB2312"/>
          <w:color w:val="auto"/>
          <w:sz w:val="32"/>
          <w:szCs w:val="32"/>
        </w:rPr>
        <w:t xml:space="preserve">日期：    </w:t>
      </w:r>
      <w:r>
        <w:rPr>
          <w:rFonts w:hint="eastAsia" w:ascii="仿宋_GB2312" w:eastAsia="仿宋_GB2312"/>
          <w:color w:val="auto"/>
          <w:sz w:val="32"/>
          <w:szCs w:val="32"/>
        </w:rPr>
        <w:br w:type="page"/>
      </w:r>
    </w:p>
    <w:p w14:paraId="0F5CFE23">
      <w:pPr>
        <w:rPr>
          <w:rFonts w:ascii="黑体" w:hAnsi="黑体" w:eastAsia="黑体"/>
          <w:b/>
          <w:color w:val="auto"/>
          <w:sz w:val="32"/>
          <w:szCs w:val="32"/>
        </w:rPr>
      </w:pPr>
      <w:r>
        <w:rPr>
          <w:rFonts w:hint="eastAsia" w:ascii="黑体" w:hAnsi="黑体" w:eastAsia="黑体"/>
          <w:b/>
          <w:color w:val="auto"/>
          <w:sz w:val="32"/>
          <w:szCs w:val="32"/>
        </w:rPr>
        <w:t>投诉书制作说明：</w:t>
      </w:r>
    </w:p>
    <w:p w14:paraId="0554A234">
      <w:pPr>
        <w:widowControl/>
        <w:ind w:firstLine="640" w:firstLineChars="200"/>
        <w:rPr>
          <w:rFonts w:ascii="仿宋_GB2312" w:hAnsi="宋体" w:eastAsia="仿宋_GB2312" w:cs="宋体"/>
          <w:color w:val="auto"/>
          <w:kern w:val="0"/>
          <w:sz w:val="32"/>
          <w:szCs w:val="32"/>
        </w:rPr>
      </w:pPr>
      <w:r>
        <w:rPr>
          <w:rFonts w:hint="eastAsia" w:ascii="仿宋_GB2312" w:eastAsia="仿宋_GB2312"/>
          <w:color w:val="auto"/>
          <w:sz w:val="32"/>
          <w:szCs w:val="32"/>
        </w:rPr>
        <w:t>1.投诉人提起投诉时，应当提交投诉书和必要的证明材料，并按照被投诉人和与投诉事项有关的供应商数量提供投诉书副本。</w:t>
      </w:r>
    </w:p>
    <w:p w14:paraId="67E7DB4D">
      <w:pPr>
        <w:widowControl/>
        <w:ind w:firstLine="640" w:firstLineChars="200"/>
        <w:jc w:val="left"/>
        <w:rPr>
          <w:rFonts w:ascii="仿宋_GB2312" w:hAnsi="宋体" w:eastAsia="仿宋_GB2312" w:cs="宋体"/>
          <w:color w:val="auto"/>
          <w:kern w:val="0"/>
          <w:sz w:val="32"/>
          <w:szCs w:val="32"/>
        </w:rPr>
      </w:pPr>
      <w:r>
        <w:rPr>
          <w:rFonts w:hint="eastAsia" w:ascii="仿宋_GB2312" w:eastAsia="仿宋_GB2312"/>
          <w:color w:val="auto"/>
          <w:sz w:val="32"/>
          <w:szCs w:val="32"/>
        </w:rPr>
        <w:t>2.投诉人若委托代理人进行投诉的，投诉书应按照要求列明“授权代表”的有关内容，并在附件中提交由</w:t>
      </w:r>
      <w:r>
        <w:rPr>
          <w:rFonts w:hint="eastAsia" w:ascii="仿宋_GB2312" w:hAnsi="宋体" w:eastAsia="仿宋_GB2312" w:cs="宋体"/>
          <w:color w:val="auto"/>
          <w:kern w:val="0"/>
          <w:sz w:val="32"/>
          <w:szCs w:val="32"/>
        </w:rPr>
        <w:t>投诉人签署的授权委托书。授权委托书应当载明代理人的姓名或者名称、代理事项、具体权限、期限和相关事项。</w:t>
      </w:r>
    </w:p>
    <w:p w14:paraId="6FCE0449">
      <w:pPr>
        <w:widowControl/>
        <w:ind w:firstLine="640" w:firstLineChars="200"/>
        <w:jc w:val="left"/>
        <w:rPr>
          <w:rFonts w:ascii="仿宋_GB2312" w:eastAsia="仿宋_GB2312"/>
          <w:color w:val="auto"/>
          <w:sz w:val="32"/>
          <w:szCs w:val="32"/>
        </w:rPr>
      </w:pPr>
      <w:r>
        <w:rPr>
          <w:rFonts w:hint="eastAsia" w:ascii="仿宋_GB2312" w:eastAsia="仿宋_GB2312"/>
          <w:color w:val="auto"/>
          <w:sz w:val="32"/>
          <w:szCs w:val="32"/>
        </w:rPr>
        <w:t>3.投诉人若对项目的某一分包进行投诉，投诉书应列明具体分包号。</w:t>
      </w:r>
    </w:p>
    <w:p w14:paraId="790FF60E">
      <w:pPr>
        <w:widowControl/>
        <w:ind w:firstLine="640" w:firstLineChars="200"/>
        <w:jc w:val="left"/>
        <w:rPr>
          <w:rFonts w:ascii="仿宋_GB2312" w:eastAsia="仿宋_GB2312"/>
          <w:color w:val="auto"/>
          <w:sz w:val="32"/>
          <w:szCs w:val="32"/>
        </w:rPr>
      </w:pPr>
      <w:r>
        <w:rPr>
          <w:rFonts w:hint="eastAsia" w:ascii="仿宋_GB2312" w:eastAsia="仿宋_GB2312"/>
          <w:color w:val="auto"/>
          <w:sz w:val="32"/>
          <w:szCs w:val="32"/>
        </w:rPr>
        <w:t>4.投诉书应简要列明质疑事项，质疑函、质疑答复等作为附件材料提供。</w:t>
      </w:r>
    </w:p>
    <w:p w14:paraId="5A46324C">
      <w:pPr>
        <w:widowControl/>
        <w:ind w:firstLine="640" w:firstLineChars="200"/>
        <w:jc w:val="left"/>
        <w:rPr>
          <w:rFonts w:ascii="仿宋_GB2312" w:eastAsia="仿宋_GB2312"/>
          <w:color w:val="auto"/>
          <w:sz w:val="32"/>
          <w:szCs w:val="32"/>
        </w:rPr>
      </w:pPr>
      <w:r>
        <w:rPr>
          <w:rFonts w:hint="eastAsia" w:ascii="仿宋_GB2312" w:eastAsia="仿宋_GB2312"/>
          <w:color w:val="auto"/>
          <w:sz w:val="32"/>
          <w:szCs w:val="32"/>
        </w:rPr>
        <w:t>5.投诉书的投诉事项应具体、明确，并有必要的事实依据和法律依据。</w:t>
      </w:r>
    </w:p>
    <w:p w14:paraId="23C0F62A">
      <w:pPr>
        <w:widowControl/>
        <w:ind w:firstLine="640" w:firstLineChars="200"/>
        <w:jc w:val="left"/>
        <w:rPr>
          <w:rFonts w:ascii="仿宋_GB2312" w:eastAsia="仿宋_GB2312"/>
          <w:color w:val="auto"/>
          <w:sz w:val="32"/>
          <w:szCs w:val="32"/>
        </w:rPr>
      </w:pPr>
      <w:r>
        <w:rPr>
          <w:rFonts w:hint="eastAsia" w:ascii="仿宋_GB2312" w:eastAsia="仿宋_GB2312"/>
          <w:color w:val="auto"/>
          <w:sz w:val="32"/>
          <w:szCs w:val="32"/>
        </w:rPr>
        <w:t>6.投诉书的投诉请求应与投诉事项相关。</w:t>
      </w:r>
    </w:p>
    <w:p w14:paraId="5F681DE6">
      <w:pPr>
        <w:widowControl/>
        <w:ind w:firstLine="640" w:firstLineChars="200"/>
        <w:jc w:val="left"/>
        <w:rPr>
          <w:rFonts w:ascii="仿宋_GB2312" w:hAnsi="宋体" w:eastAsia="仿宋_GB2312" w:cs="宋体"/>
          <w:color w:val="auto"/>
          <w:kern w:val="0"/>
          <w:sz w:val="32"/>
          <w:szCs w:val="32"/>
        </w:rPr>
      </w:pPr>
      <w:r>
        <w:rPr>
          <w:rFonts w:hint="eastAsia" w:ascii="仿宋_GB2312" w:eastAsia="仿宋_GB2312"/>
          <w:color w:val="auto"/>
          <w:sz w:val="32"/>
          <w:szCs w:val="32"/>
        </w:rPr>
        <w:t>7.投诉人为自然人的，投诉书应当由本人签字；投诉人为法人或者其他组织的，投诉书应当由法定代表人、主要负责人，或者其授权代表签字或者盖章，并加盖公章。</w:t>
      </w:r>
    </w:p>
    <w:p w14:paraId="2A859D31">
      <w:pPr>
        <w:snapToGrid w:val="0"/>
        <w:spacing w:before="50" w:after="165" w:afterLines="50" w:line="360" w:lineRule="auto"/>
        <w:ind w:firstLine="480" w:firstLineChars="200"/>
        <w:jc w:val="left"/>
        <w:rPr>
          <w:color w:val="auto"/>
          <w:sz w:val="24"/>
        </w:rPr>
      </w:pPr>
    </w:p>
    <w:sectPr>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Helvetica Neue">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D003D">
    <w:pPr>
      <w:pStyle w:val="22"/>
      <w:jc w:val="center"/>
    </w:pPr>
    <w:r>
      <w:fldChar w:fldCharType="begin"/>
    </w:r>
    <w:r>
      <w:instrText xml:space="preserve"> PAGE   \* MERGEFORMAT </w:instrText>
    </w:r>
    <w:r>
      <w:fldChar w:fldCharType="separate"/>
    </w:r>
    <w:r>
      <w:rPr>
        <w:lang w:val="zh-CN"/>
      </w:rPr>
      <w:t>5</w:t>
    </w:r>
    <w:r>
      <w:fldChar w:fldCharType="end"/>
    </w:r>
  </w:p>
  <w:p w14:paraId="4FF5E4BE">
    <w:pPr>
      <w:pStyle w:val="22"/>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7DEA8">
    <w:pPr>
      <w:pStyle w:val="22"/>
      <w:framePr w:wrap="around" w:vAnchor="text" w:hAnchor="margin" w:xAlign="right" w:y="1"/>
      <w:rPr>
        <w:rStyle w:val="38"/>
      </w:rPr>
    </w:pPr>
    <w:r>
      <w:fldChar w:fldCharType="begin"/>
    </w:r>
    <w:r>
      <w:rPr>
        <w:rStyle w:val="38"/>
      </w:rPr>
      <w:instrText xml:space="preserve">PAGE  </w:instrText>
    </w:r>
    <w:r>
      <w:fldChar w:fldCharType="separate"/>
    </w:r>
    <w:r>
      <w:rPr>
        <w:rStyle w:val="38"/>
      </w:rPr>
      <w:t>122</w:t>
    </w:r>
    <w:r>
      <w:fldChar w:fldCharType="end"/>
    </w:r>
  </w:p>
  <w:p w14:paraId="03D21025">
    <w:pPr>
      <w:pStyle w:val="22"/>
      <w:ind w:right="360"/>
      <w:jc w:val="both"/>
    </w:pPr>
    <w:r>
      <w:rPr>
        <w:rFonts w:hint="eastAsia"/>
      </w:rPr>
      <w:t>121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47494">
    <w:pPr>
      <w:pStyle w:val="22"/>
      <w:jc w:val="center"/>
    </w:pPr>
    <w:r>
      <w:fldChar w:fldCharType="begin"/>
    </w:r>
    <w:r>
      <w:instrText xml:space="preserve"> PAGE   \* MERGEFORMAT </w:instrText>
    </w:r>
    <w:r>
      <w:fldChar w:fldCharType="separate"/>
    </w:r>
    <w:r>
      <w:rPr>
        <w:lang w:val="zh-CN"/>
      </w:rPr>
      <w:t>137</w:t>
    </w:r>
    <w:r>
      <w:fldChar w:fldCharType="end"/>
    </w:r>
  </w:p>
  <w:p w14:paraId="68D64061">
    <w:pPr>
      <w:pStyle w:val="2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54144">
    <w:pPr>
      <w:pStyle w:val="22"/>
      <w:framePr w:wrap="around" w:vAnchor="text" w:hAnchor="margin" w:xAlign="center" w:y="1"/>
      <w:rPr>
        <w:rStyle w:val="38"/>
      </w:rPr>
    </w:pPr>
    <w:r>
      <w:fldChar w:fldCharType="begin"/>
    </w:r>
    <w:r>
      <w:rPr>
        <w:rStyle w:val="38"/>
      </w:rPr>
      <w:instrText xml:space="preserve">PAGE  </w:instrText>
    </w:r>
    <w:r>
      <w:fldChar w:fldCharType="end"/>
    </w:r>
  </w:p>
  <w:p w14:paraId="502D6E9A">
    <w:pPr>
      <w:pStyle w:val="22"/>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9D7AE">
    <w:pPr>
      <w:pStyle w:val="22"/>
      <w:framePr w:wrap="around" w:vAnchor="text" w:hAnchor="margin" w:xAlign="right" w:y="1"/>
      <w:rPr>
        <w:rStyle w:val="38"/>
      </w:rPr>
    </w:pPr>
    <w:r>
      <w:fldChar w:fldCharType="begin"/>
    </w:r>
    <w:r>
      <w:rPr>
        <w:rStyle w:val="38"/>
      </w:rPr>
      <w:instrText xml:space="preserve">PAGE  </w:instrText>
    </w:r>
    <w:r>
      <w:fldChar w:fldCharType="separate"/>
    </w:r>
    <w:r>
      <w:rPr>
        <w:rStyle w:val="38"/>
      </w:rPr>
      <w:t>122</w:t>
    </w:r>
    <w:r>
      <w:fldChar w:fldCharType="end"/>
    </w:r>
  </w:p>
  <w:p w14:paraId="49F3CCDE">
    <w:pPr>
      <w:pStyle w:val="22"/>
      <w:ind w:right="360"/>
      <w:jc w:val="both"/>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38F08">
    <w:pPr>
      <w:pStyle w:val="22"/>
      <w:framePr w:wrap="around" w:vAnchor="text" w:hAnchor="margin" w:xAlign="center" w:y="1"/>
      <w:rPr>
        <w:rStyle w:val="38"/>
        <w:sz w:val="21"/>
      </w:rPr>
    </w:pPr>
    <w:r>
      <w:rPr>
        <w:sz w:val="21"/>
      </w:rPr>
      <w:fldChar w:fldCharType="begin"/>
    </w:r>
    <w:r>
      <w:rPr>
        <w:rStyle w:val="38"/>
        <w:sz w:val="21"/>
      </w:rPr>
      <w:instrText xml:space="preserve">PAGE  </w:instrText>
    </w:r>
    <w:r>
      <w:rPr>
        <w:sz w:val="21"/>
      </w:rPr>
      <w:fldChar w:fldCharType="separate"/>
    </w:r>
    <w:r>
      <w:rPr>
        <w:rStyle w:val="38"/>
        <w:sz w:val="21"/>
      </w:rPr>
      <w:t>0</w:t>
    </w:r>
    <w:r>
      <w:rPr>
        <w:sz w:val="21"/>
      </w:rPr>
      <w:fldChar w:fldCharType="end"/>
    </w:r>
  </w:p>
  <w:p w14:paraId="334A69F1">
    <w:pPr>
      <w:pStyle w:val="22"/>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C52C0">
    <w:pPr>
      <w:pStyle w:val="2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15DF07CC">
                          <w:pPr>
                            <w:pStyle w:val="22"/>
                          </w:pPr>
                          <w:r>
                            <w:fldChar w:fldCharType="begin"/>
                          </w:r>
                          <w:r>
                            <w:instrText xml:space="preserve"> PAGE  \* MERGEFORMAT </w:instrText>
                          </w:r>
                          <w:r>
                            <w:fldChar w:fldCharType="separate"/>
                          </w:r>
                          <w:r>
                            <w:t>80</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D5X5J0AAAAAMBAAAPAAAAAAAAAAEAIAAAACIAAABkcnMvZG93bnJldi54&#10;bWxQSwECFAAUAAAACACHTuJA4JTUPckBAACOAwAADgAAAAAAAAABACAAAAAfAQAAZHJzL2Uyb0Rv&#10;Yy54bWxQSwUGAAAAAAYABgBZAQAAWgUAAAAA&#10;">
              <v:fill on="f" focussize="0,0"/>
              <v:stroke on="f"/>
              <v:imagedata o:title=""/>
              <o:lock v:ext="edit" aspectratio="f"/>
              <v:textbox inset="0mm,0mm,0mm,0mm" style="mso-fit-shape-to-text:t;">
                <w:txbxContent>
                  <w:p w14:paraId="15DF07CC">
                    <w:pPr>
                      <w:pStyle w:val="22"/>
                    </w:pPr>
                    <w:r>
                      <w:fldChar w:fldCharType="begin"/>
                    </w:r>
                    <w:r>
                      <w:instrText xml:space="preserve"> PAGE  \* MERGEFORMAT </w:instrText>
                    </w:r>
                    <w:r>
                      <w:fldChar w:fldCharType="separate"/>
                    </w:r>
                    <w:r>
                      <w:t>80</w:t>
                    </w:r>
                    <w:r>
                      <w:fldChar w:fldCharType="end"/>
                    </w:r>
                  </w:p>
                </w:txbxContent>
              </v:textbox>
            </v:shape>
          </w:pict>
        </mc:Fallback>
      </mc:AlternateContent>
    </w:r>
  </w:p>
  <w:p w14:paraId="2F8ABADE">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4DF47">
    <w:pPr>
      <w:pStyle w:val="22"/>
      <w:jc w:val="center"/>
    </w:pPr>
    <w:r>
      <w:fldChar w:fldCharType="begin"/>
    </w:r>
    <w:r>
      <w:instrText xml:space="preserve"> PAGE   \* MERGEFORMAT </w:instrText>
    </w:r>
    <w:r>
      <w:fldChar w:fldCharType="separate"/>
    </w:r>
    <w:r>
      <w:rPr>
        <w:lang w:val="zh-CN"/>
      </w:rPr>
      <w:t>106</w:t>
    </w:r>
    <w:r>
      <w:fldChar w:fldCharType="end"/>
    </w:r>
  </w:p>
  <w:p w14:paraId="481673BC">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DA5B7">
    <w:pPr>
      <w:pStyle w:val="22"/>
      <w:jc w:val="center"/>
    </w:pPr>
    <w:r>
      <w:fldChar w:fldCharType="begin"/>
    </w:r>
    <w:r>
      <w:instrText xml:space="preserve"> PAGE   \* MERGEFORMAT </w:instrText>
    </w:r>
    <w:r>
      <w:fldChar w:fldCharType="separate"/>
    </w:r>
    <w:r>
      <w:rPr>
        <w:lang w:val="zh-CN"/>
      </w:rPr>
      <w:t>112</w:t>
    </w:r>
    <w:r>
      <w:fldChar w:fldCharType="end"/>
    </w:r>
  </w:p>
  <w:p w14:paraId="7792D38A">
    <w:pPr>
      <w:pStyle w:val="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968E5">
    <w:pPr>
      <w:pStyle w:val="22"/>
      <w:framePr w:wrap="around" w:vAnchor="text" w:hAnchor="margin" w:xAlign="center" w:y="1"/>
      <w:rPr>
        <w:rStyle w:val="38"/>
      </w:rPr>
    </w:pPr>
    <w:r>
      <w:fldChar w:fldCharType="begin"/>
    </w:r>
    <w:r>
      <w:rPr>
        <w:rStyle w:val="38"/>
      </w:rPr>
      <w:instrText xml:space="preserve">PAGE  </w:instrText>
    </w:r>
    <w:r>
      <w:fldChar w:fldCharType="end"/>
    </w:r>
  </w:p>
  <w:p w14:paraId="1A5A8A74">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59960">
    <w:pPr>
      <w:pStyle w:val="22"/>
      <w:framePr w:wrap="around" w:vAnchor="text" w:hAnchor="margin" w:xAlign="right" w:y="1"/>
      <w:rPr>
        <w:rStyle w:val="38"/>
      </w:rPr>
    </w:pPr>
    <w:r>
      <w:fldChar w:fldCharType="begin"/>
    </w:r>
    <w:r>
      <w:rPr>
        <w:rStyle w:val="38"/>
      </w:rPr>
      <w:instrText xml:space="preserve">PAGE  </w:instrText>
    </w:r>
    <w:r>
      <w:fldChar w:fldCharType="separate"/>
    </w:r>
    <w:r>
      <w:rPr>
        <w:rStyle w:val="38"/>
      </w:rPr>
      <w:t>122</w:t>
    </w:r>
    <w:r>
      <w:fldChar w:fldCharType="end"/>
    </w:r>
  </w:p>
  <w:p w14:paraId="40669958">
    <w:pPr>
      <w:pStyle w:val="22"/>
      <w:ind w:right="360"/>
      <w:jc w:val="both"/>
    </w:pPr>
    <w:r>
      <w:rPr>
        <w:rFonts w:hint="eastAsia"/>
      </w:rPr>
      <w:t>121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46FE7">
    <w:pPr>
      <w:pStyle w:val="22"/>
      <w:jc w:val="center"/>
    </w:pPr>
    <w:r>
      <w:fldChar w:fldCharType="begin"/>
    </w:r>
    <w:r>
      <w:instrText xml:space="preserve"> PAGE   \* MERGEFORMAT </w:instrText>
    </w:r>
    <w:r>
      <w:fldChar w:fldCharType="separate"/>
    </w:r>
    <w:r>
      <w:rPr>
        <w:lang w:val="zh-CN"/>
      </w:rPr>
      <w:t>114</w:t>
    </w:r>
    <w:r>
      <w:fldChar w:fldCharType="end"/>
    </w:r>
  </w:p>
  <w:p w14:paraId="09869F49">
    <w:pPr>
      <w:pStyle w:val="2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3A3C2">
    <w:pPr>
      <w:pStyle w:val="22"/>
      <w:framePr w:wrap="around" w:vAnchor="text" w:hAnchor="margin" w:xAlign="center" w:y="1"/>
      <w:rPr>
        <w:rStyle w:val="38"/>
      </w:rPr>
    </w:pPr>
    <w:r>
      <w:fldChar w:fldCharType="begin"/>
    </w:r>
    <w:r>
      <w:rPr>
        <w:rStyle w:val="38"/>
      </w:rPr>
      <w:instrText xml:space="preserve">PAGE  </w:instrText>
    </w:r>
    <w:r>
      <w:fldChar w:fldCharType="end"/>
    </w:r>
  </w:p>
  <w:p w14:paraId="5CEA6AD2">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39E90">
    <w:pPr>
      <w:pStyle w:val="23"/>
      <w:tabs>
        <w:tab w:val="center" w:pos="0"/>
        <w:tab w:val="clear" w:pos="4153"/>
      </w:tabs>
      <w:jc w:val="right"/>
      <w:rPr>
        <w:rFonts w:ascii="宋体" w:hAnsi="宋体" w:cs="宋体"/>
      </w:rPr>
    </w:pPr>
    <w:r>
      <w:rPr>
        <w:rFonts w:hint="eastAsia" w:ascii="宋体" w:hAnsi="宋体" w:cs="宋体"/>
      </w:rPr>
      <w:t>南宁职业技术大学跨境电子商务专业群赛训平台类项目采购（项目编号：NNZC2024-G1-991721-GXTZ）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BAAF7">
    <w:pPr>
      <w:pStyle w:val="23"/>
      <w:jc w:val="right"/>
      <w:rPr>
        <w:rFonts w:asciiTheme="minorEastAsia" w:hAnsiTheme="minorEastAsia" w:eastAsiaTheme="minorEastAsia" w:cstheme="minorEastAsia"/>
      </w:rPr>
    </w:pPr>
    <w:r>
      <w:rPr>
        <w:rFonts w:hint="eastAsia" w:asciiTheme="minorEastAsia" w:hAnsiTheme="minorEastAsia" w:eastAsiaTheme="minorEastAsia" w:cstheme="minorEastAsia"/>
      </w:rPr>
      <w:t>南宁职业技术大学跨境电子商务专业群赛训平台类项目采购（项目编号：NNZC2024-G1-991721-GXTZ）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8F297">
    <w:pPr>
      <w:pStyle w:val="23"/>
      <w:jc w:val="right"/>
    </w:pPr>
    <w:r>
      <w:rPr>
        <w:rFonts w:hint="eastAsia" w:ascii="宋体" w:hAnsi="宋体" w:cs="宋体"/>
      </w:rPr>
      <w:t>南宁职业技术大学跨境电子商务专业群赛训平台类项目采购（项目编号：NNZC2024-G1-991721-GXTZ）</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FE45D">
    <w:pPr>
      <w:pStyle w:val="23"/>
      <w:jc w:val="right"/>
    </w:pPr>
    <w:r>
      <w:rPr>
        <w:rFonts w:hint="eastAsia" w:ascii="宋体" w:hAnsi="宋体" w:cs="宋体"/>
      </w:rPr>
      <w:t>南宁职业技术大学跨境电子商务专业群赛训平台类项目采购（项目编号：NNZC2024-G1-991721-GXTZ）</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C9AA8">
    <w:pPr>
      <w:pStyle w:val="23"/>
      <w:jc w:val="right"/>
    </w:pPr>
    <w:r>
      <w:rPr>
        <w:rFonts w:hint="eastAsia" w:ascii="宋体" w:hAnsi="宋体" w:cs="宋体"/>
      </w:rPr>
      <w:t>南宁职业技术大学跨境电子商务专业群赛训平台类项目采购（项目编号：NNZC2024-G1-991721-GXTZ）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3"/>
  </w:num>
  <w:num w:numId="2">
    <w:abstractNumId w:val="0"/>
  </w:num>
  <w:num w:numId="3">
    <w:abstractNumId w:val="1"/>
    <w:lvlOverride w:ilvl="0">
      <w:startOverride w:val="1"/>
    </w:lvlOverride>
  </w:num>
  <w:num w:numId="4">
    <w:abstractNumId w:val="0"/>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33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iMjkzZmUzMDFiNGRlY2FlZjEwZjYzZWI3ZjQ0MGEifQ=="/>
  </w:docVars>
  <w:rsids>
    <w:rsidRoot w:val="00172A27"/>
    <w:rsid w:val="0000096C"/>
    <w:rsid w:val="00000CDB"/>
    <w:rsid w:val="00004344"/>
    <w:rsid w:val="00005909"/>
    <w:rsid w:val="000207D5"/>
    <w:rsid w:val="00024E82"/>
    <w:rsid w:val="00027659"/>
    <w:rsid w:val="00030800"/>
    <w:rsid w:val="00031652"/>
    <w:rsid w:val="00034A7D"/>
    <w:rsid w:val="00035197"/>
    <w:rsid w:val="00035F9C"/>
    <w:rsid w:val="00044EDB"/>
    <w:rsid w:val="00054304"/>
    <w:rsid w:val="000553BC"/>
    <w:rsid w:val="0006218D"/>
    <w:rsid w:val="00063F24"/>
    <w:rsid w:val="00065AF0"/>
    <w:rsid w:val="00066EA9"/>
    <w:rsid w:val="00066FE1"/>
    <w:rsid w:val="00074D5F"/>
    <w:rsid w:val="00077BF5"/>
    <w:rsid w:val="00081789"/>
    <w:rsid w:val="00085A0D"/>
    <w:rsid w:val="00092A54"/>
    <w:rsid w:val="0009317E"/>
    <w:rsid w:val="00093B18"/>
    <w:rsid w:val="00094E84"/>
    <w:rsid w:val="000A7A4B"/>
    <w:rsid w:val="000C302E"/>
    <w:rsid w:val="000C5D44"/>
    <w:rsid w:val="000D5F48"/>
    <w:rsid w:val="000D7284"/>
    <w:rsid w:val="000F1BBE"/>
    <w:rsid w:val="001031E7"/>
    <w:rsid w:val="00104245"/>
    <w:rsid w:val="001108AC"/>
    <w:rsid w:val="00110DD2"/>
    <w:rsid w:val="00116FC9"/>
    <w:rsid w:val="00120C46"/>
    <w:rsid w:val="00125837"/>
    <w:rsid w:val="00140B14"/>
    <w:rsid w:val="00140CE8"/>
    <w:rsid w:val="00143DA6"/>
    <w:rsid w:val="00151CEE"/>
    <w:rsid w:val="0015209C"/>
    <w:rsid w:val="001551E7"/>
    <w:rsid w:val="00170AA7"/>
    <w:rsid w:val="00172A27"/>
    <w:rsid w:val="00173852"/>
    <w:rsid w:val="00174F9B"/>
    <w:rsid w:val="00177D95"/>
    <w:rsid w:val="00182C28"/>
    <w:rsid w:val="00190F4C"/>
    <w:rsid w:val="00193D49"/>
    <w:rsid w:val="0019577E"/>
    <w:rsid w:val="001A307B"/>
    <w:rsid w:val="001B1366"/>
    <w:rsid w:val="001B2BDE"/>
    <w:rsid w:val="001B2FAE"/>
    <w:rsid w:val="001D047F"/>
    <w:rsid w:val="001D59CB"/>
    <w:rsid w:val="001E0216"/>
    <w:rsid w:val="001E0590"/>
    <w:rsid w:val="001E29B7"/>
    <w:rsid w:val="001E3E3A"/>
    <w:rsid w:val="001E4E53"/>
    <w:rsid w:val="001E6153"/>
    <w:rsid w:val="001E6C5D"/>
    <w:rsid w:val="001E7AB6"/>
    <w:rsid w:val="001F330A"/>
    <w:rsid w:val="001F4D3C"/>
    <w:rsid w:val="00201770"/>
    <w:rsid w:val="00204164"/>
    <w:rsid w:val="00204F25"/>
    <w:rsid w:val="00205999"/>
    <w:rsid w:val="00207350"/>
    <w:rsid w:val="00221909"/>
    <w:rsid w:val="002230A4"/>
    <w:rsid w:val="00231EAB"/>
    <w:rsid w:val="00232E04"/>
    <w:rsid w:val="00236055"/>
    <w:rsid w:val="00236B7D"/>
    <w:rsid w:val="00244627"/>
    <w:rsid w:val="0025753A"/>
    <w:rsid w:val="002738BD"/>
    <w:rsid w:val="002867CF"/>
    <w:rsid w:val="00293976"/>
    <w:rsid w:val="00297271"/>
    <w:rsid w:val="002B3400"/>
    <w:rsid w:val="002B4610"/>
    <w:rsid w:val="002C1328"/>
    <w:rsid w:val="002C27F2"/>
    <w:rsid w:val="002C38A0"/>
    <w:rsid w:val="002D2EF2"/>
    <w:rsid w:val="002E0A18"/>
    <w:rsid w:val="002E6D9F"/>
    <w:rsid w:val="002F55FD"/>
    <w:rsid w:val="002F667D"/>
    <w:rsid w:val="003014B1"/>
    <w:rsid w:val="00302B4E"/>
    <w:rsid w:val="003051FD"/>
    <w:rsid w:val="00305816"/>
    <w:rsid w:val="00315EB2"/>
    <w:rsid w:val="003162D6"/>
    <w:rsid w:val="00316994"/>
    <w:rsid w:val="00320B19"/>
    <w:rsid w:val="00325672"/>
    <w:rsid w:val="00327461"/>
    <w:rsid w:val="00330EE9"/>
    <w:rsid w:val="003331F5"/>
    <w:rsid w:val="00337A9F"/>
    <w:rsid w:val="00346976"/>
    <w:rsid w:val="00347950"/>
    <w:rsid w:val="00353905"/>
    <w:rsid w:val="00355191"/>
    <w:rsid w:val="00366E54"/>
    <w:rsid w:val="0037075A"/>
    <w:rsid w:val="00371C87"/>
    <w:rsid w:val="00384EB6"/>
    <w:rsid w:val="003868E3"/>
    <w:rsid w:val="0039417D"/>
    <w:rsid w:val="003A3917"/>
    <w:rsid w:val="003A622A"/>
    <w:rsid w:val="003B031E"/>
    <w:rsid w:val="003B31F1"/>
    <w:rsid w:val="003B7C9A"/>
    <w:rsid w:val="003C027A"/>
    <w:rsid w:val="003C393F"/>
    <w:rsid w:val="003C7A51"/>
    <w:rsid w:val="003D3465"/>
    <w:rsid w:val="003D478D"/>
    <w:rsid w:val="003D7400"/>
    <w:rsid w:val="003E0AD4"/>
    <w:rsid w:val="003E1425"/>
    <w:rsid w:val="003E63BE"/>
    <w:rsid w:val="003E64C1"/>
    <w:rsid w:val="003E70B7"/>
    <w:rsid w:val="003F1F9C"/>
    <w:rsid w:val="003F7B0D"/>
    <w:rsid w:val="004029ED"/>
    <w:rsid w:val="00403AA3"/>
    <w:rsid w:val="0040651A"/>
    <w:rsid w:val="00423F17"/>
    <w:rsid w:val="00435268"/>
    <w:rsid w:val="0044600A"/>
    <w:rsid w:val="00447BDE"/>
    <w:rsid w:val="00450ADB"/>
    <w:rsid w:val="00452102"/>
    <w:rsid w:val="004531C4"/>
    <w:rsid w:val="0046694A"/>
    <w:rsid w:val="0046760D"/>
    <w:rsid w:val="00467833"/>
    <w:rsid w:val="00472DF0"/>
    <w:rsid w:val="00474447"/>
    <w:rsid w:val="004820E2"/>
    <w:rsid w:val="004853B6"/>
    <w:rsid w:val="004861BA"/>
    <w:rsid w:val="00486E44"/>
    <w:rsid w:val="004925A4"/>
    <w:rsid w:val="004A0443"/>
    <w:rsid w:val="004A5F2A"/>
    <w:rsid w:val="004A6736"/>
    <w:rsid w:val="004E126C"/>
    <w:rsid w:val="004F5BCD"/>
    <w:rsid w:val="005033B8"/>
    <w:rsid w:val="00503A40"/>
    <w:rsid w:val="00506840"/>
    <w:rsid w:val="00506FAB"/>
    <w:rsid w:val="00511A25"/>
    <w:rsid w:val="00517D40"/>
    <w:rsid w:val="00520861"/>
    <w:rsid w:val="00521880"/>
    <w:rsid w:val="005279FB"/>
    <w:rsid w:val="00532BF5"/>
    <w:rsid w:val="0053541C"/>
    <w:rsid w:val="005458AD"/>
    <w:rsid w:val="005512C5"/>
    <w:rsid w:val="0055409E"/>
    <w:rsid w:val="00554A36"/>
    <w:rsid w:val="00562514"/>
    <w:rsid w:val="00564C6D"/>
    <w:rsid w:val="00576E04"/>
    <w:rsid w:val="0057733C"/>
    <w:rsid w:val="00581AC2"/>
    <w:rsid w:val="00583AC0"/>
    <w:rsid w:val="005873D0"/>
    <w:rsid w:val="005917A6"/>
    <w:rsid w:val="005932B6"/>
    <w:rsid w:val="00596F89"/>
    <w:rsid w:val="005A6B09"/>
    <w:rsid w:val="005B53A3"/>
    <w:rsid w:val="005C06FA"/>
    <w:rsid w:val="005D54D6"/>
    <w:rsid w:val="005E671C"/>
    <w:rsid w:val="005F6F86"/>
    <w:rsid w:val="00600743"/>
    <w:rsid w:val="00603D18"/>
    <w:rsid w:val="006048A4"/>
    <w:rsid w:val="00605362"/>
    <w:rsid w:val="006064F7"/>
    <w:rsid w:val="006068F0"/>
    <w:rsid w:val="00606C3B"/>
    <w:rsid w:val="006224B3"/>
    <w:rsid w:val="00622C28"/>
    <w:rsid w:val="00626CA8"/>
    <w:rsid w:val="006301C4"/>
    <w:rsid w:val="00631BAB"/>
    <w:rsid w:val="006406A8"/>
    <w:rsid w:val="00640B4E"/>
    <w:rsid w:val="00641D5B"/>
    <w:rsid w:val="00653CDE"/>
    <w:rsid w:val="00656442"/>
    <w:rsid w:val="00661DA0"/>
    <w:rsid w:val="006632E6"/>
    <w:rsid w:val="0067703D"/>
    <w:rsid w:val="006831E3"/>
    <w:rsid w:val="00691B1A"/>
    <w:rsid w:val="00695425"/>
    <w:rsid w:val="006A101B"/>
    <w:rsid w:val="006A6DC8"/>
    <w:rsid w:val="006C015A"/>
    <w:rsid w:val="006C2360"/>
    <w:rsid w:val="006C55A9"/>
    <w:rsid w:val="006C5999"/>
    <w:rsid w:val="006D0A1B"/>
    <w:rsid w:val="006D6A62"/>
    <w:rsid w:val="006F0015"/>
    <w:rsid w:val="006F4267"/>
    <w:rsid w:val="006F77B6"/>
    <w:rsid w:val="00707FF2"/>
    <w:rsid w:val="00715456"/>
    <w:rsid w:val="00717D53"/>
    <w:rsid w:val="007219AB"/>
    <w:rsid w:val="0072351B"/>
    <w:rsid w:val="00730FBB"/>
    <w:rsid w:val="00736625"/>
    <w:rsid w:val="00744B4B"/>
    <w:rsid w:val="00745BFF"/>
    <w:rsid w:val="0074683F"/>
    <w:rsid w:val="00750CA6"/>
    <w:rsid w:val="007549ED"/>
    <w:rsid w:val="0075643C"/>
    <w:rsid w:val="00756DD1"/>
    <w:rsid w:val="00757B36"/>
    <w:rsid w:val="00761289"/>
    <w:rsid w:val="00761EA6"/>
    <w:rsid w:val="00767154"/>
    <w:rsid w:val="00773B6C"/>
    <w:rsid w:val="00781DF2"/>
    <w:rsid w:val="00790B95"/>
    <w:rsid w:val="007937A3"/>
    <w:rsid w:val="007C09EA"/>
    <w:rsid w:val="007C3B9F"/>
    <w:rsid w:val="007D5273"/>
    <w:rsid w:val="007D6581"/>
    <w:rsid w:val="007D6EBC"/>
    <w:rsid w:val="007F0A33"/>
    <w:rsid w:val="007F1D2B"/>
    <w:rsid w:val="007F4D7D"/>
    <w:rsid w:val="007F717F"/>
    <w:rsid w:val="00800753"/>
    <w:rsid w:val="008176CE"/>
    <w:rsid w:val="008232D5"/>
    <w:rsid w:val="00823F88"/>
    <w:rsid w:val="008300D6"/>
    <w:rsid w:val="008429D8"/>
    <w:rsid w:val="00843D45"/>
    <w:rsid w:val="008604A4"/>
    <w:rsid w:val="008606F1"/>
    <w:rsid w:val="00862516"/>
    <w:rsid w:val="0086784A"/>
    <w:rsid w:val="008811BB"/>
    <w:rsid w:val="00884280"/>
    <w:rsid w:val="00884C48"/>
    <w:rsid w:val="0089747C"/>
    <w:rsid w:val="008974F2"/>
    <w:rsid w:val="008B6281"/>
    <w:rsid w:val="008C4798"/>
    <w:rsid w:val="008D3FFB"/>
    <w:rsid w:val="008D43F8"/>
    <w:rsid w:val="008E3451"/>
    <w:rsid w:val="008E53FF"/>
    <w:rsid w:val="00904A9B"/>
    <w:rsid w:val="00920D6C"/>
    <w:rsid w:val="00922623"/>
    <w:rsid w:val="009276D5"/>
    <w:rsid w:val="00942D58"/>
    <w:rsid w:val="00942FDE"/>
    <w:rsid w:val="00952863"/>
    <w:rsid w:val="009528FA"/>
    <w:rsid w:val="0096166D"/>
    <w:rsid w:val="009911B9"/>
    <w:rsid w:val="009924D4"/>
    <w:rsid w:val="009926C4"/>
    <w:rsid w:val="009961B0"/>
    <w:rsid w:val="009963BC"/>
    <w:rsid w:val="009A6C00"/>
    <w:rsid w:val="009B644A"/>
    <w:rsid w:val="009B67C7"/>
    <w:rsid w:val="009C3D9F"/>
    <w:rsid w:val="009C60E6"/>
    <w:rsid w:val="009D5E30"/>
    <w:rsid w:val="009D64B0"/>
    <w:rsid w:val="009D78FE"/>
    <w:rsid w:val="009E2765"/>
    <w:rsid w:val="009E2C4C"/>
    <w:rsid w:val="009E509B"/>
    <w:rsid w:val="009E5F55"/>
    <w:rsid w:val="009F48CE"/>
    <w:rsid w:val="009F5431"/>
    <w:rsid w:val="009F5C57"/>
    <w:rsid w:val="00A07462"/>
    <w:rsid w:val="00A11791"/>
    <w:rsid w:val="00A15437"/>
    <w:rsid w:val="00A207B9"/>
    <w:rsid w:val="00A31C07"/>
    <w:rsid w:val="00A31E32"/>
    <w:rsid w:val="00A35D90"/>
    <w:rsid w:val="00A37ECC"/>
    <w:rsid w:val="00A41DC7"/>
    <w:rsid w:val="00A4364F"/>
    <w:rsid w:val="00A54EBE"/>
    <w:rsid w:val="00A56CB5"/>
    <w:rsid w:val="00A61313"/>
    <w:rsid w:val="00A64717"/>
    <w:rsid w:val="00A748C9"/>
    <w:rsid w:val="00A80C51"/>
    <w:rsid w:val="00A81EDF"/>
    <w:rsid w:val="00A83A62"/>
    <w:rsid w:val="00A929CC"/>
    <w:rsid w:val="00A9536F"/>
    <w:rsid w:val="00A95495"/>
    <w:rsid w:val="00A955F2"/>
    <w:rsid w:val="00AA0FBE"/>
    <w:rsid w:val="00AA43B6"/>
    <w:rsid w:val="00AA4479"/>
    <w:rsid w:val="00AA48D1"/>
    <w:rsid w:val="00AA64E2"/>
    <w:rsid w:val="00AB7E31"/>
    <w:rsid w:val="00AD464B"/>
    <w:rsid w:val="00AD7E81"/>
    <w:rsid w:val="00AE0FF5"/>
    <w:rsid w:val="00AE127D"/>
    <w:rsid w:val="00AF12E5"/>
    <w:rsid w:val="00AF7B47"/>
    <w:rsid w:val="00AF7D70"/>
    <w:rsid w:val="00B017FE"/>
    <w:rsid w:val="00B05D04"/>
    <w:rsid w:val="00B17E63"/>
    <w:rsid w:val="00B17F7F"/>
    <w:rsid w:val="00B20869"/>
    <w:rsid w:val="00B211ED"/>
    <w:rsid w:val="00B33B3B"/>
    <w:rsid w:val="00B46391"/>
    <w:rsid w:val="00B47CBF"/>
    <w:rsid w:val="00B52B37"/>
    <w:rsid w:val="00B548FD"/>
    <w:rsid w:val="00B54BFD"/>
    <w:rsid w:val="00B556FB"/>
    <w:rsid w:val="00B56361"/>
    <w:rsid w:val="00B61746"/>
    <w:rsid w:val="00B62005"/>
    <w:rsid w:val="00B67934"/>
    <w:rsid w:val="00B76FFB"/>
    <w:rsid w:val="00B7795B"/>
    <w:rsid w:val="00B77961"/>
    <w:rsid w:val="00B803FE"/>
    <w:rsid w:val="00B84C74"/>
    <w:rsid w:val="00B9098C"/>
    <w:rsid w:val="00B93653"/>
    <w:rsid w:val="00B94CF1"/>
    <w:rsid w:val="00BA2274"/>
    <w:rsid w:val="00BA2379"/>
    <w:rsid w:val="00BA6F13"/>
    <w:rsid w:val="00BA73E4"/>
    <w:rsid w:val="00BB3A8E"/>
    <w:rsid w:val="00BB7111"/>
    <w:rsid w:val="00BC0690"/>
    <w:rsid w:val="00BC6D1F"/>
    <w:rsid w:val="00BD1CD3"/>
    <w:rsid w:val="00BE0F5B"/>
    <w:rsid w:val="00BE242C"/>
    <w:rsid w:val="00BE59EE"/>
    <w:rsid w:val="00BE7BAF"/>
    <w:rsid w:val="00BF2DE4"/>
    <w:rsid w:val="00BF4E4B"/>
    <w:rsid w:val="00BF7045"/>
    <w:rsid w:val="00C03881"/>
    <w:rsid w:val="00C03EC3"/>
    <w:rsid w:val="00C052AB"/>
    <w:rsid w:val="00C114D9"/>
    <w:rsid w:val="00C115C2"/>
    <w:rsid w:val="00C12A33"/>
    <w:rsid w:val="00C20A8B"/>
    <w:rsid w:val="00C21A59"/>
    <w:rsid w:val="00C234FA"/>
    <w:rsid w:val="00C31DD3"/>
    <w:rsid w:val="00C329EE"/>
    <w:rsid w:val="00C3405B"/>
    <w:rsid w:val="00C42870"/>
    <w:rsid w:val="00C54574"/>
    <w:rsid w:val="00C67F26"/>
    <w:rsid w:val="00C72985"/>
    <w:rsid w:val="00C73607"/>
    <w:rsid w:val="00C7749B"/>
    <w:rsid w:val="00C82DE7"/>
    <w:rsid w:val="00C90F87"/>
    <w:rsid w:val="00C94EF3"/>
    <w:rsid w:val="00CB1671"/>
    <w:rsid w:val="00CB2B01"/>
    <w:rsid w:val="00CB582D"/>
    <w:rsid w:val="00CB63FC"/>
    <w:rsid w:val="00CB688D"/>
    <w:rsid w:val="00CB78F3"/>
    <w:rsid w:val="00CC1E96"/>
    <w:rsid w:val="00CC7527"/>
    <w:rsid w:val="00CD2260"/>
    <w:rsid w:val="00CD60E2"/>
    <w:rsid w:val="00CF19A0"/>
    <w:rsid w:val="00CF45D0"/>
    <w:rsid w:val="00CF4883"/>
    <w:rsid w:val="00CF6FCC"/>
    <w:rsid w:val="00D06972"/>
    <w:rsid w:val="00D15FDA"/>
    <w:rsid w:val="00D21461"/>
    <w:rsid w:val="00D37A63"/>
    <w:rsid w:val="00D44310"/>
    <w:rsid w:val="00D44B33"/>
    <w:rsid w:val="00D556A1"/>
    <w:rsid w:val="00D563C2"/>
    <w:rsid w:val="00D57164"/>
    <w:rsid w:val="00D57281"/>
    <w:rsid w:val="00D65967"/>
    <w:rsid w:val="00D732AF"/>
    <w:rsid w:val="00D777F1"/>
    <w:rsid w:val="00D8185B"/>
    <w:rsid w:val="00D86EF6"/>
    <w:rsid w:val="00D969A3"/>
    <w:rsid w:val="00DB6895"/>
    <w:rsid w:val="00DC7AB8"/>
    <w:rsid w:val="00DD525D"/>
    <w:rsid w:val="00DD5508"/>
    <w:rsid w:val="00DE0E0D"/>
    <w:rsid w:val="00DE5E63"/>
    <w:rsid w:val="00DE675A"/>
    <w:rsid w:val="00E375E1"/>
    <w:rsid w:val="00E40A3B"/>
    <w:rsid w:val="00E431DF"/>
    <w:rsid w:val="00E54657"/>
    <w:rsid w:val="00E6697F"/>
    <w:rsid w:val="00E672EA"/>
    <w:rsid w:val="00E74681"/>
    <w:rsid w:val="00E77CF4"/>
    <w:rsid w:val="00E8042B"/>
    <w:rsid w:val="00E820A0"/>
    <w:rsid w:val="00E9496E"/>
    <w:rsid w:val="00E95E2C"/>
    <w:rsid w:val="00E96765"/>
    <w:rsid w:val="00E97D09"/>
    <w:rsid w:val="00EA009B"/>
    <w:rsid w:val="00EA0937"/>
    <w:rsid w:val="00EA7723"/>
    <w:rsid w:val="00EB17F3"/>
    <w:rsid w:val="00EB28CA"/>
    <w:rsid w:val="00EB57D6"/>
    <w:rsid w:val="00EC5445"/>
    <w:rsid w:val="00EE1688"/>
    <w:rsid w:val="00EE23CC"/>
    <w:rsid w:val="00EF36D5"/>
    <w:rsid w:val="00EF3F63"/>
    <w:rsid w:val="00EF4C13"/>
    <w:rsid w:val="00EF6EEB"/>
    <w:rsid w:val="00F072C2"/>
    <w:rsid w:val="00F1066F"/>
    <w:rsid w:val="00F21207"/>
    <w:rsid w:val="00F3468B"/>
    <w:rsid w:val="00F37240"/>
    <w:rsid w:val="00F5110A"/>
    <w:rsid w:val="00F52FF2"/>
    <w:rsid w:val="00F53FD4"/>
    <w:rsid w:val="00F56BEA"/>
    <w:rsid w:val="00F72D89"/>
    <w:rsid w:val="00F74F31"/>
    <w:rsid w:val="00F95FE2"/>
    <w:rsid w:val="00FA0D4F"/>
    <w:rsid w:val="00FA3C12"/>
    <w:rsid w:val="00FB02D1"/>
    <w:rsid w:val="00FB3A1E"/>
    <w:rsid w:val="00FB6647"/>
    <w:rsid w:val="00FD3F1A"/>
    <w:rsid w:val="00FD442A"/>
    <w:rsid w:val="00FD59D5"/>
    <w:rsid w:val="00FD6406"/>
    <w:rsid w:val="00FE5FE9"/>
    <w:rsid w:val="00FE7C3E"/>
    <w:rsid w:val="00FF0F02"/>
    <w:rsid w:val="00FF6FEC"/>
    <w:rsid w:val="023602E5"/>
    <w:rsid w:val="0363091A"/>
    <w:rsid w:val="044B5D89"/>
    <w:rsid w:val="04FB2B14"/>
    <w:rsid w:val="064E49E6"/>
    <w:rsid w:val="06FD5212"/>
    <w:rsid w:val="070770A1"/>
    <w:rsid w:val="07773625"/>
    <w:rsid w:val="07A666FD"/>
    <w:rsid w:val="07FD1DCC"/>
    <w:rsid w:val="085A197A"/>
    <w:rsid w:val="08690620"/>
    <w:rsid w:val="0B044923"/>
    <w:rsid w:val="0CBF400F"/>
    <w:rsid w:val="0DE34399"/>
    <w:rsid w:val="10190483"/>
    <w:rsid w:val="10860438"/>
    <w:rsid w:val="12FB2042"/>
    <w:rsid w:val="14CE0A82"/>
    <w:rsid w:val="152143B8"/>
    <w:rsid w:val="154814A6"/>
    <w:rsid w:val="16700F12"/>
    <w:rsid w:val="190B2752"/>
    <w:rsid w:val="1AFD6014"/>
    <w:rsid w:val="1B870C9E"/>
    <w:rsid w:val="1BB009AC"/>
    <w:rsid w:val="1C5E659C"/>
    <w:rsid w:val="245B3C6C"/>
    <w:rsid w:val="248F602D"/>
    <w:rsid w:val="28CD44E8"/>
    <w:rsid w:val="29A05EB5"/>
    <w:rsid w:val="2ACB4C7E"/>
    <w:rsid w:val="2BAE3DE1"/>
    <w:rsid w:val="2C9B67E6"/>
    <w:rsid w:val="2CF17FA8"/>
    <w:rsid w:val="2E867CAA"/>
    <w:rsid w:val="31870992"/>
    <w:rsid w:val="31DB518A"/>
    <w:rsid w:val="33EB6B0A"/>
    <w:rsid w:val="34152F01"/>
    <w:rsid w:val="38B761EE"/>
    <w:rsid w:val="3ABB374D"/>
    <w:rsid w:val="3C41770B"/>
    <w:rsid w:val="3CD97263"/>
    <w:rsid w:val="3D096272"/>
    <w:rsid w:val="3DA23A41"/>
    <w:rsid w:val="3E027FCA"/>
    <w:rsid w:val="4210134A"/>
    <w:rsid w:val="44CA4BFA"/>
    <w:rsid w:val="46DD3E62"/>
    <w:rsid w:val="48427FE4"/>
    <w:rsid w:val="4A121CAD"/>
    <w:rsid w:val="4B0E0291"/>
    <w:rsid w:val="4DBA7F6B"/>
    <w:rsid w:val="503A5D61"/>
    <w:rsid w:val="505C17AE"/>
    <w:rsid w:val="508F445A"/>
    <w:rsid w:val="519325C2"/>
    <w:rsid w:val="519675C1"/>
    <w:rsid w:val="520A53BC"/>
    <w:rsid w:val="53E506B5"/>
    <w:rsid w:val="55314FB7"/>
    <w:rsid w:val="55D27EB7"/>
    <w:rsid w:val="57B04785"/>
    <w:rsid w:val="582043A3"/>
    <w:rsid w:val="5C5F1839"/>
    <w:rsid w:val="5DDF085E"/>
    <w:rsid w:val="5EF3785D"/>
    <w:rsid w:val="5F3209BE"/>
    <w:rsid w:val="5FF31EC3"/>
    <w:rsid w:val="60C55260"/>
    <w:rsid w:val="60DE1B76"/>
    <w:rsid w:val="619C34D1"/>
    <w:rsid w:val="6A18091A"/>
    <w:rsid w:val="6DB41FB0"/>
    <w:rsid w:val="6E6F683C"/>
    <w:rsid w:val="6EFF2CE3"/>
    <w:rsid w:val="70337422"/>
    <w:rsid w:val="7107121F"/>
    <w:rsid w:val="7193622D"/>
    <w:rsid w:val="72C27F5E"/>
    <w:rsid w:val="73685F3F"/>
    <w:rsid w:val="73722870"/>
    <w:rsid w:val="747E1443"/>
    <w:rsid w:val="7AE838E7"/>
    <w:rsid w:val="7B08284B"/>
    <w:rsid w:val="7B9450B0"/>
    <w:rsid w:val="7B9F65A8"/>
    <w:rsid w:val="7E114624"/>
    <w:rsid w:val="7FB15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44"/>
    <w:qFormat/>
    <w:uiPriority w:val="0"/>
    <w:pPr>
      <w:keepNext/>
      <w:keepLines/>
      <w:spacing w:line="600" w:lineRule="exact"/>
      <w:ind w:firstLine="643" w:firstLineChars="200"/>
      <w:outlineLvl w:val="2"/>
    </w:pPr>
    <w:rPr>
      <w:b/>
      <w:bCs/>
      <w:sz w:val="32"/>
      <w:szCs w:val="32"/>
    </w:rPr>
  </w:style>
  <w:style w:type="paragraph" w:styleId="5">
    <w:name w:val="heading 4"/>
    <w:basedOn w:val="1"/>
    <w:next w:val="1"/>
    <w:link w:val="45"/>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1"/>
    <w:link w:val="46"/>
    <w:qFormat/>
    <w:uiPriority w:val="9"/>
    <w:pPr>
      <w:keepNext/>
      <w:keepLines/>
      <w:spacing w:before="280" w:after="290" w:line="376" w:lineRule="auto"/>
      <w:outlineLvl w:val="4"/>
    </w:pPr>
    <w:rPr>
      <w:b/>
      <w:bCs/>
      <w:sz w:val="28"/>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jc w:val="left"/>
    </w:pPr>
    <w:rPr>
      <w:rFonts w:ascii="Calibri" w:hAnsi="Calibri"/>
      <w:sz w:val="22"/>
      <w:szCs w:val="22"/>
    </w:rPr>
  </w:style>
  <w:style w:type="paragraph" w:styleId="8">
    <w:name w:val="Normal Indent"/>
    <w:basedOn w:val="1"/>
    <w:qFormat/>
    <w:uiPriority w:val="0"/>
    <w:pPr>
      <w:ind w:firstLine="420"/>
    </w:pPr>
    <w:rPr>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7"/>
    <w:qFormat/>
    <w:uiPriority w:val="0"/>
    <w:rPr>
      <w:rFonts w:ascii="宋体"/>
      <w:sz w:val="18"/>
      <w:szCs w:val="18"/>
    </w:rPr>
  </w:style>
  <w:style w:type="paragraph" w:styleId="11">
    <w:name w:val="annotation text"/>
    <w:basedOn w:val="1"/>
    <w:link w:val="48"/>
    <w:qFormat/>
    <w:uiPriority w:val="0"/>
    <w:pPr>
      <w:jc w:val="left"/>
    </w:pPr>
  </w:style>
  <w:style w:type="paragraph" w:styleId="12">
    <w:name w:val="Body Text 3"/>
    <w:basedOn w:val="1"/>
    <w:link w:val="49"/>
    <w:unhideWhenUsed/>
    <w:qFormat/>
    <w:uiPriority w:val="99"/>
    <w:pPr>
      <w:spacing w:after="120"/>
    </w:pPr>
    <w:rPr>
      <w:sz w:val="16"/>
      <w:szCs w:val="16"/>
    </w:rPr>
  </w:style>
  <w:style w:type="paragraph" w:styleId="13">
    <w:name w:val="Body Text"/>
    <w:basedOn w:val="1"/>
    <w:link w:val="50"/>
    <w:unhideWhenUsed/>
    <w:qFormat/>
    <w:uiPriority w:val="99"/>
    <w:pPr>
      <w:spacing w:after="120"/>
    </w:pPr>
  </w:style>
  <w:style w:type="paragraph" w:styleId="14">
    <w:name w:val="Body Text Indent"/>
    <w:basedOn w:val="1"/>
    <w:link w:val="51"/>
    <w:qFormat/>
    <w:uiPriority w:val="0"/>
    <w:pPr>
      <w:spacing w:line="200" w:lineRule="exact"/>
      <w:ind w:firstLine="301"/>
    </w:pPr>
    <w:rPr>
      <w:rFonts w:ascii="宋体" w:hAnsi="Courier New"/>
      <w:spacing w:val="-4"/>
      <w:sz w:val="18"/>
      <w:szCs w:val="20"/>
    </w:rPr>
  </w:style>
  <w:style w:type="paragraph" w:styleId="15">
    <w:name w:val="toc 5"/>
    <w:basedOn w:val="1"/>
    <w:next w:val="1"/>
    <w:unhideWhenUsed/>
    <w:qFormat/>
    <w:uiPriority w:val="39"/>
    <w:pPr>
      <w:jc w:val="left"/>
    </w:pPr>
    <w:rPr>
      <w:rFonts w:ascii="Calibri" w:hAnsi="Calibri"/>
      <w:sz w:val="22"/>
      <w:szCs w:val="22"/>
    </w:rPr>
  </w:style>
  <w:style w:type="paragraph" w:styleId="16">
    <w:name w:val="toc 3"/>
    <w:basedOn w:val="1"/>
    <w:next w:val="1"/>
    <w:unhideWhenUsed/>
    <w:qFormat/>
    <w:uiPriority w:val="39"/>
    <w:pPr>
      <w:jc w:val="left"/>
    </w:pPr>
    <w:rPr>
      <w:rFonts w:ascii="Calibri" w:hAnsi="Calibri"/>
      <w:smallCaps/>
      <w:sz w:val="22"/>
      <w:szCs w:val="22"/>
    </w:rPr>
  </w:style>
  <w:style w:type="paragraph" w:styleId="17">
    <w:name w:val="Plain Text"/>
    <w:basedOn w:val="1"/>
    <w:link w:val="52"/>
    <w:qFormat/>
    <w:uiPriority w:val="0"/>
    <w:rPr>
      <w:rFonts w:ascii="宋体" w:hAnsi="Courier New"/>
      <w:szCs w:val="20"/>
    </w:rPr>
  </w:style>
  <w:style w:type="paragraph" w:styleId="18">
    <w:name w:val="toc 8"/>
    <w:basedOn w:val="1"/>
    <w:next w:val="1"/>
    <w:unhideWhenUsed/>
    <w:qFormat/>
    <w:uiPriority w:val="39"/>
    <w:pPr>
      <w:jc w:val="left"/>
    </w:pPr>
    <w:rPr>
      <w:rFonts w:ascii="Calibri" w:hAnsi="Calibri"/>
      <w:sz w:val="22"/>
      <w:szCs w:val="22"/>
    </w:rPr>
  </w:style>
  <w:style w:type="paragraph" w:styleId="19">
    <w:name w:val="Date"/>
    <w:basedOn w:val="1"/>
    <w:next w:val="1"/>
    <w:link w:val="53"/>
    <w:qFormat/>
    <w:uiPriority w:val="0"/>
    <w:pPr>
      <w:ind w:left="100" w:leftChars="2500"/>
    </w:pPr>
  </w:style>
  <w:style w:type="paragraph" w:styleId="20">
    <w:name w:val="Body Text Indent 2"/>
    <w:basedOn w:val="1"/>
    <w:link w:val="54"/>
    <w:qFormat/>
    <w:uiPriority w:val="0"/>
    <w:pPr>
      <w:spacing w:after="120" w:line="480" w:lineRule="auto"/>
      <w:ind w:left="420" w:leftChars="200"/>
    </w:pPr>
  </w:style>
  <w:style w:type="paragraph" w:styleId="21">
    <w:name w:val="Balloon Text"/>
    <w:basedOn w:val="1"/>
    <w:link w:val="55"/>
    <w:qFormat/>
    <w:uiPriority w:val="0"/>
    <w:rPr>
      <w:sz w:val="18"/>
      <w:szCs w:val="18"/>
    </w:rPr>
  </w:style>
  <w:style w:type="paragraph" w:styleId="22">
    <w:name w:val="footer"/>
    <w:basedOn w:val="1"/>
    <w:link w:val="56"/>
    <w:qFormat/>
    <w:uiPriority w:val="99"/>
    <w:pPr>
      <w:tabs>
        <w:tab w:val="center" w:pos="4153"/>
        <w:tab w:val="right" w:pos="8306"/>
      </w:tabs>
      <w:snapToGrid w:val="0"/>
      <w:jc w:val="left"/>
    </w:pPr>
    <w:rPr>
      <w:sz w:val="18"/>
      <w:szCs w:val="18"/>
    </w:rPr>
  </w:style>
  <w:style w:type="paragraph" w:styleId="23">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360" w:after="360"/>
      <w:jc w:val="left"/>
    </w:pPr>
    <w:rPr>
      <w:rFonts w:ascii="Calibri" w:hAnsi="Calibri"/>
      <w:b/>
      <w:bCs/>
      <w:caps/>
      <w:sz w:val="22"/>
      <w:szCs w:val="22"/>
      <w:u w:val="single"/>
    </w:rPr>
  </w:style>
  <w:style w:type="paragraph" w:styleId="25">
    <w:name w:val="toc 4"/>
    <w:basedOn w:val="1"/>
    <w:next w:val="1"/>
    <w:unhideWhenUsed/>
    <w:qFormat/>
    <w:uiPriority w:val="39"/>
    <w:pPr>
      <w:jc w:val="left"/>
    </w:pPr>
    <w:rPr>
      <w:rFonts w:ascii="Calibri" w:hAnsi="Calibri"/>
      <w:sz w:val="22"/>
      <w:szCs w:val="22"/>
    </w:rPr>
  </w:style>
  <w:style w:type="paragraph" w:styleId="26">
    <w:name w:val="List"/>
    <w:basedOn w:val="1"/>
    <w:qFormat/>
    <w:uiPriority w:val="0"/>
    <w:pPr>
      <w:ind w:left="200" w:hanging="200" w:hangingChars="200"/>
    </w:pPr>
    <w:rPr>
      <w:sz w:val="28"/>
    </w:rPr>
  </w:style>
  <w:style w:type="paragraph" w:styleId="27">
    <w:name w:val="toc 6"/>
    <w:basedOn w:val="1"/>
    <w:next w:val="1"/>
    <w:unhideWhenUsed/>
    <w:qFormat/>
    <w:uiPriority w:val="39"/>
    <w:pPr>
      <w:jc w:val="left"/>
    </w:pPr>
    <w:rPr>
      <w:rFonts w:ascii="Calibri" w:hAnsi="Calibri"/>
      <w:sz w:val="22"/>
      <w:szCs w:val="22"/>
    </w:rPr>
  </w:style>
  <w:style w:type="paragraph" w:styleId="28">
    <w:name w:val="toc 2"/>
    <w:basedOn w:val="1"/>
    <w:next w:val="1"/>
    <w:qFormat/>
    <w:uiPriority w:val="39"/>
    <w:pPr>
      <w:jc w:val="left"/>
    </w:pPr>
    <w:rPr>
      <w:rFonts w:ascii="Calibri" w:hAnsi="Calibri"/>
      <w:b/>
      <w:bCs/>
      <w:smallCaps/>
      <w:sz w:val="22"/>
      <w:szCs w:val="22"/>
    </w:rPr>
  </w:style>
  <w:style w:type="paragraph" w:styleId="29">
    <w:name w:val="toc 9"/>
    <w:basedOn w:val="1"/>
    <w:next w:val="1"/>
    <w:unhideWhenUsed/>
    <w:qFormat/>
    <w:uiPriority w:val="39"/>
    <w:pPr>
      <w:jc w:val="left"/>
    </w:pPr>
    <w:rPr>
      <w:rFonts w:ascii="Calibri" w:hAnsi="Calibri"/>
      <w:sz w:val="22"/>
      <w:szCs w:val="22"/>
    </w:rPr>
  </w:style>
  <w:style w:type="paragraph" w:styleId="30">
    <w:name w:val="Title"/>
    <w:basedOn w:val="1"/>
    <w:next w:val="1"/>
    <w:qFormat/>
    <w:uiPriority w:val="10"/>
    <w:pPr>
      <w:spacing w:before="240" w:after="60"/>
      <w:jc w:val="center"/>
      <w:outlineLvl w:val="0"/>
    </w:pPr>
    <w:rPr>
      <w:rFonts w:ascii="Calibri Light" w:hAnsi="Calibri Light"/>
      <w:b/>
      <w:bCs/>
      <w:sz w:val="32"/>
      <w:szCs w:val="32"/>
    </w:rPr>
  </w:style>
  <w:style w:type="paragraph" w:styleId="31">
    <w:name w:val="annotation subject"/>
    <w:basedOn w:val="11"/>
    <w:next w:val="11"/>
    <w:link w:val="58"/>
    <w:unhideWhenUsed/>
    <w:qFormat/>
    <w:uiPriority w:val="99"/>
    <w:rPr>
      <w:b/>
      <w:bCs/>
    </w:rPr>
  </w:style>
  <w:style w:type="paragraph" w:styleId="32">
    <w:name w:val="Body Text First Indent"/>
    <w:basedOn w:val="13"/>
    <w:unhideWhenUsed/>
    <w:qFormat/>
    <w:uiPriority w:val="99"/>
    <w:pPr>
      <w:ind w:firstLine="420" w:firstLineChars="100"/>
    </w:pPr>
  </w:style>
  <w:style w:type="paragraph" w:styleId="33">
    <w:name w:val="Body Text First Indent 2"/>
    <w:basedOn w:val="14"/>
    <w:unhideWhenUsed/>
    <w:qFormat/>
    <w:uiPriority w:val="99"/>
    <w:pPr>
      <w:ind w:firstLine="420" w:firstLineChars="200"/>
    </w:pPr>
  </w:style>
  <w:style w:type="table" w:styleId="35">
    <w:name w:val="Table Grid"/>
    <w:basedOn w:val="3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basedOn w:val="36"/>
    <w:qFormat/>
    <w:uiPriority w:val="22"/>
    <w:rPr>
      <w:b/>
    </w:rPr>
  </w:style>
  <w:style w:type="character" w:styleId="38">
    <w:name w:val="page number"/>
    <w:qFormat/>
    <w:uiPriority w:val="0"/>
  </w:style>
  <w:style w:type="character" w:styleId="39">
    <w:name w:val="FollowedHyperlink"/>
    <w:qFormat/>
    <w:uiPriority w:val="0"/>
    <w:rPr>
      <w:color w:val="800080"/>
      <w:u w:val="single"/>
    </w:rPr>
  </w:style>
  <w:style w:type="character" w:styleId="40">
    <w:name w:val="Hyperlink"/>
    <w:qFormat/>
    <w:uiPriority w:val="99"/>
    <w:rPr>
      <w:color w:val="0000FF"/>
      <w:u w:val="single"/>
    </w:rPr>
  </w:style>
  <w:style w:type="character" w:styleId="41">
    <w:name w:val="annotation reference"/>
    <w:qFormat/>
    <w:uiPriority w:val="0"/>
    <w:rPr>
      <w:sz w:val="21"/>
      <w:szCs w:val="21"/>
    </w:rPr>
  </w:style>
  <w:style w:type="character" w:customStyle="1" w:styleId="42">
    <w:name w:val="标题 1 字符"/>
    <w:link w:val="2"/>
    <w:qFormat/>
    <w:uiPriority w:val="0"/>
    <w:rPr>
      <w:b/>
      <w:bCs/>
      <w:kern w:val="44"/>
      <w:sz w:val="44"/>
      <w:szCs w:val="44"/>
    </w:rPr>
  </w:style>
  <w:style w:type="character" w:customStyle="1" w:styleId="43">
    <w:name w:val="标题 2 字符"/>
    <w:link w:val="3"/>
    <w:qFormat/>
    <w:uiPriority w:val="0"/>
    <w:rPr>
      <w:rFonts w:ascii="Arial" w:hAnsi="Arial" w:eastAsia="黑体"/>
      <w:b/>
      <w:bCs/>
      <w:kern w:val="2"/>
      <w:sz w:val="32"/>
      <w:szCs w:val="32"/>
    </w:rPr>
  </w:style>
  <w:style w:type="character" w:customStyle="1" w:styleId="44">
    <w:name w:val="标题 3 字符"/>
    <w:link w:val="4"/>
    <w:qFormat/>
    <w:uiPriority w:val="0"/>
    <w:rPr>
      <w:b/>
      <w:bCs/>
      <w:kern w:val="2"/>
      <w:sz w:val="32"/>
      <w:szCs w:val="32"/>
    </w:rPr>
  </w:style>
  <w:style w:type="character" w:customStyle="1" w:styleId="45">
    <w:name w:val="标题 4 字符"/>
    <w:link w:val="5"/>
    <w:qFormat/>
    <w:uiPriority w:val="0"/>
    <w:rPr>
      <w:rFonts w:ascii="Arial" w:eastAsia="黑体"/>
      <w:sz w:val="28"/>
    </w:rPr>
  </w:style>
  <w:style w:type="character" w:customStyle="1" w:styleId="46">
    <w:name w:val="标题 5 字符"/>
    <w:link w:val="6"/>
    <w:qFormat/>
    <w:uiPriority w:val="9"/>
    <w:rPr>
      <w:b/>
      <w:bCs/>
      <w:kern w:val="2"/>
      <w:sz w:val="28"/>
      <w:szCs w:val="28"/>
    </w:rPr>
  </w:style>
  <w:style w:type="character" w:customStyle="1" w:styleId="47">
    <w:name w:val="文档结构图 字符"/>
    <w:link w:val="10"/>
    <w:qFormat/>
    <w:uiPriority w:val="0"/>
    <w:rPr>
      <w:rFonts w:ascii="宋体"/>
      <w:kern w:val="2"/>
      <w:sz w:val="18"/>
      <w:szCs w:val="18"/>
    </w:rPr>
  </w:style>
  <w:style w:type="character" w:customStyle="1" w:styleId="48">
    <w:name w:val="批注文字 字符"/>
    <w:link w:val="11"/>
    <w:qFormat/>
    <w:uiPriority w:val="0"/>
    <w:rPr>
      <w:kern w:val="2"/>
      <w:sz w:val="21"/>
      <w:szCs w:val="24"/>
    </w:rPr>
  </w:style>
  <w:style w:type="character" w:customStyle="1" w:styleId="49">
    <w:name w:val="正文文本 3 字符"/>
    <w:link w:val="12"/>
    <w:semiHidden/>
    <w:qFormat/>
    <w:uiPriority w:val="99"/>
    <w:rPr>
      <w:kern w:val="2"/>
      <w:sz w:val="16"/>
      <w:szCs w:val="16"/>
    </w:rPr>
  </w:style>
  <w:style w:type="character" w:customStyle="1" w:styleId="50">
    <w:name w:val="正文文本 字符"/>
    <w:link w:val="13"/>
    <w:semiHidden/>
    <w:qFormat/>
    <w:uiPriority w:val="99"/>
    <w:rPr>
      <w:kern w:val="2"/>
      <w:sz w:val="21"/>
      <w:szCs w:val="24"/>
    </w:rPr>
  </w:style>
  <w:style w:type="character" w:customStyle="1" w:styleId="51">
    <w:name w:val="正文文本缩进 字符"/>
    <w:link w:val="14"/>
    <w:qFormat/>
    <w:uiPriority w:val="0"/>
    <w:rPr>
      <w:rFonts w:ascii="宋体" w:hAnsi="Courier New" w:eastAsia="宋体"/>
      <w:spacing w:val="-4"/>
      <w:kern w:val="2"/>
      <w:sz w:val="18"/>
      <w:lang w:val="en-US" w:eastAsia="zh-CN" w:bidi="ar-SA"/>
    </w:rPr>
  </w:style>
  <w:style w:type="character" w:customStyle="1" w:styleId="52">
    <w:name w:val="纯文本 字符"/>
    <w:link w:val="17"/>
    <w:qFormat/>
    <w:uiPriority w:val="0"/>
    <w:rPr>
      <w:rFonts w:ascii="宋体" w:hAnsi="Courier New" w:eastAsia="宋体"/>
      <w:kern w:val="2"/>
      <w:sz w:val="21"/>
      <w:lang w:val="en-US" w:eastAsia="zh-CN" w:bidi="ar-SA"/>
    </w:rPr>
  </w:style>
  <w:style w:type="character" w:customStyle="1" w:styleId="53">
    <w:name w:val="日期 字符"/>
    <w:link w:val="19"/>
    <w:qFormat/>
    <w:uiPriority w:val="0"/>
    <w:rPr>
      <w:kern w:val="2"/>
      <w:sz w:val="21"/>
      <w:szCs w:val="24"/>
    </w:rPr>
  </w:style>
  <w:style w:type="character" w:customStyle="1" w:styleId="54">
    <w:name w:val="正文文本缩进 2 字符"/>
    <w:link w:val="20"/>
    <w:qFormat/>
    <w:uiPriority w:val="0"/>
    <w:rPr>
      <w:kern w:val="2"/>
      <w:sz w:val="21"/>
      <w:szCs w:val="24"/>
    </w:rPr>
  </w:style>
  <w:style w:type="character" w:customStyle="1" w:styleId="55">
    <w:name w:val="批注框文本 字符"/>
    <w:link w:val="21"/>
    <w:qFormat/>
    <w:uiPriority w:val="0"/>
    <w:rPr>
      <w:kern w:val="2"/>
      <w:sz w:val="18"/>
      <w:szCs w:val="18"/>
    </w:rPr>
  </w:style>
  <w:style w:type="character" w:customStyle="1" w:styleId="56">
    <w:name w:val="页脚 字符1"/>
    <w:link w:val="22"/>
    <w:qFormat/>
    <w:uiPriority w:val="99"/>
    <w:rPr>
      <w:kern w:val="2"/>
      <w:sz w:val="18"/>
      <w:szCs w:val="18"/>
    </w:rPr>
  </w:style>
  <w:style w:type="character" w:customStyle="1" w:styleId="57">
    <w:name w:val="页眉 字符1"/>
    <w:link w:val="23"/>
    <w:qFormat/>
    <w:uiPriority w:val="99"/>
    <w:rPr>
      <w:kern w:val="2"/>
      <w:sz w:val="18"/>
      <w:szCs w:val="18"/>
    </w:rPr>
  </w:style>
  <w:style w:type="character" w:customStyle="1" w:styleId="58">
    <w:name w:val="批注主题 字符"/>
    <w:link w:val="31"/>
    <w:semiHidden/>
    <w:qFormat/>
    <w:uiPriority w:val="99"/>
    <w:rPr>
      <w:b/>
      <w:bCs/>
      <w:kern w:val="2"/>
      <w:sz w:val="21"/>
      <w:szCs w:val="24"/>
    </w:rPr>
  </w:style>
  <w:style w:type="character" w:customStyle="1" w:styleId="59">
    <w:name w:val="正文文本_"/>
    <w:link w:val="60"/>
    <w:qFormat/>
    <w:uiPriority w:val="0"/>
    <w:rPr>
      <w:rFonts w:ascii="MingLiU" w:hAnsi="MingLiU" w:eastAsia="MingLiU" w:cs="MingLiU"/>
      <w:spacing w:val="9"/>
      <w:sz w:val="19"/>
      <w:szCs w:val="19"/>
      <w:shd w:val="clear" w:color="auto" w:fill="FFFFFF"/>
    </w:rPr>
  </w:style>
  <w:style w:type="paragraph" w:customStyle="1" w:styleId="60">
    <w:name w:val="正文文本1"/>
    <w:basedOn w:val="1"/>
    <w:link w:val="59"/>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61">
    <w:name w:val="纯文本 Char1"/>
    <w:link w:val="62"/>
    <w:qFormat/>
    <w:uiPriority w:val="0"/>
    <w:rPr>
      <w:rFonts w:ascii="宋体" w:hAnsi="Courier New" w:eastAsia="宋体"/>
      <w:kern w:val="2"/>
      <w:sz w:val="21"/>
      <w:lang w:val="en-US" w:eastAsia="zh-CN" w:bidi="ar-SA"/>
    </w:rPr>
  </w:style>
  <w:style w:type="paragraph" w:customStyle="1" w:styleId="62">
    <w:name w:val="纯文本1"/>
    <w:basedOn w:val="1"/>
    <w:link w:val="61"/>
    <w:qFormat/>
    <w:uiPriority w:val="0"/>
    <w:rPr>
      <w:rFonts w:ascii="宋体" w:hAnsi="Courier New"/>
      <w:szCs w:val="20"/>
    </w:rPr>
  </w:style>
  <w:style w:type="character" w:customStyle="1" w:styleId="63">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64">
    <w:name w:val="Char Char1"/>
    <w:qFormat/>
    <w:uiPriority w:val="0"/>
    <w:rPr>
      <w:rFonts w:ascii="宋体" w:hAnsi="Courier New" w:eastAsia="宋体"/>
      <w:kern w:val="2"/>
      <w:sz w:val="21"/>
      <w:lang w:val="en-US" w:eastAsia="zh-CN" w:bidi="ar-SA"/>
    </w:rPr>
  </w:style>
  <w:style w:type="character" w:customStyle="1" w:styleId="6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6">
    <w:name w:val="页脚 字符"/>
    <w:qFormat/>
    <w:uiPriority w:val="99"/>
    <w:rPr>
      <w:sz w:val="18"/>
      <w:szCs w:val="18"/>
    </w:rPr>
  </w:style>
  <w:style w:type="character" w:customStyle="1" w:styleId="67">
    <w:name w:val="页眉 字符"/>
    <w:qFormat/>
    <w:uiPriority w:val="99"/>
    <w:rPr>
      <w:rFonts w:ascii="Times New Roman" w:hAnsi="Times New Roman"/>
      <w:kern w:val="2"/>
      <w:sz w:val="18"/>
      <w:szCs w:val="18"/>
    </w:rPr>
  </w:style>
  <w:style w:type="character" w:customStyle="1" w:styleId="68">
    <w:name w:val="批注文字 字符1"/>
    <w:qFormat/>
    <w:uiPriority w:val="0"/>
    <w:rPr>
      <w:rFonts w:ascii="Times New Roman" w:hAnsi="Times New Roman"/>
      <w:kern w:val="2"/>
      <w:sz w:val="21"/>
      <w:szCs w:val="24"/>
    </w:rPr>
  </w:style>
  <w:style w:type="character" w:customStyle="1" w:styleId="69">
    <w:name w:val="纯文本 字符2"/>
    <w:qFormat/>
    <w:uiPriority w:val="0"/>
    <w:rPr>
      <w:rFonts w:ascii="宋体" w:hAnsi="Courier New" w:eastAsia="宋体" w:cs="Courier New"/>
      <w:szCs w:val="21"/>
    </w:rPr>
  </w:style>
  <w:style w:type="paragraph" w:customStyle="1" w:styleId="70">
    <w:name w:val="Char"/>
    <w:basedOn w:val="1"/>
    <w:qFormat/>
    <w:uiPriority w:val="0"/>
    <w:rPr>
      <w:szCs w:val="21"/>
    </w:rPr>
  </w:style>
  <w:style w:type="paragraph" w:customStyle="1" w:styleId="71">
    <w:name w:val="Char Char Char Char Char Char Char"/>
    <w:basedOn w:val="1"/>
    <w:qFormat/>
    <w:uiPriority w:val="0"/>
  </w:style>
  <w:style w:type="paragraph" w:customStyle="1" w:styleId="72">
    <w:name w:val="_Style 69"/>
    <w:qFormat/>
    <w:uiPriority w:val="0"/>
    <w:rPr>
      <w:rFonts w:ascii="Times New Roman" w:hAnsi="Times New Roman" w:eastAsia="宋体" w:cs="Times New Roman"/>
      <w:kern w:val="2"/>
      <w:sz w:val="21"/>
      <w:szCs w:val="24"/>
      <w:lang w:val="en-US" w:eastAsia="zh-CN" w:bidi="ar-SA"/>
    </w:rPr>
  </w:style>
  <w:style w:type="paragraph" w:customStyle="1" w:styleId="73">
    <w:name w:val="Char Char Char Char Char Char Char Char Char Char Char Char"/>
    <w:basedOn w:val="1"/>
    <w:qFormat/>
    <w:uiPriority w:val="0"/>
    <w:pPr>
      <w:widowControl/>
      <w:spacing w:after="160" w:line="240" w:lineRule="exact"/>
      <w:jc w:val="left"/>
    </w:pPr>
  </w:style>
  <w:style w:type="paragraph" w:customStyle="1" w:styleId="74">
    <w:name w:val="Char Char Char Char Char Char Char Char Char Char Char Char1"/>
    <w:basedOn w:val="1"/>
    <w:qFormat/>
    <w:uiPriority w:val="0"/>
    <w:pPr>
      <w:widowControl/>
      <w:spacing w:after="160" w:line="240" w:lineRule="exact"/>
      <w:jc w:val="left"/>
    </w:pPr>
  </w:style>
  <w:style w:type="paragraph" w:customStyle="1" w:styleId="75">
    <w:name w:val="样式 标题 1 + 居中 段前: 0 磅 段后: 0 磅 行距: 固定值 30 磅"/>
    <w:basedOn w:val="2"/>
    <w:qFormat/>
    <w:uiPriority w:val="0"/>
    <w:pPr>
      <w:spacing w:before="0" w:after="0" w:line="600" w:lineRule="exact"/>
      <w:jc w:val="center"/>
    </w:pPr>
    <w:rPr>
      <w:rFonts w:cs="宋体"/>
      <w:szCs w:val="20"/>
    </w:rPr>
  </w:style>
  <w:style w:type="paragraph" w:customStyle="1" w:styleId="76">
    <w:name w:val="Table Paragraph"/>
    <w:basedOn w:val="1"/>
    <w:qFormat/>
    <w:uiPriority w:val="1"/>
    <w:pPr>
      <w:jc w:val="left"/>
    </w:pPr>
    <w:rPr>
      <w:rFonts w:ascii="Calibri" w:hAnsi="Calibri"/>
      <w:kern w:val="0"/>
      <w:sz w:val="22"/>
      <w:szCs w:val="22"/>
      <w:lang w:eastAsia="en-US"/>
    </w:rPr>
  </w:style>
  <w:style w:type="paragraph" w:customStyle="1" w:styleId="77">
    <w:name w:val="p0"/>
    <w:basedOn w:val="1"/>
    <w:qFormat/>
    <w:uiPriority w:val="0"/>
    <w:pPr>
      <w:widowControl/>
    </w:pPr>
    <w:rPr>
      <w:kern w:val="0"/>
      <w:szCs w:val="21"/>
    </w:rPr>
  </w:style>
  <w:style w:type="paragraph" w:customStyle="1" w:styleId="78">
    <w:name w:val="Char Char Char"/>
    <w:basedOn w:val="1"/>
    <w:qFormat/>
    <w:uiPriority w:val="0"/>
    <w:rPr>
      <w:szCs w:val="20"/>
    </w:rPr>
  </w:style>
  <w:style w:type="paragraph" w:customStyle="1" w:styleId="79">
    <w:name w:val="_Style 76"/>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0">
    <w:name w:val="样式 标题 2 + 非加粗 首行缩进:  2 字符"/>
    <w:basedOn w:val="3"/>
    <w:qFormat/>
    <w:uiPriority w:val="0"/>
    <w:pPr>
      <w:spacing w:before="0" w:after="0" w:line="600" w:lineRule="exact"/>
      <w:ind w:firstLine="640" w:firstLineChars="200"/>
      <w:jc w:val="left"/>
    </w:pPr>
    <w:rPr>
      <w:rFonts w:cs="宋体"/>
      <w:b w:val="0"/>
      <w:bCs w:val="0"/>
      <w:szCs w:val="20"/>
    </w:rPr>
  </w:style>
  <w:style w:type="paragraph" w:customStyle="1" w:styleId="81">
    <w:name w:val="Char Char Char1 Char Char Char Char Char Char Char"/>
    <w:basedOn w:val="1"/>
    <w:qFormat/>
    <w:uiPriority w:val="0"/>
  </w:style>
  <w:style w:type="paragraph" w:customStyle="1" w:styleId="82">
    <w:name w:val="默认段落字体 Para Char Char Char Char Char Char Char Char Char1 Char Char Char Char"/>
    <w:basedOn w:val="1"/>
    <w:qFormat/>
    <w:uiPriority w:val="0"/>
    <w:rPr>
      <w:rFonts w:ascii="Tahoma" w:hAnsi="Tahoma"/>
      <w:sz w:val="24"/>
      <w:szCs w:val="20"/>
    </w:rPr>
  </w:style>
  <w:style w:type="paragraph" w:customStyle="1" w:styleId="83">
    <w:name w:val="Char1"/>
    <w:basedOn w:val="1"/>
    <w:qFormat/>
    <w:uiPriority w:val="0"/>
  </w:style>
  <w:style w:type="paragraph" w:styleId="84">
    <w:name w:val="List Paragraph"/>
    <w:basedOn w:val="1"/>
    <w:qFormat/>
    <w:uiPriority w:val="34"/>
    <w:pPr>
      <w:ind w:firstLine="420" w:firstLineChars="200"/>
    </w:pPr>
  </w:style>
  <w:style w:type="paragraph" w:customStyle="1" w:styleId="85">
    <w:name w:val="Char Char Char Char"/>
    <w:basedOn w:val="1"/>
    <w:qFormat/>
    <w:uiPriority w:val="0"/>
    <w:pPr>
      <w:widowControl/>
      <w:spacing w:after="160" w:line="240" w:lineRule="exact"/>
      <w:jc w:val="left"/>
    </w:pPr>
  </w:style>
  <w:style w:type="paragraph" w:customStyle="1" w:styleId="86">
    <w:name w:val="Char Char Char Char1"/>
    <w:basedOn w:val="1"/>
    <w:qFormat/>
    <w:uiPriority w:val="0"/>
    <w:pPr>
      <w:widowControl/>
      <w:spacing w:after="160" w:line="240" w:lineRule="exact"/>
      <w:jc w:val="left"/>
    </w:pPr>
  </w:style>
  <w:style w:type="paragraph" w:customStyle="1" w:styleId="87">
    <w:name w:val="正文段"/>
    <w:basedOn w:val="1"/>
    <w:qFormat/>
    <w:uiPriority w:val="0"/>
    <w:pPr>
      <w:widowControl/>
      <w:snapToGrid w:val="0"/>
      <w:spacing w:after="156" w:afterLines="50"/>
      <w:ind w:firstLine="200" w:firstLineChars="200"/>
    </w:pPr>
    <w:rPr>
      <w:kern w:val="0"/>
      <w:sz w:val="24"/>
      <w:szCs w:val="20"/>
    </w:rPr>
  </w:style>
  <w:style w:type="paragraph" w:customStyle="1" w:styleId="88">
    <w:name w:val="列出段落1"/>
    <w:basedOn w:val="1"/>
    <w:qFormat/>
    <w:uiPriority w:val="34"/>
    <w:pPr>
      <w:spacing w:before="100" w:beforeAutospacing="1" w:after="100" w:afterAutospacing="1" w:line="360" w:lineRule="auto"/>
      <w:ind w:firstLine="420" w:firstLineChars="200"/>
    </w:pPr>
  </w:style>
  <w:style w:type="paragraph" w:customStyle="1" w:styleId="89">
    <w:name w:val="Char Char Char Char Char Char Char1"/>
    <w:basedOn w:val="1"/>
    <w:qFormat/>
    <w:uiPriority w:val="0"/>
  </w:style>
  <w:style w:type="character" w:customStyle="1" w:styleId="90">
    <w:name w:val="正文2 Char Char"/>
    <w:link w:val="91"/>
    <w:qFormat/>
    <w:uiPriority w:val="0"/>
    <w:rPr>
      <w:kern w:val="2"/>
      <w:sz w:val="24"/>
    </w:rPr>
  </w:style>
  <w:style w:type="paragraph" w:customStyle="1" w:styleId="91">
    <w:name w:val="正文2"/>
    <w:basedOn w:val="1"/>
    <w:link w:val="90"/>
    <w:qFormat/>
    <w:uiPriority w:val="0"/>
    <w:pPr>
      <w:adjustRightInd w:val="0"/>
      <w:spacing w:before="156" w:line="360" w:lineRule="auto"/>
      <w:ind w:firstLine="510" w:firstLineChars="200"/>
    </w:pPr>
    <w:rPr>
      <w:sz w:val="24"/>
      <w:szCs w:val="20"/>
    </w:rPr>
  </w:style>
  <w:style w:type="paragraph" w:customStyle="1" w:styleId="92">
    <w:name w:val="表格文字"/>
    <w:basedOn w:val="1"/>
    <w:next w:val="13"/>
    <w:qFormat/>
    <w:uiPriority w:val="0"/>
    <w:pPr>
      <w:adjustRightInd w:val="0"/>
      <w:spacing w:line="420" w:lineRule="atLeast"/>
      <w:jc w:val="left"/>
      <w:textAlignment w:val="baseline"/>
    </w:pPr>
    <w:rPr>
      <w:kern w:val="0"/>
    </w:rPr>
  </w:style>
  <w:style w:type="character" w:customStyle="1" w:styleId="93">
    <w:name w:val="纯文本 Char_0"/>
    <w:link w:val="94"/>
    <w:qFormat/>
    <w:uiPriority w:val="0"/>
    <w:rPr>
      <w:rFonts w:ascii="宋体" w:hAnsi="Courier New"/>
      <w:kern w:val="2"/>
      <w:sz w:val="21"/>
      <w:szCs w:val="21"/>
    </w:rPr>
  </w:style>
  <w:style w:type="paragraph" w:customStyle="1" w:styleId="94">
    <w:name w:val="纯文本_0_0"/>
    <w:basedOn w:val="1"/>
    <w:link w:val="93"/>
    <w:qFormat/>
    <w:uiPriority w:val="0"/>
    <w:rPr>
      <w:rFonts w:ascii="宋体" w:hAnsi="Courier New"/>
      <w:szCs w:val="21"/>
    </w:rPr>
  </w:style>
  <w:style w:type="paragraph" w:customStyle="1" w:styleId="95">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96">
    <w:name w:val="正文缩进1"/>
    <w:basedOn w:val="1"/>
    <w:next w:val="14"/>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97">
    <w:name w:val="批注文字 Char1"/>
    <w:qFormat/>
    <w:uiPriority w:val="0"/>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137</Pages>
  <Words>17306</Words>
  <Characters>19195</Characters>
  <Lines>670</Lines>
  <Paragraphs>188</Paragraphs>
  <TotalTime>1</TotalTime>
  <ScaleCrop>false</ScaleCrop>
  <LinksUpToDate>false</LinksUpToDate>
  <CharactersWithSpaces>19682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2021-08-24T01:54:00Z</dcterms:created>
  <dc:creator>丁琳</dc:creator>
  <cp:lastModifiedBy>郭乃华</cp:lastModifiedBy>
  <cp:lastPrinted>2021-08-26T08:01:00Z</cp:lastPrinted>
  <dcterms:modified xsi:type="dcterms:W3CDTF">2024-11-29T06:56:33Z</dcterms:modified>
  <dc:title>南财采管〔2012〕3号</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ADACD671266D41F39655CBAED612BC53_13</vt:lpwstr>
  </property>
</Properties>
</file>