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20" w:beforeLines="50" w:line="360" w:lineRule="auto"/>
        <w:jc w:val="center"/>
        <w:rPr>
          <w:rFonts w:ascii="宋体" w:hAnsi="宋体"/>
          <w:sz w:val="52"/>
          <w:szCs w:val="52"/>
        </w:rPr>
      </w:pPr>
      <w:r>
        <w:rPr>
          <w:rFonts w:hint="eastAsia" w:ascii="宋体" w:hAnsi="宋体" w:cs="宋体"/>
          <w:color w:val="auto"/>
          <w:sz w:val="52"/>
          <w:szCs w:val="52"/>
          <w:highlight w:val="none"/>
        </w:rPr>
        <w:t>南宁市</w:t>
      </w:r>
      <w:r>
        <w:rPr>
          <w:rFonts w:hint="eastAsia" w:ascii="宋体" w:hAnsi="宋体"/>
          <w:sz w:val="52"/>
          <w:szCs w:val="52"/>
        </w:rPr>
        <w:t>政府采购</w:t>
      </w:r>
    </w:p>
    <w:p>
      <w:pPr>
        <w:spacing w:before="120" w:beforeLines="50" w:line="360" w:lineRule="auto"/>
        <w:jc w:val="center"/>
        <w:rPr>
          <w:rFonts w:hint="eastAsia" w:ascii="宋体" w:hAnsi="宋体"/>
          <w:sz w:val="52"/>
          <w:szCs w:val="52"/>
        </w:rPr>
      </w:pPr>
      <w:r>
        <w:rPr>
          <w:rFonts w:hint="eastAsia" w:ascii="宋体" w:hAnsi="宋体"/>
          <w:color w:val="auto"/>
          <w:sz w:val="52"/>
          <w:szCs w:val="52"/>
          <w:highlight w:val="none"/>
        </w:rPr>
        <w:t>公开招标文件</w:t>
      </w:r>
      <w:r>
        <w:rPr>
          <w:rFonts w:hint="eastAsia" w:ascii="宋体" w:hAnsi="宋体"/>
          <w:sz w:val="52"/>
          <w:szCs w:val="52"/>
        </w:rPr>
        <w:t>（服务类）</w:t>
      </w:r>
    </w:p>
    <w:p>
      <w:pPr>
        <w:spacing w:before="120" w:beforeLines="50" w:line="360" w:lineRule="auto"/>
        <w:jc w:val="center"/>
        <w:rPr>
          <w:rFonts w:hint="eastAsia" w:ascii="仿宋_GB2312" w:hAnsi="宋体" w:eastAsia="仿宋_GB2312"/>
          <w:b/>
          <w:sz w:val="48"/>
          <w:szCs w:val="48"/>
        </w:rPr>
      </w:pPr>
    </w:p>
    <w:p>
      <w:pPr>
        <w:spacing w:before="120" w:beforeLines="50" w:line="360" w:lineRule="auto"/>
        <w:jc w:val="center"/>
        <w:rPr>
          <w:rFonts w:hint="eastAsia" w:ascii="仿宋_GB2312" w:hAnsi="宋体" w:eastAsia="仿宋_GB2312"/>
          <w:b/>
          <w:sz w:val="48"/>
          <w:szCs w:val="48"/>
        </w:rPr>
      </w:pPr>
    </w:p>
    <w:p>
      <w:pPr>
        <w:snapToGrid w:val="0"/>
        <w:spacing w:before="120" w:beforeLines="50" w:line="360" w:lineRule="auto"/>
        <w:jc w:val="center"/>
        <w:rPr>
          <w:rFonts w:hint="eastAsia" w:ascii="华文新魏" w:hAnsi="宋体" w:eastAsia="华文新魏"/>
          <w:sz w:val="72"/>
          <w:szCs w:val="72"/>
        </w:rPr>
      </w:pPr>
      <w:r>
        <w:rPr>
          <w:rFonts w:hint="eastAsia" w:ascii="华文新魏" w:hAnsi="宋体" w:eastAsia="华文新魏"/>
          <w:sz w:val="72"/>
          <w:szCs w:val="72"/>
        </w:rPr>
        <w:t>招 标 文 件</w:t>
      </w:r>
    </w:p>
    <w:p>
      <w:pPr>
        <w:snapToGrid w:val="0"/>
        <w:spacing w:before="120" w:beforeLines="50" w:line="360" w:lineRule="auto"/>
        <w:jc w:val="center"/>
        <w:rPr>
          <w:rFonts w:hint="eastAsia" w:ascii="宋体" w:hAnsi="宋体" w:eastAsia="宋体" w:cs="宋体"/>
          <w:sz w:val="30"/>
          <w:szCs w:val="72"/>
        </w:rPr>
      </w:pPr>
      <w:r>
        <w:rPr>
          <w:rFonts w:hint="eastAsia" w:ascii="宋体" w:hAnsi="宋体" w:eastAsia="宋体" w:cs="宋体"/>
          <w:sz w:val="30"/>
          <w:szCs w:val="72"/>
        </w:rPr>
        <w:t>（全流程电子化评标）</w:t>
      </w:r>
    </w:p>
    <w:p>
      <w:pPr>
        <w:snapToGrid w:val="0"/>
        <w:spacing w:before="120" w:beforeLines="50" w:line="360" w:lineRule="auto"/>
        <w:rPr>
          <w:rFonts w:hint="eastAsia" w:ascii="仿宋_GB2312" w:hAnsi="宋体" w:eastAsia="仿宋_GB2312"/>
          <w:sz w:val="30"/>
          <w:szCs w:val="72"/>
        </w:rPr>
      </w:pP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1205" w:firstLineChars="400"/>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rPr>
        <w:t>项目</w:t>
      </w:r>
      <w:r>
        <w:rPr>
          <w:rFonts w:hint="eastAsia" w:ascii="宋体" w:hAnsi="宋体" w:eastAsia="宋体" w:cs="宋体"/>
          <w:b/>
          <w:bCs/>
          <w:w w:val="95"/>
          <w:sz w:val="30"/>
          <w:szCs w:val="30"/>
        </w:rPr>
        <w:t>名称</w:t>
      </w:r>
      <w:r>
        <w:rPr>
          <w:rFonts w:hint="eastAsia" w:ascii="宋体" w:hAnsi="宋体" w:eastAsia="宋体" w:cs="宋体"/>
          <w:b/>
          <w:bCs/>
          <w:sz w:val="30"/>
          <w:szCs w:val="30"/>
        </w:rPr>
        <w:t>：</w:t>
      </w:r>
      <w:r>
        <w:rPr>
          <w:rFonts w:hint="eastAsia" w:ascii="宋体" w:hAnsi="宋体" w:cs="宋体"/>
          <w:b/>
          <w:bCs/>
          <w:sz w:val="30"/>
          <w:szCs w:val="30"/>
          <w:lang w:eastAsia="zh-CN"/>
        </w:rPr>
        <w:t>青秀区73套农村生活污水处理设施第三方运维服务</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1145" w:firstLineChars="400"/>
        <w:textAlignment w:val="auto"/>
        <w:rPr>
          <w:rFonts w:hint="eastAsia"/>
          <w:lang w:eastAsia="zh-CN"/>
        </w:rPr>
      </w:pPr>
      <w:r>
        <w:rPr>
          <w:rFonts w:hint="eastAsia" w:ascii="宋体" w:hAnsi="宋体" w:eastAsia="宋体" w:cs="宋体"/>
          <w:b/>
          <w:bCs/>
          <w:w w:val="95"/>
          <w:sz w:val="30"/>
          <w:szCs w:val="30"/>
        </w:rPr>
        <w:t>项目</w:t>
      </w:r>
      <w:r>
        <w:rPr>
          <w:rFonts w:hint="eastAsia" w:ascii="宋体" w:hAnsi="宋体" w:eastAsia="宋体" w:cs="宋体"/>
          <w:b/>
          <w:bCs/>
          <w:sz w:val="30"/>
          <w:szCs w:val="30"/>
        </w:rPr>
        <w:t>编号</w:t>
      </w:r>
      <w:r>
        <w:rPr>
          <w:rFonts w:hint="eastAsia" w:ascii="宋体" w:hAnsi="宋体" w:eastAsia="宋体" w:cs="宋体"/>
          <w:b/>
          <w:bCs/>
          <w:w w:val="95"/>
          <w:sz w:val="30"/>
          <w:szCs w:val="30"/>
        </w:rPr>
        <w:t>：</w:t>
      </w:r>
      <w:r>
        <w:rPr>
          <w:rFonts w:hint="eastAsia" w:ascii="宋体" w:hAnsi="宋体" w:eastAsia="宋体" w:cs="宋体"/>
          <w:b/>
          <w:bCs/>
          <w:w w:val="95"/>
          <w:sz w:val="30"/>
          <w:szCs w:val="30"/>
          <w:lang w:val="en-US" w:eastAsia="zh-CN"/>
        </w:rPr>
        <w:t>NNZC2024-G3-030263-GXHJ</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1205" w:firstLineChars="400"/>
        <w:textAlignment w:val="auto"/>
        <w:rPr>
          <w:rFonts w:hint="eastAsia" w:ascii="宋体" w:hAnsi="宋体" w:eastAsia="宋体" w:cs="宋体"/>
          <w:sz w:val="30"/>
          <w:szCs w:val="30"/>
          <w:u w:val="single"/>
        </w:rPr>
      </w:pPr>
      <w:r>
        <w:rPr>
          <w:rFonts w:hint="eastAsia" w:ascii="宋体" w:hAnsi="宋体" w:eastAsia="宋体" w:cs="宋体"/>
          <w:b/>
          <w:sz w:val="30"/>
          <w:szCs w:val="30"/>
        </w:rPr>
        <w:t>所属行政区划：</w:t>
      </w:r>
      <w:r>
        <w:rPr>
          <w:rFonts w:hint="eastAsia" w:ascii="宋体" w:hAnsi="宋体" w:eastAsia="宋体" w:cs="宋体"/>
          <w:b/>
          <w:sz w:val="30"/>
          <w:szCs w:val="30"/>
          <w:lang w:val="en-US" w:eastAsia="zh-CN"/>
        </w:rPr>
        <w:t>青秀区</w:t>
      </w:r>
      <w:r>
        <w:rPr>
          <w:rFonts w:hint="eastAsia" w:ascii="宋体" w:hAnsi="宋体" w:eastAsia="宋体" w:cs="宋体"/>
          <w:b/>
          <w:sz w:val="30"/>
          <w:szCs w:val="30"/>
        </w:rPr>
        <w:t xml:space="preserve">    </w:t>
      </w:r>
    </w:p>
    <w:p>
      <w:pPr>
        <w:pStyle w:val="6"/>
        <w:keepNext w:val="0"/>
        <w:keepLines w:val="0"/>
        <w:pageBreakBefore w:val="0"/>
        <w:widowControl w:val="0"/>
        <w:kinsoku/>
        <w:wordWrap/>
        <w:overflowPunct/>
        <w:topLinePunct w:val="0"/>
        <w:autoSpaceDE/>
        <w:autoSpaceDN/>
        <w:bidi w:val="0"/>
        <w:adjustRightInd/>
        <w:snapToGrid w:val="0"/>
        <w:spacing w:before="50" w:after="120" w:line="360" w:lineRule="auto"/>
        <w:ind w:firstLine="1145" w:firstLineChars="400"/>
        <w:textAlignment w:val="auto"/>
        <w:rPr>
          <w:rFonts w:hint="eastAsia" w:ascii="宋体" w:hAnsi="宋体" w:eastAsia="宋体" w:cs="宋体"/>
          <w:b/>
          <w:bCs/>
          <w:w w:val="95"/>
          <w:sz w:val="30"/>
          <w:szCs w:val="30"/>
          <w:lang w:eastAsia="zh-CN"/>
        </w:rPr>
      </w:pPr>
      <w:r>
        <w:rPr>
          <w:rFonts w:hint="eastAsia" w:ascii="宋体" w:hAnsi="宋体" w:eastAsia="宋体" w:cs="宋体"/>
          <w:b/>
          <w:bCs/>
          <w:w w:val="95"/>
          <w:sz w:val="30"/>
          <w:szCs w:val="30"/>
        </w:rPr>
        <w:t>采 购 人：</w:t>
      </w:r>
      <w:r>
        <w:rPr>
          <w:rFonts w:hint="eastAsia" w:hAnsi="宋体" w:cs="宋体"/>
          <w:b/>
          <w:bCs/>
          <w:w w:val="95"/>
          <w:sz w:val="30"/>
          <w:szCs w:val="30"/>
          <w:lang w:eastAsia="zh-CN"/>
        </w:rPr>
        <w:t>南宁市青秀生态环境局</w:t>
      </w:r>
    </w:p>
    <w:p>
      <w:pPr>
        <w:pStyle w:val="6"/>
        <w:keepNext w:val="0"/>
        <w:keepLines w:val="0"/>
        <w:pageBreakBefore w:val="0"/>
        <w:widowControl w:val="0"/>
        <w:kinsoku/>
        <w:wordWrap/>
        <w:overflowPunct/>
        <w:topLinePunct w:val="0"/>
        <w:autoSpaceDE/>
        <w:autoSpaceDN/>
        <w:bidi w:val="0"/>
        <w:adjustRightInd/>
        <w:snapToGrid w:val="0"/>
        <w:spacing w:before="50" w:after="120" w:line="360" w:lineRule="auto"/>
        <w:ind w:firstLine="1125" w:firstLineChars="393"/>
        <w:textAlignment w:val="auto"/>
        <w:rPr>
          <w:rFonts w:hint="eastAsia" w:ascii="宋体" w:hAnsi="宋体" w:eastAsia="宋体" w:cs="宋体"/>
          <w:b/>
          <w:bCs/>
          <w:w w:val="95"/>
          <w:sz w:val="30"/>
          <w:szCs w:val="30"/>
          <w:lang w:eastAsia="zh-CN"/>
        </w:rPr>
      </w:pPr>
      <w:r>
        <w:rPr>
          <w:rFonts w:hint="eastAsia" w:ascii="宋体" w:hAnsi="宋体" w:eastAsia="宋体" w:cs="宋体"/>
          <w:b/>
          <w:bCs/>
          <w:w w:val="95"/>
          <w:sz w:val="30"/>
          <w:szCs w:val="30"/>
        </w:rPr>
        <w:t>采购代理机构：</w:t>
      </w:r>
      <w:r>
        <w:rPr>
          <w:rFonts w:hint="eastAsia" w:hAnsi="宋体" w:eastAsia="宋体" w:cs="宋体"/>
          <w:b/>
          <w:bCs/>
          <w:w w:val="95"/>
          <w:sz w:val="30"/>
          <w:szCs w:val="30"/>
          <w:lang w:eastAsia="zh-CN"/>
        </w:rPr>
        <w:t>广西华进项目管理有限公司</w:t>
      </w:r>
    </w:p>
    <w:p>
      <w:pPr>
        <w:pStyle w:val="6"/>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30"/>
          <w:szCs w:val="30"/>
        </w:rPr>
      </w:pPr>
      <w:r>
        <w:rPr>
          <w:rFonts w:hint="eastAsia" w:ascii="宋体" w:hAnsi="宋体" w:eastAsia="宋体" w:cs="宋体"/>
          <w:b/>
          <w:bCs/>
          <w:w w:val="95"/>
          <w:sz w:val="30"/>
          <w:szCs w:val="30"/>
        </w:rPr>
        <w:t>202</w:t>
      </w:r>
      <w:r>
        <w:rPr>
          <w:rFonts w:hint="eastAsia" w:hAnsi="宋体" w:eastAsia="宋体" w:cs="宋体"/>
          <w:b/>
          <w:bCs/>
          <w:w w:val="95"/>
          <w:sz w:val="30"/>
          <w:szCs w:val="30"/>
          <w:lang w:val="en-US" w:eastAsia="zh-CN"/>
        </w:rPr>
        <w:t>4</w:t>
      </w:r>
      <w:r>
        <w:rPr>
          <w:rFonts w:hint="eastAsia" w:ascii="宋体" w:hAnsi="宋体" w:eastAsia="宋体" w:cs="宋体"/>
          <w:b/>
          <w:bCs/>
          <w:w w:val="95"/>
          <w:sz w:val="30"/>
          <w:szCs w:val="30"/>
        </w:rPr>
        <w:t>年</w:t>
      </w:r>
      <w:r>
        <w:rPr>
          <w:rFonts w:hint="eastAsia" w:hAnsi="宋体" w:cs="宋体"/>
          <w:b/>
          <w:bCs/>
          <w:w w:val="95"/>
          <w:sz w:val="30"/>
          <w:szCs w:val="30"/>
          <w:lang w:val="en-US" w:eastAsia="zh-CN"/>
        </w:rPr>
        <w:t>08</w:t>
      </w:r>
      <w:r>
        <w:rPr>
          <w:rFonts w:hint="eastAsia" w:ascii="宋体" w:hAnsi="宋体" w:eastAsia="宋体" w:cs="宋体"/>
          <w:b/>
          <w:bCs/>
          <w:w w:val="95"/>
          <w:sz w:val="30"/>
          <w:szCs w:val="30"/>
        </w:rPr>
        <w:t>月</w:t>
      </w:r>
      <w:r>
        <w:rPr>
          <w:rFonts w:hint="eastAsia" w:hAnsi="宋体" w:cs="宋体"/>
          <w:b/>
          <w:bCs/>
          <w:w w:val="95"/>
          <w:sz w:val="30"/>
          <w:szCs w:val="30"/>
          <w:lang w:val="en-US" w:eastAsia="zh-CN"/>
        </w:rPr>
        <w:t>16</w:t>
      </w:r>
      <w:r>
        <w:rPr>
          <w:rFonts w:hint="eastAsia" w:ascii="宋体" w:hAnsi="宋体" w:eastAsia="宋体" w:cs="宋体"/>
          <w:b/>
          <w:bCs/>
          <w:w w:val="95"/>
          <w:sz w:val="30"/>
          <w:szCs w:val="30"/>
        </w:rPr>
        <w:t>日</w:t>
      </w:r>
    </w:p>
    <w:p>
      <w:pPr>
        <w:pStyle w:val="42"/>
        <w:keepNext w:val="0"/>
        <w:keepLines w:val="0"/>
        <w:pageBreakBefore w:val="0"/>
        <w:widowControl w:val="0"/>
        <w:kinsoku/>
        <w:wordWrap/>
        <w:overflowPunct/>
        <w:topLinePunct w:val="0"/>
        <w:autoSpaceDE/>
        <w:autoSpaceDN/>
        <w:bidi w:val="0"/>
        <w:adjustRightInd/>
        <w:snapToGrid w:val="0"/>
        <w:spacing w:before="50" w:after="120" w:line="360" w:lineRule="auto"/>
        <w:ind w:left="0" w:leftChars="0" w:firstLine="0" w:firstLineChars="0"/>
        <w:textAlignment w:val="auto"/>
        <w:rPr>
          <w:rFonts w:hAnsi="宋体" w:cs="宋体"/>
          <w:b/>
          <w:bCs/>
          <w:color w:val="auto"/>
          <w:sz w:val="30"/>
          <w:szCs w:val="30"/>
          <w:highlight w:val="none"/>
        </w:rPr>
        <w:sectPr>
          <w:headerReference r:id="rId4" w:type="first"/>
          <w:headerReference r:id="rId3" w:type="default"/>
          <w:footerReference r:id="rId5" w:type="default"/>
          <w:footerReference r:id="rId6" w:type="even"/>
          <w:pgSz w:w="11906" w:h="16838"/>
          <w:pgMar w:top="1440" w:right="1080" w:bottom="1440" w:left="1080" w:header="720" w:footer="720" w:gutter="0"/>
          <w:pgNumType w:fmt="decimal" w:start="1"/>
          <w:cols w:space="720" w:num="1"/>
          <w:titlePg/>
          <w:docGrid w:type="lines" w:linePitch="331" w:charSpace="0"/>
        </w:sectPr>
      </w:pPr>
    </w:p>
    <w:p>
      <w:pPr>
        <w:pStyle w:val="42"/>
        <w:jc w:val="center"/>
        <w:rPr>
          <w:rFonts w:hAnsi="宋体" w:cs="宋体"/>
          <w:b/>
          <w:color w:val="auto"/>
          <w:sz w:val="48"/>
          <w:szCs w:val="48"/>
          <w:highlight w:val="none"/>
        </w:rPr>
      </w:pPr>
      <w:r>
        <w:rPr>
          <w:rFonts w:hint="eastAsia" w:hAnsi="宋体" w:cs="宋体"/>
          <w:b/>
          <w:color w:val="auto"/>
          <w:sz w:val="48"/>
          <w:szCs w:val="48"/>
          <w:highlight w:val="none"/>
        </w:rPr>
        <w:t>目     录</w:t>
      </w:r>
    </w:p>
    <w:p>
      <w:pPr>
        <w:pStyle w:val="55"/>
        <w:tabs>
          <w:tab w:val="right" w:leader="dot" w:pos="9628"/>
        </w:tabs>
        <w:spacing w:before="0" w:after="0" w:line="420" w:lineRule="exact"/>
        <w:rPr>
          <w:rFonts w:ascii="宋体" w:hAnsi="宋体" w:cs="宋体"/>
          <w:b w:val="0"/>
          <w:bCs w:val="0"/>
          <w:color w:val="auto"/>
          <w:sz w:val="28"/>
          <w:szCs w:val="28"/>
          <w:highlight w:val="none"/>
        </w:rPr>
      </w:pPr>
      <w:r>
        <w:rPr>
          <w:rFonts w:hint="eastAsia" w:ascii="宋体" w:hAnsi="宋体" w:cs="宋体"/>
          <w:b w:val="0"/>
          <w:bCs w:val="0"/>
          <w:color w:val="auto"/>
          <w:sz w:val="28"/>
          <w:szCs w:val="28"/>
          <w:highlight w:val="none"/>
        </w:rPr>
        <w:fldChar w:fldCharType="begin"/>
      </w:r>
      <w:r>
        <w:rPr>
          <w:rFonts w:hint="eastAsia" w:ascii="宋体" w:hAnsi="宋体" w:cs="宋体"/>
          <w:b w:val="0"/>
          <w:bCs w:val="0"/>
          <w:color w:val="auto"/>
          <w:sz w:val="28"/>
          <w:szCs w:val="28"/>
          <w:highlight w:val="none"/>
        </w:rPr>
        <w:instrText xml:space="preserve"> TOC \o "1-3" \h \z \u </w:instrText>
      </w:r>
      <w:r>
        <w:rPr>
          <w:rFonts w:hint="eastAsia" w:ascii="宋体" w:hAnsi="宋体" w:cs="宋体"/>
          <w:b w:val="0"/>
          <w:bCs w:val="0"/>
          <w:color w:val="auto"/>
          <w:sz w:val="28"/>
          <w:szCs w:val="28"/>
          <w:highlight w:val="none"/>
        </w:rPr>
        <w:fldChar w:fldCharType="separate"/>
      </w:r>
      <w:r>
        <w:rPr>
          <w:color w:val="auto"/>
          <w:highlight w:val="none"/>
        </w:rPr>
        <w:fldChar w:fldCharType="begin"/>
      </w:r>
      <w:r>
        <w:rPr>
          <w:color w:val="auto"/>
          <w:highlight w:val="none"/>
        </w:rPr>
        <w:instrText xml:space="preserve"> HYPERLINK \l "_Toc80092990" </w:instrText>
      </w:r>
      <w:r>
        <w:rPr>
          <w:color w:val="auto"/>
          <w:highlight w:val="none"/>
        </w:rPr>
        <w:fldChar w:fldCharType="separate"/>
      </w:r>
      <w:r>
        <w:rPr>
          <w:rStyle w:val="70"/>
          <w:rFonts w:hint="eastAsia" w:ascii="宋体" w:hAnsi="宋体" w:cs="宋体"/>
          <w:color w:val="auto"/>
          <w:highlight w:val="none"/>
        </w:rPr>
        <w:t>第一章  招标公告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_Toc80092990 \h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55"/>
        <w:tabs>
          <w:tab w:val="right" w:leader="dot" w:pos="9628"/>
        </w:tabs>
        <w:spacing w:before="0" w:after="0"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"_Toc80092991" </w:instrText>
      </w:r>
      <w:r>
        <w:rPr>
          <w:color w:val="auto"/>
          <w:highlight w:val="none"/>
        </w:rPr>
        <w:fldChar w:fldCharType="separate"/>
      </w:r>
      <w:r>
        <w:rPr>
          <w:rStyle w:val="70"/>
          <w:rFonts w:hint="eastAsia" w:ascii="宋体" w:hAnsi="宋体" w:cs="宋体"/>
          <w:color w:val="auto"/>
          <w:highlight w:val="none"/>
        </w:rPr>
        <w:t>第二章  采购需求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_Toc80092991 \h </w:instrText>
      </w:r>
      <w:r>
        <w:rPr>
          <w:rFonts w:hint="eastAsia" w:ascii="宋体" w:hAnsi="宋体" w:cs="宋体"/>
          <w:color w:val="auto"/>
          <w:highlight w:val="none"/>
        </w:rPr>
        <w:fldChar w:fldCharType="separate"/>
      </w:r>
      <w:r>
        <w:rPr>
          <w:rFonts w:hint="eastAsia" w:ascii="宋体" w:hAnsi="宋体" w:cs="宋体"/>
          <w:color w:val="auto"/>
          <w:highlight w:val="none"/>
        </w:rPr>
        <w:t>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55"/>
        <w:tabs>
          <w:tab w:val="right" w:leader="dot" w:pos="9628"/>
        </w:tabs>
        <w:spacing w:before="0" w:after="0"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"_Toc80092992" </w:instrText>
      </w:r>
      <w:r>
        <w:rPr>
          <w:color w:val="auto"/>
          <w:highlight w:val="none"/>
        </w:rPr>
        <w:fldChar w:fldCharType="separate"/>
      </w:r>
      <w:r>
        <w:rPr>
          <w:rStyle w:val="70"/>
          <w:rFonts w:hint="eastAsia" w:ascii="宋体" w:hAnsi="宋体" w:cs="宋体"/>
          <w:color w:val="auto"/>
          <w:highlight w:val="none"/>
        </w:rPr>
        <w:t>第三章  投标人须知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_Toc80092992 \h </w:instrText>
      </w:r>
      <w:r>
        <w:rPr>
          <w:rFonts w:hint="eastAsia" w:ascii="宋体" w:hAnsi="宋体" w:cs="宋体"/>
          <w:color w:val="auto"/>
          <w:highlight w:val="none"/>
        </w:rPr>
        <w:fldChar w:fldCharType="separate"/>
      </w:r>
      <w:r>
        <w:rPr>
          <w:rFonts w:hint="eastAsia" w:ascii="宋体" w:hAnsi="宋体" w:cs="宋体"/>
          <w:color w:val="auto"/>
          <w:highlight w:val="none"/>
        </w:rPr>
        <w:t>15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59"/>
        <w:tabs>
          <w:tab w:val="right" w:leader="dot" w:pos="9628"/>
        </w:tabs>
        <w:spacing w:line="420" w:lineRule="exact"/>
        <w:rPr>
          <w:rFonts w:ascii="宋体" w:hAnsi="宋体" w:cs="宋体"/>
          <w:color w:val="auto"/>
          <w:highlight w:val="none"/>
        </w:rPr>
      </w:pPr>
      <w:bookmarkStart w:id="0" w:name="_Hlt80896543"/>
      <w:bookmarkEnd w:id="0"/>
      <w:bookmarkStart w:id="1" w:name="_Hlt80896542"/>
      <w:bookmarkEnd w:id="1"/>
      <w:r>
        <w:rPr>
          <w:rFonts w:hint="eastAsia" w:ascii="宋体" w:hAnsi="宋体" w:cs="宋体"/>
          <w:color w:val="auto"/>
          <w:highlight w:val="none"/>
        </w:rPr>
        <w:fldChar w:fldCharType="begin"/>
      </w:r>
      <w:r>
        <w:rPr>
          <w:rStyle w:val="70"/>
          <w:rFonts w:hint="eastAsia" w:ascii="宋体" w:hAnsi="宋体" w:cs="宋体"/>
          <w:color w:val="auto"/>
          <w:highlight w:val="none"/>
        </w:rPr>
        <w:instrText xml:space="preserve"> </w:instrText>
      </w:r>
      <w:r>
        <w:rPr>
          <w:rFonts w:hint="eastAsia" w:ascii="宋体" w:hAnsi="宋体" w:cs="宋体"/>
          <w:color w:val="auto"/>
          <w:highlight w:val="none"/>
        </w:rPr>
        <w:instrText xml:space="preserve">HYPERLINK \l "_Toc80092993"</w:instrText>
      </w:r>
      <w:r>
        <w:rPr>
          <w:rStyle w:val="70"/>
          <w:rFonts w:hint="eastAsia" w:ascii="宋体" w:hAnsi="宋体" w:cs="宋体"/>
          <w:color w:val="auto"/>
          <w:highlight w:val="none"/>
        </w:rPr>
        <w:instrText xml:space="preserve"> </w:instrText>
      </w:r>
      <w:r>
        <w:rPr>
          <w:rFonts w:hint="eastAsia" w:ascii="宋体" w:hAnsi="宋体" w:cs="宋体"/>
          <w:color w:val="auto"/>
          <w:highlight w:val="none"/>
        </w:rPr>
        <w:fldChar w:fldCharType="separate"/>
      </w:r>
      <w:r>
        <w:rPr>
          <w:rStyle w:val="70"/>
          <w:rFonts w:hint="eastAsia" w:ascii="宋体" w:hAnsi="宋体" w:cs="宋体"/>
          <w:color w:val="auto"/>
          <w:highlight w:val="none"/>
        </w:rPr>
        <w:t>第一节 投标人须知前附表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_Toc80092993 \h </w:instrText>
      </w:r>
      <w:r>
        <w:rPr>
          <w:rFonts w:hint="eastAsia" w:ascii="宋体" w:hAnsi="宋体" w:cs="宋体"/>
          <w:color w:val="auto"/>
          <w:highlight w:val="none"/>
        </w:rPr>
        <w:fldChar w:fldCharType="separate"/>
      </w:r>
      <w:r>
        <w:rPr>
          <w:rFonts w:hint="eastAsia" w:ascii="宋体" w:hAnsi="宋体" w:cs="宋体"/>
          <w:color w:val="auto"/>
          <w:highlight w:val="none"/>
        </w:rPr>
        <w:t>17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59"/>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"_Toc80092994" </w:instrText>
      </w:r>
      <w:r>
        <w:rPr>
          <w:color w:val="auto"/>
          <w:highlight w:val="none"/>
        </w:rPr>
        <w:fldChar w:fldCharType="separate"/>
      </w:r>
      <w:r>
        <w:rPr>
          <w:rStyle w:val="70"/>
          <w:rFonts w:hint="eastAsia" w:ascii="宋体" w:hAnsi="宋体" w:cs="宋体"/>
          <w:color w:val="auto"/>
          <w:highlight w:val="none"/>
        </w:rPr>
        <w:t>第二节 投标人须知正文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_Toc80092994 \h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41"/>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"_Toc80092995" </w:instrText>
      </w:r>
      <w:r>
        <w:rPr>
          <w:color w:val="auto"/>
          <w:highlight w:val="none"/>
        </w:rPr>
        <w:fldChar w:fldCharType="separate"/>
      </w:r>
      <w:r>
        <w:rPr>
          <w:rStyle w:val="70"/>
          <w:rFonts w:hint="eastAsia" w:ascii="宋体" w:hAnsi="宋体" w:cs="宋体"/>
          <w:color w:val="auto"/>
          <w:highlight w:val="none"/>
        </w:rPr>
        <w:t>一、总  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_Toc80092995 \h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41"/>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"_Toc80092996" </w:instrText>
      </w:r>
      <w:r>
        <w:rPr>
          <w:color w:val="auto"/>
          <w:highlight w:val="none"/>
        </w:rPr>
        <w:fldChar w:fldCharType="separate"/>
      </w:r>
      <w:r>
        <w:rPr>
          <w:rStyle w:val="70"/>
          <w:rFonts w:hint="eastAsia" w:ascii="宋体" w:hAnsi="宋体" w:cs="宋体"/>
          <w:color w:val="auto"/>
          <w:highlight w:val="none"/>
        </w:rPr>
        <w:t>二、招标文件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_Toc80092996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41"/>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"_Toc80092997" </w:instrText>
      </w:r>
      <w:r>
        <w:rPr>
          <w:color w:val="auto"/>
          <w:highlight w:val="none"/>
        </w:rPr>
        <w:fldChar w:fldCharType="separate"/>
      </w:r>
      <w:r>
        <w:rPr>
          <w:rStyle w:val="70"/>
          <w:rFonts w:hint="eastAsia" w:ascii="宋体" w:hAnsi="宋体" w:cs="宋体"/>
          <w:color w:val="auto"/>
          <w:highlight w:val="none"/>
        </w:rPr>
        <w:t>三、投标文件的编制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_Toc80092997 \h </w:instrText>
      </w:r>
      <w:r>
        <w:rPr>
          <w:rFonts w:hint="eastAsia" w:ascii="宋体" w:hAnsi="宋体" w:cs="宋体"/>
          <w:color w:val="auto"/>
          <w:highlight w:val="none"/>
        </w:rPr>
        <w:fldChar w:fldCharType="separate"/>
      </w:r>
      <w:r>
        <w:rPr>
          <w:rFonts w:hint="eastAsia" w:ascii="宋体" w:hAnsi="宋体" w:cs="宋体"/>
          <w:color w:val="auto"/>
          <w:highlight w:val="none"/>
        </w:rPr>
        <w:t>27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41"/>
        <w:tabs>
          <w:tab w:val="right" w:leader="dot" w:pos="9628"/>
        </w:tabs>
        <w:spacing w:line="420" w:lineRule="exact"/>
        <w:rPr>
          <w:rFonts w:ascii="宋体" w:hAnsi="宋体" w:cs="宋体"/>
          <w:color w:val="auto"/>
          <w:highlight w:val="none"/>
        </w:rPr>
      </w:pPr>
      <w:bookmarkStart w:id="2" w:name="_Hlt80093052"/>
      <w:bookmarkEnd w:id="2"/>
      <w:r>
        <w:rPr>
          <w:rFonts w:hint="eastAsia" w:ascii="宋体" w:hAnsi="宋体" w:cs="宋体"/>
          <w:color w:val="auto"/>
          <w:highlight w:val="none"/>
        </w:rPr>
        <w:fldChar w:fldCharType="begin"/>
      </w:r>
      <w:r>
        <w:rPr>
          <w:rStyle w:val="70"/>
          <w:rFonts w:hint="eastAsia" w:ascii="宋体" w:hAnsi="宋体" w:cs="宋体"/>
          <w:color w:val="auto"/>
          <w:highlight w:val="none"/>
        </w:rPr>
        <w:instrText xml:space="preserve"> </w:instrText>
      </w:r>
      <w:r>
        <w:rPr>
          <w:rFonts w:hint="eastAsia" w:ascii="宋体" w:hAnsi="宋体" w:cs="宋体"/>
          <w:color w:val="auto"/>
          <w:highlight w:val="none"/>
        </w:rPr>
        <w:instrText xml:space="preserve">HYPERLINK \l "_Toc80092998"</w:instrText>
      </w:r>
      <w:r>
        <w:rPr>
          <w:rStyle w:val="70"/>
          <w:rFonts w:hint="eastAsia" w:ascii="宋体" w:hAnsi="宋体" w:cs="宋体"/>
          <w:color w:val="auto"/>
          <w:highlight w:val="none"/>
        </w:rPr>
        <w:instrText xml:space="preserve"> </w:instrText>
      </w:r>
      <w:r>
        <w:rPr>
          <w:rFonts w:hint="eastAsia" w:ascii="宋体" w:hAnsi="宋体" w:cs="宋体"/>
          <w:color w:val="auto"/>
          <w:highlight w:val="none"/>
        </w:rPr>
        <w:fldChar w:fldCharType="separate"/>
      </w:r>
      <w:r>
        <w:rPr>
          <w:rStyle w:val="70"/>
          <w:rFonts w:hint="eastAsia" w:ascii="宋体" w:hAnsi="宋体" w:cs="宋体"/>
          <w:color w:val="auto"/>
          <w:highlight w:val="none"/>
        </w:rPr>
        <w:t>四、开    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_Toc80092998 \h </w:instrText>
      </w:r>
      <w:r>
        <w:rPr>
          <w:rFonts w:hint="eastAsia" w:ascii="宋体" w:hAnsi="宋体" w:cs="宋体"/>
          <w:color w:val="auto"/>
          <w:highlight w:val="none"/>
        </w:rPr>
        <w:fldChar w:fldCharType="separate"/>
      </w:r>
      <w:r>
        <w:rPr>
          <w:rFonts w:hint="eastAsia" w:ascii="宋体" w:hAnsi="宋体" w:cs="宋体"/>
          <w:color w:val="auto"/>
          <w:highlight w:val="none"/>
        </w:rPr>
        <w:t>30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41"/>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"_Toc80092999" </w:instrText>
      </w:r>
      <w:r>
        <w:rPr>
          <w:color w:val="auto"/>
          <w:highlight w:val="none"/>
        </w:rPr>
        <w:fldChar w:fldCharType="separate"/>
      </w:r>
      <w:r>
        <w:rPr>
          <w:rStyle w:val="70"/>
          <w:rFonts w:hint="eastAsia" w:ascii="宋体" w:hAnsi="宋体" w:cs="宋体"/>
          <w:color w:val="auto"/>
          <w:highlight w:val="none"/>
        </w:rPr>
        <w:t>五、资格审查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_Toc80092999 \h </w:instrText>
      </w:r>
      <w:r>
        <w:rPr>
          <w:rFonts w:hint="eastAsia" w:ascii="宋体" w:hAnsi="宋体" w:cs="宋体"/>
          <w:color w:val="auto"/>
          <w:highlight w:val="none"/>
        </w:rPr>
        <w:fldChar w:fldCharType="separate"/>
      </w:r>
      <w:r>
        <w:rPr>
          <w:rFonts w:hint="eastAsia" w:ascii="宋体" w:hAnsi="宋体" w:cs="宋体"/>
          <w:color w:val="auto"/>
          <w:highlight w:val="none"/>
        </w:rPr>
        <w:t>31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41"/>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"_Toc80093000" </w:instrText>
      </w:r>
      <w:r>
        <w:rPr>
          <w:color w:val="auto"/>
          <w:highlight w:val="none"/>
        </w:rPr>
        <w:fldChar w:fldCharType="separate"/>
      </w:r>
      <w:r>
        <w:rPr>
          <w:rStyle w:val="70"/>
          <w:rFonts w:hint="eastAsia" w:ascii="宋体" w:hAnsi="宋体" w:cs="宋体"/>
          <w:color w:val="auto"/>
          <w:highlight w:val="none"/>
        </w:rPr>
        <w:t>六、评   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_Toc80093000 \h </w:instrText>
      </w:r>
      <w:r>
        <w:rPr>
          <w:rFonts w:hint="eastAsia" w:ascii="宋体" w:hAnsi="宋体" w:cs="宋体"/>
          <w:color w:val="auto"/>
          <w:highlight w:val="none"/>
        </w:rPr>
        <w:fldChar w:fldCharType="separate"/>
      </w:r>
      <w:r>
        <w:rPr>
          <w:rFonts w:hint="eastAsia" w:ascii="宋体" w:hAnsi="宋体" w:cs="宋体"/>
          <w:color w:val="auto"/>
          <w:highlight w:val="none"/>
        </w:rPr>
        <w:t>32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41"/>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"_Toc80093001" </w:instrText>
      </w:r>
      <w:r>
        <w:rPr>
          <w:color w:val="auto"/>
          <w:highlight w:val="none"/>
        </w:rPr>
        <w:fldChar w:fldCharType="separate"/>
      </w:r>
      <w:r>
        <w:rPr>
          <w:rStyle w:val="70"/>
          <w:rFonts w:hint="eastAsia" w:ascii="宋体" w:hAnsi="宋体" w:cs="宋体"/>
          <w:color w:val="auto"/>
          <w:highlight w:val="none"/>
        </w:rPr>
        <w:t>七、中标和合同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_Toc80093001 \h </w:instrText>
      </w:r>
      <w:r>
        <w:rPr>
          <w:rFonts w:hint="eastAsia" w:ascii="宋体" w:hAnsi="宋体" w:cs="宋体"/>
          <w:color w:val="auto"/>
          <w:highlight w:val="none"/>
        </w:rPr>
        <w:fldChar w:fldCharType="separate"/>
      </w:r>
      <w:r>
        <w:rPr>
          <w:rFonts w:hint="eastAsia" w:ascii="宋体" w:hAnsi="宋体" w:cs="宋体"/>
          <w:color w:val="auto"/>
          <w:highlight w:val="none"/>
        </w:rPr>
        <w:t>33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41"/>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"_Toc80093002" </w:instrText>
      </w:r>
      <w:r>
        <w:rPr>
          <w:color w:val="auto"/>
          <w:highlight w:val="none"/>
        </w:rPr>
        <w:fldChar w:fldCharType="separate"/>
      </w:r>
      <w:r>
        <w:rPr>
          <w:rStyle w:val="70"/>
          <w:rFonts w:hint="eastAsia" w:ascii="宋体" w:hAnsi="宋体" w:cs="宋体"/>
          <w:color w:val="auto"/>
          <w:highlight w:val="none"/>
        </w:rPr>
        <w:t>八、验收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_Toc80093002 \h </w:instrText>
      </w:r>
      <w:r>
        <w:rPr>
          <w:rFonts w:hint="eastAsia" w:ascii="宋体" w:hAnsi="宋体" w:cs="宋体"/>
          <w:color w:val="auto"/>
          <w:highlight w:val="none"/>
        </w:rPr>
        <w:fldChar w:fldCharType="separate"/>
      </w:r>
      <w:r>
        <w:rPr>
          <w:rFonts w:hint="eastAsia" w:ascii="宋体" w:hAnsi="宋体" w:cs="宋体"/>
          <w:color w:val="auto"/>
          <w:highlight w:val="none"/>
        </w:rPr>
        <w:t>39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41"/>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"_Toc80093002" </w:instrText>
      </w:r>
      <w:r>
        <w:rPr>
          <w:color w:val="auto"/>
          <w:highlight w:val="none"/>
        </w:rPr>
        <w:fldChar w:fldCharType="separate"/>
      </w:r>
      <w:r>
        <w:rPr>
          <w:rStyle w:val="70"/>
          <w:rFonts w:hint="eastAsia" w:ascii="宋体" w:hAnsi="宋体" w:cs="宋体"/>
          <w:color w:val="auto"/>
          <w:highlight w:val="none"/>
        </w:rPr>
        <w:t>九、其他事项</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_Toc80093002 \h </w:instrText>
      </w:r>
      <w:r>
        <w:rPr>
          <w:rFonts w:hint="eastAsia" w:ascii="宋体" w:hAnsi="宋体" w:cs="宋体"/>
          <w:color w:val="auto"/>
          <w:highlight w:val="none"/>
        </w:rPr>
        <w:fldChar w:fldCharType="separate"/>
      </w:r>
      <w:r>
        <w:rPr>
          <w:rFonts w:hint="eastAsia" w:ascii="宋体" w:hAnsi="宋体" w:cs="宋体"/>
          <w:color w:val="auto"/>
          <w:highlight w:val="none"/>
        </w:rPr>
        <w:t>39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55"/>
        <w:tabs>
          <w:tab w:val="right" w:leader="dot" w:pos="9628"/>
        </w:tabs>
        <w:spacing w:before="0" w:after="0" w:line="420" w:lineRule="exact"/>
        <w:rPr>
          <w:rFonts w:ascii="宋体" w:hAnsi="宋体" w:cs="宋体"/>
          <w:color w:val="auto"/>
          <w:highlight w:val="none"/>
        </w:rPr>
      </w:pPr>
      <w:bookmarkStart w:id="3" w:name="_Hlt80698806"/>
      <w:bookmarkEnd w:id="3"/>
      <w:r>
        <w:rPr>
          <w:rFonts w:hint="eastAsia" w:ascii="宋体" w:hAnsi="宋体" w:cs="宋体"/>
          <w:color w:val="auto"/>
          <w:highlight w:val="none"/>
        </w:rPr>
        <w:fldChar w:fldCharType="begin"/>
      </w:r>
      <w:r>
        <w:rPr>
          <w:rStyle w:val="70"/>
          <w:rFonts w:hint="eastAsia" w:ascii="宋体" w:hAnsi="宋体" w:cs="宋体"/>
          <w:color w:val="auto"/>
          <w:highlight w:val="none"/>
        </w:rPr>
        <w:instrText xml:space="preserve"> </w:instrText>
      </w:r>
      <w:r>
        <w:rPr>
          <w:rFonts w:hint="eastAsia" w:ascii="宋体" w:hAnsi="宋体" w:cs="宋体"/>
          <w:color w:val="auto"/>
          <w:highlight w:val="none"/>
        </w:rPr>
        <w:instrText xml:space="preserve">HYPERLINK \l "_Toc80093003"</w:instrText>
      </w:r>
      <w:r>
        <w:rPr>
          <w:rStyle w:val="70"/>
          <w:rFonts w:hint="eastAsia" w:ascii="宋体" w:hAnsi="宋体" w:cs="宋体"/>
          <w:color w:val="auto"/>
          <w:highlight w:val="none"/>
        </w:rPr>
        <w:instrText xml:space="preserve"> </w:instrText>
      </w:r>
      <w:r>
        <w:rPr>
          <w:rFonts w:hint="eastAsia" w:ascii="宋体" w:hAnsi="宋体" w:cs="宋体"/>
          <w:color w:val="auto"/>
          <w:highlight w:val="none"/>
        </w:rPr>
        <w:fldChar w:fldCharType="separate"/>
      </w:r>
      <w:r>
        <w:rPr>
          <w:rStyle w:val="70"/>
          <w:rFonts w:hint="eastAsia" w:ascii="宋体" w:hAnsi="宋体" w:cs="宋体"/>
          <w:color w:val="auto"/>
          <w:highlight w:val="none"/>
        </w:rPr>
        <w:t>第四章  评标方法及评分标准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_Toc80093003 \h </w:instrText>
      </w:r>
      <w:r>
        <w:rPr>
          <w:rFonts w:hint="eastAsia" w:ascii="宋体" w:hAnsi="宋体" w:cs="宋体"/>
          <w:color w:val="auto"/>
          <w:highlight w:val="none"/>
        </w:rPr>
        <w:fldChar w:fldCharType="separate"/>
      </w:r>
      <w:r>
        <w:rPr>
          <w:rFonts w:hint="eastAsia" w:ascii="宋体" w:hAnsi="宋体" w:cs="宋体"/>
          <w:color w:val="auto"/>
          <w:highlight w:val="none"/>
        </w:rPr>
        <w:t>41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59"/>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"_Toc80093004" </w:instrText>
      </w:r>
      <w:r>
        <w:rPr>
          <w:color w:val="auto"/>
          <w:highlight w:val="none"/>
        </w:rPr>
        <w:fldChar w:fldCharType="separate"/>
      </w:r>
      <w:r>
        <w:rPr>
          <w:rStyle w:val="70"/>
          <w:rFonts w:hint="eastAsia" w:ascii="宋体" w:hAnsi="宋体" w:cs="宋体"/>
          <w:color w:val="auto"/>
          <w:highlight w:val="none"/>
        </w:rPr>
        <w:t>第一节 评标方法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_Toc80093004 \h </w:instrText>
      </w:r>
      <w:r>
        <w:rPr>
          <w:rFonts w:hint="eastAsia" w:ascii="宋体" w:hAnsi="宋体" w:cs="宋体"/>
          <w:color w:val="auto"/>
          <w:highlight w:val="none"/>
        </w:rPr>
        <w:fldChar w:fldCharType="separate"/>
      </w:r>
      <w:r>
        <w:rPr>
          <w:rFonts w:hint="eastAsia" w:ascii="宋体" w:hAnsi="宋体" w:cs="宋体"/>
          <w:color w:val="auto"/>
          <w:highlight w:val="none"/>
        </w:rPr>
        <w:t>41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59"/>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"_Toc80093005" </w:instrText>
      </w:r>
      <w:r>
        <w:rPr>
          <w:color w:val="auto"/>
          <w:highlight w:val="none"/>
        </w:rPr>
        <w:fldChar w:fldCharType="separate"/>
      </w:r>
      <w:r>
        <w:rPr>
          <w:rStyle w:val="70"/>
          <w:rFonts w:hint="eastAsia" w:ascii="宋体" w:hAnsi="宋体" w:cs="宋体"/>
          <w:color w:val="auto"/>
          <w:highlight w:val="none"/>
        </w:rPr>
        <w:t>第二节 评标程序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_Toc80093005 \h </w:instrText>
      </w:r>
      <w:r>
        <w:rPr>
          <w:rFonts w:hint="eastAsia" w:ascii="宋体" w:hAnsi="宋体" w:cs="宋体"/>
          <w:color w:val="auto"/>
          <w:highlight w:val="none"/>
        </w:rPr>
        <w:fldChar w:fldCharType="separate"/>
      </w:r>
      <w:r>
        <w:rPr>
          <w:rFonts w:hint="eastAsia" w:ascii="宋体" w:hAnsi="宋体" w:cs="宋体"/>
          <w:color w:val="auto"/>
          <w:highlight w:val="none"/>
        </w:rPr>
        <w:t>41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59"/>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"_Toc80093006" </w:instrText>
      </w:r>
      <w:r>
        <w:rPr>
          <w:color w:val="auto"/>
          <w:highlight w:val="none"/>
        </w:rPr>
        <w:fldChar w:fldCharType="separate"/>
      </w:r>
      <w:r>
        <w:rPr>
          <w:rStyle w:val="70"/>
          <w:rFonts w:hint="eastAsia" w:ascii="宋体" w:hAnsi="宋体" w:cs="宋体"/>
          <w:color w:val="auto"/>
          <w:highlight w:val="none"/>
        </w:rPr>
        <w:t>第三节 评分标准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_Toc80093006 \h </w:instrText>
      </w:r>
      <w:r>
        <w:rPr>
          <w:rFonts w:hint="eastAsia" w:ascii="宋体" w:hAnsi="宋体" w:cs="宋体"/>
          <w:color w:val="auto"/>
          <w:highlight w:val="none"/>
        </w:rPr>
        <w:fldChar w:fldCharType="separate"/>
      </w:r>
      <w:r>
        <w:rPr>
          <w:rFonts w:hint="eastAsia" w:ascii="宋体" w:hAnsi="宋体" w:cs="宋体"/>
          <w:color w:val="auto"/>
          <w:highlight w:val="none"/>
        </w:rPr>
        <w:t>43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59"/>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"_Toc80093007" </w:instrText>
      </w:r>
      <w:r>
        <w:rPr>
          <w:color w:val="auto"/>
          <w:highlight w:val="none"/>
        </w:rPr>
        <w:fldChar w:fldCharType="separate"/>
      </w:r>
      <w:r>
        <w:rPr>
          <w:rStyle w:val="70"/>
          <w:rFonts w:hint="eastAsia" w:ascii="宋体" w:hAnsi="宋体" w:cs="宋体"/>
          <w:color w:val="auto"/>
          <w:highlight w:val="none"/>
        </w:rPr>
        <w:t>第四节 中标候选人推荐原则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_Toc80093007 \h </w:instrText>
      </w:r>
      <w:r>
        <w:rPr>
          <w:rFonts w:hint="eastAsia" w:ascii="宋体" w:hAnsi="宋体" w:cs="宋体"/>
          <w:color w:val="auto"/>
          <w:highlight w:val="none"/>
        </w:rPr>
        <w:fldChar w:fldCharType="separate"/>
      </w:r>
      <w:r>
        <w:rPr>
          <w:rFonts w:hint="eastAsia" w:ascii="宋体" w:hAnsi="宋体" w:cs="宋体"/>
          <w:color w:val="auto"/>
          <w:highlight w:val="none"/>
        </w:rPr>
        <w:t>48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59"/>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"_Toc80093008" </w:instrText>
      </w:r>
      <w:r>
        <w:rPr>
          <w:color w:val="auto"/>
          <w:highlight w:val="none"/>
        </w:rPr>
        <w:fldChar w:fldCharType="separate"/>
      </w:r>
      <w:r>
        <w:rPr>
          <w:rStyle w:val="70"/>
          <w:rFonts w:hint="eastAsia" w:ascii="宋体" w:hAnsi="宋体" w:cs="宋体"/>
          <w:color w:val="auto"/>
          <w:highlight w:val="none"/>
        </w:rPr>
        <w:t>第五节 评标报告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_Toc80093008 \h </w:instrText>
      </w:r>
      <w:r>
        <w:rPr>
          <w:rFonts w:hint="eastAsia" w:ascii="宋体" w:hAnsi="宋体" w:cs="宋体"/>
          <w:color w:val="auto"/>
          <w:highlight w:val="none"/>
        </w:rPr>
        <w:fldChar w:fldCharType="separate"/>
      </w:r>
      <w:r>
        <w:rPr>
          <w:rFonts w:hint="eastAsia" w:ascii="宋体" w:hAnsi="宋体" w:cs="宋体"/>
          <w:color w:val="auto"/>
          <w:highlight w:val="none"/>
        </w:rPr>
        <w:t>48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55"/>
        <w:tabs>
          <w:tab w:val="right" w:leader="dot" w:pos="9628"/>
        </w:tabs>
        <w:spacing w:before="0" w:after="0"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"_Toc80093009" </w:instrText>
      </w:r>
      <w:r>
        <w:rPr>
          <w:color w:val="auto"/>
          <w:highlight w:val="none"/>
        </w:rPr>
        <w:fldChar w:fldCharType="separate"/>
      </w:r>
      <w:r>
        <w:rPr>
          <w:rStyle w:val="70"/>
          <w:rFonts w:hint="eastAsia" w:ascii="宋体" w:hAnsi="宋体" w:cs="宋体"/>
          <w:color w:val="auto"/>
          <w:highlight w:val="none"/>
        </w:rPr>
        <w:t>第五章 拟签订的合同文本</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_Toc80093009 \h </w:instrText>
      </w:r>
      <w:r>
        <w:rPr>
          <w:rFonts w:hint="eastAsia" w:ascii="宋体" w:hAnsi="宋体" w:cs="宋体"/>
          <w:color w:val="auto"/>
          <w:highlight w:val="none"/>
        </w:rPr>
        <w:fldChar w:fldCharType="separate"/>
      </w:r>
      <w:r>
        <w:rPr>
          <w:rFonts w:hint="eastAsia" w:ascii="宋体" w:hAnsi="宋体" w:cs="宋体"/>
          <w:color w:val="auto"/>
          <w:highlight w:val="none"/>
        </w:rPr>
        <w:t>49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55"/>
        <w:tabs>
          <w:tab w:val="right" w:leader="dot" w:pos="9628"/>
        </w:tabs>
        <w:spacing w:before="0" w:after="0"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"_Toc80093010" </w:instrText>
      </w:r>
      <w:r>
        <w:rPr>
          <w:color w:val="auto"/>
          <w:highlight w:val="none"/>
        </w:rPr>
        <w:fldChar w:fldCharType="separate"/>
      </w:r>
      <w:r>
        <w:rPr>
          <w:rStyle w:val="70"/>
          <w:rFonts w:hint="eastAsia" w:ascii="宋体" w:hAnsi="宋体" w:cs="宋体"/>
          <w:color w:val="auto"/>
          <w:highlight w:val="none"/>
        </w:rPr>
        <w:t>第六章 投标文件格式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_Toc80093010 \h </w:instrText>
      </w:r>
      <w:r>
        <w:rPr>
          <w:rFonts w:hint="eastAsia" w:ascii="宋体" w:hAnsi="宋体" w:cs="宋体"/>
          <w:color w:val="auto"/>
          <w:highlight w:val="none"/>
        </w:rPr>
        <w:fldChar w:fldCharType="separate"/>
      </w:r>
      <w:r>
        <w:rPr>
          <w:rFonts w:hint="eastAsia" w:ascii="宋体" w:hAnsi="宋体" w:cs="宋体"/>
          <w:color w:val="auto"/>
          <w:highlight w:val="none"/>
        </w:rPr>
        <w:t>64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59"/>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"_Toc80093011" </w:instrText>
      </w:r>
      <w:r>
        <w:rPr>
          <w:color w:val="auto"/>
          <w:highlight w:val="none"/>
        </w:rPr>
        <w:fldChar w:fldCharType="separate"/>
      </w:r>
      <w:r>
        <w:rPr>
          <w:rStyle w:val="70"/>
          <w:rFonts w:hint="eastAsia" w:ascii="宋体" w:hAnsi="宋体" w:cs="宋体"/>
          <w:color w:val="auto"/>
          <w:highlight w:val="none"/>
        </w:rPr>
        <w:t>第一节 投标文件外层包装封面格式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_Toc80093011 \h </w:instrText>
      </w:r>
      <w:r>
        <w:rPr>
          <w:rFonts w:hint="eastAsia" w:ascii="宋体" w:hAnsi="宋体" w:cs="宋体"/>
          <w:color w:val="auto"/>
          <w:highlight w:val="none"/>
        </w:rPr>
        <w:fldChar w:fldCharType="separate"/>
      </w:r>
      <w:r>
        <w:rPr>
          <w:rFonts w:hint="eastAsia" w:ascii="宋体" w:hAnsi="宋体" w:cs="宋体"/>
          <w:color w:val="auto"/>
          <w:highlight w:val="none"/>
        </w:rPr>
        <w:t>65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59"/>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"_Toc80093012" </w:instrText>
      </w:r>
      <w:r>
        <w:rPr>
          <w:color w:val="auto"/>
          <w:highlight w:val="none"/>
        </w:rPr>
        <w:fldChar w:fldCharType="separate"/>
      </w:r>
      <w:r>
        <w:rPr>
          <w:rStyle w:val="70"/>
          <w:rFonts w:hint="eastAsia" w:ascii="宋体" w:hAnsi="宋体" w:cs="宋体"/>
          <w:color w:val="auto"/>
          <w:highlight w:val="none"/>
        </w:rPr>
        <w:t>第二节 资格证明文件格式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_Toc80093012 \h </w:instrText>
      </w:r>
      <w:r>
        <w:rPr>
          <w:rFonts w:hint="eastAsia" w:ascii="宋体" w:hAnsi="宋体" w:cs="宋体"/>
          <w:color w:val="auto"/>
          <w:highlight w:val="none"/>
        </w:rPr>
        <w:fldChar w:fldCharType="separate"/>
      </w:r>
      <w:r>
        <w:rPr>
          <w:rFonts w:hint="eastAsia" w:ascii="宋体" w:hAnsi="宋体" w:cs="宋体"/>
          <w:color w:val="auto"/>
          <w:highlight w:val="none"/>
        </w:rPr>
        <w:t>66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59"/>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"_Toc80093013" </w:instrText>
      </w:r>
      <w:r>
        <w:rPr>
          <w:color w:val="auto"/>
          <w:highlight w:val="none"/>
        </w:rPr>
        <w:fldChar w:fldCharType="separate"/>
      </w:r>
      <w:r>
        <w:rPr>
          <w:rStyle w:val="70"/>
          <w:rFonts w:hint="eastAsia" w:ascii="宋体" w:hAnsi="宋体" w:cs="宋体"/>
          <w:color w:val="auto"/>
          <w:highlight w:val="none"/>
        </w:rPr>
        <w:t>第三节 商务文件格式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_Toc80093013 \h </w:instrText>
      </w:r>
      <w:r>
        <w:rPr>
          <w:rFonts w:hint="eastAsia" w:ascii="宋体" w:hAnsi="宋体" w:cs="宋体"/>
          <w:color w:val="auto"/>
          <w:highlight w:val="none"/>
        </w:rPr>
        <w:fldChar w:fldCharType="separate"/>
      </w:r>
      <w:r>
        <w:rPr>
          <w:rFonts w:hint="eastAsia" w:ascii="宋体" w:hAnsi="宋体" w:cs="宋体"/>
          <w:color w:val="auto"/>
          <w:highlight w:val="none"/>
        </w:rPr>
        <w:t>76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59"/>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"_Toc80093014" </w:instrText>
      </w:r>
      <w:r>
        <w:rPr>
          <w:color w:val="auto"/>
          <w:highlight w:val="none"/>
        </w:rPr>
        <w:fldChar w:fldCharType="separate"/>
      </w:r>
      <w:r>
        <w:rPr>
          <w:rStyle w:val="70"/>
          <w:rFonts w:hint="eastAsia" w:ascii="宋体" w:hAnsi="宋体" w:cs="宋体"/>
          <w:color w:val="auto"/>
          <w:highlight w:val="none"/>
        </w:rPr>
        <w:t>第四节 技术文件格式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_Toc80093014 \h </w:instrText>
      </w:r>
      <w:r>
        <w:rPr>
          <w:rFonts w:hint="eastAsia" w:ascii="宋体" w:hAnsi="宋体" w:cs="宋体"/>
          <w:color w:val="auto"/>
          <w:highlight w:val="none"/>
        </w:rPr>
        <w:fldChar w:fldCharType="separate"/>
      </w:r>
      <w:r>
        <w:rPr>
          <w:rFonts w:hint="eastAsia" w:ascii="宋体" w:hAnsi="宋体" w:cs="宋体"/>
          <w:color w:val="auto"/>
          <w:highlight w:val="none"/>
        </w:rPr>
        <w:t>87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59"/>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"_Toc80093015" </w:instrText>
      </w:r>
      <w:r>
        <w:rPr>
          <w:color w:val="auto"/>
          <w:highlight w:val="none"/>
        </w:rPr>
        <w:fldChar w:fldCharType="separate"/>
      </w:r>
      <w:r>
        <w:rPr>
          <w:rStyle w:val="70"/>
          <w:rFonts w:hint="eastAsia" w:ascii="宋体" w:hAnsi="宋体" w:cs="宋体"/>
          <w:color w:val="auto"/>
          <w:highlight w:val="none"/>
        </w:rPr>
        <w:t>第五节 报价文件格式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_Toc80093015 \h </w:instrText>
      </w:r>
      <w:r>
        <w:rPr>
          <w:rFonts w:hint="eastAsia" w:ascii="宋体" w:hAnsi="宋体" w:cs="宋体"/>
          <w:color w:val="auto"/>
          <w:highlight w:val="none"/>
        </w:rPr>
        <w:fldChar w:fldCharType="separate"/>
      </w:r>
      <w:r>
        <w:rPr>
          <w:rFonts w:hint="eastAsia" w:ascii="宋体" w:hAnsi="宋体" w:cs="宋体"/>
          <w:color w:val="auto"/>
          <w:highlight w:val="none"/>
        </w:rPr>
        <w:t>94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59"/>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"_Toc80093016" </w:instrText>
      </w:r>
      <w:r>
        <w:rPr>
          <w:color w:val="auto"/>
          <w:highlight w:val="none"/>
        </w:rPr>
        <w:fldChar w:fldCharType="separate"/>
      </w:r>
      <w:r>
        <w:rPr>
          <w:rStyle w:val="70"/>
          <w:rFonts w:hint="eastAsia" w:ascii="宋体" w:hAnsi="宋体" w:cs="宋体"/>
          <w:color w:val="auto"/>
          <w:highlight w:val="none"/>
        </w:rPr>
        <w:t>第六节 其他文书、文件格式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_Toc80093016 \h </w:instrText>
      </w:r>
      <w:r>
        <w:rPr>
          <w:rFonts w:hint="eastAsia" w:ascii="宋体" w:hAnsi="宋体" w:cs="宋体"/>
          <w:color w:val="auto"/>
          <w:highlight w:val="none"/>
        </w:rPr>
        <w:fldChar w:fldCharType="separate"/>
      </w:r>
      <w:r>
        <w:rPr>
          <w:rFonts w:hint="eastAsia" w:ascii="宋体" w:hAnsi="宋体" w:cs="宋体"/>
          <w:color w:val="auto"/>
          <w:highlight w:val="none"/>
        </w:rPr>
        <w:t>99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55"/>
        <w:tabs>
          <w:tab w:val="right" w:leader="dot" w:pos="9628"/>
        </w:tabs>
        <w:spacing w:before="0" w:after="0"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"_Toc80093017" </w:instrText>
      </w:r>
      <w:r>
        <w:rPr>
          <w:color w:val="auto"/>
          <w:highlight w:val="none"/>
        </w:rPr>
        <w:fldChar w:fldCharType="separate"/>
      </w:r>
      <w:r>
        <w:rPr>
          <w:rStyle w:val="70"/>
          <w:rFonts w:hint="eastAsia" w:ascii="宋体" w:hAnsi="宋体" w:cs="宋体"/>
          <w:color w:val="auto"/>
          <w:highlight w:val="none"/>
        </w:rPr>
        <w:t>第七章 质疑、投诉证明材料格式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_Toc80093017 \h </w:instrText>
      </w:r>
      <w:r>
        <w:rPr>
          <w:rFonts w:hint="eastAsia" w:ascii="宋体" w:hAnsi="宋体" w:cs="宋体"/>
          <w:color w:val="auto"/>
          <w:highlight w:val="none"/>
        </w:rPr>
        <w:fldChar w:fldCharType="separate"/>
      </w:r>
      <w:r>
        <w:rPr>
          <w:rFonts w:hint="eastAsia" w:ascii="宋体" w:hAnsi="宋体" w:cs="宋体"/>
          <w:color w:val="auto"/>
          <w:highlight w:val="none"/>
        </w:rPr>
        <w:t>101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59"/>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"_Toc80093018" </w:instrText>
      </w:r>
      <w:r>
        <w:rPr>
          <w:color w:val="auto"/>
          <w:highlight w:val="none"/>
        </w:rPr>
        <w:fldChar w:fldCharType="separate"/>
      </w:r>
      <w:r>
        <w:rPr>
          <w:rStyle w:val="70"/>
          <w:rFonts w:hint="eastAsia" w:ascii="宋体" w:hAnsi="宋体" w:cs="宋体"/>
          <w:color w:val="auto"/>
          <w:highlight w:val="none"/>
        </w:rPr>
        <w:t>第一节 质疑函（格式）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_Toc80093018 \h </w:instrText>
      </w:r>
      <w:r>
        <w:rPr>
          <w:rFonts w:hint="eastAsia" w:ascii="宋体" w:hAnsi="宋体" w:cs="宋体"/>
          <w:color w:val="auto"/>
          <w:highlight w:val="none"/>
        </w:rPr>
        <w:fldChar w:fldCharType="separate"/>
      </w:r>
      <w:r>
        <w:rPr>
          <w:rFonts w:hint="eastAsia" w:ascii="宋体" w:hAnsi="宋体" w:cs="宋体"/>
          <w:color w:val="auto"/>
          <w:highlight w:val="none"/>
        </w:rPr>
        <w:t>102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59"/>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"_Toc80093019" </w:instrText>
      </w:r>
      <w:r>
        <w:rPr>
          <w:color w:val="auto"/>
          <w:highlight w:val="none"/>
        </w:rPr>
        <w:fldChar w:fldCharType="separate"/>
      </w:r>
      <w:r>
        <w:rPr>
          <w:rStyle w:val="70"/>
          <w:rFonts w:hint="eastAsia" w:ascii="宋体" w:hAnsi="宋体" w:cs="宋体"/>
          <w:color w:val="auto"/>
          <w:highlight w:val="none"/>
        </w:rPr>
        <w:t>第二节 投诉书（格式）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_Toc80093019 \h </w:instrText>
      </w:r>
      <w:r>
        <w:rPr>
          <w:rFonts w:hint="eastAsia" w:ascii="宋体" w:hAnsi="宋体" w:cs="宋体"/>
          <w:color w:val="auto"/>
          <w:highlight w:val="none"/>
        </w:rPr>
        <w:fldChar w:fldCharType="separate"/>
      </w:r>
      <w:r>
        <w:rPr>
          <w:rFonts w:hint="eastAsia" w:ascii="宋体" w:hAnsi="宋体" w:cs="宋体"/>
          <w:color w:val="auto"/>
          <w:highlight w:val="none"/>
        </w:rPr>
        <w:t>104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42"/>
        <w:spacing w:line="440" w:lineRule="exact"/>
        <w:jc w:val="center"/>
        <w:rPr>
          <w:rFonts w:hAnsi="宋体" w:cs="宋体"/>
          <w:b/>
          <w:bCs/>
          <w:color w:val="auto"/>
          <w:sz w:val="28"/>
          <w:szCs w:val="28"/>
          <w:highlight w:val="none"/>
          <w:u w:val="single"/>
        </w:rPr>
        <w:sectPr>
          <w:pgSz w:w="11906" w:h="16838"/>
          <w:pgMar w:top="1440" w:right="1080" w:bottom="1440" w:left="1080" w:header="720" w:footer="720" w:gutter="0"/>
          <w:pgNumType w:fmt="decimal"/>
          <w:cols w:space="720" w:num="1"/>
          <w:docGrid w:type="lines" w:linePitch="331" w:charSpace="0"/>
        </w:sectPr>
      </w:pPr>
    </w:p>
    <w:p>
      <w:pPr>
        <w:pStyle w:val="42"/>
        <w:spacing w:line="440" w:lineRule="exact"/>
        <w:jc w:val="center"/>
        <w:rPr>
          <w:rFonts w:hAnsi="宋体" w:cs="宋体"/>
          <w:b/>
          <w:bCs/>
          <w:color w:val="auto"/>
          <w:sz w:val="28"/>
          <w:szCs w:val="28"/>
          <w:highlight w:val="none"/>
          <w:u w:val="single"/>
        </w:rPr>
      </w:pPr>
      <w:bookmarkStart w:id="4" w:name="_Toc80092990"/>
      <w:bookmarkEnd w:id="4"/>
      <w:bookmarkStart w:id="5" w:name="_Toc532545041"/>
      <w:bookmarkEnd w:id="5"/>
      <w:r>
        <w:rPr>
          <w:rFonts w:hint="eastAsia" w:hAnsi="宋体" w:cs="宋体"/>
          <w:b/>
          <w:bCs/>
          <w:color w:val="auto"/>
          <w:sz w:val="28"/>
          <w:szCs w:val="28"/>
          <w:highlight w:val="none"/>
          <w:u w:val="single"/>
        </w:rPr>
        <w:fldChar w:fldCharType="end"/>
      </w:r>
      <w:r>
        <w:rPr>
          <w:rFonts w:hint="eastAsia" w:hAnsi="宋体" w:cs="宋体"/>
          <w:color w:val="auto"/>
          <w:highlight w:val="none"/>
        </w:rPr>
        <w:tab/>
      </w:r>
      <w:r>
        <w:rPr>
          <w:rFonts w:hint="eastAsia" w:hAnsi="宋体" w:cs="宋体"/>
          <w:b/>
          <w:color w:val="auto"/>
          <w:sz w:val="36"/>
          <w:highlight w:val="none"/>
        </w:rPr>
        <w:t>第一章  招标公告</w:t>
      </w:r>
    </w:p>
    <w:p>
      <w:pPr>
        <w:pStyle w:val="42"/>
        <w:jc w:val="center"/>
        <w:rPr>
          <w:rFonts w:hAnsi="宋体" w:cs="宋体"/>
          <w:b/>
          <w:color w:val="auto"/>
          <w:sz w:val="30"/>
          <w:szCs w:val="30"/>
          <w:highlight w:val="none"/>
        </w:rPr>
      </w:pPr>
      <w:r>
        <w:rPr>
          <w:rFonts w:hint="eastAsia" w:hAnsi="宋体" w:cs="宋体"/>
          <w:b/>
          <w:color w:val="auto"/>
          <w:sz w:val="30"/>
          <w:szCs w:val="30"/>
          <w:highlight w:val="none"/>
          <w:lang w:eastAsia="zh-CN"/>
        </w:rPr>
        <w:t>广西华进项目管理有限公司</w:t>
      </w:r>
      <w:r>
        <w:rPr>
          <w:rFonts w:hint="eastAsia" w:hAnsi="宋体" w:cs="宋体"/>
          <w:b/>
          <w:color w:val="auto"/>
          <w:sz w:val="30"/>
          <w:szCs w:val="30"/>
          <w:highlight w:val="none"/>
        </w:rPr>
        <w:t>关于</w:t>
      </w:r>
      <w:r>
        <w:rPr>
          <w:rFonts w:hint="eastAsia" w:hAnsi="宋体" w:cs="宋体"/>
          <w:b/>
          <w:bCs/>
          <w:sz w:val="30"/>
          <w:szCs w:val="30"/>
          <w:lang w:eastAsia="zh-CN"/>
        </w:rPr>
        <w:t>青秀区73套农村生活污水处理设施第三方运维服务</w:t>
      </w:r>
      <w:r>
        <w:rPr>
          <w:rFonts w:hint="eastAsia" w:hAnsi="宋体" w:cs="宋体"/>
          <w:b/>
          <w:color w:val="auto"/>
          <w:sz w:val="30"/>
          <w:szCs w:val="30"/>
          <w:highlight w:val="none"/>
        </w:rPr>
        <w:t>（项目编号：</w:t>
      </w:r>
      <w:r>
        <w:rPr>
          <w:rFonts w:hint="eastAsia" w:hAnsi="宋体" w:cs="宋体"/>
          <w:b/>
          <w:color w:val="auto"/>
          <w:sz w:val="30"/>
          <w:szCs w:val="30"/>
          <w:highlight w:val="none"/>
          <w:lang w:val="en-US" w:eastAsia="zh-CN"/>
        </w:rPr>
        <w:t>NNZC2024-G3-030263-GXHJ</w:t>
      </w:r>
      <w:r>
        <w:rPr>
          <w:rFonts w:hint="eastAsia" w:hAnsi="宋体" w:cs="宋体"/>
          <w:b/>
          <w:color w:val="auto"/>
          <w:sz w:val="30"/>
          <w:szCs w:val="30"/>
          <w:highlight w:val="none"/>
        </w:rPr>
        <w:t>）的公开招标公告</w:t>
      </w:r>
    </w:p>
    <w:p>
      <w:pPr>
        <w:pBdr>
          <w:top w:val="single" w:color="000000" w:sz="4" w:space="1"/>
          <w:left w:val="single" w:color="000000" w:sz="4" w:space="4"/>
          <w:bottom w:val="single" w:color="000000" w:sz="4" w:space="1"/>
          <w:right w:val="single" w:color="000000"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000000" w:sz="4" w:space="1"/>
          <w:left w:val="single" w:color="000000" w:sz="4" w:space="4"/>
          <w:bottom w:val="single" w:color="000000" w:sz="4" w:space="1"/>
          <w:right w:val="single" w:color="000000" w:sz="4" w:space="4"/>
        </w:pBdr>
        <w:spacing w:line="360" w:lineRule="auto"/>
        <w:ind w:firstLine="525" w:firstLineChars="250"/>
        <w:rPr>
          <w:rFonts w:ascii="宋体" w:hAnsi="宋体" w:cs="宋体"/>
          <w:color w:val="auto"/>
          <w:szCs w:val="21"/>
          <w:highlight w:val="none"/>
          <w:u w:val="single"/>
        </w:rPr>
      </w:pPr>
      <w:r>
        <w:rPr>
          <w:rFonts w:hint="eastAsia" w:ascii="宋体" w:hAnsi="宋体" w:cs="宋体"/>
          <w:color w:val="auto"/>
          <w:szCs w:val="21"/>
          <w:highlight w:val="none"/>
          <w:u w:val="single"/>
          <w:lang w:eastAsia="zh-CN"/>
        </w:rPr>
        <w:t>青秀区73套农村生活污水处理设施第三方运维服务</w:t>
      </w:r>
      <w:r>
        <w:rPr>
          <w:rFonts w:hint="eastAsia" w:ascii="宋体" w:hAnsi="宋体" w:cs="宋体"/>
          <w:color w:val="auto"/>
          <w:szCs w:val="21"/>
          <w:highlight w:val="none"/>
        </w:rPr>
        <w:t>招标项目的潜在投标人应在“广西政府采购云”平台（http://www.ccgp-guangxi.gov.cn/获取（下载）招标文件，并于</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06</w:t>
      </w:r>
      <w:r>
        <w:rPr>
          <w:rFonts w:hint="eastAsia" w:ascii="宋体" w:hAnsi="宋体" w:cs="宋体"/>
          <w:color w:val="auto"/>
          <w:szCs w:val="21"/>
          <w:highlight w:val="none"/>
          <w:u w:val="single"/>
        </w:rPr>
        <w:t>日09时30分</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pPr>
        <w:spacing w:line="360" w:lineRule="auto"/>
        <w:rPr>
          <w:rFonts w:ascii="宋体" w:hAnsi="宋体" w:cs="宋体"/>
          <w:b/>
          <w:bCs/>
          <w:color w:val="auto"/>
          <w:sz w:val="24"/>
          <w:highlight w:val="none"/>
        </w:rPr>
      </w:pPr>
      <w:bookmarkStart w:id="6" w:name="_Toc35393621"/>
      <w:bookmarkEnd w:id="6"/>
      <w:bookmarkStart w:id="7" w:name="_Toc35393790"/>
      <w:bookmarkEnd w:id="7"/>
      <w:bookmarkStart w:id="8" w:name="_Toc28359002"/>
      <w:bookmarkEnd w:id="8"/>
      <w:bookmarkStart w:id="9" w:name="_Toc28359079"/>
      <w:bookmarkEnd w:id="9"/>
      <w:bookmarkStart w:id="10" w:name="_Hlk24379207"/>
      <w:r>
        <w:rPr>
          <w:rFonts w:hint="eastAsia" w:ascii="宋体" w:hAnsi="宋体" w:cs="宋体"/>
          <w:b/>
          <w:bCs/>
          <w:color w:val="auto"/>
          <w:sz w:val="24"/>
          <w:highlight w:val="none"/>
        </w:rPr>
        <w:t>一、项目基本情况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val="en-US" w:eastAsia="zh-CN"/>
        </w:rPr>
        <w:t>NNZC2024-G3-030263-GXHJ</w:t>
      </w:r>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青秀区73套农村生活污水处理设施第三方运维服务</w:t>
      </w:r>
    </w:p>
    <w:bookmarkEnd w:id="10"/>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预算金额：547.5</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万元</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000000"/>
          <w:szCs w:val="21"/>
        </w:rPr>
        <w:t>最高限价</w:t>
      </w:r>
      <w:r>
        <w:rPr>
          <w:rFonts w:hint="eastAsia" w:ascii="宋体" w:hAnsi="宋体" w:eastAsia="宋体" w:cs="宋体"/>
          <w:color w:val="auto"/>
          <w:szCs w:val="21"/>
          <w:highlight w:val="none"/>
          <w:lang w:eastAsia="zh-CN"/>
        </w:rPr>
        <w:t>：547.5</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rPr>
        <w:t>万元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r>
        <w:rPr>
          <w:rFonts w:hint="eastAsia" w:ascii="宋体" w:hAnsi="宋体" w:cs="宋体"/>
          <w:color w:val="auto"/>
          <w:szCs w:val="21"/>
          <w:highlight w:val="none"/>
          <w:lang w:eastAsia="zh-CN"/>
        </w:rPr>
        <w:t>青秀区73套农村生活污水处理设施第三方运维服务</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项，具体内容详见公开招标采购文件。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合同履行期限：自合同签订之日起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年（如73套农村生活污水处理设施纳入改造计划，则运维合同终止）。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本项目是否接受联合体投标：</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w:t>
      </w:r>
    </w:p>
    <w:p>
      <w:pPr>
        <w:spacing w:line="360" w:lineRule="auto"/>
        <w:rPr>
          <w:rFonts w:ascii="宋体" w:hAnsi="宋体" w:cs="宋体"/>
          <w:b/>
          <w:bCs/>
          <w:color w:val="auto"/>
          <w:sz w:val="24"/>
          <w:highlight w:val="none"/>
        </w:rPr>
      </w:pPr>
      <w:bookmarkStart w:id="11" w:name="_Toc35393622"/>
      <w:bookmarkEnd w:id="11"/>
      <w:bookmarkStart w:id="12" w:name="_Toc28359080"/>
      <w:bookmarkEnd w:id="12"/>
      <w:bookmarkStart w:id="13" w:name="_Toc28359003"/>
      <w:bookmarkEnd w:id="13"/>
      <w:bookmarkStart w:id="14" w:name="_Toc35393791"/>
      <w:bookmarkEnd w:id="14"/>
      <w:r>
        <w:rPr>
          <w:rFonts w:hint="eastAsia" w:ascii="宋体" w:hAnsi="宋体" w:cs="宋体"/>
          <w:b/>
          <w:bCs/>
          <w:color w:val="auto"/>
          <w:sz w:val="24"/>
          <w:highlight w:val="none"/>
        </w:rPr>
        <w:t>二、投标人的资格要求：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keepNext w:val="0"/>
        <w:keepLines w:val="0"/>
        <w:pageBreakBefore w:val="0"/>
        <w:kinsoku/>
        <w:wordWrap/>
        <w:overflowPunct/>
        <w:topLinePunct w:val="0"/>
        <w:autoSpaceDE/>
        <w:autoSpaceDN/>
        <w:bidi w:val="0"/>
        <w:adjustRightInd/>
        <w:spacing w:line="336" w:lineRule="auto"/>
        <w:ind w:firstLine="420" w:firstLineChars="200"/>
        <w:textAlignment w:val="auto"/>
        <w:rPr>
          <w:rFonts w:hint="eastAsia" w:ascii="宋体" w:hAnsi="宋体" w:cs="宋体"/>
          <w:color w:val="auto"/>
          <w:szCs w:val="21"/>
          <w:highlight w:val="none"/>
        </w:rPr>
      </w:pPr>
      <w:bookmarkStart w:id="15" w:name="_Toc28359081"/>
      <w:bookmarkStart w:id="16" w:name="_Toc28359004"/>
      <w:r>
        <w:rPr>
          <w:rFonts w:hint="eastAsia" w:ascii="宋体" w:hAnsi="宋体" w:cs="宋体"/>
          <w:color w:val="auto"/>
          <w:szCs w:val="21"/>
          <w:highlight w:val="none"/>
        </w:rPr>
        <w:t>2.落实政府采购政策需满足的资格要求：</w:t>
      </w:r>
    </w:p>
    <w:p>
      <w:pPr>
        <w:keepNext w:val="0"/>
        <w:keepLines w:val="0"/>
        <w:pageBreakBefore w:val="0"/>
        <w:kinsoku/>
        <w:wordWrap/>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专门面向中小企业采购的项目（供应商应为中小微企业</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监狱企业</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残疾人福利性单位)</w:t>
      </w:r>
    </w:p>
    <w:p>
      <w:pPr>
        <w:keepNext w:val="0"/>
        <w:keepLines w:val="0"/>
        <w:pageBreakBefore w:val="0"/>
        <w:kinsoku/>
        <w:wordWrap/>
        <w:overflowPunct/>
        <w:topLinePunct w:val="0"/>
        <w:autoSpaceDE/>
        <w:autoSpaceDN/>
        <w:bidi w:val="0"/>
        <w:adjustRightInd/>
        <w:spacing w:line="336" w:lineRule="auto"/>
        <w:ind w:firstLine="420" w:firstLineChars="200"/>
        <w:textAlignment w:val="auto"/>
        <w:rPr>
          <w:rFonts w:ascii="宋体" w:hAnsi="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非专门面向中小企业采购的项目</w:t>
      </w:r>
    </w:p>
    <w:p>
      <w:pPr>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3.本项目的特定资格要求：无。</w:t>
      </w:r>
    </w:p>
    <w:p>
      <w:pPr>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4. 本项目的特定条件：无。</w:t>
      </w:r>
    </w:p>
    <w:p>
      <w:pPr>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bookmarkEnd w:id="15"/>
    <w:bookmarkEnd w:id="16"/>
    <w:p>
      <w:pPr>
        <w:spacing w:line="360" w:lineRule="auto"/>
        <w:rPr>
          <w:rFonts w:ascii="宋体" w:hAnsi="宋体" w:cs="宋体"/>
          <w:b/>
          <w:bCs/>
          <w:color w:val="auto"/>
          <w:sz w:val="24"/>
          <w:highlight w:val="none"/>
        </w:rPr>
      </w:pPr>
      <w:bookmarkStart w:id="17" w:name="_Toc35393623"/>
      <w:bookmarkEnd w:id="17"/>
      <w:bookmarkStart w:id="18" w:name="_Toc35393792"/>
      <w:bookmarkEnd w:id="18"/>
      <w:r>
        <w:rPr>
          <w:rFonts w:hint="eastAsia" w:ascii="宋体" w:hAnsi="宋体" w:cs="宋体"/>
          <w:b/>
          <w:bCs/>
          <w:color w:val="auto"/>
          <w:sz w:val="24"/>
          <w:highlight w:val="none"/>
        </w:rPr>
        <w:t>三、获取招标文件</w:t>
      </w:r>
    </w:p>
    <w:p>
      <w:pPr>
        <w:snapToGrid w:val="0"/>
        <w:spacing w:line="360" w:lineRule="auto"/>
        <w:ind w:firstLine="472" w:firstLineChars="225"/>
        <w:rPr>
          <w:rFonts w:ascii="宋体" w:hAnsi="宋体" w:cs="宋体"/>
          <w:color w:val="auto"/>
          <w:szCs w:val="21"/>
          <w:highlight w:val="none"/>
        </w:rPr>
      </w:pPr>
      <w:bookmarkStart w:id="19" w:name="_Toc28359005"/>
      <w:bookmarkStart w:id="20" w:name="_Toc28359082"/>
      <w:bookmarkStart w:id="21" w:name="_Toc35393793"/>
      <w:bookmarkStart w:id="22" w:name="_Toc35393624"/>
      <w:r>
        <w:rPr>
          <w:rFonts w:hint="eastAsia" w:ascii="宋体" w:hAnsi="宋体" w:cs="宋体"/>
          <w:color w:val="auto"/>
          <w:szCs w:val="21"/>
          <w:highlight w:val="none"/>
        </w:rPr>
        <w:t>时间：自公告发布之日起。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获取方式：网上下载。本项目不发放纸质文件，供应商登录广西政府采购云平台https://www.gcy.zfcg.gxzf.gov.cn/在线申请获取采购文件（进入“项目采购”应用，在获取采购文件菜单中选择项目，申请获取采购文件）  </w:t>
      </w:r>
    </w:p>
    <w:p>
      <w:pPr>
        <w:snapToGrid w:val="0"/>
        <w:spacing w:line="360" w:lineRule="auto"/>
        <w:ind w:firstLine="472" w:firstLineChars="225"/>
        <w:rPr>
          <w:rFonts w:ascii="宋体" w:hAnsi="宋体" w:cs="宋体"/>
          <w:color w:val="auto"/>
          <w:szCs w:val="21"/>
          <w:highlight w:val="none"/>
        </w:rPr>
      </w:pPr>
      <w:r>
        <w:rPr>
          <w:rFonts w:hint="eastAsia" w:ascii="宋体" w:hAnsi="宋体" w:cs="宋体"/>
          <w:color w:val="auto"/>
          <w:szCs w:val="21"/>
          <w:highlight w:val="none"/>
        </w:rPr>
        <w:t>售价：0元。</w:t>
      </w:r>
    </w:p>
    <w:bookmarkEnd w:id="19"/>
    <w:bookmarkEnd w:id="20"/>
    <w:bookmarkEnd w:id="21"/>
    <w:bookmarkEnd w:id="22"/>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pPr>
        <w:spacing w:line="360" w:lineRule="auto"/>
        <w:ind w:firstLine="420" w:firstLineChars="200"/>
        <w:rPr>
          <w:rFonts w:ascii="宋体" w:hAnsi="宋体" w:cs="宋体"/>
          <w:bCs/>
          <w:color w:val="auto"/>
          <w:szCs w:val="21"/>
          <w:highlight w:val="none"/>
        </w:rPr>
      </w:pPr>
      <w:bookmarkStart w:id="23" w:name="PO_3000001866_PM015_1"/>
      <w:bookmarkEnd w:id="23"/>
      <w:r>
        <w:rPr>
          <w:rFonts w:hint="eastAsia" w:ascii="宋体" w:hAnsi="宋体" w:cs="宋体"/>
          <w:bCs/>
          <w:color w:val="auto"/>
          <w:szCs w:val="21"/>
          <w:highlight w:val="none"/>
        </w:rPr>
        <w:t>1、提交投标文件截止时间和开标时间：</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06</w:t>
      </w:r>
      <w:r>
        <w:rPr>
          <w:rFonts w:hint="eastAsia" w:ascii="宋体" w:hAnsi="宋体" w:cs="宋体"/>
          <w:color w:val="auto"/>
          <w:szCs w:val="21"/>
          <w:highlight w:val="none"/>
          <w:u w:val="single"/>
        </w:rPr>
        <w:t>日09时30分</w:t>
      </w:r>
      <w:r>
        <w:rPr>
          <w:rFonts w:hint="eastAsia" w:ascii="宋体" w:hAnsi="宋体" w:cs="宋体"/>
          <w:bCs/>
          <w:color w:val="auto"/>
          <w:szCs w:val="21"/>
          <w:highlight w:val="none"/>
          <w:u w:val="single"/>
        </w:rPr>
        <w:t>前</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2、投标和开标地点：“广西政府采购云平台”（https://www.gcy.zfcg.gxzf.gov.cn）</w:t>
      </w:r>
    </w:p>
    <w:p>
      <w:pPr>
        <w:spacing w:line="360" w:lineRule="auto"/>
        <w:rPr>
          <w:rFonts w:ascii="宋体" w:hAnsi="宋体" w:cs="宋体"/>
          <w:b/>
          <w:bCs/>
          <w:color w:val="auto"/>
          <w:sz w:val="24"/>
          <w:highlight w:val="none"/>
        </w:rPr>
      </w:pPr>
      <w:bookmarkStart w:id="24" w:name="_Toc28359084"/>
      <w:bookmarkEnd w:id="24"/>
      <w:bookmarkStart w:id="25" w:name="_Toc35393794"/>
      <w:bookmarkEnd w:id="25"/>
      <w:bookmarkStart w:id="26" w:name="_Toc35393625"/>
      <w:bookmarkEnd w:id="26"/>
      <w:bookmarkStart w:id="27" w:name="_Toc28359007"/>
      <w:bookmarkEnd w:id="27"/>
      <w:r>
        <w:rPr>
          <w:rFonts w:hint="eastAsia" w:ascii="宋体" w:hAnsi="宋体" w:cs="宋体"/>
          <w:b/>
          <w:bCs/>
          <w:color w:val="auto"/>
          <w:sz w:val="24"/>
          <w:highlight w:val="none"/>
        </w:rPr>
        <w:t>五、公告期限</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60" w:lineRule="auto"/>
        <w:rPr>
          <w:rFonts w:ascii="宋体" w:hAnsi="宋体" w:cs="宋体"/>
          <w:b/>
          <w:bCs/>
          <w:color w:val="auto"/>
          <w:sz w:val="24"/>
          <w:highlight w:val="none"/>
        </w:rPr>
      </w:pPr>
      <w:bookmarkStart w:id="28" w:name="_Toc35393626"/>
      <w:bookmarkEnd w:id="28"/>
      <w:bookmarkStart w:id="29" w:name="_Toc35393795"/>
      <w:bookmarkEnd w:id="29"/>
      <w:r>
        <w:rPr>
          <w:rFonts w:hint="eastAsia" w:ascii="宋体" w:hAnsi="宋体" w:cs="宋体"/>
          <w:b/>
          <w:bCs/>
          <w:color w:val="auto"/>
          <w:sz w:val="24"/>
          <w:highlight w:val="none"/>
        </w:rPr>
        <w:t>六、其他补充事宜</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1.投标保证金：本项目不收取投标保证金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bookmarkStart w:id="30" w:name="_Hlk37429585"/>
      <w:bookmarkStart w:id="31" w:name="_Hlk37429595"/>
      <w:r>
        <w:rPr>
          <w:rFonts w:hint="eastAsia" w:ascii="宋体" w:hAnsi="宋体" w:eastAsia="宋体" w:cs="宋体"/>
          <w:sz w:val="21"/>
          <w:szCs w:val="21"/>
        </w:rPr>
        <w:t>2.采购意向公开链接：http://www.ccgp-guangxi.gov.cn/site/detail?parentId=66601&amp;articleId=6v2daKrN8ZRocYlRDdz93A==</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3.网上查询地址</w:t>
      </w:r>
    </w:p>
    <w:bookmarkEnd w:id="30"/>
    <w:bookmarkEnd w:id="31"/>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广西政府采购网 （http：//zfcg.gxzf.gov.cn）、全国公共资源交易平台（广西•南宁）（http：//ggzy.jgswj.gxzf.gov.cn/nnggzy/）、中国政府采购网（http：//www.ccgp.gov.cn/）</w:t>
      </w:r>
      <w:r>
        <w:rPr>
          <w:rFonts w:hint="eastAsia" w:ascii="宋体" w:hAnsi="宋体" w:cs="宋体"/>
          <w:color w:val="auto"/>
          <w:kern w:val="0"/>
          <w:szCs w:val="21"/>
          <w:highlight w:val="none"/>
          <w:lang w:eastAsia="zh-CN"/>
        </w:rPr>
        <w:t>、</w:t>
      </w:r>
      <w:r>
        <w:rPr>
          <w:rFonts w:hint="eastAsia" w:ascii="宋体" w:hAnsi="宋体"/>
        </w:rPr>
        <w:t>青秀区政府采购网www.qingxiu.gov.cn</w:t>
      </w:r>
      <w:r>
        <w:rPr>
          <w:rFonts w:hint="eastAsia" w:ascii="宋体" w:hAnsi="宋体" w:cs="宋体"/>
          <w:color w:val="auto"/>
          <w:kern w:val="0"/>
          <w:szCs w:val="21"/>
          <w:highlight w:val="none"/>
        </w:rPr>
        <w:t>。</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 本项目需要落实的政府采购政策</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（3）政府采购促进残疾人就业政策。</w:t>
      </w:r>
    </w:p>
    <w:p>
      <w:pPr>
        <w:spacing w:line="360" w:lineRule="auto"/>
        <w:ind w:firstLine="315" w:firstLineChars="15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（4）政府采购支持监狱企业发展</w:t>
      </w:r>
      <w:r>
        <w:rPr>
          <w:rFonts w:hint="eastAsia" w:ascii="宋体" w:hAnsi="宋体" w:cs="宋体"/>
          <w:color w:val="auto"/>
          <w:kern w:val="0"/>
          <w:szCs w:val="21"/>
          <w:highlight w:val="none"/>
          <w:lang w:eastAsia="zh-CN"/>
        </w:rPr>
        <w:t>。</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6.供应商</w:t>
      </w:r>
      <w:r>
        <w:rPr>
          <w:rFonts w:hint="eastAsia" w:ascii="宋体" w:hAnsi="宋体" w:cs="宋体"/>
          <w:color w:val="auto"/>
          <w:szCs w:val="21"/>
          <w:highlight w:val="none"/>
        </w:rPr>
        <w:t>竞标注意事项：</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提交方式：本项目为南宁市全流程电子化项目，通过“广西政府采购云”平台（https://www.gcy.zfcg.gxzf.gov.cn/）实行在线电子投标，供应商应先安装“政采云电子交易客户端”（请自行前往“广西政府采购云平台”平台进行下载），并按照本项目招标文件和“广西政府采购云平台”平台的要求编制、加密后在投标截止时间前通过网络上传至南宁市“政采云”平台，</w:t>
      </w:r>
      <w:r>
        <w:rPr>
          <w:rFonts w:hint="eastAsia" w:ascii="宋体" w:hAnsi="宋体" w:cs="宋体"/>
          <w:b/>
          <w:color w:val="auto"/>
          <w:szCs w:val="21"/>
          <w:highlight w:val="none"/>
        </w:rPr>
        <w:t>供应商在“</w:t>
      </w:r>
      <w:r>
        <w:rPr>
          <w:rFonts w:hint="eastAsia" w:ascii="宋体" w:hAnsi="宋体" w:cs="宋体"/>
          <w:color w:val="auto"/>
          <w:szCs w:val="21"/>
          <w:highlight w:val="none"/>
        </w:rPr>
        <w:t>广西政府采购云平台</w:t>
      </w:r>
      <w:r>
        <w:rPr>
          <w:rFonts w:hint="eastAsia" w:ascii="宋体" w:hAnsi="宋体" w:cs="宋体"/>
          <w:b/>
          <w:color w:val="auto"/>
          <w:szCs w:val="21"/>
          <w:highlight w:val="none"/>
        </w:rPr>
        <w:t>”平台提交电子版投标文件时，请填写参加远程开标活动经办人联系方式，</w:t>
      </w:r>
      <w:r>
        <w:rPr>
          <w:rFonts w:hint="eastAsia" w:ascii="宋体" w:hAnsi="宋体" w:cs="宋体"/>
          <w:color w:val="auto"/>
          <w:szCs w:val="21"/>
          <w:highlight w:val="none"/>
        </w:rPr>
        <w:t>电子投标具体操作流程详见本公告附件2。</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1）及投标文件的提交。完成CA数字证书办理预计7日左右，投标人只需办理其中一家CA数字证书及签章，建议各投标人抓紧时间办理。</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CA证书在线解密：供应商投标时，需携带制作投标文件时用来加密的有效数字证书（CA认证）登录“广西政府采购云”平台电子开标大厅现场按规定时间对加密的投标文件进行解密，未能按要求进行解密的，由此产生的后果由投标人自行承担。</w:t>
      </w:r>
    </w:p>
    <w:p>
      <w:pPr>
        <w:spacing w:line="360" w:lineRule="auto"/>
        <w:rPr>
          <w:rFonts w:ascii="宋体" w:hAnsi="宋体" w:cs="宋体"/>
          <w:b/>
          <w:bCs/>
          <w:color w:val="auto"/>
          <w:sz w:val="24"/>
          <w:highlight w:val="none"/>
        </w:rPr>
      </w:pPr>
      <w:bookmarkStart w:id="32" w:name="_Toc35393627"/>
      <w:bookmarkEnd w:id="32"/>
      <w:bookmarkStart w:id="33" w:name="_Toc28359008"/>
      <w:bookmarkEnd w:id="33"/>
      <w:bookmarkStart w:id="34" w:name="_Toc28359085"/>
      <w:bookmarkEnd w:id="34"/>
      <w:bookmarkStart w:id="35" w:name="_Toc35393796"/>
      <w:bookmarkEnd w:id="35"/>
      <w:r>
        <w:rPr>
          <w:rFonts w:hint="eastAsia" w:ascii="宋体" w:hAnsi="宋体" w:cs="宋体"/>
          <w:b/>
          <w:bCs/>
          <w:color w:val="auto"/>
          <w:sz w:val="24"/>
          <w:highlight w:val="none"/>
        </w:rPr>
        <w:t>七、对本次招标提出询问，请按以下方式联系。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1.采购人信息</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南宁市青秀生态环境局</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广西南宁市青秀区东葛路68号青秀大厦</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项目联系人：</w:t>
      </w:r>
      <w:bookmarkStart w:id="36" w:name="PO_3000001868_PM027"/>
      <w:r>
        <w:rPr>
          <w:rFonts w:hint="eastAsia" w:ascii="宋体" w:hAnsi="宋体" w:cs="宋体"/>
          <w:color w:val="auto"/>
          <w:szCs w:val="21"/>
          <w:highlight w:val="none"/>
          <w:lang w:val="en-US" w:eastAsia="zh-CN"/>
        </w:rPr>
        <w:t>黄凤湖</w:t>
      </w:r>
      <w:bookmarkEnd w:id="36"/>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0771-5826672</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2.采购代理机构信息</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广西华进项目管理有限公司</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val="en-US" w:eastAsia="zh-CN"/>
        </w:rPr>
        <w:t>南宁市青秀区金浦路26-1号东方国际商务港A座1510</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0771-5523193</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3.项目联系方式</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李工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0771-5523193</w:t>
      </w:r>
    </w:p>
    <w:p>
      <w:pPr>
        <w:rPr>
          <w:rFonts w:ascii="宋体" w:hAnsi="宋体" w:cs="宋体"/>
          <w:color w:val="auto"/>
          <w:szCs w:val="21"/>
          <w:highlight w:val="none"/>
        </w:rPr>
      </w:pPr>
    </w:p>
    <w:p>
      <w:pPr>
        <w:pStyle w:val="3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附件： </w:t>
      </w:r>
    </w:p>
    <w:p>
      <w:pPr>
        <w:pStyle w:val="3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1.CA证书申请方式及操作指南下载地址（登录</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70"/>
          <w:rFonts w:hint="eastAsia" w:ascii="宋体" w:hAnsi="宋体" w:cs="宋体"/>
          <w:color w:val="auto"/>
          <w:highlight w:val="none"/>
        </w:rPr>
        <w:t>http://nncz.nanning.gov.cn/</w:t>
      </w:r>
      <w:r>
        <w:rPr>
          <w:rStyle w:val="70"/>
          <w:rFonts w:hint="eastAsia" w:ascii="宋体" w:hAnsi="宋体" w:cs="宋体"/>
          <w:color w:val="auto"/>
          <w:highlight w:val="none"/>
        </w:rPr>
        <w:fldChar w:fldCharType="end"/>
      </w:r>
      <w:r>
        <w:rPr>
          <w:rFonts w:hint="eastAsia" w:ascii="宋体" w:hAnsi="宋体" w:cs="宋体"/>
          <w:color w:val="auto"/>
          <w:highlight w:val="none"/>
        </w:rPr>
        <w:t>（南宁市财政局官网）-业务专题-政府采购监督管理-资料下载-“广西政采云西部CA办理方式”或“广西政府采购云CA证书办理操作指南”</w:t>
      </w:r>
      <w:r>
        <w:rPr>
          <w:rFonts w:hint="eastAsia" w:ascii="宋体" w:hAnsi="宋体" w:cs="宋体"/>
          <w:color w:val="auto"/>
          <w:szCs w:val="21"/>
          <w:highlight w:val="none"/>
        </w:rPr>
        <w:t>）</w:t>
      </w:r>
    </w:p>
    <w:p>
      <w:pPr>
        <w:pStyle w:val="3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2.电子投标文件制作与投送教程（在此网址下载：</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70"/>
          <w:rFonts w:hint="eastAsia" w:ascii="宋体" w:hAnsi="宋体" w:cs="宋体"/>
          <w:color w:val="auto"/>
          <w:highlight w:val="none"/>
        </w:rPr>
        <w:t>http://nncz.nanning.gov.cn/</w:t>
      </w:r>
      <w:r>
        <w:rPr>
          <w:rStyle w:val="70"/>
          <w:rFonts w:hint="eastAsia" w:ascii="宋体" w:hAnsi="宋体" w:cs="宋体"/>
          <w:color w:val="auto"/>
          <w:highlight w:val="none"/>
        </w:rPr>
        <w:fldChar w:fldCharType="end"/>
      </w:r>
      <w:r>
        <w:rPr>
          <w:rFonts w:hint="eastAsia" w:ascii="宋体" w:hAnsi="宋体" w:cs="宋体"/>
          <w:color w:val="auto"/>
          <w:highlight w:val="none"/>
        </w:rPr>
        <w:t>（南宁市财政局官网）-业务专题-政府采购监督管理-资料下载-南宁市政府采购项目全流程电子化交易操作指南</w:t>
      </w:r>
      <w:r>
        <w:rPr>
          <w:rFonts w:hint="eastAsia" w:ascii="宋体" w:hAnsi="宋体" w:cs="宋体"/>
          <w:color w:val="auto"/>
          <w:szCs w:val="21"/>
          <w:highlight w:val="none"/>
        </w:rPr>
        <w:t>）</w:t>
      </w:r>
    </w:p>
    <w:p>
      <w:pPr>
        <w:pStyle w:val="32"/>
        <w:spacing w:line="360" w:lineRule="auto"/>
        <w:ind w:firstLine="420" w:firstLineChars="200"/>
        <w:rPr>
          <w:rFonts w:ascii="宋体" w:hAnsi="宋体" w:cs="宋体"/>
          <w:color w:val="auto"/>
          <w:szCs w:val="21"/>
          <w:highlight w:val="none"/>
        </w:rPr>
      </w:pPr>
    </w:p>
    <w:p>
      <w:pPr>
        <w:pStyle w:val="32"/>
        <w:spacing w:line="360" w:lineRule="auto"/>
        <w:ind w:firstLine="105" w:firstLineChars="5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480" w:lineRule="auto"/>
        <w:jc w:val="righ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南宁市青秀生态环境局</w:t>
      </w:r>
    </w:p>
    <w:p>
      <w:pPr>
        <w:spacing w:line="480" w:lineRule="auto"/>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采购代理机构</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广西华进项目管理有限公司</w:t>
      </w:r>
    </w:p>
    <w:p>
      <w:pPr>
        <w:snapToGrid w:val="0"/>
        <w:spacing w:line="360" w:lineRule="auto"/>
        <w:ind w:firstLine="420"/>
        <w:jc w:val="right"/>
        <w:rPr>
          <w:rFonts w:ascii="宋体" w:hAnsi="宋体" w:cs="宋体"/>
          <w:color w:val="auto"/>
          <w:sz w:val="21"/>
          <w:szCs w:val="21"/>
          <w:highlight w:val="none"/>
          <w:lang w:val="zh-CN"/>
        </w:rPr>
        <w:sectPr>
          <w:footerReference r:id="rId7" w:type="default"/>
          <w:pgSz w:w="11906" w:h="16838"/>
          <w:pgMar w:top="1440" w:right="1080" w:bottom="1440" w:left="1080" w:header="720" w:footer="720" w:gutter="0"/>
          <w:pgNumType w:fmt="decimal" w:start="1"/>
          <w:cols w:space="720" w:num="1"/>
          <w:docGrid w:type="lines" w:linePitch="331" w:charSpace="0"/>
        </w:sectPr>
      </w:pPr>
      <w:r>
        <w:rPr>
          <w:rFonts w:hint="eastAsia" w:ascii="宋体" w:hAnsi="宋体" w:cs="宋体"/>
          <w:color w:val="auto"/>
          <w:sz w:val="21"/>
          <w:szCs w:val="21"/>
          <w:highlight w:val="none"/>
          <w:lang w:val="zh-CN"/>
        </w:rPr>
        <w:t>2024年</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lang w:val="en-US" w:eastAsia="zh-CN"/>
        </w:rPr>
        <w:t>06</w:t>
      </w:r>
      <w:bookmarkStart w:id="317" w:name="_GoBack"/>
      <w:bookmarkEnd w:id="317"/>
      <w:r>
        <w:rPr>
          <w:rFonts w:hint="eastAsia" w:ascii="宋体" w:hAnsi="宋体" w:cs="宋体"/>
          <w:color w:val="auto"/>
          <w:sz w:val="21"/>
          <w:szCs w:val="21"/>
          <w:highlight w:val="none"/>
          <w:lang w:val="zh-CN"/>
        </w:rPr>
        <w:t>日</w:t>
      </w:r>
    </w:p>
    <w:p>
      <w:pPr>
        <w:pStyle w:val="42"/>
        <w:jc w:val="center"/>
        <w:outlineLvl w:val="0"/>
        <w:rPr>
          <w:rFonts w:hAnsi="宋体" w:cs="宋体"/>
          <w:b/>
          <w:color w:val="auto"/>
          <w:sz w:val="36"/>
          <w:highlight w:val="none"/>
        </w:rPr>
      </w:pPr>
      <w:bookmarkStart w:id="37" w:name="_Toc532545042"/>
      <w:bookmarkEnd w:id="37"/>
      <w:bookmarkStart w:id="38" w:name="_Toc80092991"/>
      <w:bookmarkEnd w:id="38"/>
      <w:r>
        <w:rPr>
          <w:rFonts w:hint="eastAsia" w:hAnsi="宋体" w:cs="宋体"/>
          <w:b/>
          <w:color w:val="auto"/>
          <w:sz w:val="36"/>
          <w:highlight w:val="none"/>
        </w:rPr>
        <w:t>第二章  采购需求</w:t>
      </w:r>
    </w:p>
    <w:p>
      <w:pPr>
        <w:spacing w:line="340" w:lineRule="exact"/>
        <w:rPr>
          <w:rFonts w:ascii="宋体" w:hAnsi="宋体" w:cs="宋体"/>
          <w:b/>
          <w:color w:val="auto"/>
          <w:szCs w:val="21"/>
          <w:highlight w:val="none"/>
        </w:rPr>
      </w:pPr>
    </w:p>
    <w:p>
      <w:pPr>
        <w:spacing w:line="340" w:lineRule="exact"/>
        <w:rPr>
          <w:rFonts w:ascii="宋体" w:hAnsi="宋体" w:cs="宋体"/>
          <w:b/>
          <w:color w:val="auto"/>
          <w:szCs w:val="21"/>
          <w:highlight w:val="none"/>
        </w:rPr>
      </w:pPr>
      <w:r>
        <w:rPr>
          <w:rFonts w:hint="eastAsia" w:ascii="宋体" w:hAnsi="宋体" w:cs="宋体"/>
          <w:b/>
          <w:color w:val="auto"/>
          <w:szCs w:val="21"/>
          <w:highlight w:val="none"/>
        </w:rPr>
        <w:t>说明：</w:t>
      </w:r>
    </w:p>
    <w:p>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 为落实政府采购政策需满足的要求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pPr>
        <w:spacing w:line="40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根据《关于调整网络安全专用产品安全管理有关事项的公告》（2023年1号）规定，本服务项目中伴随的货物包含《网络关键设备和网络安全专用产品目录》的网络安全专用产品，供应商在投标文件中应主动列明供货范围中属于网络安全专用产品的投标产品，并</w:t>
      </w:r>
      <w:r>
        <w:rPr>
          <w:rFonts w:hint="eastAsia" w:ascii="宋体" w:hAnsi="宋体" w:cs="宋体"/>
          <w:b/>
          <w:color w:val="auto"/>
          <w:szCs w:val="21"/>
          <w:highlight w:val="none"/>
        </w:rPr>
        <w:t>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w:t>
      </w:r>
      <w:r>
        <w:rPr>
          <w:rFonts w:hint="eastAsia" w:ascii="宋体" w:hAnsi="宋体" w:cs="宋体"/>
          <w:color w:val="auto"/>
          <w:szCs w:val="21"/>
          <w:highlight w:val="none"/>
        </w:rPr>
        <w:t>。如属于《网络关键设备和网络安全专用产品目录》中“二、网络安全专用产品”内“产品类别”中的所描述的产品，但不属于所列“产品描述”情形的，应提供相应的说明及证明材料。</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highlight w:val="none"/>
        </w:rPr>
        <w:t>如投标人投标产品存在侵犯他人的知识产权或者专利成果行为的，应承担相应法律责任。</w:t>
      </w:r>
    </w:p>
    <w:p>
      <w:pPr>
        <w:spacing w:line="360" w:lineRule="auto"/>
        <w:ind w:firstLine="424" w:firstLineChars="202"/>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4.其他未列明行业中小企业划分标准：</w:t>
      </w:r>
      <w:r>
        <w:rPr>
          <w:rFonts w:hint="eastAsia" w:ascii="宋体" w:hAnsi="宋体" w:cs="宋体"/>
          <w:color w:val="000000"/>
          <w:kern w:val="0"/>
          <w:sz w:val="21"/>
          <w:szCs w:val="21"/>
          <w:lang w:val="en-US" w:eastAsia="zh-CN"/>
        </w:rPr>
        <w:t>从业人员大于三百人</w:t>
      </w:r>
      <w:r>
        <w:rPr>
          <w:rFonts w:hint="eastAsia" w:ascii="宋体" w:hAnsi="宋体" w:cs="宋体"/>
          <w:color w:val="000000"/>
          <w:kern w:val="0"/>
          <w:sz w:val="21"/>
          <w:szCs w:val="21"/>
        </w:rPr>
        <w:t>300</w:t>
      </w:r>
      <w:r>
        <w:rPr>
          <w:rFonts w:hint="eastAsia" w:ascii="宋体" w:hAnsi="宋体" w:cs="宋体"/>
          <w:color w:val="000000"/>
          <w:kern w:val="0"/>
          <w:sz w:val="21"/>
          <w:szCs w:val="21"/>
          <w:lang w:val="en-US" w:eastAsia="zh-CN"/>
        </w:rPr>
        <w:t>为大型企业，从业人员大于100人，小于300 的为中型企业，从业人员大于10人，小于100人的为小型企业，从业人员小于</w:t>
      </w:r>
      <w:r>
        <w:rPr>
          <w:rFonts w:hint="eastAsia" w:ascii="宋体" w:hAnsi="宋体" w:cs="宋体"/>
          <w:color w:val="000000"/>
          <w:kern w:val="0"/>
          <w:sz w:val="21"/>
          <w:szCs w:val="21"/>
        </w:rPr>
        <w:t>10</w:t>
      </w:r>
      <w:r>
        <w:rPr>
          <w:rFonts w:hint="eastAsia" w:ascii="宋体" w:hAnsi="宋体" w:cs="宋体"/>
          <w:color w:val="000000"/>
          <w:kern w:val="0"/>
          <w:sz w:val="21"/>
          <w:szCs w:val="21"/>
          <w:lang w:val="en-US" w:eastAsia="zh-CN"/>
        </w:rPr>
        <w:t>人的为微型企业。</w:t>
      </w:r>
    </w:p>
    <w:p/>
    <w:p>
      <w:pPr>
        <w:spacing w:line="360" w:lineRule="auto"/>
        <w:ind w:firstLine="424" w:firstLineChars="202"/>
        <w:jc w:val="left"/>
        <w:rPr>
          <w:rFonts w:ascii="宋体" w:hAnsi="宋体" w:cs="宋体"/>
          <w:color w:val="auto"/>
          <w:highlight w:val="none"/>
        </w:rPr>
      </w:pPr>
      <w:r>
        <w:rPr>
          <w:rFonts w:hint="eastAsia" w:ascii="宋体" w:hAnsi="宋体" w:cs="宋体"/>
          <w:color w:val="auto"/>
          <w:highlight w:val="none"/>
        </w:rPr>
        <w:br w:type="page"/>
      </w:r>
    </w:p>
    <w:tbl>
      <w:tblPr>
        <w:tblStyle w:val="8"/>
        <w:tblW w:w="10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27"/>
        <w:gridCol w:w="914"/>
        <w:gridCol w:w="477"/>
        <w:gridCol w:w="532"/>
        <w:gridCol w:w="4529"/>
        <w:gridCol w:w="1023"/>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32" w:type="dxa"/>
            <w:gridSpan w:val="8"/>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4"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标段</w:t>
            </w:r>
          </w:p>
        </w:tc>
        <w:tc>
          <w:tcPr>
            <w:tcW w:w="9408" w:type="dxa"/>
            <w:gridSpan w:val="7"/>
            <w:vAlign w:val="center"/>
          </w:tcPr>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无分标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4" w:type="dxa"/>
            <w:vMerge w:val="restart"/>
            <w:vAlign w:val="center"/>
          </w:tcPr>
          <w:p>
            <w:pP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采购清单及服务参数</w:t>
            </w:r>
          </w:p>
        </w:tc>
        <w:tc>
          <w:tcPr>
            <w:tcW w:w="627" w:type="dxa"/>
            <w:tcMar>
              <w:top w:w="0" w:type="dxa"/>
              <w:left w:w="0" w:type="dxa"/>
              <w:bottom w:w="0" w:type="dxa"/>
              <w:right w:w="0" w:type="dxa"/>
            </w:tcMar>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914"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采购服务名称</w:t>
            </w:r>
          </w:p>
        </w:tc>
        <w:tc>
          <w:tcPr>
            <w:tcW w:w="477" w:type="dxa"/>
            <w:vAlign w:val="center"/>
          </w:tcPr>
          <w:p>
            <w:pPr>
              <w:pStyle w:val="42"/>
              <w:snapToGrid w:val="0"/>
              <w:jc w:val="center"/>
              <w:rPr>
                <w:rFonts w:hAnsi="宋体" w:cs="宋体"/>
                <w:b/>
                <w:bCs/>
                <w:color w:val="auto"/>
                <w:szCs w:val="21"/>
                <w:highlight w:val="none"/>
              </w:rPr>
            </w:pPr>
            <w:r>
              <w:rPr>
                <w:rFonts w:hint="eastAsia" w:hAnsi="宋体" w:cs="宋体"/>
                <w:b/>
                <w:bCs/>
                <w:color w:val="auto"/>
                <w:szCs w:val="21"/>
                <w:highlight w:val="none"/>
              </w:rPr>
              <w:t>单位</w:t>
            </w:r>
          </w:p>
        </w:tc>
        <w:tc>
          <w:tcPr>
            <w:tcW w:w="532"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4529"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服务参数</w:t>
            </w:r>
          </w:p>
        </w:tc>
        <w:tc>
          <w:tcPr>
            <w:tcW w:w="1023"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分项预算合计（元）</w:t>
            </w:r>
          </w:p>
        </w:tc>
        <w:tc>
          <w:tcPr>
            <w:tcW w:w="1306"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中小企业划分标准所属行业名称（行业名称及划分见本章附件2）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continue"/>
          </w:tcPr>
          <w:p>
            <w:pPr>
              <w:spacing w:line="440" w:lineRule="exact"/>
              <w:jc w:val="center"/>
              <w:rPr>
                <w:rFonts w:ascii="宋体" w:hAnsi="宋体" w:cs="宋体"/>
                <w:color w:val="auto"/>
                <w:szCs w:val="21"/>
                <w:highlight w:val="none"/>
              </w:rPr>
            </w:pPr>
          </w:p>
        </w:tc>
        <w:tc>
          <w:tcPr>
            <w:tcW w:w="627"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914" w:type="dxa"/>
            <w:vAlign w:val="center"/>
          </w:tcPr>
          <w:p>
            <w:pPr>
              <w:jc w:val="center"/>
              <w:rPr>
                <w:rFonts w:hint="eastAsia" w:ascii="宋体" w:hAnsi="宋体" w:eastAsia="宋体" w:cs="宋体"/>
                <w:szCs w:val="21"/>
                <w:lang w:eastAsia="zh-CN"/>
              </w:rPr>
            </w:pPr>
            <w:r>
              <w:rPr>
                <w:rFonts w:hint="eastAsia" w:ascii="宋体" w:hAnsi="宋体" w:cs="宋体"/>
                <w:szCs w:val="21"/>
                <w:lang w:eastAsia="zh-CN"/>
              </w:rPr>
              <w:t>青秀区73套农村生活污水处理设施第三方运维服务</w:t>
            </w:r>
          </w:p>
          <w:p>
            <w:pPr>
              <w:spacing w:line="440" w:lineRule="exact"/>
              <w:rPr>
                <w:rFonts w:ascii="宋体" w:hAnsi="宋体" w:cs="宋体"/>
                <w:color w:val="auto"/>
                <w:szCs w:val="21"/>
                <w:highlight w:val="none"/>
              </w:rPr>
            </w:pPr>
          </w:p>
        </w:tc>
        <w:tc>
          <w:tcPr>
            <w:tcW w:w="477" w:type="dxa"/>
            <w:vAlign w:val="center"/>
          </w:tcPr>
          <w:p>
            <w:pPr>
              <w:spacing w:line="440" w:lineRule="exact"/>
              <w:jc w:val="center"/>
              <w:rPr>
                <w:rFonts w:ascii="宋体" w:hAnsi="宋体" w:cs="宋体"/>
                <w:color w:val="auto"/>
                <w:szCs w:val="21"/>
                <w:highlight w:val="none"/>
              </w:rPr>
            </w:pPr>
          </w:p>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532" w:type="dxa"/>
            <w:vAlign w:val="center"/>
          </w:tcPr>
          <w:p>
            <w:pPr>
              <w:spacing w:line="440" w:lineRule="exact"/>
              <w:jc w:val="center"/>
              <w:rPr>
                <w:rFonts w:ascii="宋体" w:hAnsi="宋体" w:cs="宋体"/>
                <w:color w:val="auto"/>
                <w:szCs w:val="21"/>
                <w:highlight w:val="none"/>
              </w:rPr>
            </w:pPr>
          </w:p>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4529" w:type="dxa"/>
            <w:vAlign w:val="center"/>
          </w:tcPr>
          <w:p>
            <w:pPr>
              <w:keepLines w:val="0"/>
              <w:pageBreakBefore w:val="0"/>
              <w:numPr>
                <w:ilvl w:val="0"/>
                <w:numId w:val="0"/>
              </w:numPr>
              <w:kinsoku/>
              <w:wordWrap/>
              <w:overflowPunct/>
              <w:topLinePunct w:val="0"/>
              <w:bidi w:val="0"/>
              <w:snapToGrid/>
              <w:spacing w:line="360" w:lineRule="exact"/>
              <w:ind w:firstLine="422" w:firstLineChars="200"/>
              <w:jc w:val="left"/>
              <w:rPr>
                <w:rFonts w:hint="eastAsia" w:ascii="宋体" w:hAnsi="宋体" w:eastAsia="宋体" w:cs="宋体"/>
                <w:b/>
                <w:bCs/>
                <w:lang w:val="en-US" w:eastAsia="zh-CN"/>
              </w:rPr>
            </w:pPr>
            <w:r>
              <w:rPr>
                <w:rFonts w:hint="eastAsia" w:ascii="宋体" w:hAnsi="宋体" w:cs="宋体"/>
                <w:b/>
                <w:bCs/>
                <w:szCs w:val="21"/>
                <w:lang w:val="en-US" w:eastAsia="zh-CN"/>
              </w:rPr>
              <w:t>▲</w:t>
            </w:r>
            <w:r>
              <w:rPr>
                <w:rFonts w:hint="eastAsia" w:ascii="宋体" w:hAnsi="宋体" w:eastAsia="宋体" w:cs="宋体"/>
                <w:b/>
                <w:bCs/>
                <w:lang w:val="en-US" w:eastAsia="zh-CN"/>
              </w:rPr>
              <w:t>一、项目概述</w:t>
            </w:r>
          </w:p>
          <w:p>
            <w:pPr>
              <w:keepLines w:val="0"/>
              <w:pageBreakBefore w:val="0"/>
              <w:numPr>
                <w:ilvl w:val="0"/>
                <w:numId w:val="0"/>
              </w:numPr>
              <w:kinsoku/>
              <w:wordWrap/>
              <w:overflowPunct/>
              <w:topLinePunct w:val="0"/>
              <w:bidi w:val="0"/>
              <w:snapToGrid/>
              <w:spacing w:line="360" w:lineRule="exact"/>
              <w:ind w:firstLine="420" w:firstLineChars="200"/>
              <w:jc w:val="left"/>
              <w:rPr>
                <w:rFonts w:hint="eastAsia" w:ascii="Times New Roman" w:hAnsi="Times New Roman"/>
                <w:lang w:val="en-US" w:eastAsia="zh-CN"/>
              </w:rPr>
            </w:pPr>
            <w:r>
              <w:rPr>
                <w:rFonts w:hint="eastAsia" w:ascii="Times New Roman" w:hAnsi="Times New Roman"/>
                <w:lang w:val="en-US" w:eastAsia="zh-CN"/>
              </w:rPr>
              <w:t>青秀区已建设农村生活污水处理设施共73套，生活污水处理采用微动力好氧处理和无动力人工湿地两种方式，执行排放标准为广西壮族自治区地方标准《农村生活污水处理设施水污染物排放标准》（DB45/2413-2021），具体按上级生态环境部门考核标准执行。青秀区73套农村生活污水处理设施日处理污水量共2645吨，涉及4个镇和1个仙葫经济开发区共69个自然村，具体分布如（附件1）</w:t>
            </w:r>
          </w:p>
          <w:p>
            <w:pPr>
              <w:keepLines w:val="0"/>
              <w:pageBreakBefore w:val="0"/>
              <w:numPr>
                <w:ilvl w:val="0"/>
                <w:numId w:val="0"/>
              </w:numPr>
              <w:kinsoku/>
              <w:wordWrap/>
              <w:overflowPunct/>
              <w:topLinePunct w:val="0"/>
              <w:bidi w:val="0"/>
              <w:snapToGrid/>
              <w:spacing w:line="360" w:lineRule="exact"/>
              <w:ind w:firstLine="422" w:firstLineChars="200"/>
              <w:jc w:val="left"/>
              <w:rPr>
                <w:rFonts w:hint="eastAsia" w:ascii="宋体" w:hAnsi="宋体" w:eastAsia="宋体" w:cs="宋体"/>
                <w:b/>
                <w:bCs/>
                <w:lang w:val="en-US" w:eastAsia="zh-CN"/>
              </w:rPr>
            </w:pPr>
            <w:r>
              <w:rPr>
                <w:rFonts w:hint="eastAsia" w:ascii="宋体" w:hAnsi="宋体" w:cs="宋体"/>
                <w:b/>
                <w:bCs/>
                <w:szCs w:val="21"/>
                <w:lang w:val="en-US" w:eastAsia="zh-CN"/>
              </w:rPr>
              <w:t>▲</w:t>
            </w:r>
            <w:r>
              <w:rPr>
                <w:rFonts w:hint="eastAsia" w:ascii="宋体" w:hAnsi="宋体" w:eastAsia="宋体" w:cs="宋体"/>
                <w:b/>
                <w:bCs/>
                <w:lang w:val="en-US" w:eastAsia="zh-CN"/>
              </w:rPr>
              <w:t>二、运营方案</w:t>
            </w:r>
          </w:p>
          <w:p>
            <w:pPr>
              <w:pStyle w:val="139"/>
              <w:keepLines w:val="0"/>
              <w:pageBreakBefore w:val="0"/>
              <w:kinsoku/>
              <w:wordWrap/>
              <w:overflowPunct/>
              <w:topLinePunct w:val="0"/>
              <w:bidi w:val="0"/>
              <w:snapToGrid/>
              <w:spacing w:line="360" w:lineRule="exact"/>
              <w:ind w:firstLine="420" w:firstLineChars="2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一）实行农村生活污水处理设施委托第三方运行管理制度。委托中标单位进行运行管理，该企业负责上述73套农村生活污水处理设施的运行维护管理工作。由项目所在乡镇及村委共同监管，南宁市青秀生态环境局负责定期监督考评。</w:t>
            </w:r>
          </w:p>
          <w:p>
            <w:pPr>
              <w:pStyle w:val="139"/>
              <w:keepLines w:val="0"/>
              <w:pageBreakBefore w:val="0"/>
              <w:kinsoku/>
              <w:wordWrap/>
              <w:overflowPunct/>
              <w:topLinePunct w:val="0"/>
              <w:bidi w:val="0"/>
              <w:snapToGrid/>
              <w:spacing w:line="360" w:lineRule="exact"/>
              <w:ind w:firstLine="420" w:firstLineChars="2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二）南宁市青秀生态环境局通过此次招标，选择符合条件的企业进行第三方运营托管。由南宁市青秀生态环境局作为项目主体单位与其签订生活污水委托运行合同协议书，运维期3年（如73套农村生活污水处理设施纳入改造计划，则运维合同终止），运维费用由南宁市青秀生态环境局支付，合同期满后如有需要将优先考虑中标企业进行下年度运营工作。</w:t>
            </w:r>
          </w:p>
          <w:p>
            <w:pPr>
              <w:keepLines w:val="0"/>
              <w:pageBreakBefore w:val="0"/>
              <w:numPr>
                <w:ilvl w:val="0"/>
                <w:numId w:val="0"/>
              </w:numPr>
              <w:kinsoku/>
              <w:wordWrap/>
              <w:overflowPunct/>
              <w:topLinePunct w:val="0"/>
              <w:bidi w:val="0"/>
              <w:snapToGrid/>
              <w:spacing w:line="360" w:lineRule="exact"/>
              <w:ind w:firstLine="422" w:firstLineChars="200"/>
              <w:jc w:val="left"/>
              <w:rPr>
                <w:rFonts w:hint="eastAsia" w:ascii="宋体" w:hAnsi="宋体" w:eastAsia="宋体" w:cs="宋体"/>
                <w:b/>
                <w:bCs/>
                <w:lang w:val="en-US" w:eastAsia="zh-CN"/>
              </w:rPr>
            </w:pPr>
            <w:r>
              <w:rPr>
                <w:rFonts w:hint="eastAsia" w:ascii="宋体" w:hAnsi="宋体" w:cs="宋体"/>
                <w:b/>
                <w:bCs/>
                <w:szCs w:val="21"/>
                <w:lang w:val="en-US" w:eastAsia="zh-CN"/>
              </w:rPr>
              <w:t>▲</w:t>
            </w:r>
            <w:r>
              <w:rPr>
                <w:rFonts w:hint="eastAsia" w:ascii="宋体" w:hAnsi="宋体" w:eastAsia="宋体" w:cs="宋体"/>
                <w:b/>
                <w:bCs/>
                <w:lang w:val="en-US" w:eastAsia="zh-CN"/>
              </w:rPr>
              <w:t>三、运营单位工作职责：</w:t>
            </w:r>
          </w:p>
          <w:p>
            <w:pPr>
              <w:pStyle w:val="139"/>
              <w:keepLines w:val="0"/>
              <w:pageBreakBefore w:val="0"/>
              <w:kinsoku/>
              <w:wordWrap/>
              <w:overflowPunct/>
              <w:topLinePunct w:val="0"/>
              <w:bidi w:val="0"/>
              <w:snapToGrid/>
              <w:spacing w:line="360" w:lineRule="exact"/>
              <w:ind w:firstLine="420" w:firstLineChars="2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一）确保设施常年正常运转，包括进水池、格栅池、调节池、生物接触氧化池、二沉池、人工湿地池、出水池等构建物，设备房、绿化草皮、宣传牌、标志标识、安全警示牌等附属设施。并定期对设施、设备进行保养和日常维修，确保处理设施无堵塞、渗漏、开裂、破损等情况发生，保持池体及周边绿化带内无杂物堆放，做到池体整洁美观。</w:t>
            </w:r>
          </w:p>
          <w:p>
            <w:pPr>
              <w:pStyle w:val="139"/>
              <w:keepLines w:val="0"/>
              <w:pageBreakBefore w:val="0"/>
              <w:kinsoku/>
              <w:wordWrap/>
              <w:overflowPunct/>
              <w:topLinePunct w:val="0"/>
              <w:bidi w:val="0"/>
              <w:snapToGrid/>
              <w:spacing w:line="360" w:lineRule="exact"/>
              <w:ind w:firstLine="420" w:firstLineChars="2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二）对于有动力处理设施，要保证水泵及配电设施运行良好，无漏电、跳闸、异常等现象发生，产生的电费由运维单位负责缴纳。对于人工湿地处理模式，要对池内的植物定期做好修枝、整形、杂草修边、防病、补种等养护工作，池内应做到无板结、无垃圾、无杂草，保持场地的整洁美观。同时，按照污泥的处理处置规范，妥善处理污泥及恶臭，杜绝二次污染事故的发生。</w:t>
            </w:r>
          </w:p>
          <w:p>
            <w:pPr>
              <w:pStyle w:val="139"/>
              <w:keepLines w:val="0"/>
              <w:pageBreakBefore w:val="0"/>
              <w:kinsoku/>
              <w:wordWrap/>
              <w:overflowPunct/>
              <w:topLinePunct w:val="0"/>
              <w:bidi w:val="0"/>
              <w:snapToGrid/>
              <w:spacing w:line="360" w:lineRule="exact"/>
              <w:ind w:firstLine="420" w:firstLineChars="2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（三）建立并完善污水管网的巡查制度和应急处理预案，一旦发现站内污水管网及站外的格栅池堵塞，要立即安排进行疏通，保证管网的完好通畅。</w:t>
            </w:r>
          </w:p>
          <w:p>
            <w:pPr>
              <w:pStyle w:val="139"/>
              <w:keepLines w:val="0"/>
              <w:pageBreakBefore w:val="0"/>
              <w:kinsoku/>
              <w:wordWrap/>
              <w:overflowPunct/>
              <w:topLinePunct w:val="0"/>
              <w:bidi w:val="0"/>
              <w:snapToGrid/>
              <w:spacing w:line="360" w:lineRule="exact"/>
              <w:ind w:firstLine="420" w:firstLineChars="2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（四）承担设施设备运行维护管理安全生产责任，严格操作规程，加强对操作人员的安全生产教育，定期检查设施的运行维护及设备运转情况，及时排除安全隐患，保证运行维护做到安全、规范、优质、高效。</w:t>
            </w:r>
          </w:p>
          <w:p>
            <w:pPr>
              <w:pStyle w:val="139"/>
              <w:keepLines w:val="0"/>
              <w:pageBreakBefore w:val="0"/>
              <w:kinsoku/>
              <w:wordWrap/>
              <w:overflowPunct/>
              <w:topLinePunct w:val="0"/>
              <w:bidi w:val="0"/>
              <w:snapToGrid/>
              <w:spacing w:line="360" w:lineRule="exact"/>
              <w:ind w:firstLine="420" w:firstLineChars="2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（五）应建立运行管理台账，内容包括设施运转情况、设备维护情况、生态养护情况和进出水水质水量情况等，运营总结每季度上报一次、设备出水水质监测数据每半年上报一次到南宁市青秀生态环境局备案。</w:t>
            </w:r>
          </w:p>
          <w:p>
            <w:pPr>
              <w:keepLines w:val="0"/>
              <w:pageBreakBefore w:val="0"/>
              <w:numPr>
                <w:ilvl w:val="0"/>
                <w:numId w:val="0"/>
              </w:numPr>
              <w:kinsoku/>
              <w:wordWrap/>
              <w:overflowPunct/>
              <w:topLinePunct w:val="0"/>
              <w:bidi w:val="0"/>
              <w:snapToGrid/>
              <w:spacing w:line="360" w:lineRule="exact"/>
              <w:ind w:firstLine="422" w:firstLineChars="200"/>
              <w:jc w:val="left"/>
              <w:rPr>
                <w:rFonts w:hint="eastAsia" w:ascii="宋体" w:hAnsi="宋体" w:eastAsia="宋体" w:cs="宋体"/>
                <w:b/>
                <w:bCs/>
                <w:lang w:val="en-US" w:eastAsia="zh-CN"/>
              </w:rPr>
            </w:pPr>
            <w:r>
              <w:rPr>
                <w:rFonts w:hint="eastAsia" w:ascii="宋体" w:hAnsi="宋体" w:cs="宋体"/>
                <w:b/>
                <w:bCs/>
                <w:szCs w:val="21"/>
                <w:lang w:val="en-US" w:eastAsia="zh-CN"/>
              </w:rPr>
              <w:t>▲</w:t>
            </w:r>
            <w:r>
              <w:rPr>
                <w:rFonts w:hint="eastAsia" w:ascii="宋体" w:hAnsi="宋体" w:eastAsia="宋体" w:cs="宋体"/>
                <w:b/>
                <w:bCs/>
                <w:lang w:val="en-US" w:eastAsia="zh-CN"/>
              </w:rPr>
              <w:t>四、监督和考核</w:t>
            </w:r>
          </w:p>
          <w:p>
            <w:pPr>
              <w:pStyle w:val="139"/>
              <w:keepLines w:val="0"/>
              <w:pageBreakBefore w:val="0"/>
              <w:kinsoku/>
              <w:wordWrap/>
              <w:overflowPunct/>
              <w:topLinePunct w:val="0"/>
              <w:bidi w:val="0"/>
              <w:snapToGrid/>
              <w:spacing w:line="360" w:lineRule="exact"/>
              <w:ind w:firstLine="420" w:firstLineChars="2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一）对纳入第三方运行管理的农村生活污水处理设施，南宁市青秀生态环境局会同有关项目所在镇政府每季度组织一次监督检查，并结合平时抽查，对设施的正常运转率、设备完好率、出水达标率、设施周边环境、管理制度等进行综合评估。</w:t>
            </w:r>
          </w:p>
          <w:p>
            <w:pPr>
              <w:pStyle w:val="139"/>
              <w:keepLines w:val="0"/>
              <w:pageBreakBefore w:val="0"/>
              <w:kinsoku/>
              <w:wordWrap/>
              <w:overflowPunct/>
              <w:topLinePunct w:val="0"/>
              <w:bidi w:val="0"/>
              <w:snapToGrid/>
              <w:spacing w:line="360" w:lineRule="exact"/>
              <w:ind w:firstLine="420" w:firstLineChars="2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（二）中标企业于运维期结束后第一个月10日前向南宁市青秀生态环境局报告运维期间的运营情况，包括处理水量、安全生产、污泥处理、设备管理等情况。</w:t>
            </w:r>
          </w:p>
          <w:p>
            <w:pPr>
              <w:pStyle w:val="139"/>
              <w:keepLines w:val="0"/>
              <w:pageBreakBefore w:val="0"/>
              <w:kinsoku/>
              <w:wordWrap/>
              <w:overflowPunct/>
              <w:topLinePunct w:val="0"/>
              <w:bidi w:val="0"/>
              <w:snapToGrid/>
              <w:spacing w:line="360" w:lineRule="exact"/>
              <w:ind w:firstLine="420" w:firstLineChars="2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（三）中标企业有下列情形之一的，南宁市青秀生态环境局可视情况予以终止合同：</w:t>
            </w:r>
          </w:p>
          <w:p>
            <w:pPr>
              <w:pStyle w:val="139"/>
              <w:keepLines w:val="0"/>
              <w:pageBreakBefore w:val="0"/>
              <w:kinsoku/>
              <w:wordWrap/>
              <w:overflowPunct/>
              <w:topLinePunct w:val="0"/>
              <w:bidi w:val="0"/>
              <w:snapToGrid/>
              <w:spacing w:line="360" w:lineRule="exact"/>
              <w:ind w:firstLine="420" w:firstLineChars="2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 因运营方原因，出现群众反映强烈或被媒体曝光造成重大社会影响的不良事件的；</w:t>
            </w:r>
          </w:p>
          <w:p>
            <w:pPr>
              <w:pStyle w:val="139"/>
              <w:keepLines w:val="0"/>
              <w:pageBreakBefore w:val="0"/>
              <w:kinsoku/>
              <w:wordWrap/>
              <w:overflowPunct/>
              <w:topLinePunct w:val="0"/>
              <w:bidi w:val="0"/>
              <w:snapToGrid/>
              <w:spacing w:line="360" w:lineRule="exact"/>
              <w:ind w:firstLine="420" w:firstLineChars="2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2. 因运营方原因，导致季度考核中出现10%（含）以上生活污水治理设施不能正常运行的；</w:t>
            </w:r>
          </w:p>
          <w:p>
            <w:pPr>
              <w:pStyle w:val="64"/>
              <w:ind w:firstLine="0" w:firstLineChars="0"/>
              <w:rPr>
                <w:rFonts w:hAnsi="宋体" w:cs="宋体"/>
                <w:color w:val="auto"/>
                <w:szCs w:val="21"/>
                <w:highlight w:val="none"/>
              </w:rPr>
            </w:pPr>
            <w:r>
              <w:rPr>
                <w:rFonts w:hint="eastAsia" w:ascii="Times New Roman" w:hAnsi="Times New Roman" w:eastAsia="宋体" w:cs="Times New Roman"/>
                <w:color w:val="auto"/>
                <w:kern w:val="2"/>
                <w:sz w:val="21"/>
                <w:szCs w:val="22"/>
                <w:lang w:val="en-US" w:eastAsia="zh-CN" w:bidi="ar-SA"/>
              </w:rPr>
              <w:t>3. 因运营方原因，导致设施设备严重损坏或失效需要大修的。</w:t>
            </w:r>
          </w:p>
        </w:tc>
        <w:tc>
          <w:tcPr>
            <w:tcW w:w="1023" w:type="dxa"/>
            <w:vAlign w:val="center"/>
          </w:tcPr>
          <w:p>
            <w:pPr>
              <w:spacing w:line="440" w:lineRule="exact"/>
              <w:ind w:right="19" w:rightChars="9"/>
              <w:jc w:val="center"/>
              <w:rPr>
                <w:rFonts w:ascii="宋体" w:hAnsi="宋体" w:cs="宋体"/>
                <w:color w:val="auto"/>
                <w:szCs w:val="21"/>
                <w:highlight w:val="none"/>
              </w:rPr>
            </w:pPr>
            <w:r>
              <w:rPr>
                <w:rFonts w:hint="eastAsia" w:ascii="宋体" w:hAnsi="宋体" w:cs="宋体"/>
                <w:color w:val="auto"/>
                <w:szCs w:val="21"/>
                <w:highlight w:val="none"/>
                <w:lang w:val="en-US" w:eastAsia="zh-CN"/>
              </w:rPr>
              <w:t>5475000</w:t>
            </w:r>
            <w:r>
              <w:rPr>
                <w:rFonts w:hint="eastAsia" w:ascii="宋体" w:hAnsi="宋体" w:cs="宋体"/>
                <w:color w:val="auto"/>
                <w:szCs w:val="21"/>
                <w:highlight w:val="none"/>
              </w:rPr>
              <w:t>.00</w:t>
            </w:r>
          </w:p>
        </w:tc>
        <w:tc>
          <w:tcPr>
            <w:tcW w:w="1306" w:type="dxa"/>
            <w:vAlign w:val="center"/>
          </w:tcPr>
          <w:p>
            <w:pPr>
              <w:spacing w:line="440" w:lineRule="exact"/>
              <w:ind w:right="19" w:rightChars="9"/>
              <w:jc w:val="center"/>
              <w:rPr>
                <w:rFonts w:ascii="宋体" w:hAnsi="宋体" w:cs="宋体"/>
                <w:color w:val="auto"/>
                <w:szCs w:val="21"/>
                <w:highlight w:val="none"/>
              </w:rPr>
            </w:pPr>
            <w:r>
              <w:rPr>
                <w:rFonts w:hint="eastAsia" w:ascii="宋体" w:hAnsi="宋体" w:cs="宋体"/>
                <w:color w:val="auto"/>
                <w:highlight w:val="non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24" w:type="dxa"/>
            <w:vAlign w:val="center"/>
          </w:tcPr>
          <w:p>
            <w:pPr>
              <w:spacing w:line="440" w:lineRule="exact"/>
              <w:jc w:val="center"/>
              <w:rPr>
                <w:rFonts w:ascii="宋体" w:hAnsi="宋体" w:cs="宋体"/>
                <w:b/>
                <w:bCs/>
                <w:color w:val="auto"/>
                <w:szCs w:val="21"/>
                <w:highlight w:val="none"/>
              </w:rPr>
            </w:pPr>
          </w:p>
          <w:p>
            <w:pPr>
              <w:spacing w:line="440" w:lineRule="exact"/>
              <w:jc w:val="center"/>
              <w:rPr>
                <w:rFonts w:ascii="宋体" w:hAnsi="宋体" w:cs="宋体"/>
                <w:b/>
                <w:bCs/>
                <w:color w:val="auto"/>
                <w:szCs w:val="21"/>
                <w:highlight w:val="none"/>
              </w:rPr>
            </w:pPr>
          </w:p>
          <w:p>
            <w:pP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商务条款</w:t>
            </w:r>
          </w:p>
        </w:tc>
        <w:tc>
          <w:tcPr>
            <w:tcW w:w="9408" w:type="dxa"/>
            <w:gridSpan w:val="7"/>
          </w:tcPr>
          <w:p>
            <w:pPr>
              <w:keepNext w:val="0"/>
              <w:keepLines w:val="0"/>
              <w:pageBreakBefore w:val="0"/>
              <w:widowControl/>
              <w:shd w:val="clear" w:color="auto" w:fill="FFFFFF"/>
              <w:kinsoku/>
              <w:wordWrap/>
              <w:overflowPunct/>
              <w:topLinePunct w:val="0"/>
              <w:autoSpaceDE/>
              <w:autoSpaceDN/>
              <w:bidi w:val="0"/>
              <w:adjustRightInd/>
              <w:snapToGrid/>
              <w:spacing w:line="360" w:lineRule="exact"/>
              <w:textAlignment w:val="auto"/>
              <w:rPr>
                <w:rFonts w:ascii="Times New Roman" w:hAnsi="Times New Roman"/>
              </w:rPr>
            </w:pPr>
            <w:r>
              <w:rPr>
                <w:rFonts w:hint="eastAsia" w:ascii="宋体" w:hAnsi="宋体" w:cs="宋体"/>
                <w:b/>
                <w:bCs/>
                <w:szCs w:val="21"/>
                <w:lang w:val="en-US" w:eastAsia="zh-CN"/>
              </w:rPr>
              <w:t>▲</w:t>
            </w:r>
            <w:r>
              <w:rPr>
                <w:rFonts w:hint="eastAsia" w:ascii="Times New Roman" w:hAnsi="Times New Roman"/>
              </w:rPr>
              <w:t>一、合同签订期：自成交通知书发出之日起 5 个工作日内；</w:t>
            </w:r>
          </w:p>
          <w:p>
            <w:pPr>
              <w:keepNext w:val="0"/>
              <w:keepLines w:val="0"/>
              <w:pageBreakBefore w:val="0"/>
              <w:widowControl/>
              <w:shd w:val="clear" w:color="auto" w:fill="FFFFFF"/>
              <w:kinsoku/>
              <w:wordWrap/>
              <w:overflowPunct/>
              <w:topLinePunct w:val="0"/>
              <w:autoSpaceDE/>
              <w:autoSpaceDN/>
              <w:bidi w:val="0"/>
              <w:adjustRightInd/>
              <w:snapToGrid/>
              <w:spacing w:line="360" w:lineRule="exact"/>
              <w:textAlignment w:val="auto"/>
              <w:rPr>
                <w:rFonts w:hint="eastAsia" w:ascii="Times New Roman" w:hAnsi="Times New Roman"/>
              </w:rPr>
            </w:pPr>
            <w:r>
              <w:rPr>
                <w:rFonts w:hint="eastAsia" w:ascii="宋体" w:hAnsi="宋体" w:cs="宋体"/>
                <w:b/>
                <w:bCs/>
                <w:szCs w:val="21"/>
                <w:lang w:val="en-US" w:eastAsia="zh-CN"/>
              </w:rPr>
              <w:t>▲</w:t>
            </w:r>
            <w:r>
              <w:rPr>
                <w:rFonts w:hint="eastAsia" w:ascii="Times New Roman" w:hAnsi="Times New Roman"/>
              </w:rPr>
              <w:t>二、服务时间：自合同签订之日起</w:t>
            </w:r>
            <w:r>
              <w:rPr>
                <w:rFonts w:hint="eastAsia" w:ascii="Times New Roman" w:hAnsi="Times New Roman"/>
                <w:lang w:val="en-US" w:eastAsia="zh-CN"/>
              </w:rPr>
              <w:t>3</w:t>
            </w:r>
            <w:r>
              <w:rPr>
                <w:rFonts w:hint="eastAsia" w:ascii="Times New Roman" w:hAnsi="Times New Roman"/>
              </w:rPr>
              <w:t>年（如73套农村生活污水处理设施纳入改造计划，则运维合同终止）；</w:t>
            </w:r>
          </w:p>
          <w:p>
            <w:pPr>
              <w:keepNext w:val="0"/>
              <w:keepLines w:val="0"/>
              <w:pageBreakBefore w:val="0"/>
              <w:widowControl/>
              <w:shd w:val="clear" w:color="auto" w:fill="FFFFFF"/>
              <w:kinsoku/>
              <w:wordWrap/>
              <w:overflowPunct/>
              <w:topLinePunct w:val="0"/>
              <w:autoSpaceDE/>
              <w:autoSpaceDN/>
              <w:bidi w:val="0"/>
              <w:adjustRightInd/>
              <w:snapToGrid/>
              <w:spacing w:line="360" w:lineRule="exact"/>
              <w:textAlignment w:val="auto"/>
              <w:rPr>
                <w:rFonts w:hint="eastAsia" w:ascii="Times New Roman" w:hAnsi="Times New Roman"/>
              </w:rPr>
            </w:pPr>
            <w:r>
              <w:rPr>
                <w:rFonts w:hint="eastAsia" w:ascii="宋体" w:hAnsi="宋体" w:cs="宋体"/>
                <w:b/>
                <w:bCs/>
                <w:szCs w:val="21"/>
                <w:lang w:val="en-US" w:eastAsia="zh-CN"/>
              </w:rPr>
              <w:t>▲</w:t>
            </w:r>
            <w:r>
              <w:rPr>
                <w:rFonts w:hint="eastAsia" w:ascii="Times New Roman" w:hAnsi="Times New Roman"/>
              </w:rPr>
              <w:t>三、服务地点：南宁市青秀区刘圩镇、南阳镇、长塘镇、伶俐镇</w:t>
            </w:r>
            <w:r>
              <w:rPr>
                <w:rFonts w:hint="eastAsia" w:ascii="Times New Roman" w:hAnsi="Times New Roman"/>
                <w:lang w:eastAsia="zh-CN"/>
              </w:rPr>
              <w:t>、</w:t>
            </w:r>
            <w:r>
              <w:rPr>
                <w:rFonts w:hint="eastAsia" w:ascii="Times New Roman" w:hAnsi="Times New Roman"/>
                <w:lang w:val="en-US" w:eastAsia="zh-CN"/>
              </w:rPr>
              <w:t>仙葫经济开发区</w:t>
            </w:r>
            <w:r>
              <w:rPr>
                <w:rFonts w:hint="eastAsia" w:ascii="Times New Roman" w:hAnsi="Times New Roma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Times New Roman" w:hAnsi="Times New Roman"/>
              </w:rPr>
            </w:pPr>
            <w:r>
              <w:rPr>
                <w:rFonts w:hint="eastAsia" w:ascii="宋体" w:hAnsi="宋体" w:cs="宋体"/>
                <w:b/>
                <w:bCs/>
                <w:szCs w:val="21"/>
                <w:lang w:val="en-US" w:eastAsia="zh-CN"/>
              </w:rPr>
              <w:t>▲</w:t>
            </w:r>
            <w:r>
              <w:rPr>
                <w:rFonts w:hint="eastAsia" w:ascii="Times New Roman" w:hAnsi="Times New Roman"/>
              </w:rPr>
              <w:t>四、服务质量要求：达到</w:t>
            </w:r>
            <w:r>
              <w:rPr>
                <w:rFonts w:hint="eastAsia" w:ascii="Times New Roman" w:hAnsi="Times New Roman"/>
                <w:lang w:val="en-US" w:eastAsia="zh-CN"/>
              </w:rPr>
              <w:t>自治区</w:t>
            </w:r>
            <w:r>
              <w:rPr>
                <w:rFonts w:hint="eastAsia" w:ascii="Times New Roman" w:hAnsi="Times New Roman"/>
              </w:rPr>
              <w:t xml:space="preserve">现行的相关标准和要求； </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Times New Roman" w:hAnsi="Times New Roman"/>
                <w:lang w:val="en-US" w:eastAsia="zh-CN"/>
              </w:rPr>
            </w:pPr>
            <w:r>
              <w:rPr>
                <w:rFonts w:hint="eastAsia" w:ascii="宋体" w:hAnsi="宋体" w:cs="宋体"/>
                <w:b/>
                <w:bCs/>
                <w:szCs w:val="21"/>
                <w:lang w:val="en-US" w:eastAsia="zh-CN"/>
              </w:rPr>
              <w:t>▲</w:t>
            </w:r>
            <w:r>
              <w:rPr>
                <w:rFonts w:hint="eastAsia" w:ascii="Times New Roman" w:hAnsi="Times New Roman"/>
              </w:rPr>
              <w:t>五、资金拨付形式：</w:t>
            </w:r>
            <w:r>
              <w:rPr>
                <w:rFonts w:hint="eastAsia" w:ascii="Times New Roman" w:hAnsi="Times New Roman"/>
                <w:lang w:val="en-US" w:eastAsia="zh-CN"/>
              </w:rPr>
              <w:t>本次托管污水处理装置的运维费预付款30%，剩余费用按季度分次拨付。第三方运行管理企业在每季度最后一个月月底前将本季度使用资金申请材料报南宁市青秀生态环境局，申请材料包括：申请运维费用报告、生活污水处理设施运行费用清单、设施运行率报表、设施电费票据凭证及发票凭证、运营总结等，并每半年提供一次设备出水水质监测数据。由南宁市青秀生态环境局根据日常监督检查、监测及综合考评情况及时进行审核，在下季度第一个月前10个工</w:t>
            </w:r>
            <w:r>
              <w:rPr>
                <w:rFonts w:hint="eastAsia" w:ascii="Times New Roman" w:hAnsi="Times New Roman"/>
                <w:color w:val="auto"/>
                <w:lang w:val="en-US" w:eastAsia="zh-CN"/>
              </w:rPr>
              <w:t>作日内将资金拨付给第三方运行管理单位。当季应拨付的第三方运维费用=根据运维总价合同计算实际月运维费用×考核对应的拨款比例（中标后签订考核补充协议，明确考核要求）。</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Times New Roman" w:hAnsi="Times New Roman"/>
              </w:rPr>
            </w:pPr>
            <w:r>
              <w:rPr>
                <w:rFonts w:hint="eastAsia" w:ascii="宋体" w:hAnsi="宋体" w:cs="宋体"/>
                <w:b/>
                <w:bCs/>
                <w:szCs w:val="21"/>
                <w:lang w:val="en-US" w:eastAsia="zh-CN"/>
              </w:rPr>
              <w:t>▲</w:t>
            </w:r>
            <w:r>
              <w:rPr>
                <w:rFonts w:hint="eastAsia" w:ascii="Times New Roman" w:hAnsi="Times New Roman"/>
              </w:rPr>
              <w:t>六、服务要求：</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Times New Roman" w:hAnsi="Times New Roman"/>
              </w:rPr>
            </w:pPr>
            <w:r>
              <w:rPr>
                <w:rFonts w:hint="eastAsia" w:ascii="Times New Roman" w:hAnsi="Times New Roman"/>
              </w:rPr>
              <w:t>（</w:t>
            </w:r>
            <w:r>
              <w:rPr>
                <w:rFonts w:hint="eastAsia" w:ascii="Times New Roman" w:hAnsi="Times New Roman"/>
                <w:lang w:val="en-US" w:eastAsia="zh-CN"/>
              </w:rPr>
              <w:t>一</w:t>
            </w:r>
            <w:r>
              <w:rPr>
                <w:rFonts w:hint="eastAsia" w:ascii="Times New Roman" w:hAnsi="Times New Roman"/>
              </w:rPr>
              <w:t>）处理问题响应时间：接到采购人处理问题通知后2小时内到达采购人指定现场。</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Times New Roman" w:hAnsi="Times New Roman"/>
              </w:rPr>
            </w:pPr>
            <w:r>
              <w:rPr>
                <w:rFonts w:hint="eastAsia" w:ascii="Times New Roman" w:hAnsi="Times New Roman"/>
              </w:rPr>
              <w:t>（</w:t>
            </w:r>
            <w:r>
              <w:rPr>
                <w:rFonts w:hint="eastAsia" w:ascii="Times New Roman" w:hAnsi="Times New Roman"/>
                <w:lang w:val="en-US" w:eastAsia="zh-CN"/>
              </w:rPr>
              <w:t>二</w:t>
            </w:r>
            <w:r>
              <w:rPr>
                <w:rFonts w:hint="eastAsia" w:ascii="Times New Roman" w:hAnsi="Times New Roman"/>
              </w:rPr>
              <w:t>）项目负责人需具有环保或给排水专业中级或以上职称；项目运维团队中应有不少于3名本科学历以上的工程技术人员，并提供毕业证书、技术职称证书及近半年内连续3个月依法缴纳社保费的缴费凭证</w:t>
            </w:r>
            <w:r>
              <w:rPr>
                <w:rFonts w:hint="eastAsia"/>
                <w:lang w:val="en-US" w:eastAsia="zh-CN"/>
              </w:rPr>
              <w:t>或劳动合同</w:t>
            </w:r>
            <w:r>
              <w:rPr>
                <w:rFonts w:hint="eastAsia" w:ascii="Times New Roman" w:hAnsi="Times New Roman"/>
              </w:rPr>
              <w:t>复印件。</w:t>
            </w:r>
          </w:p>
          <w:p>
            <w:pPr>
              <w:pStyle w:val="5"/>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三）投标方须根据招标要求拟定《青秀区73套农村生活污水设施运维方案》，承诺以该方案实施运维工作，但具体运维要求以双方协商最终签订合同为准。《青秀区73套农村生活污水设施运维方案》须有各项运维工作的内容、实施办法、达到的要求和工作周期等事项。</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Times New Roman" w:hAnsi="Times New Roman"/>
              </w:rPr>
            </w:pPr>
            <w:r>
              <w:rPr>
                <w:rFonts w:hint="eastAsia" w:ascii="宋体" w:hAnsi="宋体" w:cs="宋体"/>
                <w:b/>
                <w:bCs/>
                <w:szCs w:val="21"/>
                <w:lang w:val="en-US" w:eastAsia="zh-CN"/>
              </w:rPr>
              <w:t>▲</w:t>
            </w:r>
            <w:r>
              <w:rPr>
                <w:rFonts w:hint="eastAsia" w:ascii="Times New Roman" w:hAnsi="Times New Roman"/>
              </w:rPr>
              <w:t>七、其他要求：</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Times New Roman" w:hAnsi="Times New Roman"/>
              </w:rPr>
            </w:pPr>
            <w:r>
              <w:rPr>
                <w:rFonts w:hint="eastAsia" w:ascii="Times New Roman" w:hAnsi="Times New Roman"/>
              </w:rPr>
              <w:t>（</w:t>
            </w:r>
            <w:r>
              <w:rPr>
                <w:rFonts w:hint="eastAsia" w:ascii="Times New Roman" w:hAnsi="Times New Roman"/>
                <w:lang w:val="en-US" w:eastAsia="zh-CN"/>
              </w:rPr>
              <w:t>一</w:t>
            </w:r>
            <w:r>
              <w:rPr>
                <w:rFonts w:hint="eastAsia" w:ascii="Times New Roman" w:hAnsi="Times New Roman"/>
              </w:rPr>
              <w:t xml:space="preserve">）运营期间接受当地政府相关部门有关运维工作绩效监督考核。运营期间承包期间，中标人不得转包、分包给其他人； </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Times New Roman" w:hAnsi="Times New Roman"/>
              </w:rPr>
            </w:pPr>
            <w:r>
              <w:rPr>
                <w:rFonts w:hint="eastAsia" w:ascii="Times New Roman" w:hAnsi="Times New Roman"/>
              </w:rPr>
              <w:t>（</w:t>
            </w:r>
            <w:r>
              <w:rPr>
                <w:rFonts w:hint="eastAsia" w:ascii="Times New Roman" w:hAnsi="Times New Roman"/>
                <w:lang w:val="en-US" w:eastAsia="zh-CN"/>
              </w:rPr>
              <w:t>二</w:t>
            </w:r>
            <w:r>
              <w:rPr>
                <w:rFonts w:hint="eastAsia" w:ascii="Times New Roman" w:hAnsi="Times New Roman"/>
              </w:rPr>
              <w:t xml:space="preserve">）采购人因重要会议、检查等重要任务或其它特殊情况，需要中标人配合工作的，中标人必须无条件予以配合。 </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Times New Roman" w:hAnsi="Times New Roman"/>
                <w:highlight w:val="none"/>
                <w:u w:val="none"/>
              </w:rPr>
            </w:pPr>
            <w:r>
              <w:rPr>
                <w:rFonts w:hint="eastAsia" w:ascii="宋体" w:hAnsi="宋体" w:cs="宋体"/>
                <w:b/>
                <w:bCs/>
                <w:szCs w:val="21"/>
                <w:lang w:val="en-US" w:eastAsia="zh-CN"/>
              </w:rPr>
              <w:t>▲</w:t>
            </w:r>
            <w:r>
              <w:rPr>
                <w:rFonts w:hint="eastAsia" w:ascii="Times New Roman" w:hAnsi="Times New Roman"/>
              </w:rPr>
              <w:t>八、备品备件及耗材等要求</w:t>
            </w:r>
            <w:r>
              <w:rPr>
                <w:rFonts w:hint="eastAsia" w:ascii="Times New Roman" w:hAnsi="Times New Roman"/>
                <w:highlight w:val="none"/>
              </w:rPr>
              <w:t>：</w:t>
            </w:r>
            <w:r>
              <w:rPr>
                <w:rFonts w:hint="eastAsia" w:ascii="Times New Roman" w:hAnsi="Times New Roman"/>
                <w:highlight w:val="none"/>
                <w:u w:val="none"/>
              </w:rPr>
              <w:t>零部件、污水处理设施的相关设备及排污管网维护、配件及安装材料，符合国家相关质量标准。</w:t>
            </w:r>
          </w:p>
          <w:p>
            <w:pPr>
              <w:pStyle w:val="3"/>
              <w:spacing w:line="400" w:lineRule="exact"/>
              <w:ind w:firstLine="0"/>
              <w:rPr>
                <w:rFonts w:ascii="宋体" w:hAnsi="宋体" w:cs="宋体"/>
                <w:color w:val="auto"/>
                <w:szCs w:val="21"/>
                <w:highlight w:val="none"/>
              </w:rPr>
            </w:pPr>
            <w:r>
              <w:rPr>
                <w:rFonts w:hint="eastAsia" w:ascii="宋体" w:hAnsi="宋体" w:cs="宋体"/>
                <w:b/>
                <w:bCs/>
                <w:szCs w:val="21"/>
                <w:lang w:val="en-US" w:eastAsia="zh-CN"/>
              </w:rPr>
              <w:t>▲</w:t>
            </w:r>
            <w:r>
              <w:rPr>
                <w:rFonts w:hint="eastAsia" w:ascii="Times New Roman" w:hAnsi="Times New Roman"/>
              </w:rPr>
              <w:t>九、</w:t>
            </w:r>
            <w:r>
              <w:rPr>
                <w:rFonts w:hint="eastAsia" w:ascii="Times New Roman" w:hAnsi="Times New Roman"/>
                <w:lang w:val="en-US" w:eastAsia="zh-CN"/>
              </w:rPr>
              <w:t>投标报价：农村生活污水处理设施共73套，日处理污水量</w:t>
            </w:r>
            <w:r>
              <w:rPr>
                <w:rFonts w:hint="eastAsia"/>
                <w:lang w:val="en-US" w:eastAsia="zh-CN"/>
              </w:rPr>
              <w:t>共</w:t>
            </w:r>
            <w:r>
              <w:rPr>
                <w:rFonts w:hint="eastAsia" w:ascii="Times New Roman" w:hAnsi="Times New Roman"/>
                <w:lang w:val="en-US" w:eastAsia="zh-CN"/>
              </w:rPr>
              <w:t>2645吨，运维费用</w:t>
            </w:r>
            <w:r>
              <w:rPr>
                <w:rFonts w:hint="eastAsia"/>
                <w:lang w:val="en-US" w:eastAsia="zh-CN"/>
              </w:rPr>
              <w:t>总投资</w:t>
            </w:r>
            <w:r>
              <w:rPr>
                <w:rFonts w:hint="eastAsia" w:ascii="Times New Roman" w:hAnsi="Times New Roman"/>
                <w:lang w:val="en-US" w:eastAsia="zh-CN"/>
              </w:rPr>
              <w:t>不超过</w:t>
            </w:r>
            <w:r>
              <w:rPr>
                <w:rFonts w:hint="eastAsia"/>
                <w:lang w:val="en-US" w:eastAsia="zh-CN"/>
              </w:rPr>
              <w:t>182.5万</w:t>
            </w:r>
            <w:r>
              <w:rPr>
                <w:rFonts w:hint="eastAsia" w:ascii="Times New Roman" w:hAnsi="Times New Roman"/>
                <w:lang w:val="en-US" w:eastAsia="zh-CN"/>
              </w:rPr>
              <w:t>元/年</w:t>
            </w:r>
            <w:r>
              <w:rPr>
                <w:rFonts w:hint="eastAsia"/>
                <w:lang w:val="en-US" w:eastAsia="zh-CN"/>
              </w:rPr>
              <w:t>，3年总价不超过547.5万元</w:t>
            </w:r>
            <w:r>
              <w:rPr>
                <w:rFonts w:hint="eastAsia" w:ascii="Times New Roman" w:hAnsi="Times New Roman"/>
                <w:lang w:val="en-US" w:eastAsia="zh-CN"/>
              </w:rPr>
              <w:t>。</w:t>
            </w:r>
          </w:p>
        </w:tc>
      </w:tr>
    </w:tbl>
    <w:p>
      <w:pPr>
        <w:rPr>
          <w:rFonts w:ascii="宋体" w:hAnsi="宋体" w:cs="宋体"/>
          <w:color w:val="auto"/>
          <w:highlight w:val="none"/>
        </w:rPr>
      </w:pPr>
      <w:r>
        <w:rPr>
          <w:rFonts w:ascii="宋体" w:hAnsi="宋体" w:cs="宋体"/>
          <w:color w:val="auto"/>
          <w:highlight w:val="none"/>
        </w:rPr>
        <w:br w:type="page"/>
      </w:r>
      <w:r>
        <w:rPr>
          <w:rFonts w:hint="eastAsia" w:ascii="宋体" w:hAnsi="宋体" w:cs="宋体"/>
          <w:b/>
          <w:bCs/>
          <w:color w:val="auto"/>
          <w:highlight w:val="none"/>
          <w:lang w:val="en-US" w:eastAsia="zh-CN"/>
        </w:rPr>
        <w:t>附件1</w:t>
      </w:r>
      <w:r>
        <w:rPr>
          <w:rFonts w:hint="eastAsia" w:ascii="宋体" w:hAnsi="宋体" w:cs="宋体"/>
          <w:color w:val="auto"/>
          <w:highlight w:val="none"/>
          <w:lang w:val="en-US" w:eastAsia="zh-CN"/>
        </w:rPr>
        <w:t>：青秀区73套农村生活污水处理设施日处理污水量共2645吨，涉及4个镇和1个仙葫经济开发区共69个自然村，具体分布</w:t>
      </w:r>
    </w:p>
    <w:tbl>
      <w:tblPr>
        <w:tblStyle w:val="8"/>
        <w:tblpPr w:leftFromText="180" w:rightFromText="180" w:vertAnchor="text" w:horzAnchor="page" w:tblpXSpec="center" w:tblpY="374"/>
        <w:tblOverlap w:val="never"/>
        <w:tblW w:w="7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15"/>
        <w:gridCol w:w="1035"/>
        <w:gridCol w:w="1495"/>
        <w:gridCol w:w="138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21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b/>
                <w:bCs/>
                <w:kern w:val="0"/>
                <w:szCs w:val="21"/>
              </w:rPr>
            </w:pPr>
            <w:r>
              <w:rPr>
                <w:rFonts w:hint="eastAsia" w:ascii="宋体" w:hAnsi="宋体" w:eastAsia="宋体" w:cs="宋体"/>
                <w:b/>
                <w:bCs/>
                <w:kern w:val="0"/>
                <w:szCs w:val="21"/>
              </w:rPr>
              <w:t>乡镇</w:t>
            </w:r>
          </w:p>
        </w:tc>
        <w:tc>
          <w:tcPr>
            <w:tcW w:w="103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b/>
                <w:bCs/>
                <w:kern w:val="0"/>
                <w:szCs w:val="21"/>
              </w:rPr>
            </w:pPr>
            <w:r>
              <w:rPr>
                <w:rFonts w:hint="eastAsia" w:ascii="宋体" w:hAnsi="宋体" w:eastAsia="宋体" w:cs="宋体"/>
                <w:b/>
                <w:bCs/>
                <w:kern w:val="0"/>
                <w:szCs w:val="21"/>
              </w:rPr>
              <w:t>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b/>
                <w:bCs/>
                <w:kern w:val="0"/>
                <w:szCs w:val="21"/>
              </w:rPr>
            </w:pPr>
            <w:r>
              <w:rPr>
                <w:rFonts w:hint="eastAsia" w:ascii="宋体" w:hAnsi="宋体" w:eastAsia="宋体" w:cs="宋体"/>
                <w:b/>
                <w:bCs/>
                <w:kern w:val="0"/>
                <w:szCs w:val="21"/>
              </w:rPr>
              <w:t>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b/>
                <w:bCs/>
                <w:kern w:val="0"/>
                <w:szCs w:val="21"/>
              </w:rPr>
            </w:pPr>
            <w:r>
              <w:rPr>
                <w:rFonts w:hint="eastAsia" w:ascii="宋体" w:hAnsi="宋体" w:eastAsia="宋体" w:cs="宋体"/>
                <w:b/>
                <w:bCs/>
                <w:kern w:val="0"/>
                <w:szCs w:val="21"/>
              </w:rPr>
              <w:t>无动力处理（吨/日）</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b/>
                <w:bCs/>
                <w:kern w:val="0"/>
                <w:szCs w:val="21"/>
              </w:rPr>
            </w:pPr>
            <w:r>
              <w:rPr>
                <w:rFonts w:hint="eastAsia" w:ascii="宋体" w:hAnsi="宋体" w:eastAsia="宋体" w:cs="宋体"/>
                <w:b/>
                <w:bCs/>
                <w:kern w:val="0"/>
                <w:szCs w:val="21"/>
              </w:rPr>
              <w:t>微动力处理（吨/日）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1215" w:type="dxa"/>
            <w:vMerge w:val="restart"/>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长塘镇</w:t>
            </w: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定西村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团岩坡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35</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2</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val="en-US" w:eastAsia="zh-CN"/>
              </w:rPr>
              <w:t>加</w:t>
            </w:r>
            <w:r>
              <w:rPr>
                <w:rFonts w:hint="eastAsia" w:ascii="宋体" w:hAnsi="宋体" w:eastAsia="宋体" w:cs="宋体"/>
                <w:kern w:val="0"/>
                <w:szCs w:val="21"/>
                <w:lang w:eastAsia="zh-TW"/>
              </w:rPr>
              <w:t>踏坡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30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3</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加踏中坡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4</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定西坡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5</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长塘村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布柳坡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6</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那念坡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eastAsia="zh-TW"/>
              </w:rPr>
              <w:t>那念坡</w:t>
            </w:r>
            <w:r>
              <w:rPr>
                <w:rFonts w:hint="eastAsia" w:ascii="宋体" w:hAnsi="宋体" w:eastAsia="宋体" w:cs="宋体"/>
                <w:kern w:val="0"/>
                <w:szCs w:val="21"/>
                <w:lang w:val="en-US" w:eastAsia="zh-CN"/>
              </w:rPr>
              <w:t>二期</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8</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天堂村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王里坡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9</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幸福坡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35</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10</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新天堂坡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50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11</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六留坡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12</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巴兰坡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13</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介排坡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14</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枫木村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广柏坡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40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15</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洞江村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洞江坡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60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16</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青龙坡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20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17</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长大村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长大上坡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18</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那</w:t>
            </w:r>
            <w:r>
              <w:rPr>
                <w:rFonts w:hint="eastAsia" w:ascii="宋体" w:hAnsi="宋体" w:eastAsia="宋体" w:cs="宋体"/>
                <w:kern w:val="0"/>
                <w:szCs w:val="21"/>
                <w:lang w:val="en-US" w:eastAsia="zh-CN"/>
              </w:rPr>
              <w:t>叩</w:t>
            </w:r>
            <w:r>
              <w:rPr>
                <w:rFonts w:hint="eastAsia" w:ascii="宋体" w:hAnsi="宋体" w:eastAsia="宋体" w:cs="宋体"/>
                <w:kern w:val="0"/>
                <w:szCs w:val="21"/>
                <w:lang w:eastAsia="zh-TW"/>
              </w:rPr>
              <w:t>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19</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那曾村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昌介坡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20</w:t>
            </w:r>
          </w:p>
        </w:tc>
        <w:tc>
          <w:tcPr>
            <w:tcW w:w="121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伶俐镇</w:t>
            </w: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eastAsia="zh-TW"/>
              </w:rPr>
              <w:t>伶俐村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那车坡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50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21</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南蛇坡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40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22</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eastAsia="zh-TW"/>
              </w:rPr>
              <w:t>独岭村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定温坡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35</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23</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渌口坡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24</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eastAsia="zh-TW"/>
              </w:rPr>
              <w:t>王京村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巴田新坡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40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25</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1、2队</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26</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石塘村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李坡一队</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20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27</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雷庙坡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60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28</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上王村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新兴坡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20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29</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下王坡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20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那樟村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上樟坡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望齐村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赤城</w:t>
            </w:r>
            <w:r>
              <w:rPr>
                <w:rFonts w:hint="eastAsia" w:ascii="宋体" w:hAnsi="宋体" w:eastAsia="宋体" w:cs="宋体"/>
                <w:kern w:val="0"/>
                <w:szCs w:val="21"/>
                <w:lang w:eastAsia="zh-TW"/>
              </w:rPr>
              <w:t>坡</w:t>
            </w:r>
            <w:r>
              <w:rPr>
                <w:rFonts w:hint="eastAsia" w:ascii="宋体" w:hAnsi="宋体" w:eastAsia="宋体" w:cs="宋体"/>
                <w:kern w:val="0"/>
                <w:szCs w:val="21"/>
                <w:lang w:val="en-US" w:eastAsia="zh-CN"/>
              </w:rPr>
              <w:t>1</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eastAsia="zh-TW"/>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赤城</w:t>
            </w:r>
            <w:r>
              <w:rPr>
                <w:rFonts w:hint="eastAsia" w:ascii="宋体" w:hAnsi="宋体" w:eastAsia="宋体" w:cs="宋体"/>
                <w:kern w:val="0"/>
                <w:szCs w:val="21"/>
                <w:lang w:eastAsia="zh-TW"/>
              </w:rPr>
              <w:t>坡</w:t>
            </w:r>
            <w:r>
              <w:rPr>
                <w:rFonts w:hint="eastAsia" w:ascii="宋体" w:hAnsi="宋体" w:eastAsia="宋体" w:cs="宋体"/>
                <w:kern w:val="0"/>
                <w:szCs w:val="21"/>
                <w:lang w:val="en-US" w:eastAsia="zh-CN"/>
              </w:rPr>
              <w:t>2</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eastAsia="zh-TW"/>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赤城</w:t>
            </w:r>
            <w:r>
              <w:rPr>
                <w:rFonts w:hint="eastAsia" w:ascii="宋体" w:hAnsi="宋体" w:eastAsia="宋体" w:cs="宋体"/>
                <w:kern w:val="0"/>
                <w:szCs w:val="21"/>
                <w:lang w:eastAsia="zh-TW"/>
              </w:rPr>
              <w:t>坡</w:t>
            </w:r>
            <w:r>
              <w:rPr>
                <w:rFonts w:hint="eastAsia" w:ascii="宋体" w:hAnsi="宋体" w:eastAsia="宋体" w:cs="宋体"/>
                <w:kern w:val="0"/>
                <w:szCs w:val="21"/>
                <w:lang w:val="en-US" w:eastAsia="zh-CN"/>
              </w:rPr>
              <w:t>3</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沱江村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沱江坡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121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刘圩镇</w:t>
            </w: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eastAsia="zh-TW"/>
              </w:rPr>
              <w:t>团黄村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8、9、1</w:t>
            </w:r>
            <w:r>
              <w:rPr>
                <w:rFonts w:hint="eastAsia" w:ascii="宋体" w:hAnsi="宋体" w:eastAsia="宋体" w:cs="宋体"/>
                <w:kern w:val="0"/>
                <w:szCs w:val="21"/>
                <w:lang w:val="en-US" w:eastAsia="zh-CN"/>
              </w:rPr>
              <w:t>1、15</w:t>
            </w:r>
            <w:r>
              <w:rPr>
                <w:rFonts w:hint="eastAsia" w:ascii="宋体" w:hAnsi="宋体" w:eastAsia="宋体" w:cs="宋体"/>
                <w:kern w:val="0"/>
                <w:szCs w:val="21"/>
              </w:rPr>
              <w:t>队</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40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5、6队</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25</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eastAsia="zh-TW"/>
              </w:rPr>
              <w:t>刘圩村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eastAsia="zh-TW"/>
              </w:rPr>
              <w:t>罗坡</w:t>
            </w:r>
            <w:r>
              <w:rPr>
                <w:rFonts w:hint="eastAsia" w:ascii="宋体" w:hAnsi="宋体" w:eastAsia="宋体" w:cs="宋体"/>
                <w:kern w:val="0"/>
                <w:szCs w:val="21"/>
                <w:highlight w:val="none"/>
                <w:lang w:val="en-US" w:eastAsia="zh-CN"/>
              </w:rPr>
              <w:t>1</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highlight w:val="none"/>
              </w:rPr>
            </w:pPr>
            <w:r>
              <w:rPr>
                <w:rFonts w:hint="eastAsia" w:ascii="宋体" w:hAnsi="宋体" w:eastAsia="宋体" w:cs="宋体"/>
                <w:kern w:val="0"/>
                <w:szCs w:val="21"/>
              </w:rPr>
              <w:t>25</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highlight w:val="none"/>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eastAsia="zh-TW"/>
              </w:rPr>
              <w:t>罗坡</w:t>
            </w:r>
            <w:r>
              <w:rPr>
                <w:rFonts w:hint="eastAsia" w:ascii="宋体" w:hAnsi="宋体" w:eastAsia="宋体" w:cs="宋体"/>
                <w:kern w:val="0"/>
                <w:szCs w:val="21"/>
                <w:highlight w:val="none"/>
                <w:lang w:val="en-US" w:eastAsia="zh-CN"/>
              </w:rPr>
              <w:t>2</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highlight w:val="none"/>
                <w:lang w:val="en-US" w:eastAsia="zh-CN"/>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highlight w:val="red"/>
              </w:rPr>
            </w:pPr>
            <w:r>
              <w:rPr>
                <w:rFonts w:hint="eastAsia" w:ascii="宋体" w:hAnsi="宋体" w:eastAsia="宋体" w:cs="宋体"/>
                <w:kern w:val="0"/>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eastAsia="zh-TW"/>
              </w:rPr>
              <w:t>谭村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坛诗坡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20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那学坡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良合村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那晃坡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40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那床村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定子坡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30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屯赖坡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20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槐里村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和里坡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35</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坛蒙中坡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20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eastAsia="zh-TW"/>
              </w:rPr>
              <w:t>麓阳村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启蒙中坡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25</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那里村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力林坡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20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禄强村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坛迫坡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70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那烈村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坛善坡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25</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eastAsia="zh-TW"/>
              </w:rPr>
              <w:t>那救村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那丽坡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20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平沙坡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25</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大里村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那崛坡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35</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苏坡下坡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60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eastAsia="zh-TW"/>
              </w:rPr>
              <w:t>那扇</w:t>
            </w:r>
            <w:r>
              <w:rPr>
                <w:rFonts w:hint="eastAsia" w:ascii="宋体" w:hAnsi="宋体" w:eastAsia="宋体" w:cs="宋体"/>
                <w:kern w:val="0"/>
                <w:szCs w:val="21"/>
                <w:lang w:val="en-US" w:eastAsia="zh-CN"/>
              </w:rPr>
              <w:t>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70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那度村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竹韦坡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三籁村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三籁下坡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25</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lang w:eastAsia="zh-TW"/>
              </w:rPr>
              <w:t>三来坡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15</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121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南阳镇</w:t>
            </w: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eastAsia="zh-TW"/>
              </w:rPr>
              <w:t>施厚村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TW" w:bidi="ar-SA"/>
              </w:rPr>
            </w:pPr>
            <w:r>
              <w:rPr>
                <w:rFonts w:hint="eastAsia" w:ascii="宋体" w:hAnsi="宋体" w:eastAsia="宋体" w:cs="宋体"/>
                <w:kern w:val="0"/>
                <w:szCs w:val="21"/>
                <w:lang w:eastAsia="zh-TW"/>
              </w:rPr>
              <w:t>大罗坡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40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TW" w:bidi="ar-SA"/>
              </w:rPr>
            </w:pPr>
            <w:r>
              <w:rPr>
                <w:rFonts w:hint="eastAsia" w:ascii="宋体" w:hAnsi="宋体" w:eastAsia="宋体" w:cs="宋体"/>
                <w:kern w:val="0"/>
                <w:szCs w:val="21"/>
                <w:lang w:eastAsia="zh-TW"/>
              </w:rPr>
              <w:t>古岳坡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3</w:t>
            </w:r>
            <w:r>
              <w:rPr>
                <w:rFonts w:hint="eastAsia" w:ascii="宋体" w:hAnsi="宋体" w:eastAsia="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eastAsia="zh-TW"/>
              </w:rPr>
              <w:t>南阳村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TW" w:bidi="ar-SA"/>
              </w:rPr>
            </w:pPr>
            <w:r>
              <w:rPr>
                <w:rFonts w:hint="eastAsia" w:ascii="宋体" w:hAnsi="宋体" w:eastAsia="宋体" w:cs="宋体"/>
                <w:kern w:val="0"/>
                <w:szCs w:val="21"/>
                <w:lang w:eastAsia="zh-TW"/>
              </w:rPr>
              <w:t>国红坡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35</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TW" w:bidi="ar-SA"/>
              </w:rPr>
            </w:pPr>
            <w:r>
              <w:rPr>
                <w:rFonts w:hint="eastAsia" w:ascii="宋体" w:hAnsi="宋体" w:eastAsia="宋体" w:cs="宋体"/>
                <w:kern w:val="0"/>
                <w:szCs w:val="21"/>
                <w:lang w:eastAsia="zh-TW"/>
              </w:rPr>
              <w:t>那世坡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25</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TW" w:bidi="ar-SA"/>
              </w:rPr>
            </w:pPr>
            <w:r>
              <w:rPr>
                <w:rFonts w:hint="eastAsia" w:ascii="宋体" w:hAnsi="宋体" w:eastAsia="宋体" w:cs="宋体"/>
                <w:kern w:val="0"/>
                <w:szCs w:val="21"/>
                <w:lang w:eastAsia="zh-TW"/>
              </w:rPr>
              <w:t>坛湴坡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63</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eastAsia="zh-TW"/>
              </w:rPr>
              <w:t>新光村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TW" w:bidi="ar-SA"/>
              </w:rPr>
            </w:pPr>
            <w:r>
              <w:rPr>
                <w:rFonts w:hint="eastAsia" w:ascii="宋体" w:hAnsi="宋体" w:eastAsia="宋体" w:cs="宋体"/>
                <w:kern w:val="0"/>
                <w:szCs w:val="21"/>
                <w:lang w:eastAsia="zh-TW"/>
              </w:rPr>
              <w:t>那平坡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40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TW" w:bidi="ar-SA"/>
              </w:rPr>
            </w:pPr>
            <w:r>
              <w:rPr>
                <w:rFonts w:hint="eastAsia" w:ascii="宋体" w:hAnsi="宋体" w:eastAsia="宋体" w:cs="宋体"/>
                <w:kern w:val="0"/>
                <w:szCs w:val="21"/>
                <w:lang w:eastAsia="zh-TW"/>
              </w:rPr>
              <w:t>北歪坡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40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eastAsia="zh-TW"/>
              </w:rPr>
              <w:t>二田村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TW" w:bidi="ar-SA"/>
              </w:rPr>
            </w:pPr>
            <w:r>
              <w:rPr>
                <w:rFonts w:hint="eastAsia" w:ascii="宋体" w:hAnsi="宋体" w:eastAsia="宋体" w:cs="宋体"/>
                <w:kern w:val="0"/>
                <w:szCs w:val="21"/>
                <w:lang w:eastAsia="zh-TW"/>
              </w:rPr>
              <w:t>榃黎坡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20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66</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TW" w:bidi="ar-SA"/>
              </w:rPr>
            </w:pPr>
            <w:r>
              <w:rPr>
                <w:rFonts w:hint="eastAsia" w:ascii="宋体" w:hAnsi="宋体" w:eastAsia="宋体" w:cs="宋体"/>
                <w:kern w:val="0"/>
                <w:szCs w:val="21"/>
                <w:lang w:eastAsia="zh-TW"/>
              </w:rPr>
              <w:t>坛挺坡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20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67</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TW" w:bidi="ar-SA"/>
              </w:rPr>
            </w:pPr>
            <w:r>
              <w:rPr>
                <w:rFonts w:hint="eastAsia" w:ascii="宋体" w:hAnsi="宋体" w:eastAsia="宋体" w:cs="宋体"/>
                <w:kern w:val="0"/>
                <w:szCs w:val="21"/>
                <w:lang w:eastAsia="zh-TW"/>
              </w:rPr>
              <w:t>新杏坡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68</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restart"/>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eastAsia="zh-TW"/>
              </w:rPr>
              <w:t>新楼村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TW" w:bidi="ar-SA"/>
              </w:rPr>
            </w:pPr>
            <w:r>
              <w:rPr>
                <w:rFonts w:hint="eastAsia" w:ascii="宋体" w:hAnsi="宋体" w:eastAsia="宋体" w:cs="宋体"/>
                <w:kern w:val="0"/>
                <w:szCs w:val="21"/>
                <w:lang w:eastAsia="zh-TW"/>
              </w:rPr>
              <w:t>坛蓬坡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20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69</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TW" w:bidi="ar-SA"/>
              </w:rPr>
            </w:pPr>
            <w:r>
              <w:rPr>
                <w:rFonts w:hint="eastAsia" w:ascii="宋体" w:hAnsi="宋体" w:eastAsia="宋体" w:cs="宋体"/>
                <w:kern w:val="0"/>
                <w:szCs w:val="21"/>
                <w:lang w:eastAsia="zh-TW"/>
              </w:rPr>
              <w:t>坛众坡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75</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70</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TW" w:bidi="ar-SA"/>
              </w:rPr>
            </w:pPr>
            <w:r>
              <w:rPr>
                <w:rFonts w:hint="eastAsia" w:ascii="宋体" w:hAnsi="宋体" w:eastAsia="宋体" w:cs="宋体"/>
                <w:kern w:val="0"/>
                <w:szCs w:val="21"/>
                <w:lang w:eastAsia="zh-TW"/>
              </w:rPr>
              <w:t>上甘坡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71</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留凤村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TW" w:bidi="ar-SA"/>
              </w:rPr>
            </w:pPr>
            <w:r>
              <w:rPr>
                <w:rFonts w:hint="eastAsia" w:ascii="宋体" w:hAnsi="宋体" w:eastAsia="宋体" w:cs="宋体"/>
                <w:kern w:val="0"/>
                <w:szCs w:val="21"/>
                <w:lang w:eastAsia="zh-TW"/>
              </w:rPr>
              <w:t>高岭坡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60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72</w:t>
            </w:r>
          </w:p>
        </w:tc>
        <w:tc>
          <w:tcPr>
            <w:tcW w:w="1215" w:type="dxa"/>
            <w:vMerge w:val="continue"/>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p>
        </w:tc>
        <w:tc>
          <w:tcPr>
            <w:tcW w:w="103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雄会村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TW" w:bidi="ar-SA"/>
              </w:rPr>
            </w:pPr>
            <w:r>
              <w:rPr>
                <w:rFonts w:hint="eastAsia" w:ascii="宋体" w:hAnsi="宋体" w:eastAsia="宋体" w:cs="宋体"/>
                <w:kern w:val="0"/>
                <w:szCs w:val="21"/>
                <w:lang w:eastAsia="zh-TW"/>
              </w:rPr>
              <w:t>南雄坡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7" w:type="dxa"/>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73</w:t>
            </w:r>
          </w:p>
        </w:tc>
        <w:tc>
          <w:tcPr>
            <w:tcW w:w="121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仙葫经济开发区</w:t>
            </w:r>
          </w:p>
        </w:tc>
        <w:tc>
          <w:tcPr>
            <w:tcW w:w="103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德福村</w:t>
            </w:r>
          </w:p>
        </w:tc>
        <w:tc>
          <w:tcPr>
            <w:tcW w:w="149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TW" w:bidi="ar-SA"/>
              </w:rPr>
            </w:pPr>
            <w:r>
              <w:rPr>
                <w:rFonts w:hint="eastAsia" w:ascii="宋体" w:hAnsi="宋体" w:eastAsia="宋体" w:cs="宋体"/>
                <w:kern w:val="0"/>
                <w:szCs w:val="21"/>
                <w:lang w:eastAsia="zh-TW"/>
              </w:rPr>
              <w:t>六律坡</w:t>
            </w:r>
          </w:p>
        </w:tc>
        <w:tc>
          <w:tcPr>
            <w:tcW w:w="138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20</w:t>
            </w:r>
          </w:p>
        </w:tc>
        <w:tc>
          <w:tcPr>
            <w:tcW w:w="1365" w:type="dxa"/>
            <w:noWrap w:val="0"/>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92" w:type="dxa"/>
            <w:gridSpan w:val="4"/>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小计</w:t>
            </w:r>
          </w:p>
        </w:tc>
        <w:tc>
          <w:tcPr>
            <w:tcW w:w="1385"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1640</w:t>
            </w:r>
          </w:p>
        </w:tc>
        <w:tc>
          <w:tcPr>
            <w:tcW w:w="1365" w:type="dxa"/>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492" w:type="dxa"/>
            <w:gridSpan w:val="4"/>
            <w:noWrap/>
            <w:vAlign w:val="center"/>
          </w:tcPr>
          <w:p>
            <w:pPr>
              <w:keepLines w:val="0"/>
              <w:pageBreakBefore w:val="0"/>
              <w:widowControl/>
              <w:kinsoku/>
              <w:wordWrap/>
              <w:overflowPunct/>
              <w:topLinePunct w:val="0"/>
              <w:bidi w:val="0"/>
              <w:snapToGrid/>
              <w:spacing w:line="360" w:lineRule="exact"/>
              <w:jc w:val="center"/>
              <w:rPr>
                <w:rFonts w:hint="eastAsia" w:ascii="宋体" w:hAnsi="宋体" w:eastAsia="宋体" w:cs="宋体"/>
                <w:kern w:val="0"/>
                <w:szCs w:val="21"/>
              </w:rPr>
            </w:pPr>
            <w:r>
              <w:rPr>
                <w:rFonts w:hint="eastAsia" w:ascii="宋体" w:hAnsi="宋体" w:eastAsia="宋体" w:cs="宋体"/>
                <w:kern w:val="0"/>
                <w:szCs w:val="21"/>
              </w:rPr>
              <w:t>合计</w:t>
            </w:r>
          </w:p>
        </w:tc>
        <w:tc>
          <w:tcPr>
            <w:tcW w:w="2750" w:type="dxa"/>
            <w:gridSpan w:val="2"/>
            <w:noWrap/>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2645</w:t>
            </w:r>
          </w:p>
        </w:tc>
      </w:tr>
    </w:tbl>
    <w:p>
      <w:pPr>
        <w:pStyle w:val="5"/>
      </w:pPr>
    </w:p>
    <w:p>
      <w:pPr>
        <w:spacing w:line="428" w:lineRule="exact"/>
        <w:ind w:left="119"/>
        <w:rPr>
          <w:rFonts w:ascii="宋体" w:hAnsi="宋体" w:cs="宋体"/>
          <w:color w:val="auto"/>
          <w:highlight w:val="none"/>
        </w:rPr>
      </w:pPr>
      <w:r>
        <w:rPr>
          <w:rFonts w:hint="eastAsia" w:ascii="宋体" w:hAnsi="宋体" w:cs="宋体"/>
          <w:color w:val="auto"/>
          <w:highlight w:val="none"/>
        </w:rPr>
        <w:t xml:space="preserve"> </w:t>
      </w:r>
    </w:p>
    <w:p>
      <w:pPr>
        <w:spacing w:line="428" w:lineRule="exact"/>
        <w:ind w:left="119"/>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 xml:space="preserve"> </w:t>
      </w: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2</w:t>
      </w:r>
      <w:r>
        <w:rPr>
          <w:rFonts w:hint="eastAsia" w:ascii="宋体" w:hAnsi="宋体" w:cs="宋体"/>
          <w:color w:val="auto"/>
          <w:sz w:val="32"/>
          <w:szCs w:val="32"/>
          <w:highlight w:val="none"/>
        </w:rPr>
        <w:t>：</w:t>
      </w:r>
    </w:p>
    <w:p>
      <w:pPr>
        <w:spacing w:before="7"/>
        <w:rPr>
          <w:rFonts w:ascii="宋体" w:hAnsi="宋体" w:cs="宋体"/>
          <w:color w:val="auto"/>
          <w:sz w:val="17"/>
          <w:szCs w:val="17"/>
          <w:highlight w:val="none"/>
        </w:rPr>
      </w:pPr>
    </w:p>
    <w:p>
      <w:pPr>
        <w:spacing w:line="528" w:lineRule="exact"/>
        <w:ind w:left="1871" w:firstLine="1205" w:firstLineChars="400"/>
        <w:jc w:val="both"/>
        <w:rPr>
          <w:rFonts w:ascii="宋体" w:hAnsi="宋体" w:cs="宋体"/>
          <w:b/>
          <w:bCs/>
          <w:color w:val="auto"/>
          <w:sz w:val="30"/>
          <w:szCs w:val="30"/>
          <w:highlight w:val="none"/>
        </w:rPr>
      </w:pPr>
      <w:r>
        <w:rPr>
          <w:rFonts w:hint="eastAsia" w:ascii="宋体" w:hAnsi="宋体" w:cs="宋体"/>
          <w:b/>
          <w:bCs/>
          <w:color w:val="auto"/>
          <w:sz w:val="30"/>
          <w:szCs w:val="30"/>
          <w:highlight w:val="none"/>
        </w:rPr>
        <w:t>节能产品政府采购品目清单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24"/>
        <w:gridCol w:w="1408"/>
        <w:gridCol w:w="1612"/>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1" w:type="dxa"/>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品目序号</w:t>
            </w:r>
          </w:p>
        </w:tc>
        <w:tc>
          <w:tcPr>
            <w:tcW w:w="4244" w:type="dxa"/>
            <w:gridSpan w:val="3"/>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名称</w:t>
            </w:r>
          </w:p>
        </w:tc>
        <w:tc>
          <w:tcPr>
            <w:tcW w:w="4335" w:type="dxa"/>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restart"/>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24" w:type="dxa"/>
            <w:vMerge w:val="restart"/>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A020101计算机设备</w:t>
            </w: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★A02010104台式计算机</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★A02010105便携式计算机</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★A02010107平板式微型计算机</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restart"/>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24" w:type="dxa"/>
            <w:vMerge w:val="restart"/>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A020106输入输出设备</w:t>
            </w:r>
          </w:p>
        </w:tc>
        <w:tc>
          <w:tcPr>
            <w:tcW w:w="1408" w:type="dxa"/>
            <w:vMerge w:val="restart"/>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A02010601打印设备</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A0201060101喷墨打印机</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Merge w:val="continue"/>
            <w:vAlign w:val="center"/>
          </w:tcPr>
          <w:p>
            <w:pPr>
              <w:widowControl/>
              <w:jc w:val="left"/>
              <w:rPr>
                <w:rFonts w:hint="eastAsia" w:ascii="宋体" w:hAnsi="宋体" w:eastAsia="宋体" w:cs="宋体"/>
                <w:color w:val="auto"/>
                <w:kern w:val="0"/>
                <w:sz w:val="21"/>
                <w:szCs w:val="21"/>
                <w:highlight w:val="none"/>
              </w:rPr>
            </w:pP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★A0201060102激光打印机</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Merge w:val="continue"/>
            <w:vAlign w:val="center"/>
          </w:tcPr>
          <w:p>
            <w:pPr>
              <w:widowControl/>
              <w:jc w:val="left"/>
              <w:rPr>
                <w:rFonts w:hint="eastAsia" w:ascii="宋体" w:hAnsi="宋体" w:eastAsia="宋体" w:cs="宋体"/>
                <w:color w:val="auto"/>
                <w:kern w:val="0"/>
                <w:sz w:val="21"/>
                <w:szCs w:val="21"/>
                <w:highlight w:val="none"/>
              </w:rPr>
            </w:pP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★A0201060104针式打印机</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A02010604显示设备</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★A0201060401液晶显示器</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A02010609图形图像输入设备</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A0201060901扫描仪</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参照《复印机、打印机和传真机能效限定值及能效等级》（GB21521中打印速度为15页/分的针式打印机相关要求中打印速度为15页/分的针式打印机相关要求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24"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A020202投影仪</w:t>
            </w: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《投影机能效限定值及能效等级》（GB32028）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24"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A020204多功能一体机</w:t>
            </w: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24"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A020519泵</w:t>
            </w: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A02051901离心泵</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《清水离心泵能效限定值及节能评价值》（GB19762）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1" w:type="dxa"/>
            <w:vMerge w:val="restart"/>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24" w:type="dxa"/>
            <w:vMerge w:val="restart"/>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A020523制冷空调设备</w:t>
            </w:r>
          </w:p>
        </w:tc>
        <w:tc>
          <w:tcPr>
            <w:tcW w:w="1408" w:type="dxa"/>
            <w:vMerge w:val="restart"/>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★A02052301制冷压缩机</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冷水机组</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《冷水机组能效限定值及能效等级》（GB19577），《低环境温度空气源热泵（冷水）机组能效限定值及能效等级》（GB37480）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Merge w:val="continue"/>
            <w:vAlign w:val="center"/>
          </w:tcPr>
          <w:p>
            <w:pPr>
              <w:widowControl/>
              <w:jc w:val="left"/>
              <w:rPr>
                <w:rFonts w:hint="eastAsia" w:ascii="宋体" w:hAnsi="宋体" w:eastAsia="宋体" w:cs="宋体"/>
                <w:color w:val="auto"/>
                <w:kern w:val="0"/>
                <w:sz w:val="21"/>
                <w:szCs w:val="21"/>
                <w:highlight w:val="none"/>
              </w:rPr>
            </w:pP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水源热泵机组</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《水（地）源热泵机组能效限定值及能效等级》（GB30721）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Merge w:val="continue"/>
            <w:vAlign w:val="center"/>
          </w:tcPr>
          <w:p>
            <w:pPr>
              <w:widowControl/>
              <w:jc w:val="left"/>
              <w:rPr>
                <w:rFonts w:hint="eastAsia" w:ascii="宋体" w:hAnsi="宋体" w:eastAsia="宋体" w:cs="宋体"/>
                <w:color w:val="auto"/>
                <w:kern w:val="0"/>
                <w:sz w:val="21"/>
                <w:szCs w:val="21"/>
                <w:highlight w:val="none"/>
              </w:rPr>
            </w:pP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溴化锂吸收式冷水机组</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《溴化锂吸收式冷水机组能效限定值及能效等级》（GB29540）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Merge w:val="restart"/>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★A02052305空调机组</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多联式空调（热泵）机组（制冷量&gt;14000W）</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Merge w:val="continue"/>
            <w:vAlign w:val="center"/>
          </w:tcPr>
          <w:p>
            <w:pPr>
              <w:widowControl/>
              <w:jc w:val="left"/>
              <w:rPr>
                <w:rFonts w:hint="eastAsia" w:ascii="宋体" w:hAnsi="宋体" w:eastAsia="宋体" w:cs="宋体"/>
                <w:color w:val="auto"/>
                <w:kern w:val="0"/>
                <w:sz w:val="21"/>
                <w:szCs w:val="21"/>
                <w:highlight w:val="none"/>
              </w:rPr>
            </w:pP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单元式空气调节机（制冷量&gt;14000W</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《单元式空气调节机能效限定值及能效等级》（GB19576）《风管送风式空调机组能效限定值及能效等级》（GB37479）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★A02052309专用制冷、空调设备</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机房空调</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《单元式空气调节机能效限定值及能效等级》（GB19576）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A02052399其他制冷空调设备</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冷却塔</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《机械通风冷却塔第1部分：中小型开式冷却塔》（GB/T7190.1）；《机械通风冷却塔第2部分：大型开式冷却塔》（GB/T7190.2）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224"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A020601电机</w:t>
            </w: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《中小型三相异步电动机能效限定值及能效等级》（GB18613）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24"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A020602变压器</w:t>
            </w: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配电变压器</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《三相配电变压器能效限定值及能效等级》（GB20052）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224"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★A020609镇流器</w:t>
            </w: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管型荧光灯镇流器</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《管形荧光灯镇流器能效限定值及能效等级》（GB17896）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restart"/>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224" w:type="dxa"/>
            <w:vMerge w:val="restart"/>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A020618生活用电器</w:t>
            </w: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A0206180101电冰箱</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《家用电冰箱耗电量限定值及能效等级》（GB 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Merge w:val="restart"/>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★A0206180203空调机</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房间空气调节器</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《转速可控型房间空气调节器能效限定值及能效等级》（GB21455-2013），待2019年修订发布后，按《房间空气调节器能效限定值及能效等级》（GB21455-2019实施。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Merge w:val="continue"/>
            <w:vAlign w:val="center"/>
          </w:tcPr>
          <w:p>
            <w:pPr>
              <w:widowControl/>
              <w:jc w:val="left"/>
              <w:rPr>
                <w:rFonts w:hint="eastAsia" w:ascii="宋体" w:hAnsi="宋体" w:eastAsia="宋体" w:cs="宋体"/>
                <w:color w:val="auto"/>
                <w:kern w:val="0"/>
                <w:sz w:val="21"/>
                <w:szCs w:val="21"/>
                <w:highlight w:val="none"/>
              </w:rPr>
            </w:pP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多联式空调（热泵）机组（制冷量≤ 14000W）</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Merge w:val="continue"/>
            <w:vAlign w:val="center"/>
          </w:tcPr>
          <w:p>
            <w:pPr>
              <w:widowControl/>
              <w:jc w:val="left"/>
              <w:rPr>
                <w:rFonts w:hint="eastAsia" w:ascii="宋体" w:hAnsi="宋体" w:eastAsia="宋体" w:cs="宋体"/>
                <w:color w:val="auto"/>
                <w:kern w:val="0"/>
                <w:sz w:val="21"/>
                <w:szCs w:val="21"/>
                <w:highlight w:val="none"/>
              </w:rPr>
            </w:pP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单元式空气调节机（制冷量≤14000W）</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《单元式空气调节机能效限定值及能源效率等级》（GB19576）《风管送风式空调机组能效限定值及能效等级》（GB37479）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A0206180301洗衣机</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Merge w:val="restart"/>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A02061808热水器</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★电热水器</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Merge w:val="continue"/>
            <w:vAlign w:val="center"/>
          </w:tcPr>
          <w:p>
            <w:pPr>
              <w:widowControl/>
              <w:jc w:val="left"/>
              <w:rPr>
                <w:rFonts w:hint="eastAsia" w:ascii="宋体" w:hAnsi="宋体" w:eastAsia="宋体" w:cs="宋体"/>
                <w:color w:val="auto"/>
                <w:kern w:val="0"/>
                <w:sz w:val="21"/>
                <w:szCs w:val="21"/>
                <w:highlight w:val="none"/>
              </w:rPr>
            </w:pP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燃气热水器</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《家用燃气快速热水器和燃气采暖热水炉能效限定值及能效等级》（GB20665）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Merge w:val="continue"/>
            <w:vAlign w:val="center"/>
          </w:tcPr>
          <w:p>
            <w:pPr>
              <w:widowControl/>
              <w:jc w:val="left"/>
              <w:rPr>
                <w:rFonts w:hint="eastAsia" w:ascii="宋体" w:hAnsi="宋体" w:eastAsia="宋体" w:cs="宋体"/>
                <w:color w:val="auto"/>
                <w:kern w:val="0"/>
                <w:sz w:val="21"/>
                <w:szCs w:val="21"/>
                <w:highlight w:val="none"/>
              </w:rPr>
            </w:pP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热泵热水器</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Merge w:val="continue"/>
            <w:vAlign w:val="center"/>
          </w:tcPr>
          <w:p>
            <w:pPr>
              <w:widowControl/>
              <w:jc w:val="left"/>
              <w:rPr>
                <w:rFonts w:hint="eastAsia" w:ascii="宋体" w:hAnsi="宋体" w:eastAsia="宋体" w:cs="宋体"/>
                <w:color w:val="auto"/>
                <w:kern w:val="0"/>
                <w:sz w:val="21"/>
                <w:szCs w:val="21"/>
                <w:highlight w:val="none"/>
              </w:rPr>
            </w:pP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太阳能热水系统</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restart"/>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224" w:type="dxa"/>
            <w:vMerge w:val="restart"/>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A020619照明设备</w:t>
            </w: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★普通照明用双端荧光灯</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LED道路/隧道照明产品</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《道路和隧道照明用LED灯具能效限定值及能效等级》（GB37478）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LED筒灯</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普通照明用非定向自镇流LED灯</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1"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224"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★A020910电视设备</w:t>
            </w: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A02091001普通电视设备（电视机）</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41"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224"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★A020911视频设备</w:t>
            </w: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A02091107视频监控设备</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监视器</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224"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A031210饮食炊事机械</w:t>
            </w: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商用燃气灶具</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1" w:type="dxa"/>
            <w:vMerge w:val="restart"/>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24" w:type="dxa"/>
            <w:vMerge w:val="restart"/>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★A060805便器</w:t>
            </w: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坐便器</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《坐便器水效限定值及水效等级》（GB25502）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蹲便器</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pPr>
              <w:widowControl/>
              <w:jc w:val="left"/>
              <w:rPr>
                <w:rFonts w:hint="eastAsia" w:ascii="宋体" w:hAnsi="宋体" w:eastAsia="宋体" w:cs="宋体"/>
                <w:color w:val="auto"/>
                <w:kern w:val="0"/>
                <w:sz w:val="21"/>
                <w:szCs w:val="21"/>
                <w:highlight w:val="none"/>
              </w:rPr>
            </w:pP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小便器</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《小便器用水效率限定值及用水效率等级》（GB28377）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224"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★A060806水嘴</w:t>
            </w: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《水嘴用水效率限定值及用水效率等级》（GB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224"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A060807便器冲洗阀</w:t>
            </w: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《便器冲洗阀用水效率限定值及用水效率等级》（GB28379）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224"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A060810淋浴器</w:t>
            </w:r>
          </w:p>
        </w:tc>
        <w:tc>
          <w:tcPr>
            <w:tcW w:w="1408"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《淋浴器用水效率限定值及用水效率等级》（GB28378）</w:t>
            </w:r>
          </w:p>
        </w:tc>
      </w:tr>
    </w:tbl>
    <w:p>
      <w:pPr>
        <w:pStyle w:val="36"/>
        <w:spacing w:line="360" w:lineRule="auto"/>
        <w:rPr>
          <w:rFonts w:ascii="宋体" w:hAnsi="宋体" w:cs="宋体"/>
          <w:color w:val="auto"/>
          <w:szCs w:val="21"/>
          <w:highlight w:val="none"/>
        </w:rPr>
      </w:pPr>
    </w:p>
    <w:p>
      <w:pPr>
        <w:pStyle w:val="36"/>
        <w:spacing w:line="360" w:lineRule="auto"/>
        <w:rPr>
          <w:rFonts w:ascii="宋体" w:hAnsi="宋体" w:cs="宋体"/>
          <w:color w:val="auto"/>
          <w:szCs w:val="21"/>
          <w:highlight w:val="none"/>
        </w:rPr>
      </w:pPr>
      <w:r>
        <w:rPr>
          <w:rFonts w:hint="eastAsia" w:ascii="宋体" w:hAnsi="宋体" w:cs="宋体"/>
          <w:color w:val="auto"/>
          <w:szCs w:val="21"/>
          <w:highlight w:val="none"/>
        </w:rPr>
        <w:t>注：1.节能产品认证应依据相关国家标准的最新版本，依据国家标准中二级能效（水效）指标。</w:t>
      </w:r>
    </w:p>
    <w:p>
      <w:pPr>
        <w:pStyle w:val="36"/>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pPr>
        <w:pStyle w:val="42"/>
        <w:jc w:val="left"/>
        <w:rPr>
          <w:rFonts w:hAnsi="宋体" w:cs="宋体"/>
          <w:color w:val="auto"/>
          <w:highlight w:val="none"/>
        </w:rPr>
      </w:pPr>
      <w:r>
        <w:rPr>
          <w:rFonts w:hint="eastAsia" w:hAnsi="宋体" w:cs="宋体"/>
          <w:color w:val="auto"/>
          <w:highlight w:val="none"/>
        </w:rPr>
        <w:br w:type="page"/>
      </w:r>
      <w:r>
        <w:rPr>
          <w:rFonts w:hint="eastAsia" w:hAnsi="宋体" w:cs="宋体"/>
          <w:b/>
          <w:bCs/>
          <w:color w:val="auto"/>
          <w:sz w:val="32"/>
          <w:szCs w:val="32"/>
          <w:highlight w:val="none"/>
        </w:rPr>
        <w:t>附件</w:t>
      </w:r>
      <w:r>
        <w:rPr>
          <w:rFonts w:hint="eastAsia" w:hAnsi="宋体" w:cs="宋体"/>
          <w:b/>
          <w:bCs/>
          <w:color w:val="auto"/>
          <w:sz w:val="32"/>
          <w:szCs w:val="32"/>
          <w:highlight w:val="none"/>
          <w:lang w:val="en-US" w:eastAsia="zh-CN"/>
        </w:rPr>
        <w:t>3</w:t>
      </w:r>
      <w:r>
        <w:rPr>
          <w:rFonts w:hint="eastAsia" w:hAnsi="宋体" w:cs="宋体"/>
          <w:b/>
          <w:bCs/>
          <w:color w:val="auto"/>
          <w:sz w:val="32"/>
          <w:szCs w:val="32"/>
          <w:highlight w:val="none"/>
        </w:rPr>
        <w:t>：</w:t>
      </w:r>
    </w:p>
    <w:p>
      <w:pPr>
        <w:spacing w:line="528" w:lineRule="exact"/>
        <w:ind w:left="1871" w:firstLine="803" w:firstLineChars="200"/>
      </w:pPr>
      <w:r>
        <w:rPr>
          <w:rFonts w:hint="eastAsia" w:ascii="宋体" w:hAnsi="宋体" w:cs="宋体"/>
          <w:b/>
          <w:bCs/>
          <w:color w:val="auto"/>
          <w:sz w:val="40"/>
          <w:szCs w:val="40"/>
          <w:highlight w:val="none"/>
        </w:rPr>
        <w:t>中小微企业划型标准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shd w:val="clear" w:color="auto" w:fill="auto"/>
            <w:vAlign w:val="center"/>
          </w:tcPr>
          <w:p>
            <w:pPr>
              <w:widowControl/>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rPr>
              <w:t>计量</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125" w:type="dxa"/>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农、林、牧、渔业</w:t>
            </w: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工业 *</w:t>
            </w: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center"/>
              <w:rPr>
                <w:rFonts w:hint="eastAsia" w:ascii="宋体" w:hAnsi="宋体" w:eastAsia="宋体" w:cs="宋体"/>
                <w:color w:val="000000"/>
                <w:kern w:val="0"/>
                <w:sz w:val="21"/>
                <w:szCs w:val="21"/>
              </w:rPr>
            </w:pPr>
          </w:p>
        </w:tc>
        <w:tc>
          <w:tcPr>
            <w:tcW w:w="1369" w:type="dxa"/>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建筑业</w:t>
            </w: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center"/>
              <w:rPr>
                <w:rFonts w:hint="eastAsia" w:ascii="宋体" w:hAnsi="宋体" w:eastAsia="宋体" w:cs="宋体"/>
                <w:color w:val="000000"/>
                <w:kern w:val="0"/>
                <w:sz w:val="21"/>
                <w:szCs w:val="21"/>
              </w:rPr>
            </w:pPr>
          </w:p>
        </w:tc>
        <w:tc>
          <w:tcPr>
            <w:tcW w:w="1369" w:type="dxa"/>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批发业</w:t>
            </w: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center"/>
              <w:rPr>
                <w:rFonts w:hint="eastAsia" w:ascii="宋体" w:hAnsi="宋体" w:eastAsia="宋体" w:cs="宋体"/>
                <w:color w:val="000000"/>
                <w:kern w:val="0"/>
                <w:sz w:val="21"/>
                <w:szCs w:val="21"/>
              </w:rPr>
            </w:pPr>
          </w:p>
        </w:tc>
        <w:tc>
          <w:tcPr>
            <w:tcW w:w="1369" w:type="dxa"/>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零售业</w:t>
            </w: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center"/>
              <w:rPr>
                <w:rFonts w:hint="eastAsia" w:ascii="宋体" w:hAnsi="宋体" w:eastAsia="宋体" w:cs="宋体"/>
                <w:color w:val="000000"/>
                <w:kern w:val="0"/>
                <w:sz w:val="21"/>
                <w:szCs w:val="21"/>
              </w:rPr>
            </w:pPr>
          </w:p>
        </w:tc>
        <w:tc>
          <w:tcPr>
            <w:tcW w:w="1369" w:type="dxa"/>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交通运输业 *</w:t>
            </w: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center"/>
              <w:rPr>
                <w:rFonts w:hint="eastAsia" w:ascii="宋体" w:hAnsi="宋体" w:eastAsia="宋体" w:cs="宋体"/>
                <w:color w:val="000000"/>
                <w:kern w:val="0"/>
                <w:sz w:val="21"/>
                <w:szCs w:val="21"/>
              </w:rPr>
            </w:pPr>
          </w:p>
        </w:tc>
        <w:tc>
          <w:tcPr>
            <w:tcW w:w="1369" w:type="dxa"/>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仓储业*</w:t>
            </w: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center"/>
              <w:rPr>
                <w:rFonts w:hint="eastAsia" w:ascii="宋体" w:hAnsi="宋体" w:eastAsia="宋体" w:cs="宋体"/>
                <w:color w:val="000000"/>
                <w:kern w:val="0"/>
                <w:sz w:val="21"/>
                <w:szCs w:val="21"/>
              </w:rPr>
            </w:pPr>
          </w:p>
        </w:tc>
        <w:tc>
          <w:tcPr>
            <w:tcW w:w="1369" w:type="dxa"/>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邮政业</w:t>
            </w: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center"/>
              <w:rPr>
                <w:rFonts w:hint="eastAsia" w:ascii="宋体" w:hAnsi="宋体" w:eastAsia="宋体" w:cs="宋体"/>
                <w:color w:val="000000"/>
                <w:kern w:val="0"/>
                <w:sz w:val="21"/>
                <w:szCs w:val="21"/>
              </w:rPr>
            </w:pPr>
          </w:p>
        </w:tc>
        <w:tc>
          <w:tcPr>
            <w:tcW w:w="1369" w:type="dxa"/>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住宿业</w:t>
            </w: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center"/>
              <w:rPr>
                <w:rFonts w:hint="eastAsia" w:ascii="宋体" w:hAnsi="宋体" w:eastAsia="宋体" w:cs="宋体"/>
                <w:color w:val="000000"/>
                <w:kern w:val="0"/>
                <w:sz w:val="21"/>
                <w:szCs w:val="21"/>
              </w:rPr>
            </w:pPr>
          </w:p>
        </w:tc>
        <w:tc>
          <w:tcPr>
            <w:tcW w:w="1369" w:type="dxa"/>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餐饮业</w:t>
            </w: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center"/>
              <w:rPr>
                <w:rFonts w:hint="eastAsia" w:ascii="宋体" w:hAnsi="宋体" w:eastAsia="宋体" w:cs="宋体"/>
                <w:color w:val="000000"/>
                <w:kern w:val="0"/>
                <w:sz w:val="21"/>
                <w:szCs w:val="21"/>
              </w:rPr>
            </w:pPr>
          </w:p>
        </w:tc>
        <w:tc>
          <w:tcPr>
            <w:tcW w:w="1369" w:type="dxa"/>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信息传输业 *</w:t>
            </w: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center"/>
              <w:rPr>
                <w:rFonts w:hint="eastAsia" w:ascii="宋体" w:hAnsi="宋体" w:eastAsia="宋体" w:cs="宋体"/>
                <w:color w:val="000000"/>
                <w:kern w:val="0"/>
                <w:sz w:val="21"/>
                <w:szCs w:val="21"/>
              </w:rPr>
            </w:pPr>
          </w:p>
        </w:tc>
        <w:tc>
          <w:tcPr>
            <w:tcW w:w="1369" w:type="dxa"/>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pPr>
              <w:widowControl/>
              <w:spacing w:line="240" w:lineRule="exact"/>
              <w:jc w:val="center"/>
              <w:rPr>
                <w:rFonts w:hint="eastAsia" w:ascii="宋体" w:hAnsi="宋体" w:eastAsia="宋体" w:cs="宋体"/>
                <w:color w:val="000000"/>
                <w:spacing w:val="-12"/>
                <w:kern w:val="0"/>
                <w:sz w:val="21"/>
                <w:szCs w:val="21"/>
              </w:rPr>
            </w:pPr>
            <w:r>
              <w:rPr>
                <w:rFonts w:hint="eastAsia" w:ascii="宋体" w:hAnsi="宋体" w:eastAsia="宋体" w:cs="宋体"/>
                <w:color w:val="000000"/>
                <w:spacing w:val="-12"/>
                <w:kern w:val="0"/>
                <w:sz w:val="21"/>
                <w:szCs w:val="21"/>
              </w:rPr>
              <w:t>软件和信息技术服</w:t>
            </w:r>
            <w:r>
              <w:rPr>
                <w:rFonts w:hint="eastAsia" w:ascii="宋体" w:hAnsi="宋体" w:eastAsia="宋体" w:cs="宋体"/>
                <w:color w:val="000000"/>
                <w:kern w:val="0"/>
                <w:sz w:val="21"/>
                <w:szCs w:val="21"/>
              </w:rPr>
              <w:t>务业</w:t>
            </w: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center"/>
              <w:rPr>
                <w:rFonts w:hint="eastAsia" w:ascii="宋体" w:hAnsi="宋体" w:eastAsia="宋体" w:cs="宋体"/>
                <w:color w:val="000000"/>
                <w:spacing w:val="-12"/>
                <w:kern w:val="0"/>
                <w:sz w:val="21"/>
                <w:szCs w:val="21"/>
              </w:rPr>
            </w:pP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房地产开发经营</w:t>
            </w: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center"/>
              <w:rPr>
                <w:rFonts w:hint="eastAsia" w:ascii="宋体" w:hAnsi="宋体" w:eastAsia="宋体" w:cs="宋体"/>
                <w:color w:val="000000"/>
                <w:kern w:val="0"/>
                <w:sz w:val="21"/>
                <w:szCs w:val="21"/>
              </w:rPr>
            </w:pPr>
          </w:p>
        </w:tc>
        <w:tc>
          <w:tcPr>
            <w:tcW w:w="1369" w:type="dxa"/>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物业管理</w:t>
            </w: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center"/>
              <w:rPr>
                <w:rFonts w:hint="eastAsia" w:ascii="宋体" w:hAnsi="宋体" w:eastAsia="宋体" w:cs="宋体"/>
                <w:color w:val="000000"/>
                <w:kern w:val="0"/>
                <w:sz w:val="21"/>
                <w:szCs w:val="21"/>
              </w:rPr>
            </w:pPr>
          </w:p>
        </w:tc>
        <w:tc>
          <w:tcPr>
            <w:tcW w:w="1369" w:type="dxa"/>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租赁和商务服务业</w:t>
            </w: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center"/>
              <w:rPr>
                <w:rFonts w:hint="eastAsia" w:ascii="宋体" w:hAnsi="宋体" w:eastAsia="宋体" w:cs="宋体"/>
                <w:color w:val="000000"/>
                <w:kern w:val="0"/>
                <w:sz w:val="21"/>
                <w:szCs w:val="21"/>
              </w:rPr>
            </w:pPr>
          </w:p>
        </w:tc>
        <w:tc>
          <w:tcPr>
            <w:tcW w:w="1369" w:type="dxa"/>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其他未列明行业 *</w:t>
            </w: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pStyle w:val="42"/>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cs="宋体"/>
          <w:color w:val="auto"/>
          <w:szCs w:val="21"/>
          <w:highlight w:val="none"/>
        </w:rPr>
      </w:pPr>
      <w:r>
        <w:rPr>
          <w:rFonts w:hint="eastAsia" w:ascii="宋体" w:hAnsi="宋体" w:cs="宋体"/>
          <w:color w:val="auto"/>
          <w:szCs w:val="21"/>
          <w:highlight w:val="none"/>
        </w:rPr>
        <w:t>说明：</w:t>
      </w:r>
      <w:bookmarkStart w:id="39" w:name="_Toc80092992"/>
      <w:bookmarkEnd w:id="39"/>
      <w:bookmarkStart w:id="40" w:name="_Toc532545044"/>
      <w:bookmarkEnd w:id="40"/>
    </w:p>
    <w:p>
      <w:pPr>
        <w:pStyle w:val="42"/>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cs="宋体"/>
          <w:color w:val="auto"/>
          <w:szCs w:val="21"/>
          <w:highlight w:val="none"/>
        </w:rPr>
      </w:pPr>
      <w:r>
        <w:rPr>
          <w:rFonts w:hint="eastAsia" w:ascii="宋体" w:hAnsi="宋体" w:cs="宋体"/>
          <w:color w:val="auto"/>
          <w:szCs w:val="21"/>
          <w:highlight w:val="none"/>
        </w:rPr>
        <w:t>　　1.大型、中型和小型企业须同时满足所列指标的下限，否则下划一档；微型企业只须满足所列指标中的一项即可。</w:t>
      </w:r>
    </w:p>
    <w:p>
      <w:pPr>
        <w:pStyle w:val="42"/>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cs="宋体"/>
          <w:color w:val="auto"/>
          <w:szCs w:val="21"/>
          <w:highlight w:val="none"/>
        </w:rPr>
      </w:pPr>
      <w:r>
        <w:rPr>
          <w:rFonts w:hint="eastAsia" w:ascii="宋体" w:hAnsi="宋体" w:cs="宋体"/>
          <w:color w:val="auto"/>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42"/>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cs="宋体"/>
          <w:color w:val="auto"/>
          <w:szCs w:val="21"/>
          <w:highlight w:val="none"/>
        </w:rPr>
      </w:pPr>
      <w:r>
        <w:rPr>
          <w:rFonts w:hint="eastAsia" w:ascii="宋体" w:hAnsi="宋体" w:cs="宋体"/>
          <w:color w:val="auto"/>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rPr>
          <w:rFonts w:hint="eastAsia" w:hAnsi="宋体" w:cs="宋体"/>
          <w:b/>
          <w:color w:val="auto"/>
          <w:sz w:val="36"/>
          <w:highlight w:val="none"/>
        </w:rPr>
      </w:pPr>
      <w:r>
        <w:rPr>
          <w:rFonts w:hint="eastAsia" w:hAnsi="宋体" w:cs="宋体"/>
          <w:b/>
          <w:color w:val="auto"/>
          <w:sz w:val="36"/>
          <w:highlight w:val="none"/>
        </w:rPr>
        <w:br w:type="page"/>
      </w:r>
    </w:p>
    <w:p>
      <w:pPr>
        <w:pStyle w:val="42"/>
        <w:jc w:val="center"/>
        <w:outlineLvl w:val="0"/>
        <w:rPr>
          <w:rFonts w:hAnsi="宋体" w:cs="宋体"/>
          <w:b/>
          <w:color w:val="auto"/>
          <w:sz w:val="36"/>
          <w:highlight w:val="none"/>
        </w:rPr>
      </w:pPr>
      <w:r>
        <w:rPr>
          <w:rFonts w:hint="eastAsia" w:hAnsi="宋体" w:cs="宋体"/>
          <w:b/>
          <w:color w:val="auto"/>
          <w:sz w:val="36"/>
          <w:highlight w:val="none"/>
        </w:rPr>
        <w:t>第三章  投标人须知</w:t>
      </w:r>
    </w:p>
    <w:p>
      <w:pPr>
        <w:pStyle w:val="42"/>
        <w:spacing w:line="720" w:lineRule="auto"/>
        <w:jc w:val="center"/>
        <w:outlineLvl w:val="1"/>
        <w:rPr>
          <w:rFonts w:hAnsi="宋体" w:cs="宋体"/>
          <w:b/>
          <w:color w:val="auto"/>
          <w:sz w:val="30"/>
          <w:szCs w:val="30"/>
          <w:highlight w:val="none"/>
        </w:rPr>
      </w:pPr>
      <w:bookmarkStart w:id="41" w:name="_Toc80092993"/>
      <w:bookmarkEnd w:id="41"/>
      <w:r>
        <w:rPr>
          <w:rFonts w:hint="eastAsia" w:hAnsi="宋体" w:cs="宋体"/>
          <w:b/>
          <w:color w:val="auto"/>
          <w:sz w:val="30"/>
          <w:szCs w:val="30"/>
          <w:highlight w:val="none"/>
        </w:rPr>
        <w:t>第一节 投标人须知前附表</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2268" w:type="dxa"/>
            <w:vAlign w:val="center"/>
          </w:tcPr>
          <w:p>
            <w:pPr>
              <w:snapToGrid w:val="0"/>
              <w:spacing w:line="460" w:lineRule="exact"/>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6976" w:type="dxa"/>
            <w:vAlign w:val="center"/>
          </w:tcPr>
          <w:p>
            <w:pPr>
              <w:snapToGrid w:val="0"/>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6.1</w:t>
            </w:r>
          </w:p>
        </w:tc>
        <w:tc>
          <w:tcPr>
            <w:tcW w:w="2268" w:type="dxa"/>
            <w:vAlign w:val="center"/>
          </w:tcPr>
          <w:p>
            <w:pPr>
              <w:spacing w:line="460" w:lineRule="exact"/>
              <w:jc w:val="center"/>
              <w:rPr>
                <w:rFonts w:ascii="宋体" w:hAnsi="宋体" w:cs="宋体"/>
                <w:color w:val="auto"/>
                <w:szCs w:val="21"/>
                <w:highlight w:val="none"/>
              </w:rPr>
            </w:pPr>
            <w:bookmarkStart w:id="42" w:name="_9.2"/>
            <w:bookmarkEnd w:id="42"/>
            <w:bookmarkStart w:id="43" w:name="_8.1"/>
            <w:bookmarkEnd w:id="43"/>
            <w:bookmarkStart w:id="44" w:name="_5"/>
            <w:bookmarkEnd w:id="44"/>
            <w:r>
              <w:rPr>
                <w:rFonts w:hint="eastAsia" w:ascii="宋体" w:hAnsi="宋体" w:cs="宋体"/>
                <w:color w:val="auto"/>
                <w:szCs w:val="21"/>
                <w:highlight w:val="none"/>
              </w:rPr>
              <w:t>是否接受联合体投标</w:t>
            </w:r>
          </w:p>
        </w:tc>
        <w:tc>
          <w:tcPr>
            <w:tcW w:w="6976" w:type="dxa"/>
            <w:vAlign w:val="center"/>
          </w:tcPr>
          <w:p>
            <w:pPr>
              <w:pStyle w:val="32"/>
              <w:spacing w:line="460" w:lineRule="exact"/>
              <w:rPr>
                <w:rFonts w:ascii="宋体" w:hAnsi="宋体" w:cs="宋体"/>
                <w:color w:val="auto"/>
                <w:szCs w:val="21"/>
                <w:highlight w:val="none"/>
              </w:rPr>
            </w:pPr>
            <w:bookmarkStart w:id="45" w:name="PO_3000001866_PM007"/>
            <w:bookmarkEnd w:id="45"/>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允许联合体投标。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6.2</w:t>
            </w:r>
          </w:p>
        </w:tc>
        <w:tc>
          <w:tcPr>
            <w:tcW w:w="2268"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6976" w:type="dxa"/>
            <w:vAlign w:val="center"/>
          </w:tcPr>
          <w:p>
            <w:pPr>
              <w:pStyle w:val="32"/>
              <w:spacing w:line="46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2268"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6976" w:type="dxa"/>
            <w:vAlign w:val="center"/>
          </w:tcPr>
          <w:p>
            <w:pPr>
              <w:pStyle w:val="32"/>
              <w:spacing w:line="460" w:lineRule="exact"/>
              <w:rPr>
                <w:rFonts w:ascii="宋体" w:hAnsi="宋体" w:cs="宋体"/>
                <w:color w:val="auto"/>
                <w:szCs w:val="21"/>
                <w:highlight w:val="none"/>
              </w:rPr>
            </w:pPr>
            <w:r>
              <w:rPr>
                <w:rFonts w:hint="eastAsia" w:ascii="宋体" w:hAnsi="宋体" w:cs="宋体"/>
                <w:color w:val="auto"/>
                <w:szCs w:val="21"/>
                <w:highlight w:val="none"/>
                <w:lang w:eastAsia="zh-CN"/>
              </w:rPr>
              <w:sym w:font="Wingdings 2" w:char="0052"/>
            </w:r>
            <w:r>
              <w:rPr>
                <w:rFonts w:hint="eastAsia" w:ascii="宋体" w:hAnsi="宋体" w:cs="宋体"/>
                <w:color w:val="auto"/>
                <w:szCs w:val="21"/>
                <w:highlight w:val="none"/>
              </w:rPr>
              <w:t>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268"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媒体发布渠道</w:t>
            </w:r>
          </w:p>
        </w:tc>
        <w:tc>
          <w:tcPr>
            <w:tcW w:w="6976" w:type="dxa"/>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11.6</w:t>
            </w:r>
          </w:p>
        </w:tc>
        <w:tc>
          <w:tcPr>
            <w:tcW w:w="2268"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6976" w:type="dxa"/>
            <w:vAlign w:val="center"/>
          </w:tcPr>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不组织召开开标前答疑会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268" w:type="dxa"/>
            <w:vAlign w:val="center"/>
          </w:tcPr>
          <w:p>
            <w:pPr>
              <w:snapToGrid w:val="0"/>
              <w:spacing w:line="460" w:lineRule="exact"/>
              <w:jc w:val="center"/>
              <w:rPr>
                <w:rFonts w:ascii="宋体" w:hAnsi="宋体" w:cs="宋体"/>
                <w:color w:val="auto"/>
                <w:szCs w:val="21"/>
                <w:highlight w:val="none"/>
              </w:rPr>
            </w:pPr>
            <w:bookmarkStart w:id="46" w:name="_13.2"/>
            <w:bookmarkEnd w:id="46"/>
            <w:r>
              <w:rPr>
                <w:rFonts w:hint="eastAsia" w:ascii="宋体" w:hAnsi="宋体" w:cs="宋体"/>
                <w:color w:val="auto"/>
                <w:szCs w:val="21"/>
                <w:highlight w:val="none"/>
              </w:rPr>
              <w:t>资格证明文件组成</w:t>
            </w:r>
          </w:p>
        </w:tc>
        <w:tc>
          <w:tcPr>
            <w:tcW w:w="6976" w:type="dxa"/>
            <w:vAlign w:val="center"/>
          </w:tcPr>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85"/>
                <w:rFonts w:hint="eastAsia" w:cs="宋体"/>
                <w:color w:val="auto"/>
                <w:sz w:val="21"/>
                <w:szCs w:val="21"/>
                <w:highlight w:val="none"/>
              </w:rPr>
              <w:t>执业许可证</w:t>
            </w:r>
            <w:r>
              <w:rPr>
                <w:rFonts w:hint="eastAsia" w:ascii="宋体" w:hAnsi="宋体" w:cs="宋体"/>
                <w:color w:val="auto"/>
                <w:szCs w:val="21"/>
                <w:highlight w:val="none"/>
              </w:rPr>
              <w:t>等），投标人为自然人的，提供身份证复印件。</w:t>
            </w:r>
            <w:r>
              <w:rPr>
                <w:rFonts w:hint="eastAsia" w:ascii="宋体" w:hAnsi="宋体" w:cs="宋体"/>
                <w:b/>
                <w:bCs/>
                <w:color w:val="auto"/>
                <w:szCs w:val="21"/>
                <w:highlight w:val="none"/>
              </w:rPr>
              <w:t>（必须提供，否则作无效投标处理）</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2、投标人依法缴纳税收的相关材料[响应文件截止之日止半年内任意连续三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bCs/>
                <w:color w:val="auto"/>
                <w:szCs w:val="21"/>
                <w:highlight w:val="none"/>
              </w:rPr>
              <w:t>（必须提供，否则作无效投标处理）</w:t>
            </w:r>
          </w:p>
          <w:p>
            <w:pPr>
              <w:snapToGrid w:val="0"/>
              <w:spacing w:line="460" w:lineRule="exact"/>
              <w:jc w:val="left"/>
              <w:rPr>
                <w:rFonts w:hint="eastAsia" w:ascii="宋体" w:hAnsi="宋体" w:cs="宋体"/>
                <w:b/>
                <w:bCs/>
                <w:color w:val="auto"/>
                <w:szCs w:val="21"/>
                <w:highlight w:val="none"/>
              </w:rPr>
            </w:pPr>
            <w:r>
              <w:rPr>
                <w:rFonts w:hint="eastAsia" w:ascii="宋体" w:hAnsi="宋体" w:cs="宋体"/>
                <w:color w:val="auto"/>
                <w:szCs w:val="21"/>
                <w:highlight w:val="none"/>
              </w:rPr>
              <w:t>3、投标人依法缴纳社会保障资金的相关材料[响应文件截止之日止半年内任意连续</w:t>
            </w:r>
            <w:r>
              <w:rPr>
                <w:rFonts w:hint="eastAsia" w:ascii="宋体" w:hAnsi="宋体" w:cs="宋体"/>
                <w:color w:val="auto"/>
                <w:szCs w:val="21"/>
                <w:highlight w:val="none"/>
                <w:u w:val="none"/>
              </w:rPr>
              <w:t>三</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bCs/>
                <w:color w:val="auto"/>
                <w:szCs w:val="21"/>
                <w:highlight w:val="none"/>
              </w:rPr>
              <w:t>（必须提供，否则作无效投标处理）</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4、投标人财务状况报告：[</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2或2023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经第三方审计的</w:t>
            </w:r>
            <w:r>
              <w:rPr>
                <w:rFonts w:hint="eastAsia" w:ascii="宋体" w:hAnsi="宋体" w:cs="宋体"/>
                <w:color w:val="auto"/>
                <w:szCs w:val="21"/>
                <w:highlight w:val="none"/>
              </w:rPr>
              <w:t>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bCs/>
                <w:color w:val="auto"/>
                <w:szCs w:val="21"/>
                <w:highlight w:val="none"/>
              </w:rPr>
              <w:t>（必须提供，否则作无效投标处理）</w:t>
            </w:r>
          </w:p>
          <w:p>
            <w:pPr>
              <w:snapToGrid w:val="0"/>
              <w:spacing w:line="460" w:lineRule="exact"/>
              <w:jc w:val="left"/>
              <w:rPr>
                <w:rFonts w:hint="eastAsia" w:ascii="宋体" w:hAnsi="宋体" w:cs="宋体"/>
                <w:b/>
                <w:bCs/>
                <w:color w:val="auto"/>
                <w:szCs w:val="21"/>
                <w:highlight w:val="none"/>
              </w:rPr>
            </w:pPr>
            <w:r>
              <w:rPr>
                <w:rFonts w:hint="eastAsia" w:ascii="宋体" w:hAnsi="宋体" w:cs="宋体"/>
                <w:color w:val="auto"/>
                <w:szCs w:val="21"/>
                <w:highlight w:val="none"/>
              </w:rPr>
              <w:t>5、投标人直接控股、管理关系信息表。</w:t>
            </w:r>
            <w:r>
              <w:rPr>
                <w:rFonts w:hint="eastAsia" w:ascii="宋体" w:hAnsi="宋体" w:cs="宋体"/>
                <w:b/>
                <w:bCs/>
                <w:color w:val="auto"/>
                <w:szCs w:val="21"/>
                <w:highlight w:val="none"/>
              </w:rPr>
              <w:t>（必须提供，否则作无效投标处理）</w:t>
            </w:r>
          </w:p>
          <w:p>
            <w:pPr>
              <w:numPr>
                <w:ilvl w:val="0"/>
                <w:numId w:val="0"/>
              </w:numPr>
              <w:snapToGrid w:val="0"/>
              <w:spacing w:line="460" w:lineRule="exact"/>
              <w:ind w:left="360" w:leftChars="0" w:hanging="360" w:firstLineChars="0"/>
              <w:jc w:val="left"/>
              <w:rPr>
                <w:rFonts w:ascii="宋体" w:hAnsi="宋体" w:cs="宋体"/>
                <w:color w:val="auto"/>
                <w:szCs w:val="21"/>
                <w:highlight w:val="none"/>
              </w:rPr>
            </w:pPr>
            <w:r>
              <w:rPr>
                <w:rFonts w:ascii="宋体" w:hAnsi="宋体" w:eastAsia="宋体" w:cs="宋体"/>
                <w:color w:val="auto"/>
                <w:kern w:val="2"/>
                <w:sz w:val="21"/>
                <w:szCs w:val="21"/>
                <w:lang w:val="en-US" w:eastAsia="zh-CN" w:bidi="ar-SA"/>
              </w:rPr>
              <w:t>6、</w:t>
            </w:r>
            <w:r>
              <w:rPr>
                <w:rFonts w:hint="eastAsia" w:ascii="宋体" w:hAnsi="宋体" w:cs="宋体"/>
                <w:color w:val="auto"/>
                <w:szCs w:val="21"/>
                <w:highlight w:val="none"/>
              </w:rPr>
              <w:t>投标资格声明。</w:t>
            </w:r>
            <w:r>
              <w:rPr>
                <w:rFonts w:hint="eastAsia" w:ascii="宋体" w:hAnsi="宋体" w:cs="宋体"/>
                <w:b/>
                <w:bCs/>
                <w:color w:val="auto"/>
                <w:szCs w:val="21"/>
                <w:highlight w:val="none"/>
              </w:rPr>
              <w:t>（必须提供，否则作无效投标处理）</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、中小企业声明函或残疾人福利性单位声明函或监狱企业证明。</w:t>
            </w:r>
            <w:r>
              <w:rPr>
                <w:rFonts w:hint="eastAsia" w:ascii="宋体" w:hAnsi="宋体" w:cs="宋体"/>
                <w:b/>
                <w:bCs/>
                <w:color w:val="auto"/>
                <w:szCs w:val="21"/>
                <w:highlight w:val="none"/>
              </w:rPr>
              <w:t>（必须提供，否则作无效投标处理）</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.联合体协议书；（</w:t>
            </w:r>
            <w:r>
              <w:rPr>
                <w:rFonts w:hint="eastAsia" w:ascii="宋体" w:hAnsi="宋体" w:cs="宋体"/>
                <w:b/>
                <w:color w:val="auto"/>
                <w:szCs w:val="21"/>
                <w:highlight w:val="none"/>
              </w:rPr>
              <w:t>联合体</w:t>
            </w:r>
            <w:r>
              <w:rPr>
                <w:rFonts w:hint="eastAsia" w:ascii="宋体" w:hAnsi="宋体" w:cs="宋体"/>
                <w:b/>
                <w:color w:val="auto"/>
                <w:szCs w:val="21"/>
                <w:highlight w:val="none"/>
                <w:lang w:val="en-US" w:eastAsia="zh-CN"/>
              </w:rPr>
              <w:t>投标</w:t>
            </w:r>
            <w:r>
              <w:rPr>
                <w:rFonts w:hint="eastAsia" w:ascii="宋体" w:hAnsi="宋体" w:cs="宋体"/>
                <w:b/>
                <w:color w:val="auto"/>
                <w:szCs w:val="21"/>
                <w:highlight w:val="none"/>
              </w:rPr>
              <w:t>时必须提供，否则联合体</w:t>
            </w:r>
            <w:r>
              <w:rPr>
                <w:rFonts w:hint="eastAsia" w:ascii="宋体" w:hAnsi="宋体" w:cs="宋体"/>
                <w:b/>
                <w:color w:val="auto"/>
                <w:szCs w:val="21"/>
                <w:highlight w:val="none"/>
                <w:lang w:val="en-US" w:eastAsia="zh-CN"/>
              </w:rPr>
              <w:t>投标</w:t>
            </w:r>
            <w:r>
              <w:rPr>
                <w:rFonts w:hint="eastAsia" w:ascii="宋体" w:hAnsi="宋体" w:cs="宋体"/>
                <w:b/>
                <w:color w:val="auto"/>
                <w:szCs w:val="21"/>
                <w:highlight w:val="none"/>
              </w:rPr>
              <w:t>文件按无效</w:t>
            </w:r>
            <w:r>
              <w:rPr>
                <w:rFonts w:hint="eastAsia" w:ascii="宋体" w:hAnsi="宋体" w:cs="宋体"/>
                <w:b/>
                <w:color w:val="auto"/>
                <w:szCs w:val="21"/>
                <w:highlight w:val="none"/>
                <w:lang w:val="en-US" w:eastAsia="zh-CN"/>
              </w:rPr>
              <w:t>投标</w:t>
            </w:r>
            <w:r>
              <w:rPr>
                <w:rFonts w:hint="eastAsia" w:ascii="宋体" w:hAnsi="宋体" w:cs="宋体"/>
                <w:b/>
                <w:color w:val="auto"/>
                <w:szCs w:val="21"/>
                <w:highlight w:val="none"/>
              </w:rPr>
              <w:t>处理</w:t>
            </w:r>
            <w:r>
              <w:rPr>
                <w:rFonts w:hint="eastAsia" w:ascii="宋体" w:hAnsi="宋体" w:cs="宋体"/>
                <w:color w:val="auto"/>
                <w:szCs w:val="21"/>
                <w:highlight w:val="none"/>
              </w:rPr>
              <w:t>）</w:t>
            </w:r>
          </w:p>
          <w:p>
            <w:pPr>
              <w:pStyle w:val="3"/>
            </w:pPr>
          </w:p>
          <w:p>
            <w:pPr>
              <w:snapToGrid w:val="0"/>
              <w:spacing w:line="460" w:lineRule="exact"/>
              <w:jc w:val="left"/>
              <w:rPr>
                <w:rFonts w:ascii="宋体" w:hAnsi="宋体" w:cs="宋体"/>
                <w:b/>
                <w:bCs/>
                <w:color w:val="auto"/>
                <w:szCs w:val="21"/>
                <w:highlight w:val="none"/>
              </w:rPr>
            </w:pPr>
            <w:r>
              <w:rPr>
                <w:rFonts w:hint="eastAsia" w:ascii="宋体" w:hAnsi="宋体" w:cs="宋体"/>
                <w:b/>
                <w:bCs/>
                <w:color w:val="auto"/>
                <w:szCs w:val="21"/>
                <w:highlight w:val="none"/>
              </w:rPr>
              <w:t>注：</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60" w:lineRule="exact"/>
              <w:jc w:val="center"/>
              <w:rPr>
                <w:rFonts w:ascii="宋体" w:hAnsi="宋体" w:cs="宋体"/>
                <w:color w:val="auto"/>
                <w:szCs w:val="21"/>
                <w:highlight w:val="none"/>
              </w:rPr>
            </w:pPr>
          </w:p>
        </w:tc>
        <w:tc>
          <w:tcPr>
            <w:tcW w:w="2268" w:type="dxa"/>
            <w:vAlign w:val="center"/>
          </w:tcPr>
          <w:p>
            <w:pPr>
              <w:snapToGrid w:val="0"/>
              <w:spacing w:line="460" w:lineRule="exact"/>
              <w:jc w:val="center"/>
              <w:rPr>
                <w:rFonts w:ascii="宋体" w:hAnsi="宋体" w:cs="宋体"/>
                <w:color w:val="auto"/>
                <w:szCs w:val="21"/>
                <w:highlight w:val="none"/>
              </w:rPr>
            </w:pPr>
            <w:bookmarkStart w:id="47" w:name="_13.3"/>
            <w:bookmarkEnd w:id="47"/>
            <w:r>
              <w:rPr>
                <w:rFonts w:hint="eastAsia" w:ascii="宋体" w:hAnsi="宋体" w:cs="宋体"/>
                <w:color w:val="auto"/>
                <w:szCs w:val="21"/>
                <w:highlight w:val="none"/>
              </w:rPr>
              <w:t>商务文件组成</w:t>
            </w:r>
          </w:p>
          <w:p>
            <w:pPr>
              <w:spacing w:line="460" w:lineRule="exact"/>
              <w:jc w:val="center"/>
              <w:rPr>
                <w:rFonts w:ascii="宋体" w:hAnsi="宋体" w:cs="宋体"/>
                <w:color w:val="auto"/>
                <w:szCs w:val="21"/>
                <w:highlight w:val="none"/>
              </w:rPr>
            </w:pPr>
          </w:p>
        </w:tc>
        <w:tc>
          <w:tcPr>
            <w:tcW w:w="6976" w:type="dxa"/>
            <w:vAlign w:val="center"/>
          </w:tcPr>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bCs/>
                <w:color w:val="auto"/>
                <w:szCs w:val="21"/>
                <w:highlight w:val="none"/>
              </w:rPr>
              <w:t>（必须提供，否则作无效投标处理）</w:t>
            </w:r>
          </w:p>
          <w:p>
            <w:pPr>
              <w:snapToGrid w:val="0"/>
              <w:spacing w:line="460" w:lineRule="exact"/>
              <w:jc w:val="left"/>
              <w:rPr>
                <w:rFonts w:hint="eastAsia" w:ascii="宋体" w:hAnsi="宋体" w:cs="宋体"/>
                <w:b/>
                <w:bCs/>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（除自然人投标外必须提供，否则作无效投标处理）</w:t>
            </w:r>
          </w:p>
          <w:p>
            <w:pPr>
              <w:snapToGrid w:val="0"/>
              <w:spacing w:line="460" w:lineRule="exact"/>
              <w:jc w:val="left"/>
              <w:rPr>
                <w:rFonts w:hint="eastAsia" w:ascii="宋体" w:hAnsi="宋体" w:cs="宋体"/>
                <w:b/>
                <w:bCs/>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bCs/>
                <w:color w:val="auto"/>
                <w:szCs w:val="21"/>
                <w:highlight w:val="none"/>
              </w:rPr>
              <w:t>（委托时必须提供，否则作无效投标处理）</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bCs/>
                <w:color w:val="auto"/>
                <w:szCs w:val="21"/>
                <w:highlight w:val="none"/>
              </w:rPr>
              <w:t>（必须提供，否则作无效投标处理）</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5、投标人情况介绍；</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6、售后服务方案；</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7、投标人类似业绩的</w:t>
            </w:r>
            <w:r>
              <w:rPr>
                <w:rFonts w:hint="eastAsia" w:ascii="宋体" w:hAnsi="宋体" w:cs="宋体"/>
                <w:color w:val="auto"/>
                <w:highlight w:val="none"/>
              </w:rPr>
              <w:t>证明文件（如有要求）；</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highlight w:val="none"/>
              </w:rPr>
              <w:t>其他商务文件或说明</w:t>
            </w:r>
            <w:r>
              <w:rPr>
                <w:rFonts w:hint="eastAsia" w:ascii="宋体" w:hAnsi="宋体" w:cs="宋体"/>
                <w:color w:val="auto"/>
                <w:szCs w:val="21"/>
                <w:highlight w:val="none"/>
              </w:rPr>
              <w:t>。</w:t>
            </w:r>
          </w:p>
          <w:p>
            <w:pPr>
              <w:snapToGrid w:val="0"/>
              <w:spacing w:line="460" w:lineRule="exact"/>
              <w:jc w:val="left"/>
              <w:rPr>
                <w:rFonts w:ascii="宋体" w:hAnsi="宋体" w:cs="宋体"/>
                <w:b/>
                <w:bCs/>
                <w:color w:val="auto"/>
                <w:szCs w:val="21"/>
                <w:highlight w:val="none"/>
              </w:rPr>
            </w:pPr>
            <w:r>
              <w:rPr>
                <w:rFonts w:hint="eastAsia" w:ascii="宋体" w:hAnsi="宋体" w:cs="宋体"/>
                <w:b/>
                <w:bCs/>
                <w:color w:val="auto"/>
                <w:szCs w:val="21"/>
                <w:highlight w:val="none"/>
              </w:rPr>
              <w:t>注：</w:t>
            </w:r>
          </w:p>
          <w:p>
            <w:pPr>
              <w:snapToGrid w:val="0"/>
              <w:spacing w:line="460" w:lineRule="exact"/>
              <w:jc w:val="left"/>
              <w:rPr>
                <w:rFonts w:ascii="宋体" w:hAnsi="宋体" w:cs="宋体"/>
                <w:b/>
                <w:bCs/>
                <w:color w:val="auto"/>
                <w:szCs w:val="21"/>
                <w:highlight w:val="none"/>
              </w:rPr>
            </w:pPr>
            <w:r>
              <w:rPr>
                <w:rFonts w:hint="eastAsia" w:ascii="宋体" w:hAnsi="宋体" w:cs="宋体"/>
                <w:b/>
                <w:bCs/>
                <w:color w:val="auto"/>
                <w:szCs w:val="21"/>
                <w:highlight w:val="none"/>
              </w:rPr>
              <w:t>1.法定代表人授权委托书必须由法定代表人及委托代理人签字，并加盖投标人公章，否则作无效投标处理。</w:t>
            </w:r>
          </w:p>
          <w:p>
            <w:pPr>
              <w:snapToGrid w:val="0"/>
              <w:spacing w:line="460" w:lineRule="exact"/>
              <w:jc w:val="left"/>
              <w:rPr>
                <w:rFonts w:ascii="宋体" w:hAnsi="宋体" w:cs="宋体"/>
                <w:b/>
                <w:bCs/>
                <w:color w:val="auto"/>
                <w:szCs w:val="21"/>
                <w:highlight w:val="none"/>
              </w:rPr>
            </w:pPr>
            <w:r>
              <w:rPr>
                <w:rFonts w:hint="eastAsia" w:ascii="宋体" w:hAnsi="宋体" w:cs="宋体"/>
                <w:b/>
                <w:bCs/>
                <w:color w:val="auto"/>
                <w:szCs w:val="21"/>
                <w:highlight w:val="none"/>
              </w:rPr>
              <w:t>2.以上标明“必须提供”的材料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460" w:lineRule="exact"/>
              <w:jc w:val="center"/>
              <w:rPr>
                <w:rFonts w:ascii="宋体" w:hAnsi="宋体" w:cs="宋体"/>
                <w:color w:val="auto"/>
                <w:szCs w:val="21"/>
                <w:highlight w:val="none"/>
              </w:rPr>
            </w:pPr>
          </w:p>
        </w:tc>
        <w:tc>
          <w:tcPr>
            <w:tcW w:w="2268" w:type="dxa"/>
            <w:vAlign w:val="center"/>
          </w:tcPr>
          <w:p>
            <w:pPr>
              <w:snapToGrid w:val="0"/>
              <w:spacing w:line="460" w:lineRule="exact"/>
              <w:jc w:val="center"/>
              <w:rPr>
                <w:rFonts w:ascii="宋体" w:hAnsi="宋体" w:cs="宋体"/>
                <w:color w:val="auto"/>
                <w:szCs w:val="21"/>
                <w:highlight w:val="none"/>
              </w:rPr>
            </w:pPr>
            <w:bookmarkStart w:id="48" w:name="_13.4"/>
            <w:bookmarkEnd w:id="48"/>
            <w:r>
              <w:rPr>
                <w:rFonts w:hint="eastAsia" w:ascii="宋体" w:hAnsi="宋体" w:cs="宋体"/>
                <w:color w:val="auto"/>
                <w:szCs w:val="21"/>
                <w:highlight w:val="none"/>
              </w:rPr>
              <w:t>技术文件组成</w:t>
            </w:r>
          </w:p>
          <w:p>
            <w:pPr>
              <w:spacing w:line="460" w:lineRule="exact"/>
              <w:jc w:val="center"/>
              <w:rPr>
                <w:rFonts w:ascii="宋体" w:hAnsi="宋体" w:cs="宋体"/>
                <w:color w:val="auto"/>
                <w:szCs w:val="21"/>
                <w:highlight w:val="none"/>
              </w:rPr>
            </w:pPr>
          </w:p>
        </w:tc>
        <w:tc>
          <w:tcPr>
            <w:tcW w:w="6976" w:type="dxa"/>
            <w:vAlign w:val="center"/>
          </w:tcPr>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1、投标服务需求、技术需求偏离表；</w:t>
            </w:r>
            <w:r>
              <w:rPr>
                <w:rFonts w:hint="eastAsia" w:ascii="宋体" w:hAnsi="宋体" w:cs="宋体"/>
                <w:b/>
                <w:bCs/>
                <w:color w:val="auto"/>
                <w:szCs w:val="21"/>
                <w:highlight w:val="none"/>
              </w:rPr>
              <w:t>（必须提供，否则作无效投标处理）</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highlight w:val="none"/>
              </w:rPr>
              <w:t>对本项目的常见问题分析及对应合理化措施方案；</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3、组织实施方案；</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 xml:space="preserve">4、拟投入人员配备； </w:t>
            </w:r>
          </w:p>
          <w:p>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5、除招标文件规定必须提供以外，投标人需要说明的其他文件和说明。</w:t>
            </w:r>
          </w:p>
          <w:p>
            <w:pPr>
              <w:snapToGrid w:val="0"/>
              <w:spacing w:line="46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460" w:lineRule="exact"/>
              <w:jc w:val="center"/>
              <w:rPr>
                <w:rFonts w:ascii="宋体" w:hAnsi="宋体" w:cs="宋体"/>
                <w:color w:val="auto"/>
                <w:szCs w:val="21"/>
                <w:highlight w:val="none"/>
              </w:rPr>
            </w:pPr>
          </w:p>
        </w:tc>
        <w:tc>
          <w:tcPr>
            <w:tcW w:w="2268" w:type="dxa"/>
            <w:vAlign w:val="center"/>
          </w:tcPr>
          <w:p>
            <w:pPr>
              <w:snapToGrid w:val="0"/>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报价文件组成</w:t>
            </w:r>
          </w:p>
        </w:tc>
        <w:tc>
          <w:tcPr>
            <w:tcW w:w="6976" w:type="dxa"/>
            <w:vAlign w:val="center"/>
          </w:tcPr>
          <w:p>
            <w:pPr>
              <w:tabs>
                <w:tab w:val="left" w:pos="459"/>
              </w:tabs>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1、投标函；</w:t>
            </w:r>
            <w:r>
              <w:rPr>
                <w:rFonts w:hint="eastAsia" w:ascii="宋体" w:hAnsi="宋体" w:cs="宋体"/>
                <w:b/>
                <w:color w:val="auto"/>
                <w:szCs w:val="21"/>
                <w:highlight w:val="none"/>
              </w:rPr>
              <w:t>（必须提供，否则作无效投标处理）</w:t>
            </w:r>
          </w:p>
          <w:p>
            <w:pPr>
              <w:tabs>
                <w:tab w:val="left" w:pos="459"/>
              </w:tabs>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2、开标一览表；</w:t>
            </w:r>
            <w:r>
              <w:rPr>
                <w:rFonts w:hint="eastAsia" w:ascii="宋体" w:hAnsi="宋体" w:cs="宋体"/>
                <w:b/>
                <w:bCs/>
                <w:color w:val="auto"/>
                <w:szCs w:val="21"/>
                <w:highlight w:val="none"/>
              </w:rPr>
              <w:t>（必须提供，否则作无效投标处理）</w:t>
            </w:r>
          </w:p>
          <w:p>
            <w:pPr>
              <w:tabs>
                <w:tab w:val="left" w:pos="459"/>
              </w:tabs>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3、投标人针对报价需要说明的其他文件和说明。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268" w:type="dxa"/>
            <w:vAlign w:val="center"/>
          </w:tcPr>
          <w:p>
            <w:pPr>
              <w:spacing w:line="460" w:lineRule="exact"/>
              <w:jc w:val="center"/>
              <w:rPr>
                <w:rFonts w:ascii="宋体" w:hAnsi="宋体" w:cs="宋体"/>
                <w:color w:val="auto"/>
                <w:szCs w:val="21"/>
                <w:highlight w:val="none"/>
              </w:rPr>
            </w:pPr>
            <w:bookmarkStart w:id="49" w:name="_16.2"/>
            <w:bookmarkEnd w:id="49"/>
            <w:r>
              <w:rPr>
                <w:rFonts w:hint="eastAsia" w:ascii="宋体" w:hAnsi="宋体" w:cs="宋体"/>
                <w:color w:val="auto"/>
                <w:szCs w:val="21"/>
                <w:highlight w:val="none"/>
              </w:rPr>
              <w:t>投标报价要求</w:t>
            </w:r>
          </w:p>
        </w:tc>
        <w:tc>
          <w:tcPr>
            <w:tcW w:w="6976" w:type="dxa"/>
            <w:vAlign w:val="center"/>
          </w:tcPr>
          <w:p>
            <w:pPr>
              <w:spacing w:line="440" w:lineRule="exact"/>
              <w:ind w:right="149" w:rightChars="7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投标报价是履行合同的最终价格，必须包含满足本次投标全部采购需求所应提供的服务（1）</w:t>
            </w:r>
            <w:r>
              <w:rPr>
                <w:rFonts w:hint="eastAsia" w:ascii="宋体" w:hAnsi="宋体" w:cs="宋体"/>
                <w:b w:val="0"/>
                <w:bCs w:val="0"/>
                <w:kern w:val="0"/>
                <w:szCs w:val="21"/>
                <w:lang w:val="en-US" w:eastAsia="zh-CN" w:bidi="ar"/>
              </w:rPr>
              <w:t>服务的价格</w:t>
            </w:r>
            <w:r>
              <w:rPr>
                <w:rFonts w:hint="eastAsia" w:ascii="宋体" w:hAnsi="宋体" w:cs="宋体"/>
                <w:color w:val="auto"/>
                <w:szCs w:val="21"/>
                <w:highlight w:val="none"/>
              </w:rPr>
              <w:t>；（2）</w:t>
            </w:r>
            <w:r>
              <w:rPr>
                <w:rFonts w:hint="eastAsia" w:ascii="宋体" w:hAnsi="宋体" w:cs="宋体"/>
                <w:b w:val="0"/>
                <w:bCs w:val="0"/>
                <w:kern w:val="0"/>
                <w:szCs w:val="21"/>
                <w:lang w:val="en-US" w:eastAsia="zh-CN" w:bidi="ar"/>
              </w:rPr>
              <w:t>必要的保险费用和各项税金</w:t>
            </w:r>
            <w:r>
              <w:rPr>
                <w:rFonts w:hint="eastAsia" w:ascii="宋体" w:hAnsi="宋体" w:cs="宋体"/>
                <w:color w:val="auto"/>
                <w:szCs w:val="21"/>
                <w:highlight w:val="none"/>
              </w:rPr>
              <w:t>；（3）</w:t>
            </w:r>
            <w:r>
              <w:rPr>
                <w:rFonts w:hint="eastAsia" w:ascii="宋体" w:hAnsi="宋体" w:cs="宋体"/>
                <w:b w:val="0"/>
                <w:bCs w:val="0"/>
                <w:kern w:val="0"/>
                <w:szCs w:val="21"/>
                <w:lang w:val="en-US" w:eastAsia="zh-CN" w:bidi="ar"/>
              </w:rPr>
              <w:t>其他(如运输、装卸、安装、调试、培训、技术支持、售后服务、更新升级等费用，根据项目具体情况填写):实施和完成本项目全部服务工作所需的设备、劳务、技术服务费、交通、通讯、办公场地、税费和利润等与造价咨询服务业务有关一切费用和政策性文件规定及合同包含的所有风险、责任等各项应有的费用</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17.2</w:t>
            </w:r>
          </w:p>
        </w:tc>
        <w:tc>
          <w:tcPr>
            <w:tcW w:w="2268" w:type="dxa"/>
            <w:vAlign w:val="center"/>
          </w:tcPr>
          <w:p>
            <w:pPr>
              <w:spacing w:line="460" w:lineRule="exact"/>
              <w:jc w:val="center"/>
              <w:rPr>
                <w:rFonts w:ascii="宋体" w:hAnsi="宋体" w:cs="宋体"/>
                <w:color w:val="auto"/>
                <w:szCs w:val="21"/>
                <w:highlight w:val="none"/>
              </w:rPr>
            </w:pPr>
            <w:bookmarkStart w:id="50" w:name="_17.1"/>
            <w:bookmarkEnd w:id="50"/>
            <w:r>
              <w:rPr>
                <w:rFonts w:hint="eastAsia" w:ascii="宋体" w:hAnsi="宋体" w:cs="宋体"/>
                <w:color w:val="auto"/>
                <w:szCs w:val="21"/>
                <w:highlight w:val="none"/>
              </w:rPr>
              <w:t>投标有效期</w:t>
            </w:r>
          </w:p>
        </w:tc>
        <w:tc>
          <w:tcPr>
            <w:tcW w:w="6976" w:type="dxa"/>
            <w:vAlign w:val="center"/>
          </w:tcPr>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2268" w:type="dxa"/>
            <w:vAlign w:val="center"/>
          </w:tcPr>
          <w:p>
            <w:pPr>
              <w:spacing w:line="460" w:lineRule="exact"/>
              <w:jc w:val="center"/>
              <w:rPr>
                <w:rFonts w:ascii="宋体" w:hAnsi="宋体" w:cs="宋体"/>
                <w:color w:val="auto"/>
                <w:szCs w:val="21"/>
                <w:highlight w:val="none"/>
              </w:rPr>
            </w:pPr>
            <w:bookmarkStart w:id="51" w:name="_18"/>
            <w:bookmarkEnd w:id="51"/>
            <w:r>
              <w:rPr>
                <w:rFonts w:hint="eastAsia" w:ascii="宋体" w:hAnsi="宋体" w:cs="宋体"/>
                <w:color w:val="auto"/>
                <w:szCs w:val="21"/>
                <w:highlight w:val="none"/>
              </w:rPr>
              <w:t>投标保证金金额</w:t>
            </w:r>
          </w:p>
        </w:tc>
        <w:tc>
          <w:tcPr>
            <w:tcW w:w="6976" w:type="dxa"/>
            <w:vAlign w:val="center"/>
          </w:tcPr>
          <w:p>
            <w:pPr>
              <w:autoSpaceDE w:val="0"/>
              <w:autoSpaceDN w:val="0"/>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268"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6976" w:type="dxa"/>
            <w:vAlign w:val="center"/>
          </w:tcPr>
          <w:p>
            <w:pPr>
              <w:spacing w:line="460" w:lineRule="exact"/>
              <w:rPr>
                <w:rFonts w:ascii="宋体" w:hAnsi="宋体" w:cs="宋体"/>
                <w:color w:val="auto"/>
                <w:szCs w:val="21"/>
                <w:highlight w:val="none"/>
              </w:rPr>
            </w:pPr>
            <w:r>
              <w:rPr>
                <w:rFonts w:hint="eastAsia" w:ascii="宋体" w:hAnsi="宋体" w:cs="宋体"/>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color w:val="auto"/>
                <w:szCs w:val="21"/>
                <w:highlight w:val="none"/>
                <w:u w:val="single"/>
              </w:rPr>
              <w:t>电子版投标文件制作方式见招标公告附件。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2268"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备份投标文件</w:t>
            </w:r>
          </w:p>
        </w:tc>
        <w:tc>
          <w:tcPr>
            <w:tcW w:w="6976" w:type="dxa"/>
            <w:vAlign w:val="center"/>
          </w:tcPr>
          <w:p>
            <w:pPr>
              <w:autoSpaceDE w:val="0"/>
              <w:autoSpaceDN w:val="0"/>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21.1</w:t>
            </w:r>
          </w:p>
        </w:tc>
        <w:tc>
          <w:tcPr>
            <w:tcW w:w="2268" w:type="dxa"/>
            <w:vAlign w:val="center"/>
          </w:tcPr>
          <w:p>
            <w:pPr>
              <w:spacing w:line="460" w:lineRule="exact"/>
              <w:jc w:val="center"/>
              <w:rPr>
                <w:rFonts w:ascii="宋体" w:hAnsi="宋体" w:cs="宋体"/>
                <w:color w:val="auto"/>
                <w:szCs w:val="21"/>
                <w:highlight w:val="none"/>
              </w:rPr>
            </w:pPr>
            <w:bookmarkStart w:id="52" w:name="_21.1"/>
            <w:bookmarkEnd w:id="52"/>
            <w:r>
              <w:rPr>
                <w:rFonts w:hint="eastAsia" w:ascii="宋体" w:hAnsi="宋体" w:cs="宋体"/>
                <w:color w:val="auto"/>
                <w:szCs w:val="21"/>
                <w:highlight w:val="none"/>
              </w:rPr>
              <w:t>投标截止时间</w:t>
            </w:r>
          </w:p>
        </w:tc>
        <w:tc>
          <w:tcPr>
            <w:tcW w:w="6976" w:type="dxa"/>
            <w:vAlign w:val="center"/>
          </w:tcPr>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pPr>
              <w:spacing w:line="460" w:lineRule="exact"/>
              <w:jc w:val="center"/>
              <w:rPr>
                <w:rFonts w:ascii="宋体" w:hAnsi="宋体" w:cs="宋体"/>
                <w:color w:val="auto"/>
                <w:szCs w:val="21"/>
                <w:highlight w:val="none"/>
              </w:rPr>
            </w:pPr>
          </w:p>
        </w:tc>
        <w:tc>
          <w:tcPr>
            <w:tcW w:w="2268"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投标文件提交起止时间</w:t>
            </w:r>
          </w:p>
        </w:tc>
        <w:tc>
          <w:tcPr>
            <w:tcW w:w="6976" w:type="dxa"/>
            <w:vAlign w:val="center"/>
          </w:tcPr>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pPr>
              <w:spacing w:line="460" w:lineRule="exact"/>
              <w:jc w:val="center"/>
              <w:rPr>
                <w:rFonts w:ascii="宋体" w:hAnsi="宋体" w:cs="宋体"/>
                <w:color w:val="auto"/>
                <w:szCs w:val="21"/>
                <w:highlight w:val="none"/>
              </w:rPr>
            </w:pPr>
          </w:p>
        </w:tc>
        <w:tc>
          <w:tcPr>
            <w:tcW w:w="2268"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投标地点</w:t>
            </w:r>
          </w:p>
        </w:tc>
        <w:tc>
          <w:tcPr>
            <w:tcW w:w="6976" w:type="dxa"/>
            <w:vAlign w:val="center"/>
          </w:tcPr>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pPr>
              <w:spacing w:line="460" w:lineRule="exact"/>
              <w:jc w:val="center"/>
              <w:rPr>
                <w:rFonts w:ascii="宋体" w:hAnsi="宋体" w:cs="宋体"/>
                <w:color w:val="auto"/>
                <w:szCs w:val="21"/>
                <w:highlight w:val="none"/>
              </w:rPr>
            </w:pPr>
          </w:p>
        </w:tc>
        <w:tc>
          <w:tcPr>
            <w:tcW w:w="2268"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6976" w:type="dxa"/>
            <w:vAlign w:val="center"/>
          </w:tcPr>
          <w:p>
            <w:pPr>
              <w:snapToGrid w:val="0"/>
              <w:spacing w:line="460" w:lineRule="exact"/>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/年/月 /日/ 时 /分</w:t>
            </w:r>
            <w:r>
              <w:rPr>
                <w:rFonts w:hint="eastAsia" w:ascii="宋体" w:hAnsi="宋体" w:cs="宋体"/>
                <w:bCs/>
                <w:color w:val="auto"/>
                <w:szCs w:val="21"/>
                <w:highlight w:val="none"/>
              </w:rPr>
              <w:t>（北京时间）</w:t>
            </w:r>
          </w:p>
          <w:p>
            <w:pPr>
              <w:snapToGrid w:val="0"/>
              <w:spacing w:line="460" w:lineRule="exact"/>
              <w:rPr>
                <w:rFonts w:ascii="宋体" w:hAnsi="宋体" w:cs="宋体"/>
                <w:bCs/>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23</w:t>
            </w:r>
          </w:p>
        </w:tc>
        <w:tc>
          <w:tcPr>
            <w:tcW w:w="2268" w:type="dxa"/>
            <w:vAlign w:val="center"/>
          </w:tcPr>
          <w:p>
            <w:pPr>
              <w:spacing w:line="460" w:lineRule="exact"/>
              <w:jc w:val="center"/>
              <w:rPr>
                <w:rFonts w:ascii="宋体" w:hAnsi="宋体" w:cs="宋体"/>
                <w:color w:val="auto"/>
                <w:szCs w:val="21"/>
                <w:highlight w:val="none"/>
              </w:rPr>
            </w:pPr>
            <w:bookmarkStart w:id="53" w:name="_23"/>
            <w:bookmarkEnd w:id="53"/>
            <w:r>
              <w:rPr>
                <w:rFonts w:hint="eastAsia" w:ascii="宋体" w:hAnsi="宋体" w:cs="宋体"/>
                <w:color w:val="auto"/>
                <w:szCs w:val="21"/>
                <w:highlight w:val="none"/>
              </w:rPr>
              <w:t>开标时间、地点</w:t>
            </w:r>
          </w:p>
        </w:tc>
        <w:tc>
          <w:tcPr>
            <w:tcW w:w="6976" w:type="dxa"/>
            <w:vAlign w:val="center"/>
          </w:tcPr>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675"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25.3（2）</w:t>
            </w:r>
          </w:p>
        </w:tc>
        <w:tc>
          <w:tcPr>
            <w:tcW w:w="2268" w:type="dxa"/>
            <w:vAlign w:val="center"/>
          </w:tcPr>
          <w:p>
            <w:pPr>
              <w:spacing w:line="460" w:lineRule="exact"/>
              <w:jc w:val="center"/>
              <w:rPr>
                <w:rFonts w:ascii="宋体" w:hAnsi="宋体" w:cs="宋体"/>
                <w:color w:val="auto"/>
                <w:szCs w:val="21"/>
                <w:highlight w:val="none"/>
              </w:rPr>
            </w:pPr>
            <w:bookmarkStart w:id="54" w:name="_25.3"/>
            <w:bookmarkEnd w:id="54"/>
            <w:r>
              <w:rPr>
                <w:rFonts w:hint="eastAsia" w:ascii="宋体" w:hAnsi="宋体" w:cs="宋体"/>
                <w:color w:val="auto"/>
                <w:szCs w:val="21"/>
                <w:highlight w:val="none"/>
              </w:rPr>
              <w:t>投标人信用查询渠道</w:t>
            </w:r>
          </w:p>
        </w:tc>
        <w:tc>
          <w:tcPr>
            <w:tcW w:w="6976" w:type="dxa"/>
            <w:vAlign w:val="center"/>
          </w:tcPr>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5" w:type="dxa"/>
            <w:vMerge w:val="continue"/>
            <w:vAlign w:val="center"/>
          </w:tcPr>
          <w:p>
            <w:pPr>
              <w:spacing w:line="460" w:lineRule="exact"/>
              <w:jc w:val="center"/>
              <w:rPr>
                <w:rFonts w:ascii="宋体" w:hAnsi="宋体" w:cs="宋体"/>
                <w:color w:val="auto"/>
                <w:szCs w:val="21"/>
                <w:highlight w:val="none"/>
              </w:rPr>
            </w:pPr>
          </w:p>
        </w:tc>
        <w:tc>
          <w:tcPr>
            <w:tcW w:w="2268"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6976" w:type="dxa"/>
            <w:vAlign w:val="center"/>
          </w:tcPr>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资格审查结束前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75" w:type="dxa"/>
            <w:vMerge w:val="continue"/>
            <w:vAlign w:val="center"/>
          </w:tcPr>
          <w:p>
            <w:pPr>
              <w:spacing w:line="460" w:lineRule="exact"/>
              <w:jc w:val="center"/>
              <w:rPr>
                <w:rFonts w:ascii="宋体" w:hAnsi="宋体" w:cs="宋体"/>
                <w:color w:val="auto"/>
                <w:szCs w:val="21"/>
                <w:highlight w:val="none"/>
              </w:rPr>
            </w:pPr>
          </w:p>
        </w:tc>
        <w:tc>
          <w:tcPr>
            <w:tcW w:w="2268"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6976" w:type="dxa"/>
            <w:vAlign w:val="center"/>
          </w:tcPr>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在查询网站中直接截图查询记录，截图在“政采云”平台作为附件上传保存。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vMerge w:val="continue"/>
            <w:vAlign w:val="center"/>
          </w:tcPr>
          <w:p>
            <w:pPr>
              <w:spacing w:line="460" w:lineRule="exact"/>
              <w:jc w:val="center"/>
              <w:rPr>
                <w:rFonts w:ascii="宋体" w:hAnsi="宋体" w:cs="宋体"/>
                <w:color w:val="auto"/>
                <w:szCs w:val="21"/>
                <w:highlight w:val="none"/>
              </w:rPr>
            </w:pPr>
          </w:p>
        </w:tc>
        <w:tc>
          <w:tcPr>
            <w:tcW w:w="2268"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6976" w:type="dxa"/>
            <w:vAlign w:val="center"/>
          </w:tcPr>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29.1</w:t>
            </w:r>
          </w:p>
        </w:tc>
        <w:tc>
          <w:tcPr>
            <w:tcW w:w="2268" w:type="dxa"/>
            <w:vAlign w:val="center"/>
          </w:tcPr>
          <w:p>
            <w:pPr>
              <w:spacing w:line="460" w:lineRule="exact"/>
              <w:jc w:val="center"/>
              <w:rPr>
                <w:rFonts w:ascii="宋体" w:hAnsi="宋体" w:cs="宋体"/>
                <w:color w:val="auto"/>
                <w:szCs w:val="21"/>
                <w:highlight w:val="none"/>
              </w:rPr>
            </w:pPr>
            <w:bookmarkStart w:id="55" w:name="_28.3"/>
            <w:bookmarkEnd w:id="55"/>
            <w:bookmarkStart w:id="56" w:name="_26"/>
            <w:bookmarkEnd w:id="56"/>
            <w:r>
              <w:rPr>
                <w:rFonts w:hint="eastAsia" w:ascii="宋体" w:hAnsi="宋体" w:cs="宋体"/>
                <w:color w:val="auto"/>
                <w:szCs w:val="21"/>
                <w:highlight w:val="none"/>
              </w:rPr>
              <w:t>评标方法</w:t>
            </w:r>
          </w:p>
        </w:tc>
        <w:tc>
          <w:tcPr>
            <w:tcW w:w="6976" w:type="dxa"/>
            <w:vAlign w:val="center"/>
          </w:tcPr>
          <w:p>
            <w:pPr>
              <w:autoSpaceDE w:val="0"/>
              <w:autoSpaceDN w:val="0"/>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综合评分法</w:t>
            </w:r>
          </w:p>
          <w:p>
            <w:pPr>
              <w:autoSpaceDE w:val="0"/>
              <w:autoSpaceDN w:val="0"/>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29.2</w:t>
            </w:r>
          </w:p>
        </w:tc>
        <w:tc>
          <w:tcPr>
            <w:tcW w:w="2268" w:type="dxa"/>
            <w:vAlign w:val="center"/>
          </w:tcPr>
          <w:p>
            <w:pPr>
              <w:spacing w:line="460" w:lineRule="exact"/>
              <w:jc w:val="center"/>
              <w:rPr>
                <w:rFonts w:ascii="宋体" w:hAnsi="宋体" w:cs="宋体"/>
                <w:color w:val="auto"/>
                <w:szCs w:val="21"/>
                <w:highlight w:val="none"/>
              </w:rPr>
            </w:pPr>
            <w:bookmarkStart w:id="57" w:name="_29.2.2（2）"/>
            <w:bookmarkEnd w:id="57"/>
            <w:r>
              <w:rPr>
                <w:rFonts w:hint="eastAsia" w:ascii="宋体" w:hAnsi="宋体" w:cs="宋体"/>
                <w:color w:val="auto"/>
                <w:szCs w:val="21"/>
                <w:highlight w:val="none"/>
              </w:rPr>
              <w:t>允许负偏离项</w:t>
            </w:r>
          </w:p>
        </w:tc>
        <w:tc>
          <w:tcPr>
            <w:tcW w:w="6976" w:type="dxa"/>
            <w:vAlign w:val="center"/>
          </w:tcPr>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w:t>
            </w:r>
            <w:r>
              <w:rPr>
                <w:rFonts w:hint="eastAsia" w:ascii="宋体" w:hAnsi="宋体" w:cs="宋体"/>
                <w:color w:val="auto"/>
                <w:szCs w:val="21"/>
                <w:highlight w:val="none"/>
              </w:rPr>
              <w:t>项。</w:t>
            </w:r>
          </w:p>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30.1</w:t>
            </w:r>
          </w:p>
        </w:tc>
        <w:tc>
          <w:tcPr>
            <w:tcW w:w="2268" w:type="dxa"/>
            <w:vAlign w:val="center"/>
          </w:tcPr>
          <w:p>
            <w:pPr>
              <w:autoSpaceDE w:val="0"/>
              <w:autoSpaceDN w:val="0"/>
              <w:snapToGrid w:val="0"/>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确定中标人时，出现中标候选人分数并列的情形，确定中标人方式</w:t>
            </w:r>
          </w:p>
        </w:tc>
        <w:tc>
          <w:tcPr>
            <w:tcW w:w="6976" w:type="dxa"/>
            <w:vAlign w:val="center"/>
          </w:tcPr>
          <w:p>
            <w:pPr>
              <w:autoSpaceDE w:val="0"/>
              <w:autoSpaceDN w:val="0"/>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 xml:space="preserve">□采用最低评标价法的，投标文件满足招标文件全部实质性要求且投标报价最低的投标人为排名第一的中标候选人； </w:t>
            </w:r>
          </w:p>
          <w:p>
            <w:pPr>
              <w:autoSpaceDE w:val="0"/>
              <w:autoSpaceDN w:val="0"/>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采用综合评分法的，按综合得分由高到低顺序排列。若综合得分相同的，按投标报价由低到高顺序排列。若综合得分且投标报价相同的，货物类采购项目以技术性能得分较高者为先，服务类采购项目以实力信誉及业绩得分较高者为先。投标文件满足招标文件全部实质性要求，且按照评审因素的量化指标综合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7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35</w:t>
            </w:r>
          </w:p>
        </w:tc>
        <w:tc>
          <w:tcPr>
            <w:tcW w:w="2268" w:type="dxa"/>
            <w:vAlign w:val="center"/>
          </w:tcPr>
          <w:p>
            <w:pPr>
              <w:spacing w:line="460" w:lineRule="exact"/>
              <w:jc w:val="center"/>
              <w:rPr>
                <w:rFonts w:ascii="宋体" w:hAnsi="宋体" w:cs="宋体"/>
                <w:color w:val="auto"/>
                <w:szCs w:val="21"/>
                <w:highlight w:val="none"/>
              </w:rPr>
            </w:pPr>
            <w:bookmarkStart w:id="58" w:name="_39.1"/>
            <w:bookmarkEnd w:id="58"/>
            <w:r>
              <w:rPr>
                <w:rFonts w:hint="eastAsia" w:ascii="宋体" w:hAnsi="宋体" w:cs="宋体"/>
                <w:color w:val="auto"/>
                <w:szCs w:val="21"/>
                <w:highlight w:val="none"/>
              </w:rPr>
              <w:t>履约保证金金额</w:t>
            </w:r>
          </w:p>
        </w:tc>
        <w:tc>
          <w:tcPr>
            <w:tcW w:w="6976" w:type="dxa"/>
            <w:vAlign w:val="bottom"/>
          </w:tcPr>
          <w:p>
            <w:pPr>
              <w:autoSpaceDE w:val="0"/>
              <w:autoSpaceDN w:val="0"/>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36.1</w:t>
            </w:r>
          </w:p>
        </w:tc>
        <w:tc>
          <w:tcPr>
            <w:tcW w:w="2268" w:type="dxa"/>
            <w:vAlign w:val="center"/>
          </w:tcPr>
          <w:p>
            <w:pPr>
              <w:spacing w:line="460" w:lineRule="exact"/>
              <w:jc w:val="center"/>
              <w:rPr>
                <w:rFonts w:ascii="宋体" w:hAnsi="宋体" w:cs="宋体"/>
                <w:color w:val="auto"/>
                <w:szCs w:val="21"/>
                <w:highlight w:val="none"/>
              </w:rPr>
            </w:pPr>
            <w:bookmarkStart w:id="59" w:name="_40.1"/>
            <w:bookmarkEnd w:id="59"/>
            <w:r>
              <w:rPr>
                <w:rFonts w:hint="eastAsia" w:ascii="宋体" w:hAnsi="宋体" w:cs="宋体"/>
                <w:color w:val="auto"/>
                <w:szCs w:val="21"/>
                <w:highlight w:val="none"/>
              </w:rPr>
              <w:t>签订电子合同携带的材料</w:t>
            </w:r>
          </w:p>
        </w:tc>
        <w:tc>
          <w:tcPr>
            <w:tcW w:w="6976" w:type="dxa"/>
            <w:vAlign w:val="center"/>
          </w:tcPr>
          <w:p>
            <w:pPr>
              <w:autoSpaceDE w:val="0"/>
              <w:autoSpaceDN w:val="0"/>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电子采购合同需要供应商通过有效CA证书进行电子签名与签章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75"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38.2.1</w:t>
            </w:r>
          </w:p>
        </w:tc>
        <w:tc>
          <w:tcPr>
            <w:tcW w:w="2268"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976" w:type="dxa"/>
            <w:vAlign w:val="center"/>
          </w:tcPr>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Merge w:val="continue"/>
            <w:vAlign w:val="center"/>
          </w:tcPr>
          <w:p>
            <w:pPr>
              <w:spacing w:line="460" w:lineRule="exact"/>
              <w:jc w:val="center"/>
              <w:rPr>
                <w:rFonts w:ascii="宋体" w:hAnsi="宋体" w:cs="宋体"/>
                <w:color w:val="auto"/>
                <w:szCs w:val="21"/>
                <w:highlight w:val="none"/>
              </w:rPr>
            </w:pPr>
          </w:p>
        </w:tc>
        <w:tc>
          <w:tcPr>
            <w:tcW w:w="2268"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976" w:type="dxa"/>
            <w:vAlign w:val="center"/>
          </w:tcPr>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广西华进项目管理有限公司</w:t>
            </w:r>
            <w:r>
              <w:rPr>
                <w:rFonts w:hint="eastAsia" w:ascii="宋体" w:hAnsi="宋体" w:cs="宋体"/>
                <w:color w:val="auto"/>
                <w:szCs w:val="21"/>
                <w:highlight w:val="none"/>
              </w:rPr>
              <w:t>；</w:t>
            </w:r>
          </w:p>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联系电话：0771-</w:t>
            </w:r>
            <w:r>
              <w:rPr>
                <w:rFonts w:hint="eastAsia" w:ascii="宋体" w:hAnsi="宋体" w:cs="宋体"/>
                <w:color w:val="auto"/>
                <w:szCs w:val="21"/>
                <w:highlight w:val="none"/>
                <w:lang w:val="en-US" w:eastAsia="zh-CN"/>
              </w:rPr>
              <w:t>5523193</w:t>
            </w:r>
            <w:r>
              <w:rPr>
                <w:rFonts w:hint="eastAsia" w:ascii="宋体" w:hAnsi="宋体" w:cs="宋体"/>
                <w:color w:val="auto"/>
                <w:szCs w:val="21"/>
                <w:highlight w:val="none"/>
              </w:rPr>
              <w:t>；</w:t>
            </w:r>
          </w:p>
          <w:p>
            <w:pPr>
              <w:snapToGrid w:val="0"/>
              <w:spacing w:line="460" w:lineRule="exact"/>
              <w:rPr>
                <w:rFonts w:ascii="宋体" w:hAnsi="宋体" w:cs="宋体"/>
                <w:color w:val="auto"/>
                <w:szCs w:val="21"/>
                <w:highlight w:val="none"/>
              </w:rPr>
            </w:pPr>
            <w:bookmarkStart w:id="60" w:name="PO_3000001866_PM035"/>
            <w:bookmarkEnd w:id="60"/>
            <w:r>
              <w:rPr>
                <w:rFonts w:hint="eastAsia" w:ascii="宋体" w:hAnsi="宋体" w:cs="宋体"/>
                <w:color w:val="auto"/>
                <w:szCs w:val="21"/>
                <w:highlight w:val="none"/>
              </w:rPr>
              <w:t>通讯地址：</w:t>
            </w:r>
            <w:r>
              <w:rPr>
                <w:rFonts w:hint="eastAsia" w:ascii="宋体" w:hAnsi="宋体" w:cs="宋体"/>
                <w:color w:val="auto"/>
                <w:szCs w:val="21"/>
                <w:highlight w:val="none"/>
                <w:lang w:val="en-US" w:eastAsia="zh-CN"/>
              </w:rPr>
              <w:t>南宁市青秀区金浦路26-1号东方国际商务港A座1510</w:t>
            </w:r>
            <w:r>
              <w:rPr>
                <w:rFonts w:hint="eastAsia" w:ascii="宋体" w:hAnsi="宋体" w:cs="宋体"/>
                <w:color w:val="auto"/>
                <w:szCs w:val="21"/>
                <w:highlight w:val="none"/>
              </w:rPr>
              <w:t>。</w:t>
            </w:r>
          </w:p>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南宁市青秀生态环境局</w:t>
            </w:r>
            <w:r>
              <w:rPr>
                <w:rFonts w:hint="eastAsia" w:ascii="宋体" w:hAnsi="宋体" w:cs="宋体"/>
                <w:color w:val="auto"/>
                <w:szCs w:val="21"/>
                <w:highlight w:val="none"/>
              </w:rPr>
              <w:t>；</w:t>
            </w:r>
          </w:p>
          <w:p>
            <w:pPr>
              <w:snapToGrid w:val="0"/>
              <w:spacing w:line="460" w:lineRule="exact"/>
              <w:rPr>
                <w:rFonts w:ascii="宋体" w:hAnsi="宋体" w:cs="宋体"/>
                <w:color w:val="auto"/>
                <w:szCs w:val="21"/>
                <w:highlight w:val="none"/>
              </w:rPr>
            </w:pPr>
            <w:bookmarkStart w:id="61" w:name="PO_3000001866_PM028_1"/>
            <w:bookmarkEnd w:id="61"/>
            <w:r>
              <w:rPr>
                <w:rFonts w:hint="eastAsia" w:ascii="宋体" w:hAnsi="宋体" w:cs="宋体"/>
                <w:color w:val="auto"/>
                <w:szCs w:val="21"/>
                <w:highlight w:val="none"/>
              </w:rPr>
              <w:t>联系电话：</w:t>
            </w:r>
            <w:bookmarkStart w:id="62" w:name="PO_3000001868_PM028_1"/>
            <w:r>
              <w:rPr>
                <w:rFonts w:hint="eastAsia" w:ascii="宋体" w:hAnsi="宋体" w:cs="宋体"/>
                <w:color w:val="auto"/>
                <w:szCs w:val="21"/>
                <w:highlight w:val="none"/>
                <w:lang w:eastAsia="zh-CN"/>
              </w:rPr>
              <w:t>0771-5826672</w:t>
            </w:r>
            <w:bookmarkEnd w:id="62"/>
            <w:r>
              <w:rPr>
                <w:rFonts w:hint="eastAsia" w:ascii="宋体" w:hAnsi="宋体" w:cs="宋体"/>
                <w:color w:val="auto"/>
                <w:szCs w:val="21"/>
                <w:highlight w:val="none"/>
              </w:rPr>
              <w:t>；</w:t>
            </w:r>
          </w:p>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通讯地址：南宁市青秀区悦宾路1号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Merge w:val="continue"/>
            <w:vAlign w:val="center"/>
          </w:tcPr>
          <w:p>
            <w:pPr>
              <w:spacing w:line="460" w:lineRule="exact"/>
              <w:jc w:val="center"/>
              <w:rPr>
                <w:rFonts w:ascii="宋体" w:hAnsi="宋体" w:cs="宋体"/>
                <w:color w:val="auto"/>
                <w:szCs w:val="21"/>
                <w:highlight w:val="none"/>
              </w:rPr>
            </w:pPr>
          </w:p>
        </w:tc>
        <w:tc>
          <w:tcPr>
            <w:tcW w:w="2268"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6976" w:type="dxa"/>
            <w:vAlign w:val="center"/>
          </w:tcPr>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质疑期内每个工作日</w:t>
            </w:r>
            <w:r>
              <w:rPr>
                <w:rFonts w:hint="eastAsia" w:ascii="宋体" w:hAnsi="宋体" w:cs="宋体"/>
                <w:color w:val="auto"/>
                <w:szCs w:val="21"/>
                <w:highlight w:val="none"/>
                <w:u w:val="single"/>
              </w:rPr>
              <w:t>08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12</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r>
              <w:rPr>
                <w:rFonts w:hint="eastAsia" w:ascii="宋体" w:hAnsi="宋体" w:cs="宋体"/>
                <w:color w:val="auto"/>
                <w:szCs w:val="21"/>
                <w:highlight w:val="none"/>
                <w:u w:val="single"/>
              </w:rPr>
              <w:t>15</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38.3.1</w:t>
            </w:r>
          </w:p>
        </w:tc>
        <w:tc>
          <w:tcPr>
            <w:tcW w:w="2268"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投诉受理方式</w:t>
            </w:r>
          </w:p>
        </w:tc>
        <w:tc>
          <w:tcPr>
            <w:tcW w:w="6976" w:type="dxa"/>
            <w:vAlign w:val="center"/>
          </w:tcPr>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2、邮寄地址：</w:t>
            </w:r>
          </w:p>
          <w:p>
            <w:pPr>
              <w:snapToGrid w:val="0"/>
              <w:spacing w:line="460" w:lineRule="exact"/>
              <w:rPr>
                <w:rFonts w:ascii="宋体" w:hAnsi="宋体" w:cs="宋体"/>
                <w:color w:val="auto"/>
                <w:szCs w:val="21"/>
                <w:highlight w:val="none"/>
              </w:rPr>
            </w:pPr>
            <w:bookmarkStart w:id="63" w:name="PO_3000001866_PM036"/>
            <w:bookmarkEnd w:id="63"/>
            <w:r>
              <w:rPr>
                <w:rFonts w:hint="eastAsia" w:ascii="宋体" w:hAnsi="宋体" w:cs="宋体"/>
                <w:color w:val="auto"/>
                <w:szCs w:val="21"/>
                <w:highlight w:val="none"/>
              </w:rPr>
              <w:t>名称：南宁市青秀区财政局政府采购监督管理办公室</w:t>
            </w:r>
          </w:p>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地址：南宁市青秀区悦宾路1号</w:t>
            </w:r>
          </w:p>
          <w:p>
            <w:pPr>
              <w:snapToGrid w:val="0"/>
              <w:spacing w:line="460" w:lineRule="exact"/>
              <w:rPr>
                <w:rFonts w:ascii="宋体" w:hAnsi="宋体" w:cs="宋体"/>
                <w:color w:val="auto"/>
                <w:szCs w:val="21"/>
                <w:highlight w:val="none"/>
              </w:rPr>
            </w:pPr>
            <w:bookmarkStart w:id="64" w:name="PO_3000001866_PM038_1"/>
            <w:bookmarkEnd w:id="64"/>
            <w:r>
              <w:rPr>
                <w:rFonts w:hint="eastAsia" w:ascii="宋体" w:hAnsi="宋体" w:cs="宋体"/>
                <w:color w:val="auto"/>
                <w:szCs w:val="21"/>
                <w:highlight w:val="none"/>
              </w:rPr>
              <w:t>联系电话：0771-5826232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675"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40</w:t>
            </w:r>
          </w:p>
        </w:tc>
        <w:tc>
          <w:tcPr>
            <w:tcW w:w="2268" w:type="dxa"/>
            <w:vAlign w:val="center"/>
          </w:tcPr>
          <w:p>
            <w:pPr>
              <w:spacing w:line="460" w:lineRule="exact"/>
              <w:jc w:val="center"/>
              <w:rPr>
                <w:rFonts w:ascii="宋体" w:hAnsi="宋体" w:cs="宋体"/>
                <w:color w:val="auto"/>
                <w:szCs w:val="21"/>
                <w:highlight w:val="none"/>
              </w:rPr>
            </w:pPr>
            <w:bookmarkStart w:id="65" w:name="_42"/>
            <w:bookmarkEnd w:id="65"/>
            <w:bookmarkStart w:id="66" w:name="_41"/>
            <w:bookmarkEnd w:id="66"/>
            <w:r>
              <w:rPr>
                <w:rFonts w:hint="eastAsia" w:ascii="宋体" w:hAnsi="宋体" w:cs="宋体"/>
                <w:color w:val="auto"/>
                <w:szCs w:val="21"/>
                <w:highlight w:val="none"/>
              </w:rPr>
              <w:t>采购代理费支付方式</w:t>
            </w:r>
          </w:p>
        </w:tc>
        <w:tc>
          <w:tcPr>
            <w:tcW w:w="6976" w:type="dxa"/>
            <w:vAlign w:val="center"/>
          </w:tcPr>
          <w:p>
            <w:pPr>
              <w:pStyle w:val="42"/>
              <w:snapToGrid w:val="0"/>
              <w:spacing w:line="460" w:lineRule="exact"/>
              <w:rPr>
                <w:rFonts w:hAnsi="宋体" w:cs="宋体"/>
                <w:color w:val="auto"/>
                <w:szCs w:val="21"/>
                <w:highlight w:val="none"/>
              </w:rPr>
            </w:pPr>
            <w:r>
              <w:rPr>
                <w:rFonts w:hint="eastAsia" w:hAnsi="宋体" w:cs="宋体"/>
                <w:color w:val="auto"/>
                <w:szCs w:val="21"/>
                <w:highlight w:val="none"/>
              </w:rPr>
              <w:sym w:font="Wingdings 2" w:char="0052"/>
            </w:r>
            <w:r>
              <w:rPr>
                <w:rFonts w:hint="eastAsia" w:hAnsi="宋体" w:cs="宋体"/>
                <w:color w:val="auto"/>
                <w:szCs w:val="21"/>
                <w:highlight w:val="none"/>
              </w:rPr>
              <w:t>本项目代理服务费由</w:t>
            </w:r>
            <w:r>
              <w:rPr>
                <w:rFonts w:hint="eastAsia" w:hAnsi="宋体" w:cs="宋体"/>
                <w:color w:val="auto"/>
                <w:szCs w:val="21"/>
                <w:highlight w:val="none"/>
                <w:u w:val="single"/>
              </w:rPr>
              <w:t>中标人</w:t>
            </w:r>
            <w:r>
              <w:rPr>
                <w:rFonts w:hint="eastAsia" w:hAnsi="宋体" w:cs="宋体"/>
                <w:color w:val="auto"/>
                <w:szCs w:val="21"/>
                <w:highlight w:val="none"/>
              </w:rPr>
              <w:t>一次性向采购代理机构支付。</w:t>
            </w:r>
          </w:p>
          <w:p>
            <w:pPr>
              <w:pStyle w:val="42"/>
              <w:snapToGrid w:val="0"/>
              <w:spacing w:line="460" w:lineRule="exact"/>
              <w:rPr>
                <w:rFonts w:hAnsi="宋体" w:cs="宋体"/>
                <w:color w:val="auto"/>
                <w:szCs w:val="21"/>
                <w:highlight w:val="none"/>
              </w:rPr>
            </w:pPr>
            <w:r>
              <w:rPr>
                <w:rFonts w:hint="eastAsia" w:hAnsi="宋体" w:cs="宋体"/>
                <w:color w:val="auto"/>
                <w:szCs w:val="21"/>
                <w:highlight w:val="none"/>
              </w:rPr>
              <w:t>□采购人支付。</w:t>
            </w:r>
          </w:p>
          <w:p>
            <w:pPr>
              <w:pStyle w:val="42"/>
              <w:snapToGrid w:val="0"/>
              <w:spacing w:line="460" w:lineRule="exact"/>
              <w:rPr>
                <w:rFonts w:hAnsi="宋体" w:cs="宋体"/>
                <w:color w:val="auto"/>
                <w:szCs w:val="21"/>
                <w:highlight w:val="none"/>
              </w:rPr>
            </w:pPr>
            <w:r>
              <w:rPr>
                <w:rFonts w:hint="eastAsia" w:hAnsi="宋体" w:cs="宋体"/>
                <w:color w:val="auto"/>
                <w:szCs w:val="21"/>
                <w:highlight w:val="none"/>
              </w:rPr>
              <w:t>□本项目不收取代理服务费。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75" w:type="dxa"/>
            <w:vMerge w:val="continue"/>
            <w:vAlign w:val="center"/>
          </w:tcPr>
          <w:p>
            <w:pPr>
              <w:spacing w:line="460" w:lineRule="exact"/>
              <w:jc w:val="center"/>
              <w:rPr>
                <w:rFonts w:ascii="宋体" w:hAnsi="宋体" w:cs="宋体"/>
                <w:color w:val="auto"/>
                <w:szCs w:val="21"/>
                <w:highlight w:val="none"/>
              </w:rPr>
            </w:pPr>
          </w:p>
        </w:tc>
        <w:tc>
          <w:tcPr>
            <w:tcW w:w="2268"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采购代理费收取标准</w:t>
            </w:r>
          </w:p>
        </w:tc>
        <w:tc>
          <w:tcPr>
            <w:tcW w:w="6976" w:type="dxa"/>
            <w:vAlign w:val="center"/>
          </w:tcPr>
          <w:p>
            <w:pPr>
              <w:pStyle w:val="42"/>
              <w:snapToGrid w:val="0"/>
              <w:spacing w:line="460" w:lineRule="exact"/>
              <w:rPr>
                <w:rFonts w:hAnsi="宋体" w:cs="宋体"/>
                <w:color w:val="auto"/>
                <w:szCs w:val="21"/>
                <w:highlight w:val="none"/>
              </w:rPr>
            </w:pPr>
            <w:r>
              <w:rPr>
                <w:rFonts w:hint="eastAsia" w:hAnsi="宋体" w:cs="宋体"/>
                <w:color w:val="auto"/>
                <w:szCs w:val="21"/>
                <w:highlight w:val="none"/>
              </w:rPr>
              <w:t>□本次采购代理服务费按服务类参照“《招标代理服务收费暂行办法》（计价格〔2002〕1980号）规定标准，按差额定率累进法计算，计算基数为预算金额收取。</w:t>
            </w:r>
          </w:p>
          <w:p>
            <w:pPr>
              <w:pStyle w:val="42"/>
              <w:snapToGrid w:val="0"/>
              <w:spacing w:line="460" w:lineRule="exact"/>
              <w:rPr>
                <w:rFonts w:hAnsi="宋体" w:cs="宋体"/>
                <w:color w:val="auto"/>
                <w:szCs w:val="21"/>
                <w:highlight w:val="none"/>
              </w:rPr>
            </w:pPr>
            <w:r>
              <w:rPr>
                <w:rFonts w:hint="eastAsia" w:hAnsi="宋体" w:cs="宋体"/>
                <w:color w:val="auto"/>
                <w:szCs w:val="21"/>
                <w:highlight w:val="none"/>
              </w:rPr>
              <w:sym w:font="Wingdings 2" w:char="0052"/>
            </w:r>
            <w:r>
              <w:rPr>
                <w:rFonts w:hint="eastAsia" w:hAnsi="宋体" w:cs="宋体"/>
                <w:color w:val="auto"/>
                <w:szCs w:val="21"/>
                <w:highlight w:val="none"/>
              </w:rPr>
              <w:t>固定采购代理收</w:t>
            </w:r>
            <w:r>
              <w:rPr>
                <w:rFonts w:hint="eastAsia" w:hAnsi="宋体" w:cs="宋体"/>
                <w:color w:val="000000" w:themeColor="text1"/>
                <w:szCs w:val="21"/>
                <w:highlight w:val="none"/>
                <w14:textFill>
                  <w14:solidFill>
                    <w14:schemeClr w14:val="tx1"/>
                  </w14:solidFill>
                </w14:textFill>
              </w:rPr>
              <w:t>费</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陆万玖仟壹佰叁拾柒元整</w:t>
            </w:r>
            <w:r>
              <w:rPr>
                <w:rFonts w:hint="eastAsia" w:hAnsi="宋体" w:cs="宋体"/>
                <w:color w:val="000000" w:themeColor="text1"/>
                <w:szCs w:val="21"/>
                <w:highlight w:val="none"/>
                <w:u w:val="single"/>
                <w14:textFill>
                  <w14:solidFill>
                    <w14:schemeClr w14:val="tx1"/>
                  </w14:solidFill>
                </w14:textFill>
              </w:rPr>
              <w:t>（¥</w:t>
            </w:r>
            <w:r>
              <w:rPr>
                <w:rFonts w:hint="eastAsia" w:hAnsi="宋体" w:cs="宋体"/>
                <w:color w:val="000000" w:themeColor="text1"/>
                <w:szCs w:val="21"/>
                <w:highlight w:val="none"/>
                <w:u w:val="single"/>
                <w:lang w:val="en-US" w:eastAsia="zh-CN"/>
                <w14:textFill>
                  <w14:solidFill>
                    <w14:schemeClr w14:val="tx1"/>
                  </w14:solidFill>
                </w14:textFill>
              </w:rPr>
              <w:t>69137</w:t>
            </w:r>
            <w:r>
              <w:rPr>
                <w:rFonts w:hint="eastAsia" w:hAnsi="宋体" w:cs="宋体"/>
                <w:color w:val="000000" w:themeColor="text1"/>
                <w:szCs w:val="21"/>
                <w:highlight w:val="none"/>
                <w:u w:val="single"/>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675" w:type="dxa"/>
            <w:vMerge w:val="continue"/>
            <w:vAlign w:val="center"/>
          </w:tcPr>
          <w:p>
            <w:pPr>
              <w:spacing w:line="460" w:lineRule="exact"/>
              <w:jc w:val="center"/>
              <w:rPr>
                <w:rFonts w:ascii="宋体" w:hAnsi="宋体" w:cs="宋体"/>
                <w:color w:val="auto"/>
                <w:szCs w:val="21"/>
                <w:highlight w:val="none"/>
              </w:rPr>
            </w:pPr>
          </w:p>
        </w:tc>
        <w:tc>
          <w:tcPr>
            <w:tcW w:w="2268"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代理服务费收款账户信息</w:t>
            </w:r>
          </w:p>
        </w:tc>
        <w:tc>
          <w:tcPr>
            <w:tcW w:w="6976" w:type="dxa"/>
            <w:vAlign w:val="center"/>
          </w:tcPr>
          <w:p>
            <w:pPr>
              <w:pStyle w:val="42"/>
              <w:snapToGrid w:val="0"/>
              <w:spacing w:line="460" w:lineRule="exact"/>
              <w:rPr>
                <w:rFonts w:hint="eastAsia" w:hAnsi="宋体" w:cs="宋体"/>
                <w:color w:val="auto"/>
                <w:szCs w:val="21"/>
                <w:highlight w:val="none"/>
                <w:lang w:val="en-US" w:eastAsia="zh-CN"/>
              </w:rPr>
            </w:pPr>
            <w:r>
              <w:rPr>
                <w:rFonts w:hint="eastAsia" w:hAnsi="宋体" w:cs="宋体"/>
                <w:color w:val="auto"/>
                <w:szCs w:val="21"/>
                <w:highlight w:val="none"/>
                <w:lang w:val="en-US" w:eastAsia="zh-CN"/>
              </w:rPr>
              <w:t>开户名称： 广西华进项目管理有限公司</w:t>
            </w:r>
          </w:p>
          <w:p>
            <w:pPr>
              <w:pStyle w:val="42"/>
              <w:snapToGrid w:val="0"/>
              <w:spacing w:line="460" w:lineRule="exact"/>
              <w:rPr>
                <w:rFonts w:hint="eastAsia" w:hAnsi="宋体" w:cs="宋体"/>
                <w:color w:val="auto"/>
                <w:szCs w:val="21"/>
                <w:highlight w:val="none"/>
                <w:lang w:val="en-US" w:eastAsia="zh-CN"/>
              </w:rPr>
            </w:pPr>
            <w:r>
              <w:rPr>
                <w:rFonts w:hint="eastAsia" w:hAnsi="宋体" w:cs="宋体"/>
                <w:color w:val="auto"/>
                <w:szCs w:val="21"/>
                <w:highlight w:val="none"/>
                <w:lang w:val="en-US" w:eastAsia="zh-CN"/>
              </w:rPr>
              <w:t>开户银行： 民生银行南宁金湖支行</w:t>
            </w:r>
          </w:p>
          <w:p>
            <w:pPr>
              <w:pStyle w:val="42"/>
              <w:snapToGrid w:val="0"/>
              <w:spacing w:line="460" w:lineRule="exact"/>
              <w:rPr>
                <w:rFonts w:hAnsi="宋体" w:cs="宋体"/>
                <w:color w:val="auto"/>
                <w:szCs w:val="21"/>
                <w:highlight w:val="none"/>
              </w:rPr>
            </w:pPr>
            <w:r>
              <w:rPr>
                <w:rFonts w:hint="eastAsia" w:hAnsi="宋体" w:cs="宋体"/>
                <w:color w:val="auto"/>
                <w:szCs w:val="21"/>
                <w:highlight w:val="none"/>
                <w:lang w:val="en-US" w:eastAsia="zh-CN"/>
              </w:rPr>
              <w:t>银行账号：172563786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spacing w:line="460" w:lineRule="exact"/>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268" w:type="dxa"/>
            <w:vAlign w:val="center"/>
          </w:tcPr>
          <w:p>
            <w:pPr>
              <w:snapToGrid w:val="0"/>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解释</w:t>
            </w:r>
          </w:p>
        </w:tc>
        <w:tc>
          <w:tcPr>
            <w:tcW w:w="6976" w:type="dxa"/>
            <w:vAlign w:val="center"/>
          </w:tcPr>
          <w:p>
            <w:pPr>
              <w:snapToGrid w:val="0"/>
              <w:spacing w:line="460" w:lineRule="exact"/>
              <w:rPr>
                <w:rFonts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pPr>
              <w:snapToGrid w:val="0"/>
              <w:spacing w:line="460" w:lineRule="exact"/>
              <w:rPr>
                <w:rFonts w:ascii="宋体" w:hAnsi="宋体" w:cs="宋体"/>
                <w:b/>
                <w:color w:val="auto"/>
                <w:szCs w:val="21"/>
                <w:highlight w:val="none"/>
              </w:rPr>
            </w:pPr>
            <w:r>
              <w:rPr>
                <w:rFonts w:hint="eastAsia" w:ascii="宋体" w:hAnsi="宋体" w:cs="宋体"/>
                <w:b/>
                <w:color w:val="auto"/>
                <w:szCs w:val="21"/>
                <w:highlight w:val="none"/>
              </w:rPr>
              <w:t>法律责任：</w:t>
            </w:r>
          </w:p>
          <w:p>
            <w:pPr>
              <w:snapToGrid w:val="0"/>
              <w:spacing w:line="460" w:lineRule="exact"/>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color w:val="auto"/>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spacing w:line="46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268" w:type="dxa"/>
            <w:vAlign w:val="center"/>
          </w:tcPr>
          <w:p>
            <w:pPr>
              <w:snapToGrid w:val="0"/>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其他释义</w:t>
            </w:r>
          </w:p>
        </w:tc>
        <w:tc>
          <w:tcPr>
            <w:tcW w:w="6976" w:type="dxa"/>
            <w:vAlign w:val="center"/>
          </w:tcPr>
          <w:p>
            <w:pPr>
              <w:spacing w:line="460" w:lineRule="exact"/>
              <w:rPr>
                <w:rFonts w:ascii="宋体" w:hAnsi="宋体" w:cs="宋体"/>
                <w:b/>
                <w:bCs/>
                <w:color w:val="auto"/>
                <w:szCs w:val="21"/>
                <w:highlight w:val="none"/>
              </w:rPr>
            </w:pPr>
            <w:r>
              <w:rPr>
                <w:rFonts w:hint="eastAsia" w:ascii="宋体" w:hAnsi="宋体" w:cs="宋体"/>
                <w:b/>
                <w:bCs/>
                <w:color w:val="auto"/>
                <w:szCs w:val="21"/>
                <w:highlight w:val="none"/>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pStyle w:val="42"/>
              <w:snapToGrid w:val="0"/>
              <w:spacing w:line="460" w:lineRule="exact"/>
              <w:rPr>
                <w:rFonts w:hAnsi="宋体" w:cs="宋体"/>
                <w:b/>
                <w:bCs/>
                <w:color w:val="auto"/>
                <w:szCs w:val="21"/>
                <w:highlight w:val="none"/>
              </w:rPr>
            </w:pPr>
            <w:r>
              <w:rPr>
                <w:rFonts w:hint="eastAsia" w:hAnsi="宋体" w:cs="宋体"/>
                <w:b/>
                <w:bCs/>
                <w:color w:val="auto"/>
                <w:szCs w:val="21"/>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spacing w:line="460" w:lineRule="exact"/>
              <w:rPr>
                <w:rFonts w:ascii="宋体" w:hAnsi="宋体" w:cs="宋体"/>
                <w:b/>
                <w:bCs/>
                <w:color w:val="auto"/>
                <w:szCs w:val="21"/>
                <w:highlight w:val="none"/>
              </w:rPr>
            </w:pPr>
            <w:r>
              <w:rPr>
                <w:rFonts w:hint="eastAsia" w:ascii="宋体" w:hAnsi="宋体" w:cs="宋体"/>
                <w:b/>
                <w:bCs/>
                <w:color w:val="auto"/>
                <w:szCs w:val="21"/>
                <w:highlight w:val="none"/>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pPr>
              <w:pStyle w:val="42"/>
              <w:snapToGrid w:val="0"/>
              <w:spacing w:line="460" w:lineRule="exact"/>
              <w:rPr>
                <w:rFonts w:hAnsi="宋体" w:cs="宋体"/>
                <w:b/>
                <w:bCs/>
                <w:color w:val="auto"/>
                <w:szCs w:val="21"/>
                <w:highlight w:val="none"/>
              </w:rPr>
            </w:pPr>
            <w:r>
              <w:rPr>
                <w:rFonts w:hint="eastAsia" w:hAnsi="宋体" w:cs="宋体"/>
                <w:b/>
                <w:bCs/>
                <w:color w:val="auto"/>
                <w:szCs w:val="21"/>
                <w:highlight w:val="none"/>
              </w:rPr>
              <w:t>4、自然人投标的，招标文件规定盖公章处由自然人摁手指指印。</w:t>
            </w:r>
          </w:p>
          <w:p>
            <w:pPr>
              <w:spacing w:line="460" w:lineRule="exact"/>
              <w:jc w:val="left"/>
              <w:rPr>
                <w:rFonts w:ascii="宋体" w:hAnsi="宋体" w:cs="宋体"/>
                <w:b/>
                <w:bCs/>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pPr>
        <w:rPr>
          <w:rFonts w:hint="eastAsia" w:ascii="Arial" w:hAnsi="Arial" w:eastAsia="黑体" w:cs="Arial"/>
          <w:b/>
          <w:color w:val="auto"/>
          <w:sz w:val="32"/>
          <w:szCs w:val="32"/>
          <w:highlight w:val="none"/>
        </w:rPr>
      </w:pPr>
      <w:bookmarkStart w:id="67" w:name="_Toc80092994"/>
      <w:bookmarkStart w:id="68" w:name="_Toc532545043"/>
      <w:r>
        <w:rPr>
          <w:rFonts w:hint="eastAsia" w:ascii="Arial" w:hAnsi="Arial" w:eastAsia="黑体" w:cs="Arial"/>
          <w:b/>
          <w:color w:val="auto"/>
          <w:sz w:val="32"/>
          <w:szCs w:val="32"/>
          <w:highlight w:val="none"/>
        </w:rPr>
        <w:br w:type="page"/>
      </w:r>
    </w:p>
    <w:p>
      <w:pPr>
        <w:keepNext/>
        <w:keepLines/>
        <w:spacing w:before="260" w:after="260" w:line="413" w:lineRule="auto"/>
        <w:jc w:val="center"/>
        <w:outlineLvl w:val="1"/>
        <w:rPr>
          <w:rFonts w:ascii="Arial" w:hAnsi="Arial" w:eastAsia="黑体" w:cs="Arial"/>
          <w:b/>
          <w:color w:val="auto"/>
          <w:sz w:val="32"/>
          <w:szCs w:val="32"/>
          <w:highlight w:val="none"/>
        </w:rPr>
      </w:pPr>
      <w:r>
        <w:rPr>
          <w:rFonts w:hint="eastAsia" w:ascii="Arial" w:hAnsi="Arial" w:eastAsia="黑体" w:cs="Arial"/>
          <w:b/>
          <w:color w:val="auto"/>
          <w:sz w:val="32"/>
          <w:szCs w:val="32"/>
          <w:highlight w:val="none"/>
        </w:rPr>
        <w:t>第二节 投标人须知正文</w:t>
      </w:r>
      <w:bookmarkEnd w:id="67"/>
    </w:p>
    <w:p>
      <w:pPr>
        <w:spacing w:line="400" w:lineRule="exact"/>
        <w:ind w:firstLine="643"/>
        <w:jc w:val="center"/>
        <w:outlineLvl w:val="2"/>
        <w:rPr>
          <w:rFonts w:eastAsia="Times New Roman"/>
          <w:b/>
          <w:color w:val="auto"/>
          <w:sz w:val="32"/>
          <w:szCs w:val="32"/>
          <w:highlight w:val="none"/>
        </w:rPr>
      </w:pPr>
      <w:bookmarkStart w:id="69" w:name="_Toc80092995"/>
      <w:r>
        <w:rPr>
          <w:rFonts w:hint="eastAsia" w:ascii="宋体" w:hAnsi="宋体" w:cs="宋体"/>
          <w:b/>
          <w:color w:val="auto"/>
          <w:sz w:val="32"/>
          <w:szCs w:val="32"/>
          <w:highlight w:val="none"/>
        </w:rPr>
        <w:t>一、总</w:t>
      </w:r>
      <w:r>
        <w:rPr>
          <w:rFonts w:eastAsia="Times New Roman"/>
          <w:b/>
          <w:color w:val="auto"/>
          <w:sz w:val="32"/>
          <w:szCs w:val="32"/>
          <w:highlight w:val="none"/>
        </w:rPr>
        <w:t xml:space="preserve">  </w:t>
      </w:r>
      <w:r>
        <w:rPr>
          <w:rFonts w:hint="eastAsia" w:ascii="宋体" w:hAnsi="宋体" w:cs="宋体"/>
          <w:b/>
          <w:color w:val="auto"/>
          <w:sz w:val="32"/>
          <w:szCs w:val="32"/>
          <w:highlight w:val="none"/>
        </w:rPr>
        <w:t>则</w:t>
      </w:r>
      <w:bookmarkEnd w:id="69"/>
    </w:p>
    <w:p>
      <w:pPr>
        <w:spacing w:line="360" w:lineRule="auto"/>
        <w:ind w:firstLine="480" w:firstLineChars="200"/>
        <w:rPr>
          <w:rFonts w:ascii="黑体" w:hAnsi="黑体" w:eastAsia="黑体"/>
          <w:color w:val="auto"/>
          <w:sz w:val="24"/>
          <w:highlight w:val="none"/>
        </w:rPr>
      </w:pPr>
      <w:bookmarkStart w:id="70" w:name="_Toc254970668"/>
      <w:bookmarkStart w:id="71" w:name="_Toc254970527"/>
      <w:r>
        <w:rPr>
          <w:rFonts w:hint="eastAsia" w:ascii="黑体" w:hAnsi="黑体" w:eastAsia="黑体"/>
          <w:color w:val="auto"/>
          <w:sz w:val="24"/>
          <w:highlight w:val="none"/>
        </w:rPr>
        <w:t>1.适用范围</w:t>
      </w:r>
      <w:bookmarkEnd w:id="70"/>
      <w:bookmarkEnd w:id="7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spacing w:line="360" w:lineRule="auto"/>
        <w:ind w:firstLine="480" w:firstLineChars="200"/>
        <w:rPr>
          <w:rFonts w:ascii="黑体" w:hAnsi="黑体" w:eastAsia="黑体"/>
          <w:color w:val="auto"/>
          <w:sz w:val="24"/>
          <w:highlight w:val="none"/>
        </w:rPr>
      </w:pPr>
      <w:bookmarkStart w:id="72" w:name="_Toc254970528"/>
      <w:bookmarkStart w:id="73" w:name="_Toc254970669"/>
      <w:r>
        <w:rPr>
          <w:rFonts w:hint="eastAsia" w:ascii="黑体" w:hAnsi="黑体" w:eastAsia="黑体"/>
          <w:color w:val="auto"/>
          <w:sz w:val="24"/>
          <w:highlight w:val="none"/>
        </w:rPr>
        <w:t>2.定义</w:t>
      </w:r>
      <w:bookmarkEnd w:id="72"/>
      <w:bookmarkEnd w:id="73"/>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2.3“供应商”是指向采购人提供货物、工程或者服务的法人、其他组织或者自然人。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2.4“投标人”是指响应招标、参加投标竞争的法人、非法人组织或者自然人。</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2.5“服务”是指除货物和工程以外的其他政府采购对象。</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6</w:t>
      </w:r>
      <w:r>
        <w:rPr>
          <w:rFonts w:hint="eastAsia" w:ascii="宋体" w:hAnsi="宋体"/>
          <w:b/>
          <w:color w:val="auto"/>
          <w:szCs w:val="21"/>
          <w:highlight w:val="none"/>
        </w:rPr>
        <w:t>“书面形式”是指合同书、信件和数据电文（包括电报、电传、传真、短信、电子数据交换和电子邮件）等可以有形地表现所载内容的形式。</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7</w:t>
      </w:r>
      <w:r>
        <w:rPr>
          <w:rFonts w:hint="eastAsia" w:ascii="宋体" w:hAnsi="宋体"/>
          <w:b/>
          <w:color w:val="auto"/>
          <w:szCs w:val="21"/>
          <w:highlight w:val="none"/>
        </w:rPr>
        <w:t>“实质性要求”是指招标文件中已经指明不满足则投标无效的条款，或者不能负偏离的条款，或者采购需求中带“</w:t>
      </w:r>
      <w:r>
        <w:rPr>
          <w:rFonts w:hint="eastAsia" w:ascii="宋体" w:hAnsi="宋体"/>
          <w:b/>
          <w:bCs/>
          <w:color w:val="auto"/>
          <w:szCs w:val="21"/>
          <w:highlight w:val="none"/>
        </w:rPr>
        <w:t>▲</w:t>
      </w:r>
      <w:r>
        <w:rPr>
          <w:rFonts w:hint="eastAsia" w:ascii="宋体" w:hAnsi="宋体"/>
          <w:b/>
          <w:color w:val="auto"/>
          <w:szCs w:val="21"/>
          <w:highlight w:val="none"/>
        </w:rPr>
        <w:t>”的条款。</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8</w:t>
      </w:r>
      <w:r>
        <w:rPr>
          <w:rFonts w:hint="eastAsia" w:ascii="宋体" w:hAnsi="宋体" w:cs="宋体"/>
          <w:color w:val="auto"/>
          <w:szCs w:val="21"/>
          <w:highlight w:val="none"/>
        </w:rPr>
        <w:t>“正偏离”，是指投标文件对招标文件“采购需求”中有关条款作出的响应优于条款要求并有利于采购人的情形。</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0</w:t>
      </w:r>
      <w:r>
        <w:rPr>
          <w:rFonts w:hint="eastAsia" w:ascii="宋体" w:hAnsi="宋体" w:cs="宋体"/>
          <w:color w:val="auto"/>
          <w:szCs w:val="21"/>
          <w:highlight w:val="none"/>
        </w:rPr>
        <w:t>“允许负偏离的条款”是指采购需求中的不属于“实质性要求”的条款。</w:t>
      </w:r>
      <w:bookmarkStart w:id="74" w:name="_Toc254970670"/>
      <w:bookmarkStart w:id="75" w:name="_Toc254970529"/>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w:t>
      </w:r>
      <w:bookmarkEnd w:id="74"/>
      <w:bookmarkEnd w:id="75"/>
      <w:r>
        <w:rPr>
          <w:rFonts w:hint="eastAsia" w:ascii="黑体" w:hAnsi="黑体" w:eastAsia="黑体"/>
          <w:color w:val="auto"/>
          <w:sz w:val="24"/>
          <w:highlight w:val="none"/>
        </w:rPr>
        <w:t>投标人的资格要求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投标人的资格要求详见“招标公告”。</w:t>
      </w:r>
    </w:p>
    <w:p>
      <w:pPr>
        <w:spacing w:line="360" w:lineRule="auto"/>
        <w:ind w:firstLine="480" w:firstLineChars="200"/>
        <w:rPr>
          <w:rFonts w:ascii="黑体" w:hAnsi="黑体" w:eastAsia="黑体"/>
          <w:color w:val="auto"/>
          <w:sz w:val="24"/>
          <w:highlight w:val="none"/>
        </w:rPr>
      </w:pPr>
      <w:bookmarkStart w:id="76" w:name="_Toc254970530"/>
      <w:bookmarkStart w:id="77" w:name="_Toc254970671"/>
      <w:r>
        <w:rPr>
          <w:rFonts w:hint="eastAsia" w:ascii="黑体" w:hAnsi="黑体" w:eastAsia="黑体"/>
          <w:color w:val="auto"/>
          <w:sz w:val="24"/>
          <w:highlight w:val="none"/>
        </w:rPr>
        <w:t>4.投标委托</w:t>
      </w:r>
      <w:bookmarkEnd w:id="76"/>
      <w:bookmarkEnd w:id="7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投标人代表参加投标活动过程中必须携带个人有效身份证件。如投标人代表不是法定代表人，须持有法定代表人授权委托书（正本用原件，副本用扫描件，按第六章要求格式填写）。</w:t>
      </w:r>
    </w:p>
    <w:p>
      <w:pPr>
        <w:spacing w:line="360" w:lineRule="auto"/>
        <w:ind w:firstLine="480" w:firstLineChars="200"/>
        <w:rPr>
          <w:rFonts w:ascii="黑体" w:hAnsi="黑体" w:eastAsia="黑体"/>
          <w:color w:val="auto"/>
          <w:sz w:val="24"/>
          <w:highlight w:val="none"/>
        </w:rPr>
      </w:pPr>
      <w:bookmarkStart w:id="78" w:name="_5.投标费用"/>
      <w:bookmarkEnd w:id="78"/>
      <w:bookmarkStart w:id="79" w:name="_Toc254970672"/>
      <w:bookmarkStart w:id="80" w:name="_Toc254970531"/>
      <w:r>
        <w:rPr>
          <w:rFonts w:hint="eastAsia" w:ascii="黑体" w:hAnsi="黑体" w:eastAsia="黑体"/>
          <w:color w:val="auto"/>
          <w:sz w:val="24"/>
          <w:highlight w:val="none"/>
        </w:rPr>
        <w:t>5.投标费用</w:t>
      </w:r>
      <w:bookmarkEnd w:id="79"/>
      <w:bookmarkEnd w:id="80"/>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6.联合体投标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pPr>
        <w:spacing w:line="360" w:lineRule="auto"/>
        <w:ind w:firstLine="420" w:firstLineChars="200"/>
        <w:rPr>
          <w:rFonts w:ascii="Helvetica Neue"/>
          <w:color w:val="auto"/>
          <w:sz w:val="24"/>
          <w:highlight w:val="none"/>
          <w:shd w:val="clear" w:color="auto" w:fill="FFFFFF"/>
        </w:rPr>
      </w:pPr>
      <w:r>
        <w:rPr>
          <w:rFonts w:hint="eastAsia" w:ascii="宋体" w:hAnsi="宋体"/>
          <w:bCs/>
          <w:color w:val="auto"/>
          <w:szCs w:val="21"/>
          <w:highlight w:val="none"/>
        </w:rPr>
        <w:t>6.3根据《政府采购促进中小企业发展管理办法》（财库[2020]46号）</w:t>
      </w:r>
      <w:r>
        <w:rPr>
          <w:rFonts w:ascii="宋体" w:hAnsi="宋体"/>
          <w:bCs/>
          <w:color w:val="auto"/>
          <w:szCs w:val="21"/>
          <w:highlight w:val="none"/>
        </w:rPr>
        <w:t>第九条</w:t>
      </w:r>
      <w:r>
        <w:rPr>
          <w:rFonts w:hint="eastAsia" w:ascii="宋体" w:hAnsi="宋体"/>
          <w:bCs/>
          <w:color w:val="auto"/>
          <w:szCs w:val="21"/>
          <w:highlight w:val="none"/>
        </w:rPr>
        <w:t>规定，</w:t>
      </w:r>
      <w:r>
        <w:rPr>
          <w:rFonts w:ascii="宋体" w:hAnsi="宋体"/>
          <w:bCs/>
          <w:color w:val="auto"/>
          <w:szCs w:val="21"/>
          <w:highlight w:val="none"/>
        </w:rPr>
        <w:t>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 xml:space="preserve">7.转包与分包             </w:t>
      </w:r>
    </w:p>
    <w:p>
      <w:pPr>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7.</w:t>
      </w:r>
      <w:r>
        <w:rPr>
          <w:rFonts w:ascii="宋体" w:hAnsi="宋体" w:eastAsia="宋体" w:cs="Times New Roman"/>
          <w:bCs/>
          <w:color w:val="auto"/>
          <w:szCs w:val="21"/>
          <w:highlight w:val="none"/>
        </w:rPr>
        <w:t>1</w:t>
      </w:r>
      <w:r>
        <w:rPr>
          <w:rFonts w:hint="eastAsia" w:ascii="宋体" w:hAnsi="宋体" w:eastAsia="宋体" w:cs="Times New Roman"/>
          <w:bCs/>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ascii="宋体" w:hAnsi="宋体"/>
          <w:bCs/>
          <w:color w:val="auto"/>
          <w:szCs w:val="21"/>
          <w:highlight w:val="none"/>
        </w:rPr>
      </w:pPr>
      <w:r>
        <w:rPr>
          <w:rFonts w:hint="eastAsia" w:ascii="宋体" w:hAnsi="宋体" w:eastAsia="宋体" w:cs="Times New Roman"/>
          <w:bCs/>
          <w:color w:val="auto"/>
          <w:szCs w:val="21"/>
          <w:highlight w:val="none"/>
        </w:rPr>
        <w:t>7.</w:t>
      </w:r>
      <w:r>
        <w:rPr>
          <w:rFonts w:ascii="宋体" w:hAnsi="宋体" w:eastAsia="宋体" w:cs="Times New Roman"/>
          <w:bCs/>
          <w:color w:val="auto"/>
          <w:szCs w:val="21"/>
          <w:highlight w:val="none"/>
        </w:rPr>
        <w:t>2</w:t>
      </w:r>
      <w:r>
        <w:rPr>
          <w:rFonts w:hint="eastAsia" w:ascii="宋体" w:hAnsi="宋体" w:eastAsia="宋体" w:cs="Times New Roman"/>
          <w:bCs/>
          <w:color w:val="auto"/>
          <w:szCs w:val="21"/>
          <w:highlight w:val="none"/>
        </w:rPr>
        <w:t>根据《政府采购促进中小企业发展管理办法》（财库[2020]46号）</w:t>
      </w:r>
      <w:r>
        <w:rPr>
          <w:rFonts w:ascii="宋体" w:hAnsi="宋体" w:eastAsia="宋体" w:cs="Times New Roman"/>
          <w:bCs/>
          <w:color w:val="auto"/>
          <w:szCs w:val="21"/>
          <w:highlight w:val="none"/>
        </w:rPr>
        <w:t>第九条</w:t>
      </w:r>
      <w:r>
        <w:rPr>
          <w:rFonts w:hint="eastAsia" w:ascii="宋体" w:hAnsi="宋体" w:eastAsia="宋体" w:cs="Times New Roman"/>
          <w:bCs/>
          <w:color w:val="auto"/>
          <w:szCs w:val="21"/>
          <w:highlight w:val="none"/>
        </w:rPr>
        <w:t>规定，</w:t>
      </w:r>
      <w:r>
        <w:rPr>
          <w:rFonts w:ascii="宋体" w:hAnsi="宋体" w:eastAsia="宋体" w:cs="Times New Roman"/>
          <w:bCs/>
          <w:color w:val="auto"/>
          <w:szCs w:val="21"/>
          <w:highlight w:val="none"/>
        </w:rPr>
        <w:t>允许大中型企业向一家或者多家小微企业分包的采购项目，对于分包</w:t>
      </w:r>
      <w:r>
        <w:rPr>
          <w:rFonts w:ascii="宋体" w:hAnsi="宋体"/>
          <w:bCs/>
          <w:color w:val="auto"/>
          <w:szCs w:val="21"/>
          <w:highlight w:val="none"/>
        </w:rPr>
        <w:t>意向协议约定小微企业的合同份额占到合同总金额 30%以上的，采购人、采购代理机构应当对大中型企业的报价给予2%-3%的扣除，用扣除后的价格参加评审。接受分包的小微企业与分包企业之间存在直接控股、管理关系的，不享受价格扣除优惠政策。</w:t>
      </w:r>
    </w:p>
    <w:p>
      <w:pPr>
        <w:spacing w:line="360" w:lineRule="auto"/>
        <w:ind w:firstLine="480" w:firstLineChars="200"/>
        <w:rPr>
          <w:rFonts w:ascii="黑体" w:hAnsi="黑体" w:eastAsia="黑体"/>
          <w:color w:val="auto"/>
          <w:sz w:val="24"/>
          <w:highlight w:val="none"/>
        </w:rPr>
      </w:pPr>
      <w:bookmarkStart w:id="81" w:name="_Toc254970532"/>
      <w:bookmarkStart w:id="82" w:name="_Toc254970673"/>
      <w:r>
        <w:rPr>
          <w:rFonts w:hint="eastAsia" w:ascii="黑体" w:hAnsi="黑体" w:eastAsia="黑体"/>
          <w:color w:val="auto"/>
          <w:sz w:val="24"/>
          <w:highlight w:val="none"/>
        </w:rPr>
        <w:t>8.特别说明：</w:t>
      </w:r>
      <w:bookmarkEnd w:id="81"/>
      <w:bookmarkEnd w:id="82"/>
      <w:bookmarkStart w:id="83" w:name="_8.1提供相同品牌产品且通过资格审查、符合性审查的不同投标人参加同一合"/>
      <w:bookmarkEnd w:id="83"/>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1</w:t>
      </w:r>
      <w:r>
        <w:rPr>
          <w:rFonts w:hint="eastAsia" w:ascii="宋体" w:hAnsi="宋体"/>
          <w:b/>
          <w:color w:val="auto"/>
          <w:szCs w:val="21"/>
          <w:highlight w:val="none"/>
        </w:rPr>
        <w:t>如果本招标文件要求投标人提供资格、信誉、荣誉、业绩与企业认证等材料的，则投标人所提供的以上材料必须为投标人所拥有。</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2</w:t>
      </w:r>
      <w:r>
        <w:rPr>
          <w:rFonts w:hint="eastAsia" w:ascii="宋体" w:hAnsi="宋体"/>
          <w:b/>
          <w:color w:val="auto"/>
          <w:szCs w:val="21"/>
          <w:highlight w:val="none"/>
        </w:rPr>
        <w:t>投标人应仔细阅读招标文件的所有内容，按照招标文件的要求提交投标文件，并对所提供的全部资料的真实性承担法律责任。</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3</w:t>
      </w:r>
      <w:r>
        <w:rPr>
          <w:rFonts w:hint="eastAsia" w:ascii="宋体" w:hAnsi="宋体"/>
          <w:b/>
          <w:color w:val="auto"/>
          <w:szCs w:val="21"/>
          <w:highlight w:val="none"/>
        </w:rPr>
        <w:t>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80" w:firstLine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9</w:t>
      </w:r>
      <w:r>
        <w:rPr>
          <w:rFonts w:ascii="宋体" w:hAnsi="宋体"/>
          <w:b/>
          <w:color w:val="auto"/>
          <w:szCs w:val="21"/>
          <w:highlight w:val="none"/>
        </w:rPr>
        <w:t>.1在政府采购活动中，采购人员及相关人员与</w:t>
      </w:r>
      <w:r>
        <w:rPr>
          <w:rFonts w:hint="eastAsia" w:ascii="宋体" w:hAnsi="宋体"/>
          <w:b/>
          <w:color w:val="auto"/>
          <w:szCs w:val="21"/>
          <w:highlight w:val="none"/>
        </w:rPr>
        <w:t>供应商</w:t>
      </w:r>
      <w:r>
        <w:rPr>
          <w:rFonts w:ascii="宋体" w:hAnsi="宋体"/>
          <w:b/>
          <w:color w:val="auto"/>
          <w:szCs w:val="21"/>
          <w:highlight w:val="none"/>
        </w:rPr>
        <w:t>有下列利害关系之一的，应当回避：</w:t>
      </w:r>
    </w:p>
    <w:p>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1</w:t>
      </w:r>
      <w:r>
        <w:rPr>
          <w:rFonts w:hAnsi="宋体"/>
          <w:color w:val="auto"/>
          <w:highlight w:val="none"/>
        </w:rPr>
        <w:t>）参加采购活动前3年内与</w:t>
      </w:r>
      <w:r>
        <w:rPr>
          <w:rFonts w:hint="eastAsia" w:hAnsi="宋体"/>
          <w:color w:val="auto"/>
          <w:highlight w:val="none"/>
        </w:rPr>
        <w:t>供应商</w:t>
      </w:r>
      <w:r>
        <w:rPr>
          <w:rFonts w:hAnsi="宋体"/>
          <w:color w:val="auto"/>
          <w:highlight w:val="none"/>
        </w:rPr>
        <w:t>存在劳动关系；</w:t>
      </w:r>
    </w:p>
    <w:p>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）参加采购活动前3年内担任</w:t>
      </w:r>
      <w:r>
        <w:rPr>
          <w:rFonts w:hint="eastAsia" w:hAnsi="宋体"/>
          <w:color w:val="auto"/>
          <w:highlight w:val="none"/>
        </w:rPr>
        <w:t>供应商</w:t>
      </w:r>
      <w:r>
        <w:rPr>
          <w:rFonts w:hAnsi="宋体"/>
          <w:color w:val="auto"/>
          <w:highlight w:val="none"/>
        </w:rPr>
        <w:t>的董事、监事；</w:t>
      </w:r>
    </w:p>
    <w:p>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）参加采购活动前3年内是</w:t>
      </w:r>
      <w:r>
        <w:rPr>
          <w:rFonts w:hint="eastAsia" w:hAnsi="宋体"/>
          <w:color w:val="auto"/>
          <w:highlight w:val="none"/>
        </w:rPr>
        <w:t>供应商</w:t>
      </w:r>
      <w:r>
        <w:rPr>
          <w:rFonts w:hAnsi="宋体"/>
          <w:color w:val="auto"/>
          <w:highlight w:val="none"/>
        </w:rPr>
        <w:t>的控股股东或者实际控制人；</w:t>
      </w:r>
    </w:p>
    <w:p>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4</w:t>
      </w:r>
      <w:r>
        <w:rPr>
          <w:rFonts w:hAnsi="宋体"/>
          <w:color w:val="auto"/>
          <w:highlight w:val="none"/>
        </w:rPr>
        <w:t>）与</w:t>
      </w:r>
      <w:r>
        <w:rPr>
          <w:rFonts w:hint="eastAsia" w:hAnsi="宋体"/>
          <w:color w:val="auto"/>
          <w:highlight w:val="none"/>
        </w:rPr>
        <w:t>供应商</w:t>
      </w:r>
      <w:r>
        <w:rPr>
          <w:rFonts w:hAnsi="宋体"/>
          <w:color w:val="auto"/>
          <w:highlight w:val="none"/>
        </w:rPr>
        <w:t>的法定代表人或者负责人有夫妻、直系血亲、三代以内旁系血亲或者近姻亲关系；</w:t>
      </w:r>
    </w:p>
    <w:p>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5</w:t>
      </w:r>
      <w:r>
        <w:rPr>
          <w:rFonts w:hAnsi="宋体"/>
          <w:color w:val="auto"/>
          <w:highlight w:val="none"/>
        </w:rPr>
        <w:t>）与</w:t>
      </w:r>
      <w:r>
        <w:rPr>
          <w:rFonts w:hint="eastAsia" w:hAnsi="宋体"/>
          <w:color w:val="auto"/>
          <w:highlight w:val="none"/>
        </w:rPr>
        <w:t>供应商</w:t>
      </w:r>
      <w:r>
        <w:rPr>
          <w:rFonts w:hAnsi="宋体"/>
          <w:color w:val="auto"/>
          <w:highlight w:val="none"/>
        </w:rPr>
        <w:t>有其他可能影响政府采购活动公平、公正进行的关系。</w:t>
      </w:r>
    </w:p>
    <w:p>
      <w:pPr>
        <w:spacing w:line="360" w:lineRule="auto"/>
        <w:ind w:firstLine="420" w:firstLineChars="200"/>
        <w:rPr>
          <w:rFonts w:hAnsi="宋体"/>
          <w:color w:val="auto"/>
          <w:highlight w:val="none"/>
        </w:rPr>
      </w:pPr>
      <w:r>
        <w:rPr>
          <w:rFonts w:hint="eastAsia" w:hAnsi="宋体"/>
          <w:color w:val="auto"/>
          <w:highlight w:val="none"/>
        </w:rPr>
        <w:t>供应商</w:t>
      </w:r>
      <w:r>
        <w:rPr>
          <w:rFonts w:hAnsi="宋体"/>
          <w:color w:val="auto"/>
          <w:highlight w:val="none"/>
        </w:rPr>
        <w:t>认为采购人员及相关人员与其他</w:t>
      </w:r>
      <w:r>
        <w:rPr>
          <w:rFonts w:hint="eastAsia" w:hAnsi="宋体"/>
          <w:color w:val="auto"/>
          <w:highlight w:val="none"/>
        </w:rPr>
        <w:t>供应商</w:t>
      </w:r>
      <w:r>
        <w:rPr>
          <w:rFonts w:hAnsi="宋体"/>
          <w:color w:val="auto"/>
          <w:highlight w:val="none"/>
        </w:rPr>
        <w:t>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9.2</w:t>
      </w:r>
      <w:r>
        <w:rPr>
          <w:rFonts w:hint="eastAsia" w:ascii="宋体" w:hAnsi="宋体"/>
          <w:color w:val="auto"/>
          <w:szCs w:val="21"/>
          <w:highlight w:val="none"/>
        </w:rPr>
        <w:t>有下列情形之一的视为投标人相互串通投标，投标文件将被视为无效：</w:t>
      </w:r>
    </w:p>
    <w:p>
      <w:pPr>
        <w:spacing w:line="360" w:lineRule="auto"/>
        <w:ind w:firstLine="422" w:firstLineChars="200"/>
        <w:rPr>
          <w:rFonts w:hAnsi="宋体"/>
          <w:b/>
          <w:color w:val="auto"/>
          <w:highlight w:val="none"/>
        </w:rPr>
      </w:pPr>
      <w:r>
        <w:rPr>
          <w:rFonts w:hint="eastAsia" w:hAnsi="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pPr>
        <w:spacing w:line="360" w:lineRule="auto"/>
        <w:ind w:firstLine="422" w:firstLineChars="200"/>
        <w:rPr>
          <w:rFonts w:hAnsi="宋体"/>
          <w:b/>
          <w:color w:val="auto"/>
          <w:highlight w:val="none"/>
        </w:rPr>
      </w:pPr>
      <w:r>
        <w:rPr>
          <w:rFonts w:hint="eastAsia" w:hAnsi="宋体"/>
          <w:b/>
          <w:color w:val="auto"/>
          <w:highlight w:val="none"/>
        </w:rPr>
        <w:t>（2）不同投标人委托同一单位或者个人办理投标事宜；</w:t>
      </w:r>
    </w:p>
    <w:p>
      <w:pPr>
        <w:spacing w:line="360" w:lineRule="auto"/>
        <w:ind w:firstLine="422" w:firstLineChars="200"/>
        <w:rPr>
          <w:rFonts w:hAnsi="宋体"/>
          <w:b/>
          <w:color w:val="auto"/>
          <w:highlight w:val="none"/>
        </w:rPr>
      </w:pPr>
      <w:r>
        <w:rPr>
          <w:rFonts w:hint="eastAsia" w:hAnsi="宋体"/>
          <w:b/>
          <w:color w:val="auto"/>
          <w:highlight w:val="none"/>
        </w:rPr>
        <w:t>（3）不同的投标人的投标文件载明的项目管理员为同一个人；</w:t>
      </w:r>
    </w:p>
    <w:p>
      <w:pPr>
        <w:spacing w:line="360" w:lineRule="auto"/>
        <w:ind w:firstLine="422" w:firstLineChars="200"/>
        <w:rPr>
          <w:rFonts w:hAnsi="宋体"/>
          <w:b/>
          <w:color w:val="auto"/>
          <w:highlight w:val="none"/>
        </w:rPr>
      </w:pPr>
      <w:r>
        <w:rPr>
          <w:rFonts w:hint="eastAsia" w:hAnsi="宋体"/>
          <w:b/>
          <w:color w:val="auto"/>
          <w:highlight w:val="none"/>
        </w:rPr>
        <w:t>（4）不同投标人的电子或纸质投标文件异常一致或者投标报价呈规律性差异；</w:t>
      </w:r>
    </w:p>
    <w:p>
      <w:pPr>
        <w:spacing w:line="360" w:lineRule="auto"/>
        <w:ind w:firstLine="422" w:firstLineChars="200"/>
        <w:rPr>
          <w:rFonts w:hAnsi="宋体"/>
          <w:b/>
          <w:color w:val="auto"/>
          <w:highlight w:val="none"/>
        </w:rPr>
      </w:pPr>
      <w:r>
        <w:rPr>
          <w:rFonts w:hint="eastAsia" w:hAnsi="宋体"/>
          <w:b/>
          <w:color w:val="auto"/>
          <w:highlight w:val="none"/>
        </w:rPr>
        <w:t>（5）不同投标人的纸质投标文件相互混装；</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9.3</w:t>
      </w:r>
      <w:r>
        <w:rPr>
          <w:rFonts w:hint="eastAsia" w:ascii="宋体" w:hAnsi="宋体"/>
          <w:color w:val="auto"/>
          <w:szCs w:val="21"/>
          <w:highlight w:val="none"/>
        </w:rPr>
        <w:t>供应商有下列情形之一的，属于恶意串通行为，将报同级监督管理部门：</w:t>
      </w:r>
    </w:p>
    <w:p>
      <w:pPr>
        <w:spacing w:line="360" w:lineRule="auto"/>
        <w:ind w:firstLine="420" w:firstLineChars="200"/>
        <w:rPr>
          <w:rFonts w:hAnsi="宋体"/>
          <w:color w:val="auto"/>
          <w:highlight w:val="none"/>
        </w:rPr>
      </w:pPr>
      <w:r>
        <w:rPr>
          <w:rFonts w:hint="eastAsia" w:hAnsi="宋体"/>
          <w:color w:val="auto"/>
          <w:highlight w:val="none"/>
        </w:rPr>
        <w:t>（1）供应商直接或者间接从采购人或者采购代理机构处获得其他供应商的相关信息并修改其投标文件或者投标文件；</w:t>
      </w:r>
    </w:p>
    <w:p>
      <w:pPr>
        <w:spacing w:line="360" w:lineRule="auto"/>
        <w:ind w:firstLine="420" w:firstLineChars="200"/>
        <w:rPr>
          <w:rFonts w:hAnsi="宋体"/>
          <w:color w:val="auto"/>
          <w:highlight w:val="none"/>
        </w:rPr>
      </w:pPr>
      <w:r>
        <w:rPr>
          <w:rFonts w:hint="eastAsia" w:hAnsi="宋体"/>
          <w:color w:val="auto"/>
          <w:highlight w:val="none"/>
        </w:rPr>
        <w:t>（2）供应商按照采购人或者采购代理机构的授意撤换、修改投标文件或者投标文件；</w:t>
      </w:r>
    </w:p>
    <w:p>
      <w:pPr>
        <w:spacing w:line="360" w:lineRule="auto"/>
        <w:ind w:firstLine="420" w:firstLineChars="200"/>
        <w:rPr>
          <w:rFonts w:hAnsi="宋体"/>
          <w:color w:val="auto"/>
          <w:highlight w:val="none"/>
        </w:rPr>
      </w:pPr>
      <w:r>
        <w:rPr>
          <w:rFonts w:hint="eastAsia" w:hAnsi="宋体"/>
          <w:color w:val="auto"/>
          <w:highlight w:val="none"/>
        </w:rPr>
        <w:t>（3）供应商之间协商报价、技术方案等投标文件或者投标文件的实质性内容；</w:t>
      </w:r>
    </w:p>
    <w:p>
      <w:pPr>
        <w:spacing w:line="360" w:lineRule="auto"/>
        <w:ind w:firstLine="420" w:firstLineChars="200"/>
        <w:rPr>
          <w:rFonts w:hAnsi="宋体"/>
          <w:color w:val="auto"/>
          <w:highlight w:val="none"/>
        </w:rPr>
      </w:pPr>
      <w:r>
        <w:rPr>
          <w:rFonts w:hint="eastAsia" w:hAnsi="宋体"/>
          <w:color w:val="auto"/>
          <w:highlight w:val="none"/>
        </w:rPr>
        <w:t>（4）属于同一集团、协会、商会等组织成员的供应商按照该组织要求协同参加政府采购活动；</w:t>
      </w:r>
    </w:p>
    <w:p>
      <w:pPr>
        <w:spacing w:line="360" w:lineRule="auto"/>
        <w:ind w:firstLine="420" w:firstLineChars="200"/>
        <w:rPr>
          <w:rFonts w:hAnsi="宋体"/>
          <w:color w:val="auto"/>
          <w:highlight w:val="none"/>
        </w:rPr>
      </w:pPr>
      <w:r>
        <w:rPr>
          <w:rFonts w:hint="eastAsia" w:hAnsi="宋体"/>
          <w:color w:val="auto"/>
          <w:highlight w:val="none"/>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Ansi="宋体"/>
          <w:color w:val="auto"/>
          <w:highlight w:val="none"/>
        </w:rPr>
      </w:pPr>
      <w:r>
        <w:rPr>
          <w:rFonts w:hint="eastAsia" w:hAnsi="宋体"/>
          <w:color w:val="auto"/>
          <w:highlight w:val="none"/>
        </w:rPr>
        <w:t>（6）供应商之间商定部分供应商放弃参加政府采购活动或者放弃中标；</w:t>
      </w:r>
    </w:p>
    <w:p>
      <w:pPr>
        <w:spacing w:line="360" w:lineRule="auto"/>
        <w:ind w:firstLine="420" w:firstLineChars="200"/>
        <w:rPr>
          <w:rFonts w:hAnsi="宋体"/>
          <w:color w:val="auto"/>
          <w:highlight w:val="none"/>
        </w:rPr>
      </w:pPr>
      <w:r>
        <w:rPr>
          <w:rFonts w:hint="eastAsia" w:hAnsi="宋体"/>
          <w:color w:val="auto"/>
          <w:highlight w:val="none"/>
        </w:rPr>
        <w:t>（7）供应商与采购人或者采购代理机构之间、供应商相互之间，为谋求特定供应商中标或者排斥其他供应商的其他串通行为。</w:t>
      </w:r>
    </w:p>
    <w:p>
      <w:pPr>
        <w:snapToGrid w:val="0"/>
        <w:spacing w:line="360" w:lineRule="auto"/>
        <w:ind w:left="2" w:leftChars="1" w:firstLine="422" w:firstLineChars="200"/>
        <w:rPr>
          <w:rFonts w:ascii="宋体" w:hAnsi="宋体"/>
          <w:b/>
          <w:color w:val="auto"/>
          <w:kern w:val="1"/>
          <w:szCs w:val="20"/>
          <w:highlight w:val="none"/>
        </w:rPr>
      </w:pPr>
    </w:p>
    <w:p>
      <w:pPr>
        <w:spacing w:line="400" w:lineRule="exact"/>
        <w:ind w:firstLine="643"/>
        <w:jc w:val="center"/>
        <w:outlineLvl w:val="2"/>
        <w:rPr>
          <w:rFonts w:eastAsia="Times New Roman"/>
          <w:b/>
          <w:color w:val="auto"/>
          <w:sz w:val="32"/>
          <w:szCs w:val="32"/>
          <w:highlight w:val="none"/>
        </w:rPr>
      </w:pPr>
      <w:bookmarkStart w:id="84" w:name="_Toc254970534"/>
      <w:bookmarkStart w:id="85" w:name="_Toc80092996"/>
      <w:bookmarkStart w:id="86" w:name="_Toc254970675"/>
      <w:r>
        <w:rPr>
          <w:rFonts w:hint="eastAsia" w:ascii="宋体" w:hAnsi="宋体" w:cs="宋体"/>
          <w:b/>
          <w:color w:val="auto"/>
          <w:sz w:val="32"/>
          <w:szCs w:val="32"/>
          <w:highlight w:val="none"/>
        </w:rPr>
        <w:t>二、招标文件</w:t>
      </w:r>
      <w:bookmarkEnd w:id="84"/>
      <w:bookmarkEnd w:id="85"/>
      <w:bookmarkEnd w:id="86"/>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第一章 招标公告；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第二章 采购需求；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第三章 投标人须知；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第四章 评标方法及评标标准；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第五章 拟签订的合同文本；</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第六章 投标文件格式；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第七章 质疑、投诉材料格式</w:t>
      </w:r>
    </w:p>
    <w:p>
      <w:pPr>
        <w:spacing w:line="360" w:lineRule="auto"/>
        <w:ind w:firstLine="420" w:firstLineChars="200"/>
        <w:rPr>
          <w:rFonts w:hAnsi="宋体"/>
          <w:color w:val="auto"/>
          <w:highlight w:val="none"/>
        </w:rPr>
      </w:pPr>
      <w:r>
        <w:rPr>
          <w:rFonts w:hint="eastAsia" w:hAnsi="宋体"/>
          <w:color w:val="auto"/>
          <w:highlight w:val="none"/>
        </w:rPr>
        <w:t>根据本章第11.1项的规定对公开招标文件所做的澄清、修改，构成招标文件的组成部分。当公开招标文件与招标文件的澄清和修改就同一内容的表述不一致时，</w:t>
      </w:r>
      <w:r>
        <w:rPr>
          <w:rFonts w:hint="eastAsia"/>
          <w:color w:val="auto"/>
          <w:highlight w:val="none"/>
        </w:rPr>
        <w:t>以最后澄清或修改公告为准。</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pacing w:line="360" w:lineRule="auto"/>
        <w:ind w:firstLine="420" w:firstLineChars="200"/>
        <w:rPr>
          <w:rFonts w:hAnsi="宋体"/>
          <w:color w:val="auto"/>
          <w:highlight w:val="none"/>
        </w:rPr>
      </w:pPr>
      <w:r>
        <w:rPr>
          <w:rFonts w:hint="eastAsia" w:hAnsi="宋体"/>
          <w:color w:val="auto"/>
          <w:highlight w:val="none"/>
        </w:rPr>
        <w:t>11.2 投标人应认真审阅本公开招标文件，如有疑问，或发现其中有误或有要求不合理的，应在投标人须知前附表规定的</w:t>
      </w:r>
      <w:r>
        <w:rPr>
          <w:rFonts w:hint="eastAsia" w:cs="宋体"/>
          <w:color w:val="auto"/>
          <w:szCs w:val="21"/>
          <w:highlight w:val="none"/>
        </w:rPr>
        <w:t>投标截止时间</w:t>
      </w:r>
      <w:r>
        <w:rPr>
          <w:rFonts w:hint="eastAsia" w:hAnsi="宋体"/>
          <w:color w:val="auto"/>
          <w:highlight w:val="none"/>
        </w:rPr>
        <w:t>前以书面形式要求采购人或采购代理机构对招标文件予以澄清；否则，由此产生的后果由投标人自行负责。</w:t>
      </w:r>
    </w:p>
    <w:p>
      <w:pPr>
        <w:spacing w:line="360" w:lineRule="auto"/>
        <w:ind w:firstLine="420" w:firstLineChars="200"/>
        <w:rPr>
          <w:color w:val="auto"/>
          <w:highlight w:val="none"/>
        </w:rPr>
      </w:pPr>
      <w:r>
        <w:rPr>
          <w:rFonts w:hint="eastAsia" w:hAnsi="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Ansi="宋体"/>
          <w:color w:val="auto"/>
          <w:szCs w:val="21"/>
          <w:highlight w:val="none"/>
        </w:rPr>
        <w:t>投标人须知前附表”</w:t>
      </w:r>
      <w:r>
        <w:rPr>
          <w:rFonts w:hint="eastAsia" w:hAnsi="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pPr>
        <w:spacing w:line="360" w:lineRule="auto"/>
        <w:ind w:firstLine="420" w:firstLineChars="200"/>
        <w:rPr>
          <w:color w:val="auto"/>
          <w:highlight w:val="none"/>
        </w:rPr>
      </w:pPr>
      <w:r>
        <w:rPr>
          <w:rFonts w:hint="eastAsia" w:hAnsi="宋体"/>
          <w:color w:val="auto"/>
          <w:highlight w:val="none"/>
        </w:rPr>
        <w:t xml:space="preserve">11.4 </w:t>
      </w:r>
      <w:r>
        <w:rPr>
          <w:rFonts w:hint="eastAsia"/>
          <w:color w:val="auto"/>
          <w:highlight w:val="none"/>
        </w:rPr>
        <w:t>采购人和采购代理机构可以视采购具体情况，变更投标截止时间和开标时间，将变更时间将在</w:t>
      </w:r>
      <w:r>
        <w:rPr>
          <w:rFonts w:hint="eastAsia" w:hAnsi="宋体"/>
          <w:color w:val="auto"/>
          <w:highlight w:val="none"/>
        </w:rPr>
        <w:t>“</w:t>
      </w:r>
      <w:r>
        <w:rPr>
          <w:rFonts w:hAnsi="宋体"/>
          <w:color w:val="auto"/>
          <w:szCs w:val="21"/>
          <w:highlight w:val="none"/>
        </w:rPr>
        <w:t>投标人须知前附表”</w:t>
      </w:r>
      <w:r>
        <w:rPr>
          <w:rFonts w:hint="eastAsia" w:cs="宋体"/>
          <w:color w:val="auto"/>
          <w:szCs w:val="21"/>
          <w:highlight w:val="none"/>
        </w:rPr>
        <w:t>规定的政府采购信息发布媒体上</w:t>
      </w:r>
      <w:r>
        <w:rPr>
          <w:rFonts w:hint="eastAsia"/>
          <w:color w:val="auto"/>
          <w:highlight w:val="none"/>
        </w:rPr>
        <w:t>发布更正公告。</w:t>
      </w:r>
    </w:p>
    <w:p>
      <w:pPr>
        <w:spacing w:line="360" w:lineRule="auto"/>
        <w:ind w:firstLine="420" w:firstLineChars="200"/>
        <w:rPr>
          <w:rFonts w:hAnsi="宋体"/>
          <w:color w:val="auto"/>
          <w:highlight w:val="none"/>
        </w:rPr>
      </w:pPr>
      <w:r>
        <w:rPr>
          <w:rFonts w:hint="eastAsia" w:hAnsi="宋体"/>
          <w:color w:val="auto"/>
          <w:highlight w:val="none"/>
        </w:rPr>
        <w:t>1</w:t>
      </w:r>
      <w:r>
        <w:rPr>
          <w:rFonts w:hAnsi="宋体"/>
          <w:color w:val="auto"/>
          <w:highlight w:val="none"/>
        </w:rPr>
        <w:t>1.</w:t>
      </w:r>
      <w:bookmarkStart w:id="87" w:name="_Hlk53134511"/>
      <w:r>
        <w:rPr>
          <w:rFonts w:hint="eastAsia" w:hAnsi="宋体"/>
          <w:color w:val="auto"/>
          <w:highlight w:val="none"/>
        </w:rPr>
        <w:t>5采购人或者采购代理机构可以在招标文件提供期限截止后，组织已获取招标文件的潜在投标人现场考察或者召开开标前答疑会，具体详见“投标人须知前附表”。</w:t>
      </w:r>
    </w:p>
    <w:bookmarkEnd w:id="87"/>
    <w:p>
      <w:pPr>
        <w:spacing w:line="400" w:lineRule="exact"/>
        <w:ind w:firstLine="643"/>
        <w:jc w:val="center"/>
        <w:outlineLvl w:val="2"/>
        <w:rPr>
          <w:rFonts w:hint="eastAsia" w:ascii="宋体" w:hAnsi="宋体" w:cs="宋体"/>
          <w:b/>
          <w:color w:val="auto"/>
          <w:sz w:val="32"/>
          <w:szCs w:val="32"/>
          <w:highlight w:val="none"/>
        </w:rPr>
      </w:pPr>
      <w:bookmarkStart w:id="88" w:name="_Toc80092997"/>
      <w:bookmarkStart w:id="89" w:name="_Toc254970535"/>
      <w:bookmarkStart w:id="90" w:name="_Toc254970676"/>
    </w:p>
    <w:p>
      <w:pPr>
        <w:spacing w:line="400" w:lineRule="exact"/>
        <w:ind w:firstLine="643"/>
        <w:jc w:val="center"/>
        <w:outlineLvl w:val="2"/>
        <w:rPr>
          <w:rFonts w:eastAsia="Times New Roman"/>
          <w:b/>
          <w:color w:val="auto"/>
          <w:sz w:val="32"/>
          <w:szCs w:val="32"/>
          <w:highlight w:val="none"/>
        </w:rPr>
      </w:pPr>
      <w:r>
        <w:rPr>
          <w:rFonts w:hint="eastAsia" w:ascii="宋体" w:hAnsi="宋体" w:cs="宋体"/>
          <w:b/>
          <w:color w:val="auto"/>
          <w:sz w:val="32"/>
          <w:szCs w:val="32"/>
          <w:highlight w:val="none"/>
        </w:rPr>
        <w:t>三、投标文件的编制</w:t>
      </w:r>
      <w:bookmarkEnd w:id="88"/>
      <w:bookmarkEnd w:id="89"/>
      <w:bookmarkEnd w:id="90"/>
    </w:p>
    <w:p>
      <w:pPr>
        <w:spacing w:line="360" w:lineRule="auto"/>
        <w:ind w:firstLine="480" w:firstLineChars="200"/>
        <w:rPr>
          <w:rFonts w:ascii="黑体" w:hAnsi="黑体" w:eastAsia="黑体"/>
          <w:color w:val="auto"/>
          <w:sz w:val="24"/>
          <w:highlight w:val="none"/>
        </w:rPr>
      </w:pPr>
      <w:bookmarkStart w:id="91" w:name="_Toc254970536"/>
      <w:bookmarkStart w:id="92" w:name="_Toc254970677"/>
      <w:r>
        <w:rPr>
          <w:rFonts w:hint="eastAsia" w:ascii="黑体" w:hAnsi="黑体" w:eastAsia="黑体"/>
          <w:color w:val="auto"/>
          <w:sz w:val="24"/>
          <w:highlight w:val="none"/>
        </w:rPr>
        <w:t>12.投标文件的编制原则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w:t>
      </w:r>
      <w:r>
        <w:rPr>
          <w:rFonts w:ascii="宋体" w:hAnsi="宋体"/>
          <w:color w:val="auto"/>
          <w:szCs w:val="21"/>
          <w:highlight w:val="none"/>
        </w:rPr>
        <w:t>投标人必须按照招标文件的要求编制投标文件。投标文件必须对招标文件提出的要求和条件作出明确响应。</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13.投标文件的组成</w:t>
      </w:r>
      <w:bookmarkEnd w:id="91"/>
      <w:bookmarkEnd w:id="92"/>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pPr>
        <w:spacing w:line="360" w:lineRule="auto"/>
        <w:ind w:firstLine="420" w:firstLineChars="200"/>
        <w:rPr>
          <w:rFonts w:ascii="宋体" w:hAnsi="宋体"/>
          <w:bCs/>
          <w:color w:val="auto"/>
          <w:szCs w:val="21"/>
          <w:highlight w:val="none"/>
        </w:rPr>
      </w:pPr>
      <w:bookmarkStart w:id="93" w:name="_13.2资格证明文件：具体材料见“投标人须知前附表”。"/>
      <w:bookmarkEnd w:id="93"/>
      <w:bookmarkStart w:id="94" w:name="_13.1报价文件:_具体材料见“投标人须知前附表”。"/>
      <w:bookmarkEnd w:id="94"/>
      <w:r>
        <w:rPr>
          <w:rFonts w:hint="eastAsia" w:ascii="宋体" w:hAnsi="宋体"/>
          <w:bCs/>
          <w:color w:val="auto"/>
          <w:szCs w:val="21"/>
          <w:highlight w:val="none"/>
        </w:rPr>
        <w:t>（1）资格证明文件：</w:t>
      </w:r>
      <w:r>
        <w:rPr>
          <w:rFonts w:ascii="宋体" w:hAnsi="宋体"/>
          <w:bCs/>
          <w:color w:val="auto"/>
          <w:szCs w:val="21"/>
          <w:highlight w:val="none"/>
        </w:rPr>
        <w:t>具体材料见“投标人须知前附表”</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bookmarkStart w:id="95" w:name="_13.3商务文件:_具体材料见“投标人须知前附表”。"/>
      <w:bookmarkEnd w:id="95"/>
      <w:r>
        <w:rPr>
          <w:rFonts w:hint="eastAsia" w:ascii="宋体" w:hAnsi="宋体"/>
          <w:bCs/>
          <w:color w:val="auto"/>
          <w:szCs w:val="21"/>
          <w:highlight w:val="none"/>
        </w:rPr>
        <w:t>（2）商务文件：</w:t>
      </w:r>
      <w:r>
        <w:rPr>
          <w:rFonts w:ascii="宋体" w:hAnsi="宋体"/>
          <w:bCs/>
          <w:color w:val="auto"/>
          <w:szCs w:val="21"/>
          <w:highlight w:val="none"/>
        </w:rPr>
        <w:t>具体材料见“投标人须知前附表”</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bookmarkStart w:id="96" w:name="_13.4技术文件：具体材料见“投标人须知前附表”。"/>
      <w:bookmarkEnd w:id="96"/>
      <w:r>
        <w:rPr>
          <w:rFonts w:hint="eastAsia" w:ascii="宋体" w:hAnsi="宋体"/>
          <w:bCs/>
          <w:color w:val="auto"/>
          <w:szCs w:val="21"/>
          <w:highlight w:val="none"/>
        </w:rPr>
        <w:t>（3）技术文件：</w:t>
      </w:r>
      <w:r>
        <w:rPr>
          <w:rFonts w:ascii="宋体" w:hAnsi="宋体"/>
          <w:bCs/>
          <w:color w:val="auto"/>
          <w:szCs w:val="21"/>
          <w:highlight w:val="none"/>
        </w:rPr>
        <w:t>具体材料见“投标人须知前附表”</w:t>
      </w:r>
      <w:r>
        <w:rPr>
          <w:rFonts w:hint="eastAsia" w:ascii="宋体" w:hAnsi="宋体"/>
          <w:bCs/>
          <w:color w:val="auto"/>
          <w:szCs w:val="21"/>
          <w:highlight w:val="none"/>
        </w:rPr>
        <w:t xml:space="preserve">。 </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（4）报价文件：</w:t>
      </w:r>
      <w:r>
        <w:rPr>
          <w:rFonts w:ascii="宋体" w:hAnsi="宋体"/>
          <w:bCs/>
          <w:color w:val="auto"/>
          <w:szCs w:val="21"/>
          <w:highlight w:val="none"/>
        </w:rPr>
        <w:t xml:space="preserve"> 具体材料见“投标人须知前附表”</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bookmarkStart w:id="97" w:name="_13.5投标文件电子版：具体材料见“投标人须知前附表”。"/>
      <w:bookmarkEnd w:id="97"/>
      <w:r>
        <w:rPr>
          <w:rFonts w:hint="eastAsia" w:ascii="宋体" w:hAnsi="宋体"/>
          <w:bCs/>
          <w:color w:val="auto"/>
          <w:szCs w:val="21"/>
          <w:highlight w:val="none"/>
        </w:rPr>
        <w:t>13.</w:t>
      </w:r>
      <w:r>
        <w:rPr>
          <w:rFonts w:ascii="宋体" w:hAnsi="宋体"/>
          <w:bCs/>
          <w:color w:val="auto"/>
          <w:szCs w:val="21"/>
          <w:highlight w:val="none"/>
        </w:rPr>
        <w:t>2</w:t>
      </w:r>
      <w:r>
        <w:rPr>
          <w:rFonts w:hint="eastAsia" w:ascii="宋体" w:hAnsi="宋体"/>
          <w:bCs/>
          <w:color w:val="auto"/>
          <w:szCs w:val="21"/>
          <w:highlight w:val="none"/>
        </w:rPr>
        <w:t>投标文件电子版：</w:t>
      </w:r>
      <w:r>
        <w:rPr>
          <w:rFonts w:ascii="宋体" w:hAnsi="宋体"/>
          <w:bCs/>
          <w:color w:val="auto"/>
          <w:szCs w:val="21"/>
          <w:highlight w:val="none"/>
        </w:rPr>
        <w:t>具体</w:t>
      </w:r>
      <w:r>
        <w:rPr>
          <w:rFonts w:hint="eastAsia" w:ascii="宋体" w:hAnsi="宋体"/>
          <w:bCs/>
          <w:color w:val="auto"/>
          <w:szCs w:val="21"/>
          <w:highlight w:val="none"/>
        </w:rPr>
        <w:t>要求</w:t>
      </w:r>
      <w:r>
        <w:rPr>
          <w:rFonts w:ascii="宋体" w:hAnsi="宋体"/>
          <w:bCs/>
          <w:color w:val="auto"/>
          <w:szCs w:val="21"/>
          <w:highlight w:val="none"/>
        </w:rPr>
        <w:t>见</w:t>
      </w:r>
      <w:r>
        <w:rPr>
          <w:rFonts w:hint="eastAsia" w:ascii="宋体" w:hAnsi="宋体"/>
          <w:bCs/>
          <w:color w:val="auto"/>
          <w:szCs w:val="21"/>
          <w:highlight w:val="none"/>
        </w:rPr>
        <w:t>本节19.投标文件编制。</w:t>
      </w:r>
    </w:p>
    <w:p>
      <w:pPr>
        <w:spacing w:line="360" w:lineRule="auto"/>
        <w:ind w:firstLine="480" w:firstLineChars="200"/>
        <w:rPr>
          <w:rFonts w:ascii="黑体" w:hAnsi="黑体" w:eastAsia="黑体"/>
          <w:color w:val="auto"/>
          <w:sz w:val="24"/>
          <w:highlight w:val="none"/>
        </w:rPr>
      </w:pPr>
      <w:bookmarkStart w:id="98" w:name="_Toc254970537"/>
      <w:bookmarkStart w:id="99" w:name="_Toc254970678"/>
      <w:r>
        <w:rPr>
          <w:rFonts w:hint="eastAsia" w:ascii="黑体" w:hAnsi="黑体" w:eastAsia="黑体"/>
          <w:color w:val="auto"/>
          <w:sz w:val="24"/>
          <w:highlight w:val="none"/>
        </w:rPr>
        <w:t>14.投标文件的语言及计量</w:t>
      </w:r>
      <w:bookmarkEnd w:id="98"/>
      <w:bookmarkEnd w:id="99"/>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14.1语言文字</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14.2投标计量单位</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15.投标的风险</w:t>
      </w:r>
    </w:p>
    <w:p>
      <w:pPr>
        <w:spacing w:line="360" w:lineRule="auto"/>
        <w:ind w:firstLine="420" w:firstLineChars="200"/>
        <w:rPr>
          <w:rFonts w:hAnsi="宋体"/>
          <w:b/>
          <w:bCs/>
          <w:color w:val="auto"/>
          <w:highlight w:val="none"/>
        </w:rPr>
      </w:pPr>
      <w:r>
        <w:rPr>
          <w:rFonts w:hint="eastAsia" w:hAnsi="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hAnsi="宋体"/>
          <w:b/>
          <w:bCs/>
          <w:color w:val="auto"/>
          <w:highlight w:val="none"/>
        </w:rPr>
        <w:t>投标文件未按规定的格式编制的、没有按照招标文件要求提供全部资料、没有对招标文件作出实质性响应，投标无效；</w:t>
      </w:r>
    </w:p>
    <w:p>
      <w:pPr>
        <w:spacing w:line="360" w:lineRule="auto"/>
        <w:ind w:firstLine="480" w:firstLineChars="200"/>
        <w:rPr>
          <w:rFonts w:ascii="黑体" w:hAnsi="黑体" w:eastAsia="黑体"/>
          <w:color w:val="auto"/>
          <w:sz w:val="24"/>
          <w:highlight w:val="none"/>
        </w:rPr>
      </w:pPr>
      <w:bookmarkStart w:id="100" w:name="_Toc254970538"/>
      <w:bookmarkStart w:id="101" w:name="_Toc254970679"/>
      <w:r>
        <w:rPr>
          <w:rFonts w:hint="eastAsia" w:ascii="黑体" w:hAnsi="黑体" w:eastAsia="黑体"/>
          <w:color w:val="auto"/>
          <w:sz w:val="24"/>
          <w:highlight w:val="none"/>
        </w:rPr>
        <w:t>16.投标报价</w:t>
      </w:r>
      <w:bookmarkEnd w:id="100"/>
      <w:bookmarkEnd w:id="101"/>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投标文件格式”中“开标一览表”格式填写。</w:t>
      </w:r>
    </w:p>
    <w:p>
      <w:pPr>
        <w:spacing w:line="360" w:lineRule="auto"/>
        <w:ind w:firstLine="420" w:firstLineChars="200"/>
        <w:rPr>
          <w:rFonts w:ascii="宋体" w:hAnsi="宋体"/>
          <w:bCs/>
          <w:color w:val="auto"/>
          <w:szCs w:val="21"/>
          <w:highlight w:val="none"/>
        </w:rPr>
      </w:pPr>
      <w:bookmarkStart w:id="102" w:name="_16.2投标报价具体定义见投标人须知前附表。"/>
      <w:bookmarkEnd w:id="102"/>
      <w:r>
        <w:rPr>
          <w:rFonts w:hint="eastAsia" w:ascii="宋体" w:hAnsi="宋体"/>
          <w:bCs/>
          <w:color w:val="auto"/>
          <w:szCs w:val="21"/>
          <w:highlight w:val="none"/>
        </w:rPr>
        <w:t>16.2投标报价具体包括内容详见“投标人须知前附表”。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16.3投标人必须就所投每个分标的全部内容分别作完整唯一总价报价，不得存在漏项报价；投标人必须就所投分标的单项内容作唯一报价。</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17.投标有效期</w:t>
      </w:r>
    </w:p>
    <w:p>
      <w:pPr>
        <w:spacing w:line="360" w:lineRule="auto"/>
        <w:ind w:firstLine="420" w:firstLineChars="200"/>
        <w:rPr>
          <w:rFonts w:ascii="宋体" w:hAnsi="宋体"/>
          <w:bCs/>
          <w:color w:val="auto"/>
          <w:szCs w:val="21"/>
          <w:highlight w:val="none"/>
        </w:rPr>
      </w:pPr>
      <w:bookmarkStart w:id="103" w:name="_17.1投标有效期应按“投标人须知中的前附表”规定的期限。"/>
      <w:bookmarkEnd w:id="103"/>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17.2</w:t>
      </w:r>
      <w:bookmarkStart w:id="104" w:name="_Toc254970681"/>
      <w:bookmarkStart w:id="105" w:name="_Toc254970540"/>
      <w:r>
        <w:rPr>
          <w:rFonts w:hint="eastAsia" w:ascii="宋体" w:hAnsi="宋体"/>
          <w:bCs/>
          <w:color w:val="auto"/>
          <w:szCs w:val="21"/>
          <w:highlight w:val="none"/>
        </w:rPr>
        <w:t xml:space="preserve"> 投标有效期应按规定的期限作出承诺，具体详见“投标人须知前附表”。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17.3投标人的投标文件在投标有效期内均保持有效。</w:t>
      </w:r>
      <w:bookmarkEnd w:id="104"/>
      <w:bookmarkEnd w:id="105"/>
    </w:p>
    <w:p>
      <w:pPr>
        <w:spacing w:line="360" w:lineRule="auto"/>
        <w:ind w:firstLine="480" w:firstLineChars="200"/>
        <w:rPr>
          <w:rFonts w:ascii="黑体" w:hAnsi="黑体" w:eastAsia="黑体"/>
          <w:color w:val="auto"/>
          <w:sz w:val="24"/>
          <w:highlight w:val="none"/>
        </w:rPr>
      </w:pPr>
      <w:bookmarkStart w:id="106" w:name="_18.投标保证金"/>
      <w:bookmarkEnd w:id="106"/>
      <w:bookmarkStart w:id="107" w:name="_Toc254970682"/>
      <w:bookmarkStart w:id="108" w:name="_Toc254970541"/>
      <w:r>
        <w:rPr>
          <w:rFonts w:hint="eastAsia" w:ascii="黑体" w:hAnsi="黑体" w:eastAsia="黑体"/>
          <w:color w:val="auto"/>
          <w:sz w:val="24"/>
          <w:highlight w:val="none"/>
        </w:rPr>
        <w:t>18.投标保证金</w:t>
      </w:r>
      <w:bookmarkEnd w:id="107"/>
      <w:bookmarkEnd w:id="108"/>
    </w:p>
    <w:p>
      <w:pPr>
        <w:spacing w:line="360" w:lineRule="auto"/>
        <w:ind w:firstLine="420" w:firstLineChars="200"/>
        <w:rPr>
          <w:rFonts w:hAnsi="宋体"/>
          <w:color w:val="auto"/>
          <w:szCs w:val="21"/>
          <w:highlight w:val="none"/>
        </w:rPr>
      </w:pPr>
      <w:bookmarkStart w:id="109" w:name="_Toc254970683"/>
      <w:bookmarkStart w:id="110" w:name="_Toc254970542"/>
      <w:r>
        <w:rPr>
          <w:rFonts w:hint="eastAsia" w:hAnsi="宋体"/>
          <w:color w:val="auto"/>
          <w:szCs w:val="21"/>
          <w:highlight w:val="none"/>
        </w:rPr>
        <w:t>见“投标人须知前附表”。</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19.投标文件的</w:t>
      </w:r>
      <w:bookmarkEnd w:id="109"/>
      <w:bookmarkEnd w:id="110"/>
      <w:r>
        <w:rPr>
          <w:rFonts w:hint="eastAsia" w:ascii="黑体" w:hAnsi="黑体" w:eastAsia="黑体"/>
          <w:color w:val="auto"/>
          <w:sz w:val="24"/>
          <w:highlight w:val="none"/>
        </w:rPr>
        <w:t>编制</w:t>
      </w:r>
    </w:p>
    <w:p>
      <w:pPr>
        <w:spacing w:line="360" w:lineRule="auto"/>
        <w:ind w:firstLine="422" w:firstLineChars="200"/>
        <w:rPr>
          <w:rFonts w:hAnsi="宋体"/>
          <w:color w:val="auto"/>
          <w:szCs w:val="21"/>
          <w:highlight w:val="none"/>
        </w:rPr>
      </w:pPr>
      <w:r>
        <w:rPr>
          <w:rFonts w:hint="eastAsia" w:ascii="宋体" w:hAnsi="宋体"/>
          <w:b/>
          <w:color w:val="auto"/>
          <w:szCs w:val="21"/>
          <w:highlight w:val="none"/>
        </w:rPr>
        <w:t xml:space="preserve"> </w:t>
      </w:r>
      <w:r>
        <w:rPr>
          <w:rFonts w:hint="eastAsia" w:hAnsi="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1" w:name="_19.2投标文件应按报价文件、资格证明文件、商务文件、技术文件分别编制"/>
      <w:bookmarkEnd w:id="111"/>
      <w:r>
        <w:rPr>
          <w:rFonts w:hint="eastAsia" w:hAnsi="宋体"/>
          <w:color w:val="auto"/>
          <w:szCs w:val="21"/>
          <w:highlight w:val="none"/>
        </w:rPr>
        <w:t xml:space="preserve"> </w:t>
      </w:r>
    </w:p>
    <w:p>
      <w:pPr>
        <w:adjustRightInd w:val="0"/>
        <w:snapToGrid w:val="0"/>
        <w:spacing w:line="360" w:lineRule="auto"/>
        <w:ind w:firstLine="420" w:firstLineChars="200"/>
        <w:rPr>
          <w:rFonts w:hAnsi="宋体"/>
          <w:color w:val="auto"/>
          <w:szCs w:val="21"/>
          <w:highlight w:val="none"/>
        </w:rPr>
      </w:pPr>
      <w:r>
        <w:rPr>
          <w:rFonts w:hAnsi="宋体"/>
          <w:color w:val="auto"/>
          <w:szCs w:val="21"/>
          <w:highlight w:val="none"/>
        </w:rPr>
        <w:t>19</w:t>
      </w:r>
      <w:r>
        <w:rPr>
          <w:rFonts w:hint="eastAsia" w:hAnsi="宋体"/>
          <w:color w:val="auto"/>
          <w:szCs w:val="21"/>
          <w:highlight w:val="none"/>
        </w:rPr>
        <w:t>.2投标文件按照招标文件第六章格式要求在规定位置进行签署、盖章。投标人的投标文件未按照招标文件要求签署、盖章的，</w:t>
      </w:r>
      <w:r>
        <w:rPr>
          <w:rFonts w:hint="eastAsia" w:hAnsi="宋体"/>
          <w:b/>
          <w:color w:val="auto"/>
          <w:szCs w:val="21"/>
          <w:highlight w:val="none"/>
        </w:rPr>
        <w:t>其投标无效。</w:t>
      </w:r>
      <w:r>
        <w:rPr>
          <w:rFonts w:hint="eastAsia" w:hAnsi="宋体"/>
          <w:color w:val="auto"/>
          <w:szCs w:val="21"/>
          <w:highlight w:val="none"/>
        </w:rPr>
        <w:t>骑缝盖公章不视为在规定位置盖章。</w:t>
      </w:r>
    </w:p>
    <w:p>
      <w:pPr>
        <w:adjustRightInd w:val="0"/>
        <w:snapToGrid w:val="0"/>
        <w:spacing w:line="360" w:lineRule="auto"/>
        <w:ind w:firstLine="420" w:firstLineChars="200"/>
        <w:rPr>
          <w:rFonts w:hAnsi="宋体"/>
          <w:color w:val="auto"/>
          <w:szCs w:val="21"/>
          <w:highlight w:val="none"/>
        </w:rPr>
      </w:pPr>
      <w:r>
        <w:rPr>
          <w:rFonts w:hAnsi="宋体"/>
          <w:color w:val="auto"/>
          <w:szCs w:val="21"/>
          <w:highlight w:val="none"/>
        </w:rPr>
        <w:t>19.</w:t>
      </w:r>
      <w:r>
        <w:rPr>
          <w:rFonts w:hint="eastAsia" w:hAnsi="宋体"/>
          <w:color w:val="auto"/>
          <w:szCs w:val="21"/>
          <w:highlight w:val="none"/>
        </w:rPr>
        <w:t>3为确保网上操作合法、有效和安全，投标人应当在投标截止时间前完成在</w:t>
      </w:r>
      <w:r>
        <w:rPr>
          <w:rFonts w:hint="eastAsia" w:hAnsi="宋体"/>
          <w:color w:val="auto"/>
          <w:szCs w:val="21"/>
          <w:highlight w:val="none"/>
          <w:lang w:eastAsia="zh-CN"/>
        </w:rPr>
        <w:t>广西政府采购云平台</w:t>
      </w:r>
      <w:r>
        <w:rPr>
          <w:rFonts w:hint="eastAsia" w:hAnsi="宋体"/>
          <w:color w:val="auto"/>
          <w:szCs w:val="21"/>
          <w:highlight w:val="none"/>
        </w:rPr>
        <w:t>的身份认证，确保在电子投标过程中能够对相关数据电文进行加密和使用电子签名。</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olor w:val="auto"/>
          <w:szCs w:val="21"/>
          <w:highlight w:val="none"/>
        </w:rPr>
        <w:t>否则作无效投标处理</w:t>
      </w:r>
      <w:r>
        <w:rPr>
          <w:rFonts w:hint="eastAsia" w:ascii="宋体" w:hAnsi="宋体"/>
          <w:b/>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hAnsi="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pPr>
        <w:spacing w:line="360" w:lineRule="auto"/>
        <w:ind w:firstLine="525" w:firstLineChars="250"/>
        <w:rPr>
          <w:rFonts w:hAnsi="宋体"/>
          <w:color w:val="auto"/>
          <w:highlight w:val="none"/>
        </w:rPr>
      </w:pPr>
      <w:r>
        <w:rPr>
          <w:rFonts w:hint="eastAsia" w:hAnsi="宋体"/>
          <w:color w:val="auto"/>
          <w:highlight w:val="none"/>
        </w:rPr>
        <w:t>19.6 对招标文件的实质性要求和条件作出响应是指投标人必须对招标文件中标注为实质性要求和条件的</w:t>
      </w:r>
      <w:r>
        <w:rPr>
          <w:rFonts w:hint="eastAsia"/>
          <w:color w:val="auto"/>
          <w:szCs w:val="21"/>
          <w:highlight w:val="none"/>
        </w:rPr>
        <w:t>服务内容及要求</w:t>
      </w:r>
      <w:r>
        <w:rPr>
          <w:rFonts w:hint="eastAsia" w:hAnsi="宋体"/>
          <w:color w:val="auto"/>
          <w:highlight w:val="none"/>
        </w:rPr>
        <w:t>、商务条款及其它内容</w:t>
      </w:r>
      <w:r>
        <w:rPr>
          <w:rFonts w:hint="eastAsia"/>
          <w:b/>
          <w:color w:val="auto"/>
          <w:highlight w:val="none"/>
        </w:rPr>
        <w:t>作出满足或者优于原要求和条件的承诺</w:t>
      </w:r>
      <w:r>
        <w:rPr>
          <w:rFonts w:hint="eastAsia"/>
          <w:color w:val="auto"/>
          <w:highlight w:val="none"/>
        </w:rPr>
        <w:t>。</w:t>
      </w:r>
    </w:p>
    <w:p>
      <w:pPr>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19.7本项目为南宁市全流程电子化项目，异常情况见“第二节 投标人须知正文”中“四、24.2</w:t>
      </w:r>
      <w:r>
        <w:rPr>
          <w:rFonts w:ascii="宋体" w:hAnsi="宋体"/>
          <w:b/>
          <w:color w:val="auto"/>
          <w:szCs w:val="21"/>
          <w:highlight w:val="none"/>
          <w:u w:val="single"/>
        </w:rPr>
        <w:t>开</w:t>
      </w:r>
      <w:r>
        <w:rPr>
          <w:rFonts w:hint="eastAsia" w:ascii="宋体" w:hAnsi="宋体"/>
          <w:b/>
          <w:color w:val="auto"/>
          <w:szCs w:val="21"/>
          <w:highlight w:val="none"/>
          <w:u w:val="single"/>
        </w:rPr>
        <w:t>标</w:t>
      </w:r>
      <w:r>
        <w:rPr>
          <w:rFonts w:ascii="宋体" w:hAnsi="宋体"/>
          <w:b/>
          <w:color w:val="auto"/>
          <w:szCs w:val="21"/>
          <w:highlight w:val="none"/>
          <w:u w:val="single"/>
        </w:rPr>
        <w:t>程序</w:t>
      </w:r>
      <w:r>
        <w:rPr>
          <w:rFonts w:hint="eastAsia" w:ascii="宋体" w:hAnsi="宋体"/>
          <w:b/>
          <w:color w:val="auto"/>
          <w:szCs w:val="21"/>
          <w:highlight w:val="none"/>
          <w:u w:val="single"/>
        </w:rPr>
        <w:t>。</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20.备份投标文件</w:t>
      </w:r>
    </w:p>
    <w:p>
      <w:pPr>
        <w:spacing w:line="360" w:lineRule="auto"/>
        <w:ind w:firstLine="420" w:firstLineChars="200"/>
        <w:rPr>
          <w:rFonts w:ascii="黑体" w:hAnsi="黑体" w:eastAsia="黑体"/>
          <w:color w:val="auto"/>
          <w:sz w:val="24"/>
          <w:highlight w:val="none"/>
        </w:rPr>
      </w:pPr>
      <w:r>
        <w:rPr>
          <w:rFonts w:hint="eastAsia" w:hAnsi="宋体"/>
          <w:bCs/>
          <w:color w:val="auto"/>
          <w:szCs w:val="21"/>
          <w:highlight w:val="none"/>
        </w:rPr>
        <w:t>详见在“投标人须知前附表”。</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21.投标文件的提交</w:t>
      </w:r>
    </w:p>
    <w:p>
      <w:pPr>
        <w:spacing w:line="360" w:lineRule="auto"/>
        <w:ind w:firstLine="420" w:firstLineChars="200"/>
        <w:rPr>
          <w:rFonts w:hAnsi="宋体"/>
          <w:b/>
          <w:color w:val="auto"/>
          <w:highlight w:val="none"/>
        </w:rPr>
      </w:pPr>
      <w:bookmarkStart w:id="112" w:name="_21.1投标人必须在“投标人须知中的前附表”规定的投标文件接收时间和投"/>
      <w:bookmarkEnd w:id="112"/>
      <w:r>
        <w:rPr>
          <w:rFonts w:hint="eastAsia" w:hAnsi="宋体"/>
          <w:bCs/>
          <w:color w:val="auto"/>
          <w:szCs w:val="21"/>
          <w:highlight w:val="none"/>
        </w:rPr>
        <w:t>21.1投标人必须在“投标人须知前附表”规定的投标文件接收时间和投标地点提交电子版投标文件。电子投标文件应在制作完成后，</w:t>
      </w:r>
      <w:r>
        <w:rPr>
          <w:rFonts w:hAnsi="宋体"/>
          <w:bCs/>
          <w:color w:val="auto"/>
          <w:szCs w:val="21"/>
          <w:highlight w:val="none"/>
        </w:rPr>
        <w:t>在投标截止时间前</w:t>
      </w:r>
      <w:r>
        <w:rPr>
          <w:rFonts w:hint="eastAsia" w:hAnsi="宋体"/>
          <w:bCs/>
          <w:color w:val="auto"/>
          <w:szCs w:val="21"/>
          <w:highlight w:val="none"/>
        </w:rPr>
        <w:t xml:space="preserve">通过有效数字证书（CA认证锁）进行电子签章、加密，然后通过网络将加密的电子投标文件递交至“南宁市政采云平台”。 </w:t>
      </w:r>
      <w:r>
        <w:rPr>
          <w:rFonts w:hint="eastAsia" w:hAnsi="宋体"/>
          <w:b/>
          <w:color w:val="auto"/>
          <w:highlight w:val="none"/>
        </w:rPr>
        <w:t xml:space="preserve"> </w:t>
      </w:r>
    </w:p>
    <w:p>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w:t>
      </w:r>
      <w:r>
        <w:rPr>
          <w:rFonts w:ascii="宋体" w:hAnsi="宋体"/>
          <w:b/>
          <w:color w:val="auto"/>
          <w:szCs w:val="21"/>
          <w:highlight w:val="none"/>
        </w:rPr>
        <w:t>2</w:t>
      </w:r>
      <w:r>
        <w:rPr>
          <w:rFonts w:hint="eastAsia" w:ascii="宋体" w:hAnsi="宋体"/>
          <w:b/>
          <w:color w:val="auto"/>
          <w:szCs w:val="21"/>
          <w:highlight w:val="none"/>
        </w:rPr>
        <w:t>未在规定时间内提交或者未按照招标文件要求密封或者标记的电子投标文件，</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将拒收。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3</w:t>
      </w:r>
      <w:r>
        <w:rPr>
          <w:rFonts w:hint="eastAsia" w:ascii="宋体" w:hAnsi="宋体"/>
          <w:color w:val="auto"/>
          <w:szCs w:val="21"/>
          <w:highlight w:val="none"/>
        </w:rPr>
        <w:t>电子版投标文件提交方式见“招标公告”中“四、提交投标文件截止时间、开标时间和地点”</w:t>
      </w:r>
      <w:r>
        <w:rPr>
          <w:rFonts w:hint="eastAsia" w:ascii="宋体" w:hAnsi="宋体"/>
          <w:b/>
          <w:color w:val="auto"/>
          <w:szCs w:val="21"/>
          <w:highlight w:val="none"/>
        </w:rPr>
        <w:t xml:space="preserve"> 。</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bookmarkStart w:id="113" w:name="_Toc254970543"/>
      <w:bookmarkStart w:id="114" w:name="_Toc254970684"/>
    </w:p>
    <w:p>
      <w:pPr>
        <w:spacing w:line="360" w:lineRule="auto"/>
        <w:ind w:firstLine="420" w:firstLineChars="200"/>
        <w:rPr>
          <w:rFonts w:ascii="黑体" w:hAnsi="黑体" w:eastAsia="黑体"/>
          <w:color w:val="auto"/>
          <w:sz w:val="24"/>
          <w:highlight w:val="none"/>
        </w:rPr>
      </w:pPr>
      <w:r>
        <w:rPr>
          <w:rFonts w:ascii="宋体" w:hAnsi="宋体" w:cs="宋体"/>
          <w:color w:val="auto"/>
          <w:szCs w:val="21"/>
          <w:highlight w:val="none"/>
        </w:rPr>
        <w:t>22</w:t>
      </w:r>
      <w:r>
        <w:rPr>
          <w:rFonts w:hint="eastAsia" w:ascii="宋体" w:hAnsi="宋体" w:cs="宋体"/>
          <w:color w:val="auto"/>
          <w:szCs w:val="21"/>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将拒收。（补充、修改或者撤回方式见公告附件“电子投标文件制作与投送教程”）</w:t>
      </w:r>
    </w:p>
    <w:p>
      <w:pPr>
        <w:adjustRightIn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2</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收到投标文件，将妥善保存并即时向供应商发出确认回执通知。在投标截止时间前，除供应商补充、修改或者撤回投标文件外，任何单位和个人不得解密或提取投标文件。</w:t>
      </w:r>
    </w:p>
    <w:bookmarkEnd w:id="113"/>
    <w:bookmarkEnd w:id="114"/>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在投标截止时间止提交电子版投标文件的投标人不足3家时，电子版投标文件由代理机构在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操作退回，除此之外采购人和采购代理机构对已提交的投标文件概不退回。</w:t>
      </w:r>
    </w:p>
    <w:p>
      <w:pPr>
        <w:snapToGrid w:val="0"/>
        <w:spacing w:line="400" w:lineRule="exact"/>
        <w:ind w:firstLine="1126" w:firstLineChars="352"/>
        <w:rPr>
          <w:rFonts w:ascii="仿宋_GB2312" w:hAnsi="宋体" w:eastAsia="仿宋_GB2312"/>
          <w:snapToGrid w:val="0"/>
          <w:color w:val="auto"/>
          <w:kern w:val="0"/>
          <w:sz w:val="32"/>
          <w:szCs w:val="21"/>
          <w:highlight w:val="none"/>
        </w:rPr>
      </w:pPr>
    </w:p>
    <w:p>
      <w:pPr>
        <w:spacing w:line="400" w:lineRule="exact"/>
        <w:ind w:firstLine="643"/>
        <w:jc w:val="center"/>
        <w:outlineLvl w:val="2"/>
        <w:rPr>
          <w:rFonts w:eastAsia="Times New Roman"/>
          <w:b/>
          <w:color w:val="auto"/>
          <w:sz w:val="32"/>
          <w:szCs w:val="32"/>
          <w:highlight w:val="none"/>
        </w:rPr>
      </w:pPr>
      <w:bookmarkStart w:id="115" w:name="_Toc80092998"/>
      <w:bookmarkStart w:id="116" w:name="_Toc254970685"/>
      <w:bookmarkStart w:id="117" w:name="_Toc254970544"/>
      <w:r>
        <w:rPr>
          <w:rFonts w:hint="eastAsia" w:ascii="宋体" w:hAnsi="宋体" w:cs="宋体"/>
          <w:b/>
          <w:color w:val="auto"/>
          <w:sz w:val="32"/>
          <w:szCs w:val="32"/>
          <w:highlight w:val="none"/>
        </w:rPr>
        <w:t>四、开</w:t>
      </w:r>
      <w:r>
        <w:rPr>
          <w:rFonts w:eastAsia="Times New Roman"/>
          <w:b/>
          <w:color w:val="auto"/>
          <w:sz w:val="32"/>
          <w:szCs w:val="32"/>
          <w:highlight w:val="none"/>
        </w:rPr>
        <w:t xml:space="preserve">  </w:t>
      </w:r>
      <w:r>
        <w:rPr>
          <w:rFonts w:hint="eastAsia" w:ascii="宋体" w:hAnsi="宋体" w:cs="宋体"/>
          <w:b/>
          <w:color w:val="auto"/>
          <w:sz w:val="32"/>
          <w:szCs w:val="32"/>
          <w:highlight w:val="none"/>
        </w:rPr>
        <w:t>标</w:t>
      </w:r>
      <w:bookmarkEnd w:id="115"/>
      <w:bookmarkEnd w:id="116"/>
      <w:bookmarkEnd w:id="117"/>
    </w:p>
    <w:p>
      <w:pPr>
        <w:spacing w:line="360" w:lineRule="auto"/>
        <w:ind w:firstLine="480" w:firstLineChars="200"/>
        <w:rPr>
          <w:rFonts w:ascii="黑体" w:hAnsi="黑体" w:eastAsia="黑体"/>
          <w:color w:val="auto"/>
          <w:sz w:val="24"/>
          <w:highlight w:val="none"/>
        </w:rPr>
      </w:pPr>
      <w:bookmarkStart w:id="118" w:name="_23.开标时间和地点"/>
      <w:bookmarkEnd w:id="118"/>
      <w:r>
        <w:rPr>
          <w:rFonts w:hint="eastAsia" w:ascii="黑体" w:hAnsi="黑体" w:eastAsia="黑体"/>
          <w:color w:val="auto"/>
          <w:sz w:val="24"/>
          <w:highlight w:val="none"/>
        </w:rPr>
        <w:t>23.开标时间和地点</w:t>
      </w:r>
    </w:p>
    <w:p>
      <w:pPr>
        <w:spacing w:line="360" w:lineRule="auto"/>
        <w:ind w:firstLine="420" w:firstLineChars="200"/>
        <w:rPr>
          <w:rFonts w:hAnsi="宋体"/>
          <w:bCs/>
          <w:color w:val="auto"/>
          <w:highlight w:val="none"/>
        </w:rPr>
      </w:pPr>
      <w:r>
        <w:rPr>
          <w:rFonts w:hint="eastAsia" w:hAnsi="宋体"/>
          <w:bCs/>
          <w:color w:val="auto"/>
          <w:highlight w:val="none"/>
        </w:rPr>
        <w:t>23.1开标时间及地点详见“投标人须知前附表”</w:t>
      </w:r>
    </w:p>
    <w:p>
      <w:pPr>
        <w:spacing w:line="360" w:lineRule="auto"/>
        <w:ind w:firstLine="420" w:firstLineChars="200"/>
        <w:rPr>
          <w:color w:val="auto"/>
          <w:highlight w:val="none"/>
        </w:rPr>
      </w:pPr>
      <w:r>
        <w:rPr>
          <w:rFonts w:hint="eastAsia" w:hAnsi="宋体"/>
          <w:color w:val="auto"/>
          <w:highlight w:val="none"/>
        </w:rPr>
        <w:t>23.2如</w:t>
      </w:r>
      <w:r>
        <w:rPr>
          <w:rFonts w:hint="eastAsia" w:hAnsi="宋体"/>
          <w:bCs/>
          <w:color w:val="auto"/>
          <w:highlight w:val="none"/>
        </w:rPr>
        <w:t>投标人成功解密投标文件，但未在“政采云”电子开标大厅参加开标的，视同认可开标过程和结果，</w:t>
      </w:r>
      <w:r>
        <w:rPr>
          <w:rFonts w:hint="eastAsia" w:hAnsi="宋体"/>
          <w:color w:val="auto"/>
          <w:highlight w:val="none"/>
        </w:rPr>
        <w:t xml:space="preserve">由此产生的后果由投标人自行负责。 </w:t>
      </w:r>
      <w:r>
        <w:rPr>
          <w:rFonts w:hint="eastAsia"/>
          <w:color w:val="auto"/>
          <w:highlight w:val="none"/>
        </w:rPr>
        <w:t>投标人不足3家的，不得开标。</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24.开标程序</w:t>
      </w:r>
    </w:p>
    <w:p>
      <w:pPr>
        <w:autoSpaceDE w:val="0"/>
        <w:autoSpaceDN w:val="0"/>
        <w:adjustRightInd w:val="0"/>
        <w:spacing w:line="440" w:lineRule="exact"/>
        <w:ind w:firstLine="420" w:firstLineChars="200"/>
        <w:rPr>
          <w:rFonts w:ascii="宋体" w:hAnsi="宋体"/>
          <w:color w:val="auto"/>
          <w:szCs w:val="21"/>
          <w:highlight w:val="none"/>
        </w:rPr>
      </w:pPr>
      <w:r>
        <w:rPr>
          <w:rFonts w:hint="eastAsia" w:ascii="宋体" w:hAnsi="宋体"/>
          <w:bCs/>
          <w:color w:val="auto"/>
          <w:szCs w:val="21"/>
          <w:highlight w:val="none"/>
        </w:rPr>
        <w:t>24.1</w:t>
      </w:r>
      <w:r>
        <w:rPr>
          <w:rFonts w:hint="eastAsia" w:ascii="宋体" w:hAnsi="宋体"/>
          <w:color w:val="auto"/>
          <w:szCs w:val="21"/>
          <w:highlight w:val="none"/>
        </w:rPr>
        <w:t>开标形式：</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选取评审专家，如采购代理机构未按规定选取专家的，视为本次开评标无效，应当重新采购；</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（2）采购代理机构将按照招标文件规定的时间通过</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组织线上开标活动、开启投标文件，所有供应商均应当准时在线参加。投标人</w:t>
      </w:r>
      <w:r>
        <w:rPr>
          <w:rFonts w:ascii="宋体" w:hAnsi="宋体"/>
          <w:bCs/>
          <w:color w:val="auto"/>
          <w:szCs w:val="21"/>
          <w:highlight w:val="none"/>
        </w:rPr>
        <w:t>如不</w:t>
      </w:r>
      <w:r>
        <w:rPr>
          <w:rFonts w:hint="eastAsia" w:ascii="宋体" w:hAnsi="宋体"/>
          <w:bCs/>
          <w:color w:val="auto"/>
          <w:szCs w:val="21"/>
          <w:highlight w:val="none"/>
        </w:rPr>
        <w:t>参加</w:t>
      </w:r>
      <w:r>
        <w:rPr>
          <w:rFonts w:ascii="宋体" w:hAnsi="宋体"/>
          <w:bCs/>
          <w:color w:val="auto"/>
          <w:szCs w:val="21"/>
          <w:highlight w:val="none"/>
        </w:rPr>
        <w:t>开标大会的，</w:t>
      </w:r>
      <w:r>
        <w:rPr>
          <w:rFonts w:hint="eastAsia" w:ascii="宋体" w:hAnsi="宋体"/>
          <w:bCs/>
          <w:color w:val="auto"/>
          <w:szCs w:val="21"/>
          <w:highlight w:val="none"/>
        </w:rPr>
        <w:t>视同认可开标结果，</w:t>
      </w:r>
      <w:r>
        <w:rPr>
          <w:rFonts w:ascii="宋体" w:hAnsi="宋体"/>
          <w:bCs/>
          <w:color w:val="auto"/>
          <w:szCs w:val="21"/>
          <w:highlight w:val="none"/>
        </w:rPr>
        <w:t>事后不得对采购相关人员、开标过程和开标结果提出异议</w:t>
      </w:r>
      <w:r>
        <w:rPr>
          <w:rFonts w:hint="eastAsia" w:ascii="宋体" w:hAnsi="宋体"/>
          <w:bCs/>
          <w:color w:val="auto"/>
          <w:szCs w:val="21"/>
          <w:highlight w:val="none"/>
        </w:rPr>
        <w:t>，同时投标人因未在线参加开标而导致投标文件无法按时解密等一切后果由投标人自己承担。</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w:t>
      </w:r>
      <w:r>
        <w:rPr>
          <w:rFonts w:ascii="宋体" w:hAnsi="宋体"/>
          <w:bCs/>
          <w:color w:val="auto"/>
          <w:szCs w:val="21"/>
          <w:highlight w:val="none"/>
        </w:rPr>
        <w:t>开</w:t>
      </w:r>
      <w:r>
        <w:rPr>
          <w:rFonts w:hint="eastAsia" w:ascii="宋体" w:hAnsi="宋体"/>
          <w:bCs/>
          <w:color w:val="auto"/>
          <w:szCs w:val="21"/>
          <w:highlight w:val="none"/>
        </w:rPr>
        <w:t>标</w:t>
      </w:r>
      <w:r>
        <w:rPr>
          <w:rFonts w:ascii="宋体" w:hAnsi="宋体"/>
          <w:bCs/>
          <w:color w:val="auto"/>
          <w:szCs w:val="21"/>
          <w:highlight w:val="none"/>
        </w:rPr>
        <w:t>程序：</w:t>
      </w:r>
    </w:p>
    <w:p>
      <w:pPr>
        <w:snapToGrid w:val="0"/>
        <w:spacing w:line="440" w:lineRule="exact"/>
        <w:ind w:firstLine="422" w:firstLineChars="200"/>
        <w:rPr>
          <w:rFonts w:ascii="宋体" w:hAnsi="宋体"/>
          <w:color w:val="auto"/>
          <w:kern w:val="1"/>
          <w:szCs w:val="21"/>
          <w:highlight w:val="none"/>
        </w:rPr>
      </w:pPr>
      <w:r>
        <w:rPr>
          <w:rFonts w:hint="eastAsia" w:ascii="宋体" w:hAnsi="宋体"/>
          <w:b/>
          <w:color w:val="auto"/>
          <w:kern w:val="1"/>
          <w:szCs w:val="21"/>
          <w:highlight w:val="none"/>
        </w:rPr>
        <w:t>（1）解密电子投标文件。</w:t>
      </w:r>
      <w:r>
        <w:rPr>
          <w:rFonts w:hint="eastAsia" w:ascii="宋体" w:hAnsi="宋体" w:cs="仿宋_GB2312"/>
          <w:b/>
          <w:color w:val="auto"/>
          <w:kern w:val="1"/>
          <w:szCs w:val="21"/>
          <w:highlight w:val="none"/>
          <w:lang w:eastAsia="zh-CN"/>
        </w:rPr>
        <w:t>广西政府采购云平台</w:t>
      </w:r>
      <w:r>
        <w:rPr>
          <w:rFonts w:hint="eastAsia" w:ascii="宋体" w:hAnsi="宋体" w:cs="仿宋_GB2312"/>
          <w:color w:val="auto"/>
          <w:kern w:val="1"/>
          <w:szCs w:val="21"/>
          <w:highlight w:val="none"/>
        </w:rPr>
        <w:t>按开标时间自动提取所有投标文件。采购代理机构依托</w:t>
      </w:r>
      <w:r>
        <w:rPr>
          <w:rFonts w:hint="eastAsia" w:ascii="宋体" w:hAnsi="宋体" w:cs="仿宋_GB2312"/>
          <w:color w:val="auto"/>
          <w:kern w:val="1"/>
          <w:szCs w:val="21"/>
          <w:highlight w:val="none"/>
          <w:lang w:eastAsia="zh-CN"/>
        </w:rPr>
        <w:t>广西政府采购云平台</w:t>
      </w:r>
      <w:r>
        <w:rPr>
          <w:rFonts w:hint="eastAsia" w:ascii="宋体" w:hAnsi="宋体"/>
          <w:color w:val="auto"/>
          <w:kern w:val="1"/>
          <w:szCs w:val="21"/>
          <w:highlight w:val="none"/>
        </w:rPr>
        <w:t>向各投标人发出电子加密投标文件【开始解密】通知，由投标人按招标文件规定的时间内自行进行投标文件解密。投标人的法定代表人或其委托代理人</w:t>
      </w:r>
      <w:r>
        <w:rPr>
          <w:rFonts w:hint="eastAsia" w:ascii="宋体" w:hAnsi="宋体"/>
          <w:b/>
          <w:color w:val="auto"/>
          <w:kern w:val="1"/>
          <w:szCs w:val="21"/>
          <w:highlight w:val="none"/>
        </w:rPr>
        <w:t>须携带加密时所用的CA锁准时登录到</w:t>
      </w:r>
      <w:r>
        <w:rPr>
          <w:rFonts w:hint="eastAsia" w:ascii="宋体" w:hAnsi="宋体"/>
          <w:b/>
          <w:color w:val="auto"/>
          <w:kern w:val="1"/>
          <w:szCs w:val="21"/>
          <w:highlight w:val="none"/>
          <w:lang w:eastAsia="zh-CN"/>
        </w:rPr>
        <w:t>广西政府采购云平台</w:t>
      </w:r>
      <w:r>
        <w:rPr>
          <w:rFonts w:hint="eastAsia" w:ascii="宋体" w:hAnsi="宋体"/>
          <w:b/>
          <w:color w:val="auto"/>
          <w:kern w:val="1"/>
          <w:szCs w:val="21"/>
          <w:highlight w:val="none"/>
        </w:rPr>
        <w:t>电子开标大厅签到并对电子投标文件解密</w:t>
      </w:r>
      <w:r>
        <w:rPr>
          <w:rFonts w:hint="eastAsia" w:ascii="宋体" w:hAnsi="宋体"/>
          <w:color w:val="auto"/>
          <w:kern w:val="1"/>
          <w:szCs w:val="21"/>
          <w:highlight w:val="none"/>
        </w:rPr>
        <w:t>。开标后5分钟投标人还未进行解密的，代理机构要通知投标人。通知后，</w:t>
      </w:r>
      <w:r>
        <w:rPr>
          <w:rFonts w:hint="eastAsia" w:ascii="宋体" w:hAnsi="宋体" w:cs="仿宋_GB2312"/>
          <w:color w:val="auto"/>
          <w:kern w:val="1"/>
          <w:szCs w:val="21"/>
          <w:highlight w:val="none"/>
        </w:rPr>
        <w:t>投标文件仍未按时解密，</w:t>
      </w:r>
      <w:r>
        <w:rPr>
          <w:rFonts w:hint="eastAsia" w:ascii="宋体" w:hAnsi="宋体"/>
          <w:color w:val="auto"/>
          <w:kern w:val="1"/>
          <w:szCs w:val="21"/>
          <w:highlight w:val="none"/>
        </w:rPr>
        <w:t>或者投标人没预留联系方式或预留联系方式无效，导致代理机构无法联系到投标人进行解密的，</w:t>
      </w:r>
      <w:r>
        <w:rPr>
          <w:rFonts w:hint="eastAsia" w:ascii="宋体" w:hAnsi="宋体"/>
          <w:b/>
          <w:color w:val="auto"/>
          <w:kern w:val="1"/>
          <w:szCs w:val="21"/>
          <w:highlight w:val="none"/>
        </w:rPr>
        <w:t>均视为无效投标。</w:t>
      </w:r>
    </w:p>
    <w:p>
      <w:pPr>
        <w:snapToGrid w:val="0"/>
        <w:spacing w:line="440" w:lineRule="exact"/>
        <w:ind w:firstLine="420" w:firstLineChars="200"/>
        <w:rPr>
          <w:rFonts w:ascii="宋体" w:hAnsi="宋体"/>
          <w:color w:val="auto"/>
          <w:kern w:val="1"/>
          <w:szCs w:val="21"/>
          <w:highlight w:val="none"/>
        </w:rPr>
      </w:pPr>
      <w:r>
        <w:rPr>
          <w:rFonts w:hint="eastAsia" w:ascii="宋体" w:hAnsi="宋体"/>
          <w:color w:val="auto"/>
          <w:kern w:val="1"/>
          <w:szCs w:val="21"/>
          <w:highlight w:val="none"/>
        </w:rPr>
        <w:t>（解密</w:t>
      </w:r>
      <w:r>
        <w:rPr>
          <w:rFonts w:hint="eastAsia" w:ascii="宋体" w:hAnsi="宋体"/>
          <w:bCs/>
          <w:color w:val="auto"/>
          <w:kern w:val="1"/>
          <w:szCs w:val="21"/>
          <w:highlight w:val="none"/>
        </w:rPr>
        <w:t>异常情况处理：详见本章</w:t>
      </w:r>
      <w:r>
        <w:rPr>
          <w:rFonts w:hint="eastAsia" w:ascii="宋体" w:hAnsi="宋体"/>
          <w:color w:val="auto"/>
          <w:kern w:val="1"/>
          <w:szCs w:val="20"/>
          <w:highlight w:val="none"/>
        </w:rPr>
        <w:t>29.3 电子交易活动的中止。</w:t>
      </w:r>
      <w:r>
        <w:rPr>
          <w:rFonts w:hint="eastAsia" w:ascii="宋体" w:hAnsi="宋体"/>
          <w:color w:val="auto"/>
          <w:kern w:val="1"/>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电子唱标。</w:t>
      </w:r>
      <w:r>
        <w:rPr>
          <w:rFonts w:hint="eastAsia" w:ascii="宋体" w:hAnsi="宋体"/>
          <w:color w:val="auto"/>
          <w:szCs w:val="21"/>
          <w:highlight w:val="none"/>
        </w:rPr>
        <w:t>投标文件解密结束，各投标供应商报价均在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远程不见面开标大厅展示；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b/>
          <w:color w:val="auto"/>
          <w:szCs w:val="21"/>
          <w:highlight w:val="none"/>
        </w:rPr>
        <w:t>签署电子《政府采购活动现场确认声明书》。</w:t>
      </w:r>
      <w:r>
        <w:rPr>
          <w:rFonts w:hint="eastAsia" w:ascii="宋体" w:hAnsi="宋体"/>
          <w:color w:val="auto"/>
          <w:szCs w:val="21"/>
          <w:highlight w:val="none"/>
        </w:rPr>
        <w:t>通过邮件形式在远程不见面开标大厅发送各投标人签署电子《政府采购活动现场确认声明书》。</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（6）开标结束。</w:t>
      </w:r>
    </w:p>
    <w:p>
      <w:pPr>
        <w:snapToGrid w:val="0"/>
        <w:spacing w:line="440" w:lineRule="exact"/>
        <w:ind w:firstLine="422" w:firstLineChars="200"/>
        <w:rPr>
          <w:rFonts w:ascii="宋体" w:hAnsi="宋体"/>
          <w:color w:val="auto"/>
          <w:kern w:val="1"/>
          <w:szCs w:val="21"/>
          <w:highlight w:val="none"/>
        </w:rPr>
      </w:pPr>
      <w:r>
        <w:rPr>
          <w:rFonts w:hint="eastAsia" w:ascii="宋体" w:hAnsi="宋体"/>
          <w:b/>
          <w:bCs/>
          <w:color w:val="auto"/>
          <w:kern w:val="1"/>
          <w:szCs w:val="21"/>
          <w:highlight w:val="none"/>
        </w:rPr>
        <w:t>特别说明：</w:t>
      </w:r>
      <w:r>
        <w:rPr>
          <w:rFonts w:hint="eastAsia" w:ascii="宋体" w:hAnsi="宋体"/>
          <w:color w:val="auto"/>
          <w:kern w:val="1"/>
          <w:szCs w:val="21"/>
          <w:highlight w:val="none"/>
        </w:rPr>
        <w:t>如遇</w:t>
      </w:r>
      <w:r>
        <w:rPr>
          <w:rFonts w:hint="eastAsia" w:ascii="宋体" w:hAnsi="宋体"/>
          <w:color w:val="auto"/>
          <w:kern w:val="1"/>
          <w:szCs w:val="21"/>
          <w:highlight w:val="none"/>
          <w:lang w:eastAsia="zh-CN"/>
        </w:rPr>
        <w:t>广西政府采购云平台</w:t>
      </w:r>
      <w:r>
        <w:rPr>
          <w:rFonts w:hint="eastAsia" w:ascii="宋体" w:hAnsi="宋体"/>
          <w:color w:val="auto"/>
          <w:kern w:val="1"/>
          <w:szCs w:val="21"/>
          <w:highlight w:val="none"/>
        </w:rPr>
        <w:t>电子化开标或评审程序调整的，按调整后执行。</w:t>
      </w:r>
    </w:p>
    <w:p>
      <w:pPr>
        <w:snapToGrid w:val="0"/>
        <w:spacing w:line="400" w:lineRule="exact"/>
        <w:ind w:left="689" w:leftChars="228" w:hanging="210" w:hangingChars="100"/>
        <w:rPr>
          <w:rFonts w:ascii="宋体" w:hAnsi="宋体"/>
          <w:color w:val="auto"/>
          <w:kern w:val="1"/>
          <w:szCs w:val="20"/>
          <w:highlight w:val="none"/>
        </w:rPr>
      </w:pPr>
    </w:p>
    <w:p>
      <w:pPr>
        <w:spacing w:line="400" w:lineRule="exact"/>
        <w:ind w:firstLine="643"/>
        <w:jc w:val="center"/>
        <w:outlineLvl w:val="2"/>
        <w:rPr>
          <w:rFonts w:eastAsia="Times New Roman"/>
          <w:b/>
          <w:color w:val="auto"/>
          <w:sz w:val="32"/>
          <w:szCs w:val="32"/>
          <w:highlight w:val="none"/>
        </w:rPr>
      </w:pPr>
      <w:bookmarkStart w:id="119" w:name="_Toc80092999"/>
      <w:r>
        <w:rPr>
          <w:rFonts w:hint="eastAsia" w:ascii="宋体" w:hAnsi="宋体" w:cs="宋体"/>
          <w:b/>
          <w:color w:val="auto"/>
          <w:sz w:val="32"/>
          <w:szCs w:val="32"/>
          <w:highlight w:val="none"/>
        </w:rPr>
        <w:t>五、资格审查</w:t>
      </w:r>
      <w:bookmarkEnd w:id="119"/>
    </w:p>
    <w:p>
      <w:pPr>
        <w:spacing w:line="360" w:lineRule="auto"/>
        <w:ind w:firstLine="482" w:firstLineChars="200"/>
        <w:outlineLvl w:val="4"/>
        <w:rPr>
          <w:rFonts w:ascii="黑体" w:hAnsi="黑体" w:eastAsia="黑体"/>
          <w:b/>
          <w:color w:val="auto"/>
          <w:sz w:val="24"/>
          <w:szCs w:val="28"/>
          <w:highlight w:val="none"/>
        </w:rPr>
      </w:pPr>
      <w:r>
        <w:rPr>
          <w:rFonts w:hint="eastAsia" w:ascii="黑体" w:hAnsi="黑体" w:eastAsia="黑体"/>
          <w:b/>
          <w:color w:val="auto"/>
          <w:sz w:val="24"/>
          <w:szCs w:val="28"/>
          <w:highlight w:val="none"/>
        </w:rPr>
        <w:t>25.资格审查</w:t>
      </w:r>
    </w:p>
    <w:p>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25.1</w:t>
      </w:r>
      <w:r>
        <w:rPr>
          <w:rFonts w:ascii="宋体" w:hAnsi="宋体"/>
          <w:b/>
          <w:bCs/>
          <w:color w:val="auto"/>
          <w:szCs w:val="20"/>
          <w:highlight w:val="none"/>
        </w:rPr>
        <w:t>开标结束后，</w:t>
      </w:r>
      <w:r>
        <w:rPr>
          <w:rFonts w:hint="eastAsia" w:ascii="宋体" w:hAnsi="宋体"/>
          <w:b/>
          <w:bCs/>
          <w:color w:val="auto"/>
          <w:szCs w:val="20"/>
          <w:highlight w:val="none"/>
        </w:rPr>
        <w:t>采购人或采购机构</w:t>
      </w:r>
      <w:r>
        <w:rPr>
          <w:rFonts w:ascii="宋体" w:hAnsi="宋体"/>
          <w:b/>
          <w:bCs/>
          <w:color w:val="auto"/>
          <w:szCs w:val="20"/>
          <w:highlight w:val="none"/>
        </w:rPr>
        <w:t>依法</w:t>
      </w:r>
      <w:r>
        <w:rPr>
          <w:rFonts w:hint="eastAsia" w:ascii="宋体" w:hAnsi="宋体"/>
          <w:b/>
          <w:bCs/>
          <w:color w:val="auto"/>
          <w:szCs w:val="20"/>
          <w:highlight w:val="none"/>
        </w:rPr>
        <w:t>通过电子投标文件</w:t>
      </w:r>
      <w:r>
        <w:rPr>
          <w:rFonts w:ascii="宋体" w:hAnsi="宋体"/>
          <w:b/>
          <w:bCs/>
          <w:color w:val="auto"/>
          <w:szCs w:val="20"/>
          <w:highlight w:val="none"/>
        </w:rPr>
        <w:t>对投标人的资格进行</w:t>
      </w:r>
      <w:r>
        <w:rPr>
          <w:rFonts w:hint="eastAsia" w:ascii="宋体" w:hAnsi="宋体"/>
          <w:b/>
          <w:bCs/>
          <w:color w:val="auto"/>
          <w:szCs w:val="20"/>
          <w:highlight w:val="none"/>
        </w:rPr>
        <w:t>线上</w:t>
      </w:r>
      <w:r>
        <w:rPr>
          <w:rFonts w:ascii="宋体" w:hAnsi="宋体"/>
          <w:b/>
          <w:bCs/>
          <w:color w:val="auto"/>
          <w:szCs w:val="20"/>
          <w:highlight w:val="none"/>
        </w:rPr>
        <w:t>审查。</w:t>
      </w:r>
    </w:p>
    <w:p>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25.2采购人或采购机构依据法律法规和招标文件的规定，对投标人的基本资格条件、特定资格条件进行审查。</w:t>
      </w:r>
    </w:p>
    <w:p>
      <w:pPr>
        <w:spacing w:line="360" w:lineRule="auto"/>
        <w:ind w:firstLine="420" w:firstLineChars="200"/>
        <w:rPr>
          <w:rFonts w:ascii="宋体" w:hAnsi="宋体"/>
          <w:color w:val="auto"/>
          <w:highlight w:val="none"/>
        </w:rPr>
      </w:pPr>
      <w:r>
        <w:rPr>
          <w:rFonts w:hint="eastAsia" w:ascii="宋体" w:hAnsi="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ascii="宋体" w:hAnsi="宋体"/>
          <w:b/>
          <w:bCs/>
          <w:color w:val="auto"/>
          <w:szCs w:val="20"/>
          <w:highlight w:val="none"/>
        </w:rPr>
      </w:pPr>
      <w:bookmarkStart w:id="120" w:name="_25.3_投标人有下列情形之一的，资格审查不通过而导致其投标无效："/>
      <w:bookmarkEnd w:id="120"/>
      <w:r>
        <w:rPr>
          <w:rFonts w:hint="eastAsia" w:ascii="宋体" w:hAnsi="宋体"/>
          <w:b/>
          <w:bCs/>
          <w:color w:val="auto"/>
          <w:szCs w:val="20"/>
          <w:highlight w:val="none"/>
        </w:rPr>
        <w:t>25.4投标人有下列情形之一的，资格审查不通过，作无效投标处理：</w:t>
      </w:r>
    </w:p>
    <w:p>
      <w:pPr>
        <w:spacing w:line="360" w:lineRule="auto"/>
        <w:ind w:firstLine="420" w:firstLineChars="200"/>
        <w:rPr>
          <w:rFonts w:hAnsi="宋体"/>
          <w:color w:val="auto"/>
          <w:highlight w:val="none"/>
        </w:rPr>
      </w:pPr>
      <w:r>
        <w:rPr>
          <w:rFonts w:hint="eastAsia" w:hAnsi="宋体"/>
          <w:color w:val="auto"/>
          <w:highlight w:val="none"/>
        </w:rPr>
        <w:t>（1）不具备招标文件中规定的资格要求的；（注：其中信用查询规则见“投标人须知前附表”，</w:t>
      </w:r>
      <w:r>
        <w:rPr>
          <w:rFonts w:hint="eastAsia" w:hAnsi="宋体"/>
          <w:color w:val="auto"/>
          <w:highlight w:val="none"/>
          <w:lang w:eastAsia="zh-CN"/>
        </w:rPr>
        <w:t>广西政府采购云平台</w:t>
      </w:r>
      <w:r>
        <w:rPr>
          <w:rFonts w:hint="eastAsia" w:hAnsi="宋体"/>
          <w:color w:val="auto"/>
          <w:highlight w:val="none"/>
        </w:rPr>
        <w:t>已与“信用中国”平台做接口，审查专家可直接在线查询）</w:t>
      </w:r>
    </w:p>
    <w:p>
      <w:pPr>
        <w:spacing w:line="360" w:lineRule="auto"/>
        <w:ind w:firstLine="420" w:firstLineChars="200"/>
        <w:rPr>
          <w:rFonts w:hAnsi="宋体"/>
          <w:color w:val="auto"/>
          <w:highlight w:val="none"/>
        </w:rPr>
      </w:pPr>
      <w:r>
        <w:rPr>
          <w:rFonts w:hint="eastAsia" w:hAnsi="宋体"/>
          <w:color w:val="auto"/>
          <w:highlight w:val="none"/>
        </w:rPr>
        <w:t>（2）投标文件未提供任一项“投标人须知前附表”资格证明文件规定的“必须提供”的文件资料的；</w:t>
      </w:r>
    </w:p>
    <w:p>
      <w:pPr>
        <w:spacing w:line="360" w:lineRule="auto"/>
        <w:ind w:firstLine="420" w:firstLineChars="200"/>
        <w:rPr>
          <w:rFonts w:hAnsi="宋体"/>
          <w:color w:val="auto"/>
          <w:highlight w:val="none"/>
        </w:rPr>
      </w:pPr>
      <w:r>
        <w:rPr>
          <w:rFonts w:hint="eastAsia" w:hAnsi="宋体"/>
          <w:color w:val="auto"/>
          <w:highlight w:val="none"/>
        </w:rPr>
        <w:t>（3）投标文件提供的资格证明文件出现任一项不符合“投标人须知前附表”资格证明文件规定的“必须提供”的文件资料要求或者无效的。</w:t>
      </w:r>
    </w:p>
    <w:p>
      <w:pPr>
        <w:spacing w:line="360" w:lineRule="auto"/>
        <w:ind w:firstLine="420" w:firstLineChars="200"/>
        <w:outlineLvl w:val="4"/>
        <w:rPr>
          <w:rFonts w:ascii="宋体" w:hAnsi="宋体" w:eastAsia="Times New Roman"/>
          <w:bCs/>
          <w:color w:val="auto"/>
          <w:szCs w:val="20"/>
          <w:highlight w:val="none"/>
        </w:rPr>
      </w:pPr>
      <w:r>
        <w:rPr>
          <w:rFonts w:hint="eastAsia" w:ascii="宋体" w:hAnsi="宋体" w:eastAsia="Times New Roman"/>
          <w:bCs/>
          <w:color w:val="auto"/>
          <w:szCs w:val="20"/>
          <w:highlight w:val="none"/>
        </w:rPr>
        <w:t>25.5资格审查的</w:t>
      </w:r>
      <w:r>
        <w:rPr>
          <w:rFonts w:ascii="宋体" w:hAnsi="宋体" w:eastAsia="Times New Roman"/>
          <w:bCs/>
          <w:color w:val="auto"/>
          <w:szCs w:val="20"/>
          <w:highlight w:val="none"/>
        </w:rPr>
        <w:t>合格投标人不足3家的，不得评标。</w:t>
      </w:r>
    </w:p>
    <w:p>
      <w:pPr>
        <w:spacing w:line="360" w:lineRule="auto"/>
        <w:ind w:firstLine="643"/>
        <w:jc w:val="center"/>
        <w:outlineLvl w:val="2"/>
        <w:rPr>
          <w:rFonts w:eastAsia="Times New Roman"/>
          <w:b/>
          <w:color w:val="auto"/>
          <w:sz w:val="32"/>
          <w:szCs w:val="32"/>
          <w:highlight w:val="none"/>
        </w:rPr>
      </w:pPr>
      <w:bookmarkStart w:id="121" w:name="_Toc80093000"/>
      <w:r>
        <w:rPr>
          <w:rFonts w:hint="eastAsia" w:ascii="宋体" w:hAnsi="宋体" w:cs="宋体"/>
          <w:b/>
          <w:color w:val="auto"/>
          <w:sz w:val="32"/>
          <w:szCs w:val="32"/>
          <w:highlight w:val="none"/>
        </w:rPr>
        <w:t>六、评</w:t>
      </w:r>
      <w:r>
        <w:rPr>
          <w:rFonts w:eastAsia="Times New Roman"/>
          <w:b/>
          <w:color w:val="auto"/>
          <w:sz w:val="32"/>
          <w:szCs w:val="32"/>
          <w:highlight w:val="none"/>
        </w:rPr>
        <w:t xml:space="preserve"> </w:t>
      </w:r>
      <w:r>
        <w:rPr>
          <w:rFonts w:hint="eastAsia" w:ascii="宋体" w:hAnsi="宋体" w:cs="宋体"/>
          <w:b/>
          <w:color w:val="auto"/>
          <w:sz w:val="32"/>
          <w:szCs w:val="32"/>
          <w:highlight w:val="none"/>
        </w:rPr>
        <w:t>标</w:t>
      </w:r>
      <w:bookmarkEnd w:id="121"/>
    </w:p>
    <w:p>
      <w:pPr>
        <w:spacing w:line="360" w:lineRule="auto"/>
        <w:ind w:firstLine="480" w:firstLineChars="200"/>
        <w:rPr>
          <w:rFonts w:ascii="黑体" w:hAnsi="黑体" w:eastAsia="黑体"/>
          <w:color w:val="auto"/>
          <w:sz w:val="24"/>
          <w:highlight w:val="none"/>
        </w:rPr>
      </w:pPr>
      <w:bookmarkStart w:id="122" w:name="_26.组建评标委员会"/>
      <w:bookmarkEnd w:id="122"/>
      <w:r>
        <w:rPr>
          <w:rFonts w:hint="eastAsia" w:ascii="黑体" w:hAnsi="黑体" w:eastAsia="黑体"/>
          <w:color w:val="auto"/>
          <w:sz w:val="24"/>
          <w:highlight w:val="none"/>
        </w:rPr>
        <w:t>26.组建评标委员会</w:t>
      </w:r>
    </w:p>
    <w:p>
      <w:pPr>
        <w:spacing w:line="360" w:lineRule="auto"/>
        <w:ind w:firstLine="420" w:firstLineChars="200"/>
        <w:rPr>
          <w:rFonts w:hAnsi="宋体"/>
          <w:color w:val="auto"/>
          <w:highlight w:val="none"/>
        </w:rPr>
      </w:pPr>
      <w:r>
        <w:rPr>
          <w:rFonts w:hint="eastAsia" w:hAnsi="宋体"/>
          <w:color w:val="auto"/>
          <w:highlight w:val="none"/>
        </w:rPr>
        <w:t>评标委员会由采购人代表和评审专家组成，人数为5人以上单数，其中评审专家不得少于成员总数的三分之二。</w:t>
      </w:r>
    </w:p>
    <w:p>
      <w:pPr>
        <w:spacing w:line="360" w:lineRule="auto"/>
        <w:ind w:firstLine="420" w:firstLineChars="200"/>
        <w:rPr>
          <w:rFonts w:hAnsi="宋体"/>
          <w:color w:val="auto"/>
          <w:highlight w:val="none"/>
        </w:rPr>
      </w:pPr>
      <w:r>
        <w:rPr>
          <w:rFonts w:hint="eastAsia" w:hAnsi="宋体"/>
          <w:color w:val="auto"/>
          <w:highlight w:val="none"/>
        </w:rPr>
        <w:t>参加过采购项目前期咨询论证的专家，不得参加该采购项目的评审活动。</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27.评标的依据</w:t>
      </w:r>
    </w:p>
    <w:p>
      <w:pPr>
        <w:spacing w:line="360" w:lineRule="auto"/>
        <w:ind w:firstLine="420" w:firstLineChars="200"/>
        <w:rPr>
          <w:rFonts w:hAnsi="宋体"/>
          <w:color w:val="auto"/>
          <w:highlight w:val="none"/>
        </w:rPr>
      </w:pPr>
      <w:r>
        <w:rPr>
          <w:rFonts w:hint="eastAsia" w:hAnsi="宋体"/>
          <w:color w:val="auto"/>
          <w:highlight w:val="none"/>
        </w:rPr>
        <w:t>评标委员会以招标文件为依据对投标文件进行评审，</w:t>
      </w:r>
      <w:r>
        <w:rPr>
          <w:rFonts w:hint="eastAsia" w:hAnsi="宋体" w:cs="宋体"/>
          <w:color w:val="auto"/>
          <w:highlight w:val="none"/>
        </w:rPr>
        <w:t>“第四章 评标方法和评标标准”</w:t>
      </w:r>
      <w:r>
        <w:rPr>
          <w:rFonts w:hAnsi="宋体"/>
          <w:color w:val="auto"/>
          <w:highlight w:val="none"/>
        </w:rPr>
        <w:t>没有规定的方法、评审因素和标准，不作为评标依据。</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28.评标原则</w:t>
      </w:r>
    </w:p>
    <w:p>
      <w:pPr>
        <w:spacing w:line="360" w:lineRule="auto"/>
        <w:ind w:firstLine="420" w:firstLineChars="200"/>
        <w:rPr>
          <w:rFonts w:hAnsi="宋体"/>
          <w:color w:val="auto"/>
          <w:highlight w:val="none"/>
        </w:rPr>
      </w:pPr>
      <w:r>
        <w:rPr>
          <w:rFonts w:hint="eastAsia" w:hAnsi="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Ansi="宋体"/>
          <w:color w:val="auto"/>
          <w:highlight w:val="none"/>
        </w:rPr>
      </w:pPr>
      <w:r>
        <w:rPr>
          <w:rFonts w:hint="eastAsia" w:hAnsi="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3" w:name="_28.3评标方法。本项目将按须知前附表规定的评标办法进行评标，具体评标"/>
      <w:bookmarkEnd w:id="123"/>
    </w:p>
    <w:p>
      <w:pPr>
        <w:spacing w:line="360" w:lineRule="auto"/>
        <w:ind w:firstLine="420" w:firstLineChars="200"/>
        <w:rPr>
          <w:rFonts w:hAnsi="宋体"/>
          <w:color w:val="auto"/>
          <w:highlight w:val="none"/>
        </w:rPr>
      </w:pPr>
      <w:r>
        <w:rPr>
          <w:rFonts w:hint="eastAsia" w:hAnsi="宋体"/>
          <w:color w:val="auto"/>
          <w:highlight w:val="none"/>
        </w:rPr>
        <w:t>28.</w:t>
      </w:r>
      <w:r>
        <w:rPr>
          <w:rFonts w:hAnsi="宋体"/>
          <w:color w:val="auto"/>
          <w:highlight w:val="none"/>
        </w:rPr>
        <w:t>3</w:t>
      </w:r>
      <w:r>
        <w:rPr>
          <w:rFonts w:hint="eastAsia"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8.4</w:t>
      </w:r>
      <w:r>
        <w:rPr>
          <w:rFonts w:hint="eastAsia" w:hAnsi="宋体"/>
          <w:color w:val="auto"/>
          <w:highlight w:val="none"/>
        </w:rPr>
        <w:t>评标过程的监控。本项目电子评标过程实行网上留痕、全程录音、录像监控，投标人在评标过程中所进行的试图影响评标结果的不公正活动，可能导致其投标按无效处理。</w:t>
      </w:r>
    </w:p>
    <w:p>
      <w:pPr>
        <w:widowControl/>
        <w:spacing w:line="560" w:lineRule="exact"/>
        <w:ind w:firstLine="420" w:firstLineChars="200"/>
        <w:jc w:val="left"/>
        <w:textAlignment w:val="baseline"/>
        <w:rPr>
          <w:rFonts w:hAnsi="宋体"/>
          <w:color w:val="auto"/>
          <w:highlight w:val="none"/>
        </w:rPr>
      </w:pPr>
      <w:r>
        <w:rPr>
          <w:rFonts w:hint="eastAsia" w:hAnsi="宋体"/>
          <w:color w:val="auto"/>
          <w:highlight w:val="none"/>
        </w:rPr>
        <w:t>28.5</w:t>
      </w:r>
      <w:r>
        <w:rPr>
          <w:rFonts w:hAnsi="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29.评标方法及评标标准</w:t>
      </w:r>
    </w:p>
    <w:p>
      <w:pPr>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9.1</w:t>
      </w:r>
      <w:r>
        <w:rPr>
          <w:rFonts w:hint="eastAsia" w:hAnsi="宋体"/>
          <w:color w:val="auto"/>
          <w:highlight w:val="none"/>
        </w:rPr>
        <w:t>本项目的评标方法详见“投标人须知前附表”。</w:t>
      </w:r>
    </w:p>
    <w:p>
      <w:pPr>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9.2</w:t>
      </w:r>
      <w:r>
        <w:rPr>
          <w:rFonts w:hAnsi="宋体" w:cs="宋体"/>
          <w:color w:val="auto"/>
          <w:highlight w:val="none"/>
        </w:rPr>
        <w:t xml:space="preserve"> </w:t>
      </w:r>
      <w:r>
        <w:rPr>
          <w:rFonts w:hAnsi="宋体"/>
          <w:color w:val="auto"/>
          <w:highlight w:val="none"/>
        </w:rPr>
        <w:t>评标委员会按照</w:t>
      </w:r>
      <w:r>
        <w:rPr>
          <w:rFonts w:hint="eastAsia" w:hAnsi="宋体" w:cs="宋体"/>
          <w:b/>
          <w:color w:val="auto"/>
          <w:highlight w:val="none"/>
        </w:rPr>
        <w:t>“第四章 评标方法和评标标准”</w:t>
      </w:r>
      <w:r>
        <w:rPr>
          <w:rFonts w:hAnsi="宋体"/>
          <w:color w:val="auto"/>
          <w:highlight w:val="none"/>
        </w:rPr>
        <w:t>规定的方法、评审因素、标准和程序对投标文件进行评审。</w:t>
      </w:r>
    </w:p>
    <w:p>
      <w:pPr>
        <w:spacing w:line="360" w:lineRule="auto"/>
        <w:ind w:firstLine="420" w:firstLineChars="200"/>
        <w:rPr>
          <w:rFonts w:hAnsi="宋体"/>
          <w:color w:val="auto"/>
          <w:highlight w:val="none"/>
        </w:rPr>
      </w:pPr>
      <w:r>
        <w:rPr>
          <w:rFonts w:hint="eastAsia" w:hAnsi="宋体"/>
          <w:color w:val="auto"/>
          <w:highlight w:val="none"/>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pPr>
        <w:spacing w:line="360" w:lineRule="auto"/>
        <w:ind w:firstLine="420" w:firstLineChars="200"/>
        <w:rPr>
          <w:rFonts w:hAnsi="宋体"/>
          <w:color w:val="auto"/>
          <w:highlight w:val="none"/>
        </w:rPr>
      </w:pPr>
      <w:r>
        <w:rPr>
          <w:rFonts w:hint="eastAsia" w:hAnsi="宋体"/>
          <w:color w:val="auto"/>
          <w:highlight w:val="none"/>
        </w:rPr>
        <w:t>（4）其他无法保证电子交易的公平、公正和安全的情况。</w:t>
      </w:r>
    </w:p>
    <w:p>
      <w:pPr>
        <w:spacing w:line="360" w:lineRule="auto"/>
        <w:ind w:firstLine="420" w:firstLineChars="200"/>
        <w:rPr>
          <w:rFonts w:hAnsi="宋体"/>
          <w:color w:val="auto"/>
          <w:highlight w:val="none"/>
        </w:rPr>
      </w:pPr>
      <w:r>
        <w:rPr>
          <w:rFonts w:hint="eastAsia" w:hAnsi="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napToGrid w:val="0"/>
        <w:spacing w:line="400" w:lineRule="exact"/>
        <w:ind w:firstLine="420" w:firstLineChars="200"/>
        <w:rPr>
          <w:rFonts w:ascii="宋体" w:hAnsi="宋体"/>
          <w:color w:val="auto"/>
          <w:kern w:val="1"/>
          <w:szCs w:val="20"/>
          <w:highlight w:val="none"/>
        </w:rPr>
      </w:pPr>
    </w:p>
    <w:p>
      <w:pPr>
        <w:spacing w:line="400" w:lineRule="exact"/>
        <w:ind w:firstLine="643"/>
        <w:jc w:val="center"/>
        <w:outlineLvl w:val="2"/>
        <w:rPr>
          <w:rFonts w:eastAsia="Times New Roman"/>
          <w:b/>
          <w:color w:val="auto"/>
          <w:sz w:val="32"/>
          <w:szCs w:val="32"/>
          <w:highlight w:val="none"/>
        </w:rPr>
      </w:pPr>
      <w:bookmarkStart w:id="124" w:name="_Toc254970546"/>
      <w:bookmarkStart w:id="125" w:name="_Toc254970687"/>
      <w:bookmarkStart w:id="126" w:name="_Toc80093001"/>
      <w:r>
        <w:rPr>
          <w:rFonts w:hint="eastAsia" w:ascii="宋体" w:hAnsi="宋体" w:cs="宋体"/>
          <w:b/>
          <w:color w:val="auto"/>
          <w:sz w:val="32"/>
          <w:szCs w:val="32"/>
          <w:highlight w:val="none"/>
        </w:rPr>
        <w:t>七、</w:t>
      </w:r>
      <w:bookmarkEnd w:id="124"/>
      <w:bookmarkEnd w:id="125"/>
      <w:r>
        <w:rPr>
          <w:rFonts w:hint="eastAsia" w:ascii="宋体" w:hAnsi="宋体" w:cs="宋体"/>
          <w:b/>
          <w:color w:val="auto"/>
          <w:sz w:val="32"/>
          <w:szCs w:val="32"/>
          <w:highlight w:val="none"/>
        </w:rPr>
        <w:t>中标和合同</w:t>
      </w:r>
      <w:bookmarkEnd w:id="126"/>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30.确定中标人</w:t>
      </w:r>
    </w:p>
    <w:p>
      <w:pPr>
        <w:spacing w:line="360" w:lineRule="auto"/>
        <w:ind w:firstLine="422" w:firstLineChars="200"/>
        <w:rPr>
          <w:rFonts w:ascii="宋体" w:hAnsi="宋体" w:cs="Courier New"/>
          <w:b/>
          <w:bCs/>
          <w:color w:val="auto"/>
          <w:szCs w:val="21"/>
          <w:highlight w:val="none"/>
        </w:rPr>
      </w:pPr>
      <w:r>
        <w:rPr>
          <w:rFonts w:ascii="宋体" w:hAnsi="宋体" w:cs="Courier New"/>
          <w:b/>
          <w:bCs/>
          <w:color w:val="auto"/>
          <w:szCs w:val="21"/>
          <w:highlight w:val="none"/>
        </w:rPr>
        <w:t>30.1</w:t>
      </w:r>
      <w:r>
        <w:rPr>
          <w:rFonts w:hint="eastAsia" w:ascii="宋体" w:hAnsi="宋体" w:cs="Courier New"/>
          <w:b/>
          <w:bCs/>
          <w:color w:val="auto"/>
          <w:szCs w:val="21"/>
          <w:highlight w:val="none"/>
        </w:rPr>
        <w:t>本项目授权评标委员会直接按第四章“评标方法及标准”的规定排列中标候选人顺序，并依照次序确定中标人。</w:t>
      </w:r>
    </w:p>
    <w:p>
      <w:pPr>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3中标供应商无正当理由拒签合同的，根据《中华人民共和国政府采购法》第七十七条第一款规定处理。</w:t>
      </w:r>
    </w:p>
    <w:p>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30.4根据《中华人民共和国民法典》</w:t>
      </w:r>
      <w:r>
        <w:rPr>
          <w:color w:val="auto"/>
          <w:sz w:val="19"/>
          <w:szCs w:val="19"/>
          <w:highlight w:val="none"/>
        </w:rPr>
        <w:t>第五百六十三条</w:t>
      </w:r>
      <w:r>
        <w:rPr>
          <w:rFonts w:hint="eastAsia" w:ascii="宋体" w:hAnsi="宋体" w:cs="Courier New"/>
          <w:color w:val="auto"/>
          <w:szCs w:val="21"/>
          <w:highlight w:val="none"/>
        </w:rPr>
        <w:t>，因不可抗力致使不能实现合同目的的，当事人可以解除合同。</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31. 结果公告</w:t>
      </w:r>
    </w:p>
    <w:p>
      <w:pPr>
        <w:spacing w:line="360" w:lineRule="auto"/>
        <w:ind w:firstLine="420" w:firstLineChars="200"/>
        <w:rPr>
          <w:rFonts w:hAnsi="宋体" w:cs="宋体"/>
          <w:color w:val="auto"/>
          <w:highlight w:val="none"/>
        </w:rPr>
      </w:pPr>
      <w:r>
        <w:rPr>
          <w:rFonts w:hint="eastAsia" w:hAnsi="宋体"/>
          <w:color w:val="auto"/>
          <w:szCs w:val="21"/>
          <w:highlight w:val="none"/>
        </w:rPr>
        <w:t>3</w:t>
      </w:r>
      <w:r>
        <w:rPr>
          <w:rFonts w:hAnsi="宋体"/>
          <w:color w:val="auto"/>
          <w:szCs w:val="21"/>
          <w:highlight w:val="none"/>
        </w:rPr>
        <w:t>1.1</w:t>
      </w:r>
      <w:r>
        <w:rPr>
          <w:rFonts w:hint="eastAsia" w:hAnsi="宋体" w:cs="宋体"/>
          <w:color w:val="auto"/>
          <w:highlight w:val="none"/>
        </w:rPr>
        <w:t>在中标供应商</w:t>
      </w:r>
      <w:r>
        <w:rPr>
          <w:rFonts w:hint="eastAsia" w:hAnsi="宋体" w:cs="Arial"/>
          <w:color w:val="auto"/>
          <w:highlight w:val="none"/>
        </w:rPr>
        <w:t>确定之日起</w:t>
      </w:r>
      <w:r>
        <w:rPr>
          <w:rFonts w:hint="eastAsia" w:hAnsi="宋体" w:cs="宋体"/>
          <w:color w:val="auto"/>
          <w:highlight w:val="none"/>
        </w:rPr>
        <w:t>2个工作日内，由采购代理机构</w:t>
      </w:r>
      <w:r>
        <w:rPr>
          <w:rFonts w:hint="eastAsia" w:hAnsi="宋体"/>
          <w:b/>
          <w:color w:val="auto"/>
          <w:szCs w:val="21"/>
          <w:highlight w:val="none"/>
        </w:rPr>
        <w:t>在招标公告发布媒体上</w:t>
      </w:r>
      <w:r>
        <w:rPr>
          <w:rFonts w:hint="eastAsia" w:hAnsi="宋体" w:cs="宋体"/>
          <w:color w:val="auto"/>
          <w:highlight w:val="none"/>
        </w:rPr>
        <w:t>发布中标结果公告，中标结果公告期限为1个工作日，发布中标结果公告的同时向中标供应商发出中标通知书。</w:t>
      </w:r>
      <w:r>
        <w:rPr>
          <w:rFonts w:hint="eastAsia" w:hAnsi="宋体"/>
          <w:b/>
          <w:color w:val="auto"/>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auto"/>
          <w:szCs w:val="21"/>
          <w:highlight w:val="none"/>
        </w:rPr>
        <w:t>排名第二的中标候选人因前款规定的同样原因被取消中标资格的，</w:t>
      </w:r>
      <w:r>
        <w:rPr>
          <w:rFonts w:hint="eastAsia" w:hAnsi="宋体" w:cs="Courier New"/>
          <w:color w:val="auto"/>
          <w:szCs w:val="21"/>
          <w:highlight w:val="none"/>
        </w:rPr>
        <w:t>授权的评标委员会</w:t>
      </w:r>
      <w:r>
        <w:rPr>
          <w:rFonts w:hint="eastAsia" w:hAnsi="宋体"/>
          <w:color w:val="auto"/>
          <w:szCs w:val="21"/>
          <w:highlight w:val="none"/>
        </w:rPr>
        <w:t>可以确定排名第三的中标候选人为中标人，以此类推。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以上信息查询记录及相关证据与采购文件一并保存。</w:t>
      </w:r>
    </w:p>
    <w:p>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32.1在发布中标公告的同时，采购代理机构向中标人通过</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发出电子中标通知书。</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34.合同授予标准</w:t>
      </w:r>
    </w:p>
    <w:p>
      <w:pPr>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35.履约保证金</w:t>
      </w:r>
    </w:p>
    <w:p>
      <w:pPr>
        <w:spacing w:line="360" w:lineRule="auto"/>
        <w:ind w:firstLine="420" w:firstLineChars="200"/>
        <w:rPr>
          <w:rFonts w:ascii="宋体" w:hAnsi="宋体" w:cs="仿宋_GB2312"/>
          <w:color w:val="auto"/>
          <w:szCs w:val="21"/>
          <w:highlight w:val="none"/>
        </w:rPr>
      </w:pPr>
      <w:bookmarkStart w:id="127" w:name="_39.1中标人须于签订合同前按本须知前附表规定的金额转账或电汇到指定账"/>
      <w:bookmarkEnd w:id="127"/>
      <w:r>
        <w:rPr>
          <w:rFonts w:hint="eastAsia" w:ascii="宋体" w:hAnsi="宋体" w:cs="仿宋_GB2312"/>
          <w:color w:val="auto"/>
          <w:szCs w:val="21"/>
          <w:highlight w:val="none"/>
        </w:rPr>
        <w:t>见“投标人须知前附表”。</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36.签订合同</w:t>
      </w:r>
    </w:p>
    <w:p>
      <w:pPr>
        <w:adjustRightInd w:val="0"/>
        <w:snapToGrid w:val="0"/>
        <w:spacing w:line="360" w:lineRule="auto"/>
        <w:ind w:firstLine="422" w:firstLineChars="200"/>
        <w:rPr>
          <w:rFonts w:ascii="宋体" w:hAnsi="宋体"/>
          <w:color w:val="auto"/>
          <w:kern w:val="0"/>
          <w:szCs w:val="21"/>
          <w:highlight w:val="none"/>
          <w:lang w:val="zh-CN"/>
        </w:rPr>
      </w:pPr>
      <w:bookmarkStart w:id="128" w:name="_40.1投标人接到中标通知书后，按须知前附表规定向采购人出示相关资格证"/>
      <w:bookmarkEnd w:id="128"/>
      <w:r>
        <w:rPr>
          <w:rFonts w:hint="eastAsia" w:ascii="宋体" w:hAnsi="宋体"/>
          <w:b/>
          <w:color w:val="auto"/>
          <w:szCs w:val="21"/>
          <w:highlight w:val="none"/>
        </w:rPr>
        <w:t xml:space="preserve"> 36.1中标人领取电子中标通知书后，</w:t>
      </w:r>
      <w:r>
        <w:rPr>
          <w:rFonts w:hint="eastAsia" w:ascii="宋体" w:hAnsi="宋体"/>
          <w:color w:val="auto"/>
          <w:kern w:val="0"/>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pPr>
        <w:adjustRightInd w:val="0"/>
        <w:snapToGrid w:val="0"/>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36.2</w:t>
      </w:r>
      <w:r>
        <w:rPr>
          <w:rFonts w:ascii="宋体" w:hAnsi="宋体" w:cs="仿宋_GB2312"/>
          <w:color w:val="auto"/>
          <w:szCs w:val="21"/>
          <w:highlight w:val="none"/>
        </w:rPr>
        <w:t>采购合同由采购人与中标供应商根据</w:t>
      </w:r>
      <w:r>
        <w:rPr>
          <w:rFonts w:hint="eastAsia" w:ascii="宋体" w:hAnsi="宋体" w:cs="仿宋_GB2312"/>
          <w:color w:val="auto"/>
          <w:szCs w:val="21"/>
          <w:highlight w:val="none"/>
        </w:rPr>
        <w:t>招标文件、投标文件等内容通过政府采购电子交易平台在线签订，自动备案。</w:t>
      </w:r>
    </w:p>
    <w:p>
      <w:pPr>
        <w:adjustRightInd w:val="0"/>
        <w:snapToGrid w:val="0"/>
        <w:spacing w:line="360" w:lineRule="auto"/>
        <w:ind w:firstLine="420" w:firstLineChars="200"/>
        <w:rPr>
          <w:rFonts w:ascii="宋体" w:hAnsi="宋体" w:cs="仿宋_GB2312"/>
          <w:color w:val="auto"/>
          <w:szCs w:val="21"/>
          <w:highlight w:val="none"/>
        </w:rPr>
      </w:pPr>
      <w:r>
        <w:rPr>
          <w:rFonts w:hint="eastAsia" w:ascii="宋体" w:hAnsi="宋体"/>
          <w:color w:val="auto"/>
          <w:szCs w:val="21"/>
          <w:highlight w:val="none"/>
        </w:rPr>
        <w:t>36.3签订合同时间：按中标通知书规定的时间与采购人签订合同（最长不能超过25日）。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36.7</w:t>
      </w:r>
      <w:r>
        <w:rPr>
          <w:rFonts w:hint="eastAsia" w:ascii="宋体" w:hAnsi="宋体" w:cs="仿宋_GB2312"/>
          <w:color w:val="auto"/>
          <w:szCs w:val="21"/>
          <w:highlight w:val="none"/>
        </w:rPr>
        <w:t>如签订合同并生效后，供应商无故拒绝或延期，除按照合同条款处理外，将承担相应的法律责任。</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pPr>
        <w:spacing w:line="360" w:lineRule="auto"/>
        <w:ind w:firstLine="480" w:firstLineChars="200"/>
        <w:rPr>
          <w:rFonts w:ascii="黑体" w:hAnsi="黑体" w:eastAsia="黑体"/>
          <w:color w:val="auto"/>
          <w:sz w:val="24"/>
          <w:highlight w:val="none"/>
        </w:rPr>
      </w:pPr>
      <w:bookmarkStart w:id="129" w:name="_41.政府采购合同公告"/>
      <w:bookmarkEnd w:id="129"/>
      <w:r>
        <w:rPr>
          <w:rFonts w:hint="eastAsia" w:ascii="黑体" w:hAnsi="黑体" w:eastAsia="黑体"/>
          <w:color w:val="auto"/>
          <w:sz w:val="24"/>
          <w:highlight w:val="none"/>
        </w:rPr>
        <w:t>37.政府采购合同公告</w:t>
      </w:r>
    </w:p>
    <w:p>
      <w:pPr>
        <w:spacing w:line="360" w:lineRule="auto"/>
        <w:ind w:firstLine="420" w:firstLineChars="200"/>
        <w:rPr>
          <w:rFonts w:ascii="宋体" w:hAnsi="宋体"/>
          <w:color w:val="auto"/>
          <w:highlight w:val="none"/>
        </w:rPr>
      </w:pPr>
      <w:r>
        <w:rPr>
          <w:rFonts w:hint="eastAsia" w:hAnsi="宋体"/>
          <w:color w:val="auto"/>
          <w:highlight w:val="none"/>
        </w:rPr>
        <w:t>采购人或者受托采购代理机构应当自政府采购合同签订之日起2个工作日内，将政府采购合同</w:t>
      </w:r>
      <w:r>
        <w:rPr>
          <w:rFonts w:hint="eastAsia" w:ascii="宋体" w:hAnsi="宋体"/>
          <w:bCs/>
          <w:color w:val="auto"/>
          <w:highlight w:val="none"/>
        </w:rPr>
        <w:t>在以下媒体上发布</w:t>
      </w:r>
      <w:r>
        <w:rPr>
          <w:rFonts w:hint="eastAsia" w:ascii="宋体" w:hAnsi="宋体" w:cs="宋体"/>
          <w:color w:val="auto"/>
          <w:szCs w:val="21"/>
          <w:highlight w:val="none"/>
        </w:rPr>
        <w:t xml:space="preserve"> “广西政府采购网”（http://zfcg.gxzf.gov.cn）</w:t>
      </w:r>
      <w:r>
        <w:rPr>
          <w:rFonts w:hint="eastAsia" w:hAnsi="宋体"/>
          <w:color w:val="auto"/>
          <w:highlight w:val="none"/>
        </w:rPr>
        <w:t>上公告，</w:t>
      </w:r>
      <w:r>
        <w:rPr>
          <w:rFonts w:hAnsi="宋体"/>
          <w:color w:val="auto"/>
          <w:highlight w:val="none"/>
        </w:rPr>
        <w:t>但政府采购合同中涉及国家秘密、商业秘密的内容除外。</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pPr>
        <w:spacing w:line="360" w:lineRule="auto"/>
        <w:ind w:firstLine="422" w:firstLineChars="200"/>
        <w:rPr>
          <w:rFonts w:hAnsi="宋体"/>
          <w:b/>
          <w:color w:val="auto"/>
          <w:szCs w:val="21"/>
          <w:highlight w:val="none"/>
        </w:rPr>
      </w:pPr>
      <w:r>
        <w:rPr>
          <w:rFonts w:hAnsi="宋体"/>
          <w:b/>
          <w:color w:val="auto"/>
          <w:szCs w:val="21"/>
          <w:highlight w:val="none"/>
        </w:rPr>
        <w:t>38.1</w:t>
      </w:r>
      <w:r>
        <w:rPr>
          <w:rFonts w:hint="eastAsia" w:hAnsi="宋体"/>
          <w:b/>
          <w:color w:val="auto"/>
          <w:szCs w:val="21"/>
          <w:highlight w:val="none"/>
        </w:rPr>
        <w:t>询问</w:t>
      </w:r>
    </w:p>
    <w:p>
      <w:pPr>
        <w:spacing w:line="360" w:lineRule="auto"/>
        <w:ind w:firstLine="420" w:firstLineChars="200"/>
        <w:rPr>
          <w:rFonts w:hAnsi="宋体"/>
          <w:bCs/>
          <w:color w:val="auto"/>
          <w:szCs w:val="21"/>
          <w:highlight w:val="none"/>
        </w:rPr>
      </w:pPr>
      <w:r>
        <w:rPr>
          <w:rFonts w:hAnsi="宋体"/>
          <w:bCs/>
          <w:color w:val="auto"/>
          <w:szCs w:val="21"/>
          <w:highlight w:val="none"/>
        </w:rPr>
        <w:t>38.1</w:t>
      </w:r>
      <w:r>
        <w:rPr>
          <w:rFonts w:hint="eastAsia" w:hAnsi="宋体"/>
          <w:bCs/>
          <w:color w:val="auto"/>
          <w:szCs w:val="21"/>
          <w:highlight w:val="none"/>
        </w:rPr>
        <w:t>.1供应商在开标前对政府采购活动事项有疑问的，可以向采购人或采购代理机构项目负责人提出询问。</w:t>
      </w:r>
    </w:p>
    <w:p>
      <w:pPr>
        <w:spacing w:line="360" w:lineRule="auto"/>
        <w:ind w:firstLine="420" w:firstLineChars="200"/>
        <w:rPr>
          <w:rFonts w:hAnsi="宋体"/>
          <w:bCs/>
          <w:color w:val="auto"/>
          <w:szCs w:val="21"/>
          <w:highlight w:val="none"/>
        </w:rPr>
      </w:pPr>
      <w:r>
        <w:rPr>
          <w:rFonts w:hAnsi="宋体"/>
          <w:bCs/>
          <w:color w:val="auto"/>
          <w:szCs w:val="21"/>
          <w:highlight w:val="none"/>
        </w:rPr>
        <w:t>38.1</w:t>
      </w:r>
      <w:r>
        <w:rPr>
          <w:rFonts w:hint="eastAsia" w:hAnsi="宋体"/>
          <w:bCs/>
          <w:color w:val="auto"/>
          <w:szCs w:val="21"/>
          <w:highlight w:val="none"/>
        </w:rPr>
        <w:t>.2采购人或采购人委托的采购代理机构自受理询问之日起3个工作日内对供应商依法提出的询问作出答复，</w:t>
      </w:r>
      <w:r>
        <w:rPr>
          <w:rFonts w:hint="eastAsia"/>
          <w:color w:val="auto"/>
          <w:highlight w:val="none"/>
        </w:rPr>
        <w:t>但答复内容不得涉及商业秘密</w:t>
      </w:r>
      <w:r>
        <w:rPr>
          <w:rFonts w:hint="eastAsia" w:hAnsi="宋体"/>
          <w:bCs/>
          <w:color w:val="auto"/>
          <w:szCs w:val="21"/>
          <w:highlight w:val="none"/>
        </w:rPr>
        <w:t>。</w:t>
      </w:r>
    </w:p>
    <w:p>
      <w:pPr>
        <w:spacing w:line="360" w:lineRule="auto"/>
        <w:ind w:firstLine="420" w:firstLineChars="200"/>
        <w:rPr>
          <w:rFonts w:hAnsi="宋体"/>
          <w:bCs/>
          <w:color w:val="auto"/>
          <w:szCs w:val="21"/>
          <w:highlight w:val="none"/>
        </w:rPr>
      </w:pPr>
      <w:r>
        <w:rPr>
          <w:rFonts w:hAnsi="宋体"/>
          <w:bCs/>
          <w:color w:val="auto"/>
          <w:szCs w:val="21"/>
          <w:highlight w:val="none"/>
        </w:rPr>
        <w:t xml:space="preserve">38.1.3 </w:t>
      </w:r>
      <w:r>
        <w:rPr>
          <w:rFonts w:hint="eastAsia" w:hAnsi="宋体"/>
          <w:bCs/>
          <w:color w:val="auto"/>
          <w:szCs w:val="21"/>
          <w:highlight w:val="none"/>
        </w:rPr>
        <w:t>询问事项可能影响中标、成交结果的，采购人应当暂停签订合同，已经签订合同的，应当中止履行合同。</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38</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质疑</w:t>
      </w:r>
    </w:p>
    <w:p>
      <w:pPr>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38.2.1</w:t>
      </w:r>
      <w:r>
        <w:rPr>
          <w:rFonts w:hint="eastAsia" w:ascii="宋体" w:hAnsi="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hAnsi="宋体"/>
          <w:bCs/>
          <w:color w:val="auto"/>
          <w:highlight w:val="none"/>
        </w:rPr>
      </w:pPr>
      <w:r>
        <w:rPr>
          <w:rFonts w:hint="eastAsia" w:hAnsi="宋体"/>
          <w:bCs/>
          <w:color w:val="auto"/>
          <w:highlight w:val="none"/>
        </w:rPr>
        <w:t>（1）潜在供应商依法获取公开招标文件后，认为采购文件使自己的权益受到损害的，应当在公开招标文件公告期限届满之日起7个工作日内提出质疑。</w:t>
      </w:r>
      <w:r>
        <w:rPr>
          <w:rFonts w:hint="eastAsia"/>
          <w:color w:val="auto"/>
          <w:highlight w:val="none"/>
        </w:rPr>
        <w:t>委托代理协议无特殊约定的，</w:t>
      </w:r>
      <w:r>
        <w:rPr>
          <w:rFonts w:hint="eastAsia" w:hAnsi="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pPr>
        <w:spacing w:line="360" w:lineRule="auto"/>
        <w:ind w:firstLine="420" w:firstLineChars="200"/>
        <w:rPr>
          <w:rFonts w:hAnsi="宋体"/>
          <w:bCs/>
          <w:color w:val="auto"/>
          <w:highlight w:val="none"/>
        </w:rPr>
      </w:pPr>
      <w:r>
        <w:rPr>
          <w:rFonts w:hint="eastAsia" w:hAnsi="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Ansi="宋体"/>
          <w:bCs/>
          <w:color w:val="auto"/>
          <w:highlight w:val="none"/>
        </w:rPr>
      </w:pPr>
      <w:r>
        <w:rPr>
          <w:rFonts w:hint="eastAsia" w:hAnsi="宋体"/>
          <w:bCs/>
          <w:color w:val="auto"/>
          <w:highlight w:val="none"/>
        </w:rPr>
        <w:t>（3）供应商认为中标或者成交结果使自己的权益受到损害的，应当在中标或者成交结果公告期限届满之日起7个工作日内提出质疑，由采购人受理并负责答复。</w:t>
      </w:r>
    </w:p>
    <w:p>
      <w:pPr>
        <w:spacing w:line="360" w:lineRule="auto"/>
        <w:ind w:firstLine="422" w:firstLineChars="200"/>
        <w:rPr>
          <w:rFonts w:hAnsi="宋体"/>
          <w:bCs/>
          <w:color w:val="auto"/>
          <w:szCs w:val="21"/>
          <w:highlight w:val="none"/>
        </w:rPr>
      </w:pPr>
      <w:r>
        <w:rPr>
          <w:rFonts w:hint="eastAsia" w:hAnsi="宋体"/>
          <w:b/>
          <w:bCs/>
          <w:color w:val="auto"/>
          <w:szCs w:val="21"/>
          <w:highlight w:val="none"/>
        </w:rPr>
        <w:t>38.2.2</w:t>
      </w:r>
      <w:r>
        <w:rPr>
          <w:rFonts w:hint="eastAsia" w:hAnsi="宋体"/>
          <w:bCs/>
          <w:color w:val="auto"/>
          <w:szCs w:val="21"/>
          <w:highlight w:val="none"/>
        </w:rPr>
        <w:t>供应商质疑实行实名制，其质疑应当有具体的质疑事项及事实根据，质疑应当坚持依法依规、诚实信用原则，不得进行虚假、恶意质疑。</w:t>
      </w:r>
    </w:p>
    <w:p>
      <w:pPr>
        <w:spacing w:line="360" w:lineRule="auto"/>
        <w:ind w:firstLine="422" w:firstLineChars="200"/>
        <w:rPr>
          <w:rFonts w:hAnsi="宋体"/>
          <w:bCs/>
          <w:color w:val="auto"/>
          <w:highlight w:val="none"/>
        </w:rPr>
      </w:pPr>
      <w:r>
        <w:rPr>
          <w:rFonts w:hint="eastAsia" w:hAnsi="宋体"/>
          <w:b/>
          <w:bCs/>
          <w:color w:val="auto"/>
          <w:highlight w:val="none"/>
        </w:rPr>
        <w:t>38.2.3</w:t>
      </w:r>
      <w:r>
        <w:rPr>
          <w:rFonts w:hint="eastAsia" w:hAnsi="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质疑供应商可以委托代理人办理质疑事务。委托代理人应熟悉相关业务情况。代理人办理质疑事务时，除提交质疑书外，还应当提交质疑供应商的授权委托书和委托代理人身份证明扫描件</w:t>
      </w:r>
      <w:r>
        <w:rPr>
          <w:rFonts w:hint="eastAsia" w:hAnsi="宋体"/>
          <w:color w:val="auto"/>
          <w:highlight w:val="none"/>
        </w:rPr>
        <w:t>。</w:t>
      </w:r>
    </w:p>
    <w:p>
      <w:pPr>
        <w:spacing w:line="360" w:lineRule="auto"/>
        <w:ind w:firstLine="422" w:firstLineChars="200"/>
        <w:rPr>
          <w:rFonts w:hAnsi="宋体"/>
          <w:b/>
          <w:bCs/>
          <w:color w:val="auto"/>
          <w:highlight w:val="none"/>
        </w:rPr>
      </w:pPr>
      <w:r>
        <w:rPr>
          <w:rFonts w:hint="eastAsia" w:hAnsi="宋体"/>
          <w:b/>
          <w:bCs/>
          <w:color w:val="auto"/>
          <w:highlight w:val="none"/>
        </w:rPr>
        <w:t>38.2.4 质疑供应商提起质疑应当符合下列条件：</w:t>
      </w:r>
    </w:p>
    <w:p>
      <w:pPr>
        <w:spacing w:line="360" w:lineRule="auto"/>
        <w:ind w:firstLine="420" w:firstLineChars="200"/>
        <w:rPr>
          <w:rFonts w:hAnsi="宋体"/>
          <w:bCs/>
          <w:color w:val="auto"/>
          <w:highlight w:val="none"/>
        </w:rPr>
      </w:pPr>
      <w:r>
        <w:rPr>
          <w:rFonts w:hint="eastAsia" w:hAnsi="宋体"/>
          <w:bCs/>
          <w:color w:val="auto"/>
          <w:highlight w:val="none"/>
        </w:rPr>
        <w:t>（1）质疑供应商是参与所质疑</w:t>
      </w:r>
      <w:r>
        <w:rPr>
          <w:rFonts w:hint="eastAsia" w:hAnsi="宋体"/>
          <w:bCs/>
          <w:color w:val="auto"/>
          <w:szCs w:val="21"/>
          <w:highlight w:val="none"/>
        </w:rPr>
        <w:t>项目</w:t>
      </w:r>
      <w:r>
        <w:rPr>
          <w:rFonts w:hint="eastAsia" w:hAnsi="宋体"/>
          <w:bCs/>
          <w:color w:val="auto"/>
          <w:highlight w:val="none"/>
        </w:rPr>
        <w:t>采购活动的供应商（潜在供应商已依法获取可之一的采购文件的，可以对该采购文件质疑）；</w:t>
      </w:r>
    </w:p>
    <w:p>
      <w:pPr>
        <w:spacing w:line="360" w:lineRule="auto"/>
        <w:ind w:firstLine="420" w:firstLineChars="200"/>
        <w:rPr>
          <w:rFonts w:hAnsi="宋体"/>
          <w:bCs/>
          <w:color w:val="auto"/>
          <w:highlight w:val="none"/>
        </w:rPr>
      </w:pPr>
      <w:r>
        <w:rPr>
          <w:rFonts w:hint="eastAsia" w:hAnsi="宋体"/>
          <w:bCs/>
          <w:color w:val="auto"/>
          <w:highlight w:val="none"/>
        </w:rPr>
        <w:t>（2）质疑函内容符合本章第38.2.5项的规定；</w:t>
      </w:r>
    </w:p>
    <w:p>
      <w:pPr>
        <w:spacing w:line="360" w:lineRule="auto"/>
        <w:ind w:firstLine="420" w:firstLineChars="200"/>
        <w:rPr>
          <w:rFonts w:hAnsi="宋体"/>
          <w:bCs/>
          <w:color w:val="auto"/>
          <w:highlight w:val="none"/>
        </w:rPr>
      </w:pPr>
      <w:r>
        <w:rPr>
          <w:rFonts w:hint="eastAsia" w:hAnsi="宋体"/>
          <w:bCs/>
          <w:color w:val="auto"/>
          <w:highlight w:val="none"/>
        </w:rPr>
        <w:t>（3）在质疑有效期限内提起质疑；</w:t>
      </w:r>
    </w:p>
    <w:p>
      <w:pPr>
        <w:spacing w:line="360" w:lineRule="auto"/>
        <w:ind w:firstLine="420" w:firstLineChars="200"/>
        <w:rPr>
          <w:rFonts w:hAnsi="宋体"/>
          <w:bCs/>
          <w:color w:val="auto"/>
          <w:highlight w:val="none"/>
        </w:rPr>
      </w:pPr>
      <w:r>
        <w:rPr>
          <w:rFonts w:hint="eastAsia" w:hAnsi="宋体"/>
          <w:bCs/>
          <w:color w:val="auto"/>
          <w:highlight w:val="none"/>
        </w:rPr>
        <w:t>（4）属于所质疑的采购人或采购人委托的采购代理机构组织的采购活动；</w:t>
      </w:r>
    </w:p>
    <w:p>
      <w:pPr>
        <w:spacing w:line="360" w:lineRule="auto"/>
        <w:ind w:firstLine="420" w:firstLineChars="200"/>
        <w:rPr>
          <w:rFonts w:hAnsi="宋体"/>
          <w:bCs/>
          <w:color w:val="auto"/>
          <w:highlight w:val="none"/>
        </w:rPr>
      </w:pPr>
      <w:r>
        <w:rPr>
          <w:rFonts w:hint="eastAsia" w:hAnsi="宋体"/>
          <w:bCs/>
          <w:color w:val="auto"/>
          <w:highlight w:val="none"/>
        </w:rPr>
        <w:t xml:space="preserve">（5）同一质疑事项未经采购人或采购人委托的采购代理机构质疑处理； </w:t>
      </w:r>
    </w:p>
    <w:p>
      <w:pPr>
        <w:spacing w:line="360" w:lineRule="auto"/>
        <w:ind w:firstLine="420" w:firstLineChars="200"/>
        <w:rPr>
          <w:rFonts w:hAnsi="宋体"/>
          <w:bCs/>
          <w:color w:val="auto"/>
          <w:highlight w:val="none"/>
        </w:rPr>
      </w:pPr>
      <w:r>
        <w:rPr>
          <w:rFonts w:hint="eastAsia" w:hAnsi="宋体"/>
          <w:bCs/>
          <w:color w:val="auto"/>
          <w:highlight w:val="none"/>
        </w:rPr>
        <w:t>（6）供应商对同一采购程序环节的质疑应当在质疑有效期内一次性提出；</w:t>
      </w:r>
    </w:p>
    <w:p>
      <w:pPr>
        <w:spacing w:line="360" w:lineRule="auto"/>
        <w:ind w:firstLine="420" w:firstLineChars="200"/>
        <w:rPr>
          <w:rFonts w:hAnsi="宋体"/>
          <w:bCs/>
          <w:color w:val="auto"/>
          <w:highlight w:val="none"/>
        </w:rPr>
      </w:pPr>
      <w:r>
        <w:rPr>
          <w:rFonts w:hint="eastAsia" w:hAnsi="宋体"/>
          <w:bCs/>
          <w:color w:val="auto"/>
          <w:highlight w:val="none"/>
        </w:rPr>
        <w:t>（7）供应商提交质疑应当提交必要的证明材料，证明材料应以合法手段取得；</w:t>
      </w:r>
    </w:p>
    <w:p>
      <w:pPr>
        <w:spacing w:line="360" w:lineRule="auto"/>
        <w:ind w:firstLine="420" w:firstLineChars="200"/>
        <w:rPr>
          <w:color w:val="auto"/>
          <w:highlight w:val="none"/>
        </w:rPr>
      </w:pPr>
      <w:r>
        <w:rPr>
          <w:rFonts w:hint="eastAsia" w:hAnsi="宋体"/>
          <w:bCs/>
          <w:color w:val="auto"/>
          <w:highlight w:val="none"/>
        </w:rPr>
        <w:t>（8）财政部门规定的其他条件。</w:t>
      </w:r>
    </w:p>
    <w:p>
      <w:pPr>
        <w:spacing w:line="360" w:lineRule="auto"/>
        <w:ind w:firstLine="420" w:firstLineChars="200"/>
        <w:rPr>
          <w:rFonts w:ascii="宋体" w:hAnsi="宋体"/>
          <w:b/>
          <w:color w:val="auto"/>
          <w:szCs w:val="21"/>
          <w:highlight w:val="none"/>
        </w:rPr>
      </w:pPr>
      <w:bookmarkStart w:id="130" w:name="_9.2质疑、投诉应当采用书面形式，质疑函、投诉书均应明确阐述招标文件、"/>
      <w:bookmarkEnd w:id="130"/>
      <w:r>
        <w:rPr>
          <w:rFonts w:hint="eastAsia" w:ascii="宋体" w:hAnsi="宋体"/>
          <w:color w:val="auto"/>
          <w:szCs w:val="21"/>
          <w:highlight w:val="none"/>
        </w:rPr>
        <w:t xml:space="preserve"> </w:t>
      </w:r>
      <w:r>
        <w:rPr>
          <w:rFonts w:ascii="宋体" w:hAnsi="宋体"/>
          <w:color w:val="auto"/>
          <w:szCs w:val="21"/>
          <w:highlight w:val="none"/>
        </w:rPr>
        <w:t>38</w:t>
      </w:r>
      <w:r>
        <w:rPr>
          <w:rFonts w:hint="eastAsia" w:ascii="宋体" w:hAnsi="宋体"/>
          <w:color w:val="auto"/>
          <w:szCs w:val="21"/>
          <w:highlight w:val="none"/>
        </w:rPr>
        <w:t xml:space="preserve">.2.5 </w:t>
      </w:r>
      <w:r>
        <w:rPr>
          <w:rFonts w:hAnsi="宋体"/>
          <w:bCs/>
          <w:color w:val="auto"/>
          <w:highlight w:val="none"/>
        </w:rPr>
        <w:t>供应商提出质疑应当提交质疑函和必要的证明材料</w:t>
      </w:r>
      <w:r>
        <w:rPr>
          <w:rFonts w:hint="eastAsia" w:hAnsi="宋体"/>
          <w:bCs/>
          <w:color w:val="auto"/>
          <w:highlight w:val="none"/>
        </w:rPr>
        <w:t>，</w:t>
      </w:r>
      <w:r>
        <w:rPr>
          <w:rFonts w:hAnsi="宋体"/>
          <w:bCs/>
          <w:color w:val="auto"/>
          <w:highlight w:val="none"/>
        </w:rPr>
        <w:t>针对同一采购程序环节的质疑</w:t>
      </w:r>
      <w:r>
        <w:rPr>
          <w:rFonts w:hint="eastAsia" w:hAnsi="宋体"/>
          <w:bCs/>
          <w:color w:val="auto"/>
          <w:highlight w:val="none"/>
        </w:rPr>
        <w:t>必须</w:t>
      </w:r>
      <w:r>
        <w:rPr>
          <w:rFonts w:hAnsi="宋体"/>
          <w:bCs/>
          <w:color w:val="auto"/>
          <w:highlight w:val="none"/>
        </w:rPr>
        <w:t>在法定质疑期内一次性提出。质疑函应当包括下列内容</w:t>
      </w:r>
      <w:r>
        <w:rPr>
          <w:rFonts w:hint="eastAsia" w:hAnsi="宋体"/>
          <w:bCs/>
          <w:color w:val="auto"/>
          <w:highlight w:val="none"/>
        </w:rPr>
        <w:t>（质疑函格式后附）</w:t>
      </w:r>
      <w:r>
        <w:rPr>
          <w:rFonts w:hAnsi="宋体"/>
          <w:bCs/>
          <w:color w:val="auto"/>
          <w:highlight w:val="none"/>
        </w:rPr>
        <w:t>：</w:t>
      </w:r>
    </w:p>
    <w:p>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1</w:t>
      </w:r>
      <w:r>
        <w:rPr>
          <w:rFonts w:hAnsi="宋体"/>
          <w:bCs/>
          <w:color w:val="auto"/>
          <w:highlight w:val="none"/>
        </w:rPr>
        <w:t>）供应商的姓名或者名称、地址、邮编、联系人及联系电话；</w:t>
      </w:r>
    </w:p>
    <w:p>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2</w:t>
      </w:r>
      <w:r>
        <w:rPr>
          <w:rFonts w:hAnsi="宋体"/>
          <w:bCs/>
          <w:color w:val="auto"/>
          <w:highlight w:val="none"/>
        </w:rPr>
        <w:t>）质疑项目的名称、编号；</w:t>
      </w:r>
    </w:p>
    <w:p>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3</w:t>
      </w:r>
      <w:r>
        <w:rPr>
          <w:rFonts w:hAnsi="宋体"/>
          <w:bCs/>
          <w:color w:val="auto"/>
          <w:highlight w:val="none"/>
        </w:rPr>
        <w:t>）具体、明确的质疑事项和与质疑事项相关的请求；</w:t>
      </w:r>
    </w:p>
    <w:p>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4</w:t>
      </w:r>
      <w:r>
        <w:rPr>
          <w:rFonts w:hAnsi="宋体"/>
          <w:bCs/>
          <w:color w:val="auto"/>
          <w:highlight w:val="none"/>
        </w:rPr>
        <w:t>）事实依据</w:t>
      </w:r>
      <w:r>
        <w:rPr>
          <w:rFonts w:hint="eastAsia" w:hAnsi="宋体"/>
          <w:bCs/>
          <w:color w:val="auto"/>
          <w:highlight w:val="none"/>
        </w:rPr>
        <w:t>（列明权益受到损害的事实和理由）</w:t>
      </w:r>
      <w:r>
        <w:rPr>
          <w:rFonts w:hAnsi="宋体"/>
          <w:bCs/>
          <w:color w:val="auto"/>
          <w:highlight w:val="none"/>
        </w:rPr>
        <w:t>；</w:t>
      </w:r>
    </w:p>
    <w:p>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5</w:t>
      </w:r>
      <w:r>
        <w:rPr>
          <w:rFonts w:hAnsi="宋体"/>
          <w:bCs/>
          <w:color w:val="auto"/>
          <w:highlight w:val="none"/>
        </w:rPr>
        <w:t>）必要的法律依据；</w:t>
      </w:r>
    </w:p>
    <w:p>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6</w:t>
      </w:r>
      <w:r>
        <w:rPr>
          <w:rFonts w:hAnsi="宋体"/>
          <w:bCs/>
          <w:color w:val="auto"/>
          <w:highlight w:val="none"/>
        </w:rPr>
        <w:t>）提出质疑的日期。</w:t>
      </w:r>
    </w:p>
    <w:p>
      <w:pPr>
        <w:spacing w:line="360" w:lineRule="auto"/>
        <w:ind w:firstLine="420" w:firstLineChars="200"/>
        <w:rPr>
          <w:rFonts w:hAnsi="宋体"/>
          <w:bCs/>
          <w:color w:val="auto"/>
          <w:highlight w:val="none"/>
        </w:rPr>
      </w:pPr>
      <w:r>
        <w:rPr>
          <w:rFonts w:hAnsi="宋体"/>
          <w:bCs/>
          <w:color w:val="auto"/>
          <w:highlight w:val="none"/>
        </w:rPr>
        <w:t>供应商为自然人的，应当由本人签字；供应商为法人或者其他组织的，应当由法定代表人、主要负责人，或者其委托代理人签字或者盖章，并加盖公章</w:t>
      </w:r>
      <w:r>
        <w:rPr>
          <w:rFonts w:hint="eastAsia" w:hAnsi="宋体"/>
          <w:bCs/>
          <w:color w:val="auto"/>
          <w:highlight w:val="none"/>
        </w:rPr>
        <w:t>。</w:t>
      </w:r>
    </w:p>
    <w:p>
      <w:pPr>
        <w:spacing w:line="360" w:lineRule="auto"/>
        <w:ind w:firstLine="422" w:firstLineChars="200"/>
        <w:rPr>
          <w:rFonts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spacing w:line="360" w:lineRule="auto"/>
        <w:ind w:firstLine="420" w:firstLineChars="200"/>
        <w:rPr>
          <w:rFonts w:ascii="宋体" w:hAnsi="宋体"/>
          <w:bCs/>
          <w:color w:val="auto"/>
          <w:szCs w:val="21"/>
          <w:highlight w:val="none"/>
        </w:rPr>
      </w:pPr>
      <w:r>
        <w:rPr>
          <w:rFonts w:ascii="宋体" w:hAnsi="宋体"/>
          <w:color w:val="auto"/>
          <w:szCs w:val="21"/>
          <w:highlight w:val="none"/>
        </w:rPr>
        <w:t>3</w:t>
      </w:r>
      <w:r>
        <w:rPr>
          <w:rFonts w:ascii="宋体" w:hAnsi="宋体"/>
          <w:bCs/>
          <w:color w:val="auto"/>
          <w:szCs w:val="21"/>
          <w:highlight w:val="none"/>
        </w:rPr>
        <w:t>8.</w:t>
      </w:r>
      <w:r>
        <w:rPr>
          <w:rFonts w:hint="eastAsia" w:ascii="宋体" w:hAnsi="宋体"/>
          <w:bCs/>
          <w:color w:val="auto"/>
          <w:szCs w:val="21"/>
          <w:highlight w:val="none"/>
        </w:rPr>
        <w:t>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Ansi="宋体"/>
          <w:bCs/>
          <w:color w:val="auto"/>
          <w:highlight w:val="none"/>
        </w:rPr>
      </w:pPr>
      <w:r>
        <w:rPr>
          <w:rFonts w:hint="eastAsia" w:hAnsi="宋体"/>
          <w:bCs/>
          <w:color w:val="auto"/>
          <w:highlight w:val="none"/>
        </w:rPr>
        <w:t>　　（一）对招标文件提出的质疑，依法通过澄清或者修改可以继续开展采购活动的，澄清或者修改招标文件后继续开展采购活动；否则应当修改招标文件后重新开展采购活动。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hAnsi="宋体"/>
          <w:bCs/>
          <w:color w:val="auto"/>
          <w:highlight w:val="none"/>
        </w:rPr>
      </w:pPr>
      <w:r>
        <w:rPr>
          <w:rFonts w:hint="eastAsia" w:hAnsi="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pPr>
        <w:spacing w:line="360" w:lineRule="auto"/>
        <w:ind w:firstLine="422" w:firstLineChars="200"/>
        <w:rPr>
          <w:rFonts w:hAnsi="宋体"/>
          <w:b/>
          <w:color w:val="auto"/>
          <w:highlight w:val="none"/>
        </w:rPr>
      </w:pPr>
      <w:r>
        <w:rPr>
          <w:rFonts w:hAnsi="宋体"/>
          <w:b/>
          <w:color w:val="auto"/>
          <w:highlight w:val="none"/>
        </w:rPr>
        <w:t>38</w:t>
      </w:r>
      <w:r>
        <w:rPr>
          <w:rFonts w:hint="eastAsia" w:hAnsi="宋体"/>
          <w:b/>
          <w:color w:val="auto"/>
          <w:highlight w:val="none"/>
        </w:rPr>
        <w:t>.3投诉</w:t>
      </w:r>
    </w:p>
    <w:p>
      <w:pPr>
        <w:spacing w:line="360" w:lineRule="auto"/>
        <w:ind w:firstLine="422" w:firstLineChars="200"/>
        <w:rPr>
          <w:rFonts w:hAnsi="宋体"/>
          <w:bCs/>
          <w:color w:val="auto"/>
          <w:highlight w:val="none"/>
        </w:rPr>
      </w:pPr>
      <w:r>
        <w:rPr>
          <w:rFonts w:hAnsi="宋体"/>
          <w:b/>
          <w:color w:val="auto"/>
          <w:highlight w:val="none"/>
        </w:rPr>
        <w:t>38</w:t>
      </w:r>
      <w:r>
        <w:rPr>
          <w:rFonts w:hint="eastAsia" w:hAnsi="宋体"/>
          <w:b/>
          <w:color w:val="auto"/>
          <w:highlight w:val="none"/>
        </w:rPr>
        <w:t>.3</w:t>
      </w:r>
      <w:r>
        <w:rPr>
          <w:rFonts w:hint="eastAsia" w:hAnsi="宋体"/>
          <w:bCs/>
          <w:color w:val="auto"/>
          <w:highlight w:val="none"/>
        </w:rPr>
        <w:t>.</w:t>
      </w:r>
      <w:r>
        <w:rPr>
          <w:rFonts w:hint="eastAsia" w:hAnsi="宋体"/>
          <w:b/>
          <w:bCs/>
          <w:color w:val="auto"/>
          <w:highlight w:val="none"/>
        </w:rPr>
        <w:t xml:space="preserve">1 </w:t>
      </w:r>
      <w:r>
        <w:rPr>
          <w:rFonts w:hint="eastAsia" w:hAnsi="宋体"/>
          <w:bCs/>
          <w:color w:val="auto"/>
          <w:highlight w:val="none"/>
        </w:rPr>
        <w:t xml:space="preserve"> 供应商认为采购文件、采购过程、中标和成交结果使自己的合法权益受到损害的，应当首先依法向采购人或采购人委托的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未在规定期限内做出答复的，供应商可以在答复期满后15个工作日内向南宁市政府采购监督管理部门提起投诉，投诉方式见“投标人须知前附表”。</w:t>
      </w:r>
    </w:p>
    <w:p>
      <w:pPr>
        <w:spacing w:line="360" w:lineRule="auto"/>
        <w:ind w:firstLine="422" w:firstLineChars="200"/>
        <w:rPr>
          <w:rFonts w:hAnsi="宋体"/>
          <w:bCs/>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 xml:space="preserve">.2 </w:t>
      </w:r>
      <w:r>
        <w:rPr>
          <w:rFonts w:hint="eastAsia"/>
          <w:color w:val="auto"/>
          <w:highlight w:val="none"/>
        </w:rPr>
        <w:t xml:space="preserve"> 投诉人投诉时，应当提交投诉书，并按照被投诉采购人、</w:t>
      </w:r>
      <w:r>
        <w:rPr>
          <w:rFonts w:hint="eastAsia" w:hAnsi="宋体"/>
          <w:color w:val="auto"/>
          <w:highlight w:val="none"/>
        </w:rPr>
        <w:t>采购代理机构</w:t>
      </w:r>
      <w:r>
        <w:rPr>
          <w:rFonts w:hint="eastAsia"/>
          <w:color w:val="auto"/>
          <w:highlight w:val="none"/>
        </w:rPr>
        <w:t>和与投诉事项有关的供应商数量提供投诉书的副本。投诉书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hAnsi="宋体"/>
          <w:bCs/>
          <w:color w:val="auto"/>
          <w:highlight w:val="none"/>
        </w:rPr>
        <w:t>（投诉书格式后附）</w:t>
      </w:r>
      <w:r>
        <w:rPr>
          <w:rFonts w:hint="eastAsia"/>
          <w:color w:val="auto"/>
          <w:szCs w:val="21"/>
          <w:highlight w:val="none"/>
        </w:rPr>
        <w:t>：</w:t>
      </w:r>
    </w:p>
    <w:p>
      <w:pPr>
        <w:spacing w:line="360" w:lineRule="auto"/>
        <w:ind w:firstLine="420" w:firstLineChars="200"/>
        <w:rPr>
          <w:color w:val="auto"/>
          <w:highlight w:val="none"/>
        </w:rPr>
      </w:pPr>
      <w:r>
        <w:rPr>
          <w:rFonts w:hint="eastAsia" w:hAnsi="宋体"/>
          <w:color w:val="auto"/>
          <w:highlight w:val="none"/>
        </w:rPr>
        <w:t xml:space="preserve">（1）投诉人和被投诉人的名称、地址、邮编、联系人及联系电话等； </w:t>
      </w:r>
    </w:p>
    <w:p>
      <w:pPr>
        <w:spacing w:line="360" w:lineRule="auto"/>
        <w:ind w:firstLine="420" w:firstLineChars="200"/>
        <w:rPr>
          <w:color w:val="auto"/>
          <w:highlight w:val="none"/>
        </w:rPr>
      </w:pPr>
      <w:r>
        <w:rPr>
          <w:rFonts w:hint="eastAsia" w:hAnsi="宋体"/>
          <w:color w:val="auto"/>
          <w:highlight w:val="none"/>
        </w:rPr>
        <w:t>（2）质疑和质疑答复情况及相关证明材料；</w:t>
      </w:r>
      <w:r>
        <w:rPr>
          <w:rFonts w:hint="eastAsia"/>
          <w:color w:val="auto"/>
          <w:highlight w:val="none"/>
        </w:rPr>
        <w:t xml:space="preserve"> </w:t>
      </w:r>
    </w:p>
    <w:p>
      <w:pPr>
        <w:spacing w:line="360" w:lineRule="auto"/>
        <w:ind w:firstLine="420" w:firstLineChars="200"/>
        <w:rPr>
          <w:rFonts w:hAnsi="宋体"/>
          <w:color w:val="auto"/>
          <w:highlight w:val="none"/>
        </w:rPr>
      </w:pPr>
      <w:r>
        <w:rPr>
          <w:rFonts w:hint="eastAsia" w:hAnsi="宋体"/>
          <w:color w:val="auto"/>
          <w:highlight w:val="none"/>
        </w:rPr>
        <w:t>（3）具体、明确的投诉事项和与投诉事项相关的投诉请求；</w:t>
      </w:r>
    </w:p>
    <w:p>
      <w:pPr>
        <w:spacing w:line="360" w:lineRule="auto"/>
        <w:ind w:firstLine="420" w:firstLineChars="200"/>
        <w:rPr>
          <w:rFonts w:hAnsi="宋体"/>
          <w:color w:val="auto"/>
          <w:highlight w:val="none"/>
        </w:rPr>
      </w:pPr>
      <w:r>
        <w:rPr>
          <w:rFonts w:hint="eastAsia" w:hAnsi="宋体"/>
          <w:color w:val="auto"/>
          <w:highlight w:val="none"/>
        </w:rPr>
        <w:t>（4）事实依据；</w:t>
      </w:r>
    </w:p>
    <w:p>
      <w:pPr>
        <w:spacing w:line="360" w:lineRule="auto"/>
        <w:ind w:firstLine="420" w:firstLineChars="200"/>
        <w:rPr>
          <w:color w:val="auto"/>
          <w:highlight w:val="none"/>
        </w:rPr>
      </w:pPr>
      <w:r>
        <w:rPr>
          <w:rFonts w:hint="eastAsia" w:hAnsi="宋体"/>
          <w:color w:val="auto"/>
          <w:highlight w:val="none"/>
        </w:rPr>
        <w:t>（5）法律依据；</w:t>
      </w:r>
    </w:p>
    <w:p>
      <w:pPr>
        <w:spacing w:line="360" w:lineRule="auto"/>
        <w:ind w:firstLine="420" w:firstLineChars="200"/>
        <w:rPr>
          <w:rFonts w:hAnsi="宋体"/>
          <w:color w:val="auto"/>
          <w:highlight w:val="none"/>
        </w:rPr>
      </w:pPr>
      <w:r>
        <w:rPr>
          <w:rFonts w:hint="eastAsia" w:hAnsi="宋体"/>
          <w:color w:val="auto"/>
          <w:highlight w:val="none"/>
        </w:rPr>
        <w:t>（6）提起投诉的日期。</w:t>
      </w:r>
    </w:p>
    <w:p>
      <w:pPr>
        <w:spacing w:line="360" w:lineRule="auto"/>
        <w:ind w:firstLine="420" w:firstLineChars="200"/>
        <w:rPr>
          <w:rFonts w:hAnsi="宋体"/>
          <w:color w:val="auto"/>
          <w:highlight w:val="none"/>
        </w:rPr>
      </w:pPr>
      <w:r>
        <w:rPr>
          <w:rFonts w:hint="eastAsia" w:hAnsi="宋体"/>
          <w:color w:val="auto"/>
          <w:highlight w:val="none"/>
        </w:rPr>
        <w:t>（7）附件材料：营业执照副本内页扫描件（要求证件有效并清晰反映企业法人经营范围；近期连续三个月依法缴纳税收和在职职工社会保障资金证明材料（扫描件）。</w:t>
      </w:r>
      <w:r>
        <w:rPr>
          <w:rFonts w:hint="eastAsia" w:hAnsi="宋体"/>
          <w:color w:val="auto"/>
          <w:highlight w:val="none"/>
        </w:rPr>
        <w:tab/>
      </w:r>
    </w:p>
    <w:p>
      <w:pPr>
        <w:spacing w:line="360" w:lineRule="auto"/>
        <w:ind w:firstLine="422" w:firstLineChars="200"/>
        <w:rPr>
          <w:rFonts w:hAnsi="宋体"/>
          <w:bCs/>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 xml:space="preserve">.3  </w:t>
      </w:r>
      <w:r>
        <w:rPr>
          <w:rFonts w:hint="eastAsia"/>
          <w:color w:val="auto"/>
          <w:highlight w:val="none"/>
        </w:rPr>
        <w:t>投诉人可以委托代理人办理投诉事务。</w:t>
      </w:r>
      <w:r>
        <w:rPr>
          <w:rFonts w:hint="eastAsia" w:hAnsi="宋体"/>
          <w:bCs/>
          <w:color w:val="auto"/>
          <w:highlight w:val="none"/>
        </w:rPr>
        <w:t>委托代理人应熟悉相关业务情况。</w:t>
      </w:r>
      <w:r>
        <w:rPr>
          <w:rFonts w:hint="eastAsia"/>
          <w:color w:val="auto"/>
          <w:highlight w:val="none"/>
        </w:rPr>
        <w:t>代理人办理投诉事务时，除提交投诉书外，还应当提交投诉人的授权委托书和</w:t>
      </w:r>
      <w:r>
        <w:rPr>
          <w:rFonts w:hint="eastAsia" w:hAnsi="宋体"/>
          <w:color w:val="auto"/>
          <w:highlight w:val="none"/>
        </w:rPr>
        <w:t>委托代理人身份证明扫描件。</w:t>
      </w:r>
    </w:p>
    <w:p>
      <w:pPr>
        <w:spacing w:line="360" w:lineRule="auto"/>
        <w:ind w:firstLine="422" w:firstLineChars="200"/>
        <w:rPr>
          <w:rFonts w:hAnsi="宋体"/>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.4</w:t>
      </w:r>
      <w:r>
        <w:rPr>
          <w:rFonts w:hint="eastAsia"/>
          <w:color w:val="auto"/>
          <w:highlight w:val="none"/>
        </w:rPr>
        <w:t xml:space="preserve">  投诉人提起投诉应当符合下列条件：</w:t>
      </w:r>
    </w:p>
    <w:p>
      <w:pPr>
        <w:spacing w:line="360" w:lineRule="auto"/>
        <w:ind w:firstLine="420" w:firstLineChars="200"/>
        <w:rPr>
          <w:rFonts w:ascii="宋体" w:hAnsi="宋体"/>
          <w:color w:val="auto"/>
          <w:highlight w:val="none"/>
        </w:rPr>
      </w:pPr>
      <w:r>
        <w:rPr>
          <w:rFonts w:hint="eastAsia" w:ascii="宋体" w:hAnsi="宋体"/>
          <w:color w:val="auto"/>
          <w:highlight w:val="none"/>
        </w:rPr>
        <w:t>（1）投诉人是参与所投诉政府采购活动的供应商；</w:t>
      </w:r>
    </w:p>
    <w:p>
      <w:pPr>
        <w:spacing w:line="360" w:lineRule="auto"/>
        <w:ind w:firstLine="420" w:firstLineChars="200"/>
        <w:rPr>
          <w:rFonts w:ascii="宋体" w:hAnsi="宋体"/>
          <w:color w:val="auto"/>
          <w:highlight w:val="none"/>
        </w:rPr>
      </w:pPr>
      <w:r>
        <w:rPr>
          <w:rFonts w:hint="eastAsia" w:ascii="宋体" w:hAnsi="宋体"/>
          <w:color w:val="auto"/>
          <w:highlight w:val="none"/>
        </w:rPr>
        <w:t>（2）提起投诉前已依法进行质疑；</w:t>
      </w:r>
    </w:p>
    <w:p>
      <w:pPr>
        <w:spacing w:line="360" w:lineRule="auto"/>
        <w:ind w:firstLine="420" w:firstLineChars="200"/>
        <w:rPr>
          <w:rFonts w:ascii="宋体" w:hAnsi="宋体"/>
          <w:color w:val="auto"/>
          <w:highlight w:val="none"/>
        </w:rPr>
      </w:pPr>
      <w:r>
        <w:rPr>
          <w:rFonts w:hint="eastAsia" w:ascii="宋体" w:hAnsi="宋体"/>
          <w:color w:val="auto"/>
          <w:highlight w:val="none"/>
        </w:rPr>
        <w:t>（3）投诉书内容符合本章第38.3.2项的规定；</w:t>
      </w:r>
    </w:p>
    <w:p>
      <w:pPr>
        <w:spacing w:line="360" w:lineRule="auto"/>
        <w:ind w:firstLine="420" w:firstLineChars="200"/>
        <w:rPr>
          <w:rFonts w:ascii="宋体" w:hAnsi="宋体"/>
          <w:color w:val="auto"/>
          <w:highlight w:val="none"/>
        </w:rPr>
      </w:pPr>
      <w:r>
        <w:rPr>
          <w:rFonts w:hint="eastAsia" w:ascii="宋体" w:hAnsi="宋体"/>
          <w:color w:val="auto"/>
          <w:highlight w:val="none"/>
        </w:rPr>
        <w:t>（4）在投诉有效期限内提起投诉；</w:t>
      </w:r>
    </w:p>
    <w:p>
      <w:pPr>
        <w:spacing w:line="360" w:lineRule="auto"/>
        <w:ind w:firstLine="420" w:firstLineChars="200"/>
        <w:rPr>
          <w:rFonts w:ascii="宋体" w:hAnsi="宋体"/>
          <w:color w:val="auto"/>
          <w:highlight w:val="none"/>
        </w:rPr>
      </w:pPr>
      <w:r>
        <w:rPr>
          <w:rFonts w:hint="eastAsia" w:ascii="宋体" w:hAnsi="宋体"/>
          <w:color w:val="auto"/>
          <w:highlight w:val="none"/>
        </w:rPr>
        <w:t>（5）属于南宁市政府采购监督管理部门管辖；</w:t>
      </w:r>
    </w:p>
    <w:p>
      <w:pPr>
        <w:spacing w:line="360" w:lineRule="auto"/>
        <w:ind w:firstLine="420" w:firstLineChars="200"/>
        <w:rPr>
          <w:rFonts w:ascii="宋体" w:hAnsi="宋体"/>
          <w:color w:val="auto"/>
          <w:highlight w:val="none"/>
        </w:rPr>
      </w:pPr>
      <w:r>
        <w:rPr>
          <w:rFonts w:hint="eastAsia" w:ascii="宋体" w:hAnsi="宋体"/>
          <w:color w:val="auto"/>
          <w:highlight w:val="none"/>
        </w:rPr>
        <w:t>（6）同一投诉事项未经</w:t>
      </w:r>
      <w:r>
        <w:rPr>
          <w:rFonts w:hint="eastAsia" w:ascii="宋体" w:hAnsi="宋体"/>
          <w:bCs/>
          <w:color w:val="auto"/>
          <w:highlight w:val="none"/>
        </w:rPr>
        <w:t>南宁市政府采购监督管理部门</w:t>
      </w:r>
      <w:r>
        <w:rPr>
          <w:rFonts w:hint="eastAsia" w:ascii="宋体" w:hAnsi="宋体"/>
          <w:color w:val="auto"/>
          <w:highlight w:val="none"/>
        </w:rPr>
        <w:t>投诉处理；</w:t>
      </w:r>
    </w:p>
    <w:p>
      <w:pPr>
        <w:spacing w:line="360" w:lineRule="auto"/>
        <w:ind w:firstLine="420" w:firstLineChars="200"/>
        <w:rPr>
          <w:rFonts w:ascii="宋体"/>
          <w:color w:val="auto"/>
          <w:highlight w:val="none"/>
        </w:rPr>
      </w:pPr>
      <w:r>
        <w:rPr>
          <w:rFonts w:hint="eastAsia" w:ascii="宋体"/>
          <w:color w:val="auto"/>
          <w:highlight w:val="none"/>
        </w:rPr>
        <w:t>（7）国务院财政部门规定的其他条件。</w:t>
      </w:r>
    </w:p>
    <w:p>
      <w:pPr>
        <w:spacing w:line="360" w:lineRule="auto"/>
        <w:ind w:firstLine="422" w:firstLineChars="200"/>
        <w:rPr>
          <w:color w:val="auto"/>
          <w:highlight w:val="none"/>
        </w:rPr>
      </w:pPr>
      <w:r>
        <w:rPr>
          <w:rFonts w:hAnsi="宋体"/>
          <w:b/>
          <w:color w:val="auto"/>
          <w:highlight w:val="none"/>
        </w:rPr>
        <w:t>38</w:t>
      </w:r>
      <w:r>
        <w:rPr>
          <w:rFonts w:hint="eastAsia" w:hAnsi="宋体"/>
          <w:b/>
          <w:color w:val="auto"/>
          <w:highlight w:val="none"/>
        </w:rPr>
        <w:t>.3</w:t>
      </w:r>
      <w:r>
        <w:rPr>
          <w:rFonts w:hint="eastAsia" w:ascii="宋体"/>
          <w:b/>
          <w:color w:val="auto"/>
          <w:highlight w:val="none"/>
        </w:rPr>
        <w:t>.5</w:t>
      </w:r>
      <w:r>
        <w:rPr>
          <w:rFonts w:hint="eastAsia" w:ascii="宋体"/>
          <w:color w:val="auto"/>
          <w:highlight w:val="none"/>
        </w:rPr>
        <w:t xml:space="preserve">  南宁市政府采购监督管理部门</w:t>
      </w:r>
      <w:r>
        <w:rPr>
          <w:rFonts w:hint="eastAsia"/>
          <w:color w:val="auto"/>
          <w:highlight w:val="none"/>
        </w:rPr>
        <w:t>自受理投诉之日起</w:t>
      </w:r>
      <w:r>
        <w:rPr>
          <w:color w:val="auto"/>
          <w:highlight w:val="none"/>
        </w:rPr>
        <w:t>30</w:t>
      </w:r>
      <w:r>
        <w:rPr>
          <w:rFonts w:hint="eastAsia"/>
          <w:color w:val="auto"/>
          <w:highlight w:val="none"/>
        </w:rPr>
        <w:t>个工作日内，对投诉事项作出处理决定，并以书面形式通知投诉人、被投诉人及其他与投诉处理结果有利害关系的政府采购当</w:t>
      </w:r>
      <w:r>
        <w:rPr>
          <w:rFonts w:hint="eastAsia" w:ascii="宋体"/>
          <w:color w:val="auto"/>
          <w:highlight w:val="none"/>
        </w:rPr>
        <w:t>事人</w:t>
      </w:r>
      <w:r>
        <w:rPr>
          <w:rFonts w:hint="eastAsia"/>
          <w:color w:val="auto"/>
          <w:highlight w:val="none"/>
        </w:rPr>
        <w:t>。并将投诉结果在</w:t>
      </w:r>
      <w:r>
        <w:rPr>
          <w:rFonts w:hint="eastAsia" w:ascii="宋体" w:hAnsi="宋体" w:cs="宋体"/>
          <w:color w:val="auto"/>
          <w:szCs w:val="21"/>
          <w:highlight w:val="none"/>
        </w:rPr>
        <w:t>“广西政府采购网”（http://zfcg.gxzf.gov.cn）</w:t>
      </w:r>
      <w:r>
        <w:rPr>
          <w:rFonts w:hint="eastAsia"/>
          <w:color w:val="auto"/>
          <w:highlight w:val="none"/>
        </w:rPr>
        <w:t>发布。</w:t>
      </w:r>
    </w:p>
    <w:p>
      <w:pPr>
        <w:spacing w:line="360" w:lineRule="auto"/>
        <w:ind w:firstLine="422" w:firstLineChars="200"/>
        <w:rPr>
          <w:rFonts w:ascii="宋体"/>
          <w:color w:val="auto"/>
          <w:highlight w:val="none"/>
        </w:rPr>
      </w:pPr>
      <w:r>
        <w:rPr>
          <w:rFonts w:hAnsi="宋体"/>
          <w:b/>
          <w:color w:val="auto"/>
          <w:highlight w:val="none"/>
        </w:rPr>
        <w:t>38</w:t>
      </w:r>
      <w:r>
        <w:rPr>
          <w:rFonts w:hint="eastAsia" w:hAnsi="宋体"/>
          <w:b/>
          <w:color w:val="auto"/>
          <w:highlight w:val="none"/>
        </w:rPr>
        <w:t>.3</w:t>
      </w:r>
      <w:r>
        <w:rPr>
          <w:rFonts w:hint="eastAsia" w:ascii="宋体"/>
          <w:b/>
          <w:color w:val="auto"/>
          <w:highlight w:val="none"/>
        </w:rPr>
        <w:t>.6</w:t>
      </w:r>
      <w:r>
        <w:rPr>
          <w:rFonts w:hint="eastAsia" w:ascii="宋体"/>
          <w:color w:val="auto"/>
          <w:highlight w:val="none"/>
        </w:rPr>
        <w:t xml:space="preserve">  南宁市政府采购监督管理部门在处理投诉事项期间，可以视具体情况暂停采购活动。</w:t>
      </w:r>
    </w:p>
    <w:p>
      <w:pPr>
        <w:snapToGrid w:val="0"/>
        <w:spacing w:line="360" w:lineRule="auto"/>
        <w:ind w:left="120" w:leftChars="57" w:firstLine="482" w:firstLineChars="150"/>
        <w:jc w:val="center"/>
        <w:rPr>
          <w:rFonts w:hint="eastAsia"/>
          <w:b/>
          <w:bCs/>
          <w:color w:val="auto"/>
          <w:sz w:val="32"/>
          <w:szCs w:val="32"/>
          <w:highlight w:val="none"/>
        </w:rPr>
      </w:pPr>
    </w:p>
    <w:p>
      <w:pPr>
        <w:snapToGrid w:val="0"/>
        <w:spacing w:line="360" w:lineRule="auto"/>
        <w:ind w:left="120" w:leftChars="57" w:firstLine="482" w:firstLineChars="150"/>
        <w:jc w:val="center"/>
        <w:rPr>
          <w:b/>
          <w:bCs/>
          <w:color w:val="auto"/>
          <w:sz w:val="32"/>
          <w:szCs w:val="32"/>
          <w:highlight w:val="none"/>
        </w:rPr>
      </w:pPr>
      <w:r>
        <w:rPr>
          <w:rFonts w:hint="eastAsia"/>
          <w:b/>
          <w:bCs/>
          <w:color w:val="auto"/>
          <w:sz w:val="32"/>
          <w:szCs w:val="32"/>
          <w:highlight w:val="none"/>
        </w:rPr>
        <w:t>八、验收</w:t>
      </w:r>
    </w:p>
    <w:p>
      <w:pPr>
        <w:spacing w:line="360" w:lineRule="auto"/>
        <w:ind w:firstLine="422" w:firstLineChars="200"/>
        <w:rPr>
          <w:rFonts w:hAnsi="宋体"/>
          <w:b/>
          <w:color w:val="auto"/>
          <w:highlight w:val="none"/>
        </w:rPr>
      </w:pPr>
      <w:r>
        <w:rPr>
          <w:rFonts w:hint="eastAsia" w:hAnsi="宋体"/>
          <w:b/>
          <w:color w:val="auto"/>
          <w:highlight w:val="none"/>
        </w:rPr>
        <w:t>39.验收</w:t>
      </w:r>
    </w:p>
    <w:p>
      <w:pPr>
        <w:tabs>
          <w:tab w:val="left" w:pos="0"/>
        </w:tabs>
        <w:spacing w:line="360" w:lineRule="auto"/>
        <w:ind w:firstLine="480"/>
        <w:rPr>
          <w:rFonts w:hAnsi="宋体"/>
          <w:color w:val="auto"/>
          <w:highlight w:val="none"/>
        </w:rPr>
      </w:pPr>
      <w:r>
        <w:rPr>
          <w:rFonts w:hint="eastAsia" w:hAnsi="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Ansi="宋体"/>
          <w:color w:val="auto"/>
          <w:highlight w:val="none"/>
        </w:rPr>
      </w:pPr>
      <w:r>
        <w:rPr>
          <w:rFonts w:hint="eastAsia" w:hAnsi="宋体"/>
          <w:color w:val="auto"/>
          <w:highlight w:val="none"/>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Ansi="宋体"/>
          <w:color w:val="auto"/>
          <w:highlight w:val="none"/>
        </w:rPr>
      </w:pPr>
      <w:r>
        <w:rPr>
          <w:rFonts w:hint="eastAsia" w:hAnsi="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Ansi="宋体"/>
          <w:color w:val="auto"/>
          <w:highlight w:val="none"/>
        </w:rPr>
      </w:pPr>
      <w:r>
        <w:rPr>
          <w:rFonts w:hint="eastAsia" w:hAnsi="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400" w:lineRule="exact"/>
        <w:rPr>
          <w:rFonts w:ascii="宋体" w:hAnsi="宋体"/>
          <w:color w:val="auto"/>
          <w:kern w:val="1"/>
          <w:szCs w:val="20"/>
          <w:highlight w:val="none"/>
        </w:rPr>
      </w:pPr>
    </w:p>
    <w:p>
      <w:pPr>
        <w:spacing w:line="360" w:lineRule="auto"/>
        <w:ind w:firstLine="643"/>
        <w:jc w:val="center"/>
        <w:outlineLvl w:val="2"/>
        <w:rPr>
          <w:rFonts w:eastAsia="Times New Roman"/>
          <w:b/>
          <w:color w:val="auto"/>
          <w:sz w:val="32"/>
          <w:szCs w:val="32"/>
          <w:highlight w:val="none"/>
        </w:rPr>
      </w:pPr>
      <w:bookmarkStart w:id="131" w:name="_八、其他事项"/>
      <w:bookmarkEnd w:id="131"/>
      <w:bookmarkStart w:id="132" w:name="_Toc80093002"/>
      <w:r>
        <w:rPr>
          <w:rFonts w:hint="eastAsia" w:ascii="宋体" w:hAnsi="宋体" w:cs="宋体"/>
          <w:b/>
          <w:color w:val="auto"/>
          <w:sz w:val="32"/>
          <w:szCs w:val="32"/>
          <w:highlight w:val="none"/>
        </w:rPr>
        <w:t>九、其他事项</w:t>
      </w:r>
      <w:bookmarkEnd w:id="132"/>
    </w:p>
    <w:p>
      <w:pPr>
        <w:spacing w:line="360" w:lineRule="auto"/>
        <w:ind w:firstLine="480" w:firstLineChars="200"/>
        <w:rPr>
          <w:rFonts w:ascii="黑体" w:hAnsi="黑体" w:eastAsia="黑体"/>
          <w:color w:val="auto"/>
          <w:sz w:val="24"/>
          <w:highlight w:val="none"/>
        </w:rPr>
      </w:pPr>
      <w:bookmarkStart w:id="133" w:name="_42.代理服务费"/>
      <w:bookmarkEnd w:id="133"/>
      <w:r>
        <w:rPr>
          <w:rFonts w:hint="eastAsia" w:ascii="黑体" w:hAnsi="黑体" w:eastAsia="黑体"/>
          <w:color w:val="auto"/>
          <w:sz w:val="24"/>
          <w:highlight w:val="none"/>
        </w:rPr>
        <w:t>40.代理服务费</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代理服务收费标准及缴费账户详见“投标人须知前附表”，投标人为联合体的，可以由联合体中的一方或者多方共同交纳代理服务费。</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41</w:t>
      </w:r>
      <w:r>
        <w:rPr>
          <w:rFonts w:ascii="黑体" w:hAnsi="黑体" w:eastAsia="黑体"/>
          <w:color w:val="auto"/>
          <w:sz w:val="24"/>
          <w:highlight w:val="none"/>
        </w:rPr>
        <w:t>. 需要补充的其他内容</w:t>
      </w:r>
    </w:p>
    <w:p>
      <w:pPr>
        <w:spacing w:line="360" w:lineRule="auto"/>
        <w:ind w:firstLine="420" w:firstLineChars="200"/>
        <w:rPr>
          <w:rFonts w:hAnsi="宋体"/>
          <w:color w:val="auto"/>
          <w:highlight w:val="none"/>
        </w:rPr>
      </w:pPr>
      <w:r>
        <w:rPr>
          <w:rFonts w:hAnsi="宋体"/>
          <w:color w:val="auto"/>
          <w:highlight w:val="none"/>
        </w:rPr>
        <w:t>4</w:t>
      </w:r>
      <w:r>
        <w:rPr>
          <w:rFonts w:hint="eastAsia" w:hAnsi="宋体"/>
          <w:color w:val="auto"/>
          <w:highlight w:val="none"/>
        </w:rPr>
        <w:t>1</w:t>
      </w:r>
      <w:r>
        <w:rPr>
          <w:rFonts w:hAnsi="宋体"/>
          <w:color w:val="auto"/>
          <w:highlight w:val="none"/>
        </w:rPr>
        <w:t>.1</w:t>
      </w:r>
      <w:r>
        <w:rPr>
          <w:rFonts w:hint="eastAsia" w:hAnsi="宋体" w:cs="宋体"/>
          <w:color w:val="auto"/>
          <w:highlight w:val="none"/>
        </w:rPr>
        <w:t>本招标文件解释规则详见</w:t>
      </w:r>
      <w:r>
        <w:rPr>
          <w:rFonts w:hint="eastAsia" w:hAnsi="宋体"/>
          <w:color w:val="auto"/>
          <w:highlight w:val="none"/>
        </w:rPr>
        <w:t>“投标人须知前附表”。</w:t>
      </w:r>
    </w:p>
    <w:p>
      <w:pPr>
        <w:spacing w:line="360" w:lineRule="auto"/>
        <w:ind w:firstLine="420" w:firstLineChars="200"/>
        <w:rPr>
          <w:rFonts w:hAnsi="宋体"/>
          <w:color w:val="auto"/>
          <w:highlight w:val="none"/>
        </w:rPr>
      </w:pPr>
      <w:r>
        <w:rPr>
          <w:rFonts w:hAnsi="宋体" w:cs="宋体"/>
          <w:color w:val="auto"/>
          <w:highlight w:val="none"/>
        </w:rPr>
        <w:t>4</w:t>
      </w:r>
      <w:r>
        <w:rPr>
          <w:rFonts w:hint="eastAsia" w:hAnsi="宋体" w:cs="宋体"/>
          <w:color w:val="auto"/>
          <w:highlight w:val="none"/>
        </w:rPr>
        <w:t>1</w:t>
      </w:r>
      <w:r>
        <w:rPr>
          <w:rFonts w:hAnsi="宋体" w:cs="宋体"/>
          <w:color w:val="auto"/>
          <w:highlight w:val="none"/>
        </w:rPr>
        <w:t>.2</w:t>
      </w:r>
      <w:r>
        <w:rPr>
          <w:rFonts w:hint="eastAsia" w:hAnsi="宋体" w:cs="宋体"/>
          <w:color w:val="auto"/>
          <w:highlight w:val="none"/>
        </w:rPr>
        <w:t xml:space="preserve"> </w:t>
      </w:r>
      <w:r>
        <w:rPr>
          <w:rFonts w:hint="eastAsia" w:hAnsi="宋体"/>
          <w:color w:val="auto"/>
          <w:highlight w:val="none"/>
        </w:rPr>
        <w:t>其他事项详见“投标人须知前附表”。</w:t>
      </w:r>
    </w:p>
    <w:p>
      <w:pPr>
        <w:spacing w:line="360" w:lineRule="auto"/>
        <w:ind w:firstLine="420" w:firstLineChars="200"/>
        <w:rPr>
          <w:rFonts w:hAnsi="宋体"/>
          <w:color w:val="auto"/>
          <w:highlight w:val="none"/>
        </w:rPr>
      </w:pPr>
      <w:r>
        <w:rPr>
          <w:rFonts w:hAnsi="宋体"/>
          <w:color w:val="auto"/>
          <w:highlight w:val="none"/>
        </w:rPr>
        <w:t>4</w:t>
      </w:r>
      <w:r>
        <w:rPr>
          <w:rFonts w:hint="eastAsia" w:hAnsi="宋体"/>
          <w:color w:val="auto"/>
          <w:highlight w:val="none"/>
        </w:rPr>
        <w:t>1</w:t>
      </w:r>
      <w:r>
        <w:rPr>
          <w:rFonts w:hAnsi="宋体"/>
          <w:color w:val="auto"/>
          <w:highlight w:val="none"/>
        </w:rPr>
        <w:t>.3</w:t>
      </w:r>
      <w:r>
        <w:rPr>
          <w:rFonts w:hint="eastAsia" w:hAnsi="宋体"/>
          <w:color w:val="auto"/>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color w:val="auto"/>
          <w:highlight w:val="none"/>
        </w:rPr>
        <w:t>不对其中涉及的货物的制造商和工程承建商作出要求的，</w:t>
      </w:r>
      <w:r>
        <w:rPr>
          <w:rFonts w:hint="eastAsia" w:hAnsi="宋体"/>
          <w:color w:val="auto"/>
          <w:highlight w:val="none"/>
        </w:rPr>
        <w:t>享受本文件规定的中小企业扶持政策。</w:t>
      </w:r>
    </w:p>
    <w:p>
      <w:pPr>
        <w:spacing w:line="360" w:lineRule="auto"/>
        <w:ind w:firstLine="420" w:firstLineChars="200"/>
        <w:rPr>
          <w:rFonts w:hAnsi="宋体"/>
          <w:color w:val="auto"/>
          <w:highlight w:val="none"/>
        </w:rPr>
      </w:pPr>
      <w:r>
        <w:rPr>
          <w:rFonts w:hint="eastAsia" w:hAnsi="宋体"/>
          <w:color w:val="auto"/>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Ansi="宋体"/>
          <w:color w:val="auto"/>
          <w:highlight w:val="none"/>
        </w:rPr>
      </w:pPr>
      <w:r>
        <w:rPr>
          <w:rFonts w:hint="eastAsia" w:hAnsi="宋体"/>
          <w:color w:val="auto"/>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42.政采贷相关说明</w:t>
      </w:r>
    </w:p>
    <w:p>
      <w:pPr>
        <w:spacing w:line="360" w:lineRule="auto"/>
        <w:ind w:firstLine="420" w:firstLineChars="200"/>
        <w:jc w:val="left"/>
        <w:rPr>
          <w:rFonts w:ascii="宋体" w:hAnsi="宋体" w:cs="宋体"/>
          <w:color w:val="auto"/>
          <w:highlight w:val="none"/>
        </w:rPr>
      </w:pPr>
      <w:r>
        <w:rPr>
          <w:rFonts w:hint="eastAsia" w:hAnsi="宋体"/>
          <w:color w:val="auto"/>
          <w:highlight w:val="none"/>
        </w:rPr>
        <w:t>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服务中心专栏信息申请政府采购信用融资。</w:t>
      </w:r>
      <w:r>
        <w:rPr>
          <w:rFonts w:hint="eastAsia" w:ascii="宋体" w:hAnsi="宋体" w:cs="宋体"/>
          <w:color w:val="auto"/>
          <w:highlight w:val="none"/>
        </w:rPr>
        <w:br w:type="page"/>
      </w:r>
    </w:p>
    <w:bookmarkEnd w:id="68"/>
    <w:p>
      <w:pPr>
        <w:pStyle w:val="42"/>
        <w:jc w:val="center"/>
        <w:outlineLvl w:val="0"/>
        <w:rPr>
          <w:rFonts w:hAnsi="宋体" w:cs="宋体"/>
          <w:b/>
          <w:color w:val="auto"/>
          <w:sz w:val="36"/>
          <w:highlight w:val="none"/>
        </w:rPr>
      </w:pPr>
      <w:bookmarkStart w:id="134" w:name="_Toc80093003"/>
      <w:bookmarkEnd w:id="134"/>
      <w:r>
        <w:rPr>
          <w:rFonts w:hint="eastAsia" w:hAnsi="宋体" w:cs="宋体"/>
          <w:b/>
          <w:color w:val="auto"/>
          <w:sz w:val="36"/>
          <w:highlight w:val="none"/>
        </w:rPr>
        <w:t>第四章  评标方法及评分标准</w:t>
      </w:r>
    </w:p>
    <w:p>
      <w:pPr>
        <w:pStyle w:val="42"/>
        <w:jc w:val="center"/>
        <w:outlineLvl w:val="1"/>
        <w:rPr>
          <w:rFonts w:hAnsi="宋体" w:cs="宋体"/>
          <w:b/>
          <w:bCs/>
          <w:color w:val="auto"/>
          <w:sz w:val="32"/>
          <w:szCs w:val="32"/>
          <w:highlight w:val="none"/>
        </w:rPr>
      </w:pPr>
      <w:bookmarkStart w:id="135" w:name="_Toc80093004"/>
      <w:bookmarkEnd w:id="135"/>
      <w:r>
        <w:rPr>
          <w:rFonts w:hint="eastAsia" w:hAnsi="宋体" w:cs="宋体"/>
          <w:b/>
          <w:bCs/>
          <w:color w:val="auto"/>
          <w:sz w:val="32"/>
          <w:szCs w:val="32"/>
          <w:highlight w:val="none"/>
        </w:rPr>
        <w:t>第一节 评标方法</w:t>
      </w:r>
    </w:p>
    <w:p>
      <w:pPr>
        <w:pStyle w:val="42"/>
        <w:tabs>
          <w:tab w:val="left" w:pos="2472"/>
        </w:tabs>
        <w:spacing w:line="460" w:lineRule="exact"/>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pPr>
        <w:pStyle w:val="42"/>
        <w:spacing w:line="360" w:lineRule="auto"/>
        <w:ind w:firstLine="420"/>
        <w:rPr>
          <w:rFonts w:hAnsi="宋体" w:cs="宋体"/>
          <w:color w:val="auto"/>
          <w:szCs w:val="21"/>
          <w:highlight w:val="none"/>
        </w:rPr>
      </w:pPr>
      <w:r>
        <w:rPr>
          <w:rFonts w:hint="eastAsia" w:hAnsi="宋体" w:cs="宋体"/>
          <w:color w:val="auto"/>
          <w:szCs w:val="21"/>
          <w:highlight w:val="none"/>
        </w:rPr>
        <w:t>□最低评标价法，是指投标文件满足招标文件</w:t>
      </w:r>
      <w:r>
        <w:rPr>
          <w:rFonts w:hint="eastAsia" w:hAnsi="宋体" w:cs="宋体"/>
          <w:color w:val="auto"/>
          <w:highlight w:val="none"/>
        </w:rPr>
        <w:t>全部实质性要求，且投标报价最低的投标人为中标候选人的评标方法。</w:t>
      </w:r>
    </w:p>
    <w:p>
      <w:pPr>
        <w:autoSpaceDE w:val="0"/>
        <w:autoSpaceDN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委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pPr>
        <w:pStyle w:val="42"/>
        <w:spacing w:line="360" w:lineRule="auto"/>
        <w:ind w:firstLine="420"/>
        <w:rPr>
          <w:rFonts w:hAnsi="宋体" w:cs="宋体"/>
          <w:color w:val="auto"/>
          <w:highlight w:val="none"/>
        </w:rPr>
      </w:pPr>
    </w:p>
    <w:p>
      <w:pPr>
        <w:pStyle w:val="42"/>
        <w:tabs>
          <w:tab w:val="left" w:pos="2472"/>
        </w:tabs>
        <w:spacing w:line="460" w:lineRule="exact"/>
        <w:jc w:val="center"/>
        <w:outlineLvl w:val="1"/>
        <w:rPr>
          <w:rFonts w:hAnsi="宋体" w:cs="宋体"/>
          <w:b/>
          <w:bCs/>
          <w:color w:val="auto"/>
          <w:sz w:val="32"/>
          <w:szCs w:val="32"/>
          <w:highlight w:val="none"/>
        </w:rPr>
      </w:pPr>
      <w:bookmarkStart w:id="136" w:name="_Toc80093005"/>
      <w:bookmarkEnd w:id="136"/>
      <w:r>
        <w:rPr>
          <w:rFonts w:hint="eastAsia" w:hAnsi="宋体" w:cs="宋体"/>
          <w:b/>
          <w:bCs/>
          <w:color w:val="auto"/>
          <w:sz w:val="32"/>
          <w:szCs w:val="32"/>
          <w:highlight w:val="none"/>
        </w:rPr>
        <w:t>第二节 评标程序</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评委应当对符合资格的投标人的投标文件进行投标报价、商务、技术等实质性内容符合性审查，以确定其是否满足招标文件的实质性要求。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（4）投标有效期、项目完成时间（交货时间、服务完成时间或者服务期等）、质保期、售后服务等招标文件中标“▲”的商务条款发生负偏离的；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（7）投标文件中的文件资料因填写不齐全或者内容虚假或者出现其他情形而导致被评委认定无效的；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（9）未响应招标文件实质性要求的；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（10）属于投标人须知正文第9.2条情形的；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（4）虚假投标，或者出现其他情形而导致被评委认定无效的；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（5）投标技术方案不明确，招标文件未允许但存在一个或者一个以上备选（替代）投标方案的。</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委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委。投标人的澄清、说明或者补正不得超出投标文件的范围或者改变投标文件的实质性内容。投标人未在规定时间内进行澄清、说明或者补正的，按无效投标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委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pPr>
        <w:spacing w:line="360" w:lineRule="auto"/>
        <w:ind w:firstLine="420" w:firstLineChars="200"/>
        <w:rPr>
          <w:rFonts w:ascii="宋体" w:hAnsi="宋体" w:cs="宋体"/>
          <w:color w:val="auto"/>
          <w:szCs w:val="21"/>
          <w:highlight w:val="none"/>
        </w:rPr>
      </w:pPr>
      <w:bookmarkStart w:id="137" w:name="_Toc80093006"/>
      <w:r>
        <w:rPr>
          <w:rFonts w:hint="eastAsia" w:ascii="宋体" w:hAnsi="宋体" w:cs="宋体"/>
          <w:color w:val="auto"/>
          <w:szCs w:val="21"/>
          <w:highlight w:val="none"/>
        </w:rPr>
        <w:t>5.比较与评价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pPr>
        <w:widowControl/>
        <w:numPr>
          <w:ilvl w:val="0"/>
          <w:numId w:val="3"/>
        </w:num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widowControl/>
        <w:numPr>
          <w:ilvl w:val="0"/>
          <w:numId w:val="3"/>
        </w:num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5.4各投标人的得分为所有评委的有效评分的算术平均数。</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5.5评标委员会按照招标文件中的规定推荐中标候选人。</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（一）分值汇总计算错误的；</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（二）分项评分超出评分标准范围的；</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（三）评标委员会成员对客观评审因素评分不一致的；</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（四）经评标委员会认定评分畸高、畸低的。</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bookmarkEnd w:id="137"/>
    <w:p>
      <w:pPr>
        <w:widowControl/>
        <w:spacing w:line="560" w:lineRule="exact"/>
        <w:ind w:firstLine="420"/>
        <w:jc w:val="left"/>
        <w:rPr>
          <w:rFonts w:ascii="宋体" w:hAnsi="宋体" w:cs="宋体"/>
          <w:color w:val="auto"/>
          <w:highlight w:val="none"/>
        </w:rPr>
      </w:pPr>
      <w:r>
        <w:rPr>
          <w:rFonts w:hint="eastAsia" w:ascii="宋体" w:hAnsi="宋体" w:cs="宋体"/>
          <w:color w:val="auto"/>
          <w:highlight w:val="none"/>
        </w:rPr>
        <w:t>（4）除上述情况外，评标价＝投标报价；</w:t>
      </w:r>
    </w:p>
    <w:p>
      <w:pPr>
        <w:pStyle w:val="42"/>
        <w:spacing w:line="360" w:lineRule="auto"/>
        <w:ind w:firstLine="3915" w:firstLineChars="1300"/>
        <w:jc w:val="both"/>
        <w:rPr>
          <w:rFonts w:hAnsi="宋体" w:cs="宋体"/>
          <w:b/>
          <w:color w:val="auto"/>
          <w:sz w:val="30"/>
          <w:szCs w:val="30"/>
          <w:highlight w:val="none"/>
        </w:rPr>
      </w:pPr>
      <w:r>
        <w:rPr>
          <w:rFonts w:hint="eastAsia" w:hAnsi="宋体" w:cs="宋体"/>
          <w:b/>
          <w:color w:val="auto"/>
          <w:sz w:val="30"/>
          <w:szCs w:val="30"/>
          <w:highlight w:val="none"/>
        </w:rPr>
        <w:t>综合评分法</w:t>
      </w:r>
    </w:p>
    <w:p>
      <w:pPr>
        <w:pStyle w:val="42"/>
        <w:spacing w:line="360" w:lineRule="auto"/>
        <w:ind w:firstLine="420"/>
        <w:rPr>
          <w:rFonts w:hAnsi="宋体" w:cs="宋体"/>
          <w:b/>
          <w:color w:val="auto"/>
          <w:highlight w:val="none"/>
        </w:rPr>
      </w:pPr>
      <w:bookmarkStart w:id="138" w:name="PO_TDCUS_ITEM_SM_TITLE_1"/>
      <w:bookmarkEnd w:id="138"/>
      <w:bookmarkStart w:id="139" w:name="PO_TDCUS_ITEM_SM_TABLE_1"/>
      <w:r>
        <w:rPr>
          <w:rFonts w:hint="eastAsia" w:hAnsi="宋体" w:cs="宋体"/>
          <w:b/>
          <w:color w:val="auto"/>
          <w:highlight w:val="none"/>
        </w:rPr>
        <w:t>评分方法</w:t>
      </w:r>
      <w:r>
        <w:rPr>
          <w:rFonts w:hint="eastAsia" w:hAnsi="宋体" w:cs="宋体"/>
          <w:bCs/>
          <w:color w:val="auto"/>
          <w:highlight w:val="none"/>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1"/>
        <w:gridCol w:w="1315"/>
        <w:gridCol w:w="5282"/>
        <w:gridCol w:w="1171"/>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jc w:val="center"/>
        </w:trPr>
        <w:tc>
          <w:tcPr>
            <w:tcW w:w="661" w:type="dxa"/>
            <w:vAlign w:val="center"/>
          </w:tcPr>
          <w:p>
            <w:pPr>
              <w:pStyle w:val="42"/>
              <w:spacing w:line="360" w:lineRule="auto"/>
              <w:jc w:val="center"/>
              <w:rPr>
                <w:rFonts w:hAnsi="宋体" w:cs="宋体"/>
                <w:b/>
                <w:color w:val="auto"/>
                <w:szCs w:val="21"/>
                <w:highlight w:val="none"/>
              </w:rPr>
            </w:pPr>
            <w:r>
              <w:rPr>
                <w:rFonts w:hint="eastAsia" w:hAnsi="宋体" w:cs="宋体"/>
                <w:b/>
                <w:color w:val="auto"/>
                <w:szCs w:val="21"/>
                <w:highlight w:val="none"/>
              </w:rPr>
              <w:t>序号</w:t>
            </w:r>
          </w:p>
        </w:tc>
        <w:tc>
          <w:tcPr>
            <w:tcW w:w="1315" w:type="dxa"/>
            <w:vAlign w:val="center"/>
          </w:tcPr>
          <w:p>
            <w:pPr>
              <w:pStyle w:val="42"/>
              <w:spacing w:line="360" w:lineRule="auto"/>
              <w:jc w:val="center"/>
              <w:rPr>
                <w:rFonts w:hAnsi="宋体" w:cs="宋体"/>
                <w:b/>
                <w:color w:val="auto"/>
                <w:kern w:val="0"/>
                <w:szCs w:val="21"/>
                <w:highlight w:val="none"/>
              </w:rPr>
            </w:pPr>
            <w:r>
              <w:rPr>
                <w:rFonts w:hint="eastAsia" w:hAnsi="宋体" w:cs="宋体"/>
                <w:b/>
                <w:color w:val="auto"/>
                <w:kern w:val="0"/>
                <w:szCs w:val="21"/>
                <w:highlight w:val="none"/>
              </w:rPr>
              <w:t>评审因素</w:t>
            </w:r>
          </w:p>
        </w:tc>
        <w:tc>
          <w:tcPr>
            <w:tcW w:w="5282" w:type="dxa"/>
          </w:tcPr>
          <w:p>
            <w:pPr>
              <w:pStyle w:val="42"/>
              <w:spacing w:line="360" w:lineRule="auto"/>
              <w:jc w:val="center"/>
              <w:rPr>
                <w:rFonts w:hAnsi="宋体" w:cs="宋体"/>
                <w:b/>
                <w:color w:val="auto"/>
                <w:kern w:val="0"/>
                <w:szCs w:val="21"/>
                <w:highlight w:val="none"/>
              </w:rPr>
            </w:pPr>
            <w:r>
              <w:rPr>
                <w:rFonts w:hint="eastAsia" w:hAnsi="宋体" w:cs="宋体"/>
                <w:b/>
                <w:color w:val="auto"/>
                <w:kern w:val="0"/>
                <w:szCs w:val="21"/>
                <w:highlight w:val="none"/>
              </w:rPr>
              <w:t>评审因素具体内容</w:t>
            </w:r>
          </w:p>
        </w:tc>
        <w:tc>
          <w:tcPr>
            <w:tcW w:w="1171" w:type="dxa"/>
            <w:vAlign w:val="center"/>
          </w:tcPr>
          <w:p>
            <w:pPr>
              <w:pStyle w:val="42"/>
              <w:spacing w:line="360" w:lineRule="auto"/>
              <w:jc w:val="center"/>
              <w:rPr>
                <w:rFonts w:hAnsi="宋体" w:cs="宋体"/>
                <w:b/>
                <w:color w:val="auto"/>
                <w:szCs w:val="21"/>
                <w:highlight w:val="none"/>
              </w:rPr>
            </w:pPr>
            <w:r>
              <w:rPr>
                <w:rFonts w:hint="eastAsia" w:hAnsi="宋体" w:cs="宋体"/>
                <w:b/>
                <w:color w:val="auto"/>
                <w:szCs w:val="21"/>
                <w:highlight w:val="none"/>
              </w:rPr>
              <w:t>分值</w:t>
            </w:r>
          </w:p>
        </w:tc>
        <w:tc>
          <w:tcPr>
            <w:tcW w:w="1180" w:type="dxa"/>
            <w:vAlign w:val="center"/>
          </w:tcPr>
          <w:p>
            <w:pPr>
              <w:pStyle w:val="42"/>
              <w:spacing w:line="360" w:lineRule="auto"/>
              <w:jc w:val="center"/>
              <w:rPr>
                <w:rFonts w:hAnsi="宋体" w:cs="宋体"/>
                <w:b/>
                <w:color w:val="auto"/>
                <w:szCs w:val="21"/>
                <w:highlight w:val="none"/>
              </w:rPr>
            </w:pPr>
            <w:r>
              <w:rPr>
                <w:rFonts w:hint="eastAsia" w:hAnsi="宋体" w:cs="宋体"/>
                <w:b/>
                <w:color w:val="auto"/>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1" w:type="dxa"/>
            <w:vAlign w:val="center"/>
          </w:tcPr>
          <w:p>
            <w:pPr>
              <w:pStyle w:val="42"/>
              <w:spacing w:line="360" w:lineRule="auto"/>
              <w:jc w:val="center"/>
              <w:rPr>
                <w:rFonts w:hAnsi="宋体" w:cs="宋体"/>
                <w:bCs/>
                <w:color w:val="auto"/>
                <w:szCs w:val="21"/>
                <w:highlight w:val="none"/>
              </w:rPr>
            </w:pPr>
            <w:r>
              <w:rPr>
                <w:rFonts w:hint="eastAsia" w:hAnsi="宋体" w:cs="宋体"/>
                <w:bCs/>
                <w:color w:val="auto"/>
                <w:szCs w:val="21"/>
                <w:highlight w:val="none"/>
              </w:rPr>
              <w:t>1</w:t>
            </w:r>
          </w:p>
        </w:tc>
        <w:tc>
          <w:tcPr>
            <w:tcW w:w="1315" w:type="dxa"/>
            <w:vAlign w:val="center"/>
          </w:tcPr>
          <w:p>
            <w:pPr>
              <w:pStyle w:val="42"/>
              <w:spacing w:line="360" w:lineRule="auto"/>
              <w:jc w:val="center"/>
              <w:rPr>
                <w:rFonts w:hAnsi="宋体" w:cs="宋体"/>
                <w:bCs/>
                <w:color w:val="auto"/>
                <w:szCs w:val="21"/>
                <w:highlight w:val="none"/>
              </w:rPr>
            </w:pPr>
            <w:r>
              <w:rPr>
                <w:rFonts w:hint="eastAsia" w:hAnsi="宋体" w:cs="宋体"/>
                <w:bCs/>
                <w:color w:val="auto"/>
                <w:szCs w:val="21"/>
                <w:highlight w:val="none"/>
              </w:rPr>
              <w:t>报价分</w:t>
            </w:r>
          </w:p>
          <w:p>
            <w:pPr>
              <w:pStyle w:val="42"/>
              <w:spacing w:line="360" w:lineRule="auto"/>
              <w:jc w:val="center"/>
              <w:rPr>
                <w:rFonts w:hAnsi="宋体" w:cs="宋体"/>
                <w:bCs/>
                <w:color w:val="auto"/>
                <w:szCs w:val="21"/>
                <w:highlight w:val="none"/>
              </w:rPr>
            </w:pPr>
          </w:p>
        </w:tc>
        <w:tc>
          <w:tcPr>
            <w:tcW w:w="5282" w:type="dxa"/>
          </w:tcPr>
          <w:p>
            <w:pPr>
              <w:spacing w:line="276" w:lineRule="auto"/>
              <w:ind w:firstLine="315" w:firstLineChars="150"/>
              <w:rPr>
                <w:rFonts w:hint="eastAsia"/>
                <w:color w:val="auto"/>
                <w:highlight w:val="none"/>
              </w:rPr>
            </w:pPr>
            <w:bookmarkStart w:id="140" w:name="_Toc96526555"/>
            <w:r>
              <w:rPr>
                <w:rFonts w:hint="eastAsia"/>
                <w:color w:val="auto"/>
                <w:highlight w:val="none"/>
              </w:rPr>
              <w:t>本项目专门面向中小企业采购，不再执行价格评审优惠的扶持政策</w:t>
            </w:r>
            <w:bookmarkEnd w:id="140"/>
            <w:r>
              <w:rPr>
                <w:rFonts w:hint="eastAsia"/>
                <w:color w:val="auto"/>
                <w:highlight w:val="none"/>
              </w:rPr>
              <w:t>。</w:t>
            </w:r>
          </w:p>
          <w:p>
            <w:pPr>
              <w:spacing w:line="276" w:lineRule="auto"/>
              <w:ind w:firstLine="315" w:firstLineChars="150"/>
              <w:rPr>
                <w:rFonts w:ascii="宋体" w:hAnsi="宋体" w:cs="Courier New"/>
                <w:bCs/>
                <w:color w:val="auto"/>
                <w:highlight w:val="none"/>
              </w:rPr>
            </w:pPr>
            <w:r>
              <w:rPr>
                <w:rFonts w:hint="eastAsia" w:ascii="宋体" w:hAnsi="宋体" w:cs="Courier New"/>
                <w:bCs/>
                <w:color w:val="auto"/>
                <w:highlight w:val="none"/>
              </w:rPr>
              <w:t>（</w:t>
            </w:r>
            <w:r>
              <w:rPr>
                <w:rFonts w:hint="eastAsia" w:ascii="宋体" w:hAnsi="宋体" w:cs="Courier New"/>
                <w:bCs/>
                <w:color w:val="auto"/>
                <w:highlight w:val="none"/>
                <w:lang w:val="en-US" w:eastAsia="zh-CN"/>
              </w:rPr>
              <w:t>1</w:t>
            </w:r>
            <w:r>
              <w:rPr>
                <w:rFonts w:hint="eastAsia" w:ascii="宋体" w:hAnsi="宋体" w:cs="Courier New"/>
                <w:bCs/>
                <w:color w:val="auto"/>
                <w:highlight w:val="none"/>
              </w:rPr>
              <w:t>）满足招标文件要求且评标报价最低的评标报价为评标基准价，其价格分为满分。</w:t>
            </w:r>
          </w:p>
          <w:p>
            <w:pPr>
              <w:spacing w:line="276" w:lineRule="auto"/>
              <w:ind w:firstLine="315" w:firstLineChars="150"/>
              <w:rPr>
                <w:rFonts w:ascii="宋体" w:hAnsi="宋体" w:cs="Courier New"/>
                <w:bCs/>
                <w:color w:val="auto"/>
                <w:highlight w:val="none"/>
              </w:rPr>
            </w:pPr>
            <w:r>
              <w:rPr>
                <w:rFonts w:hint="eastAsia" w:ascii="宋体" w:hAnsi="宋体" w:cs="Courier New"/>
                <w:bCs/>
                <w:color w:val="auto"/>
                <w:highlight w:val="none"/>
              </w:rPr>
              <w:t>（</w:t>
            </w:r>
            <w:r>
              <w:rPr>
                <w:rFonts w:hint="eastAsia" w:ascii="宋体" w:hAnsi="宋体" w:cs="Courier New"/>
                <w:bCs/>
                <w:color w:val="auto"/>
                <w:highlight w:val="none"/>
                <w:lang w:val="en-US" w:eastAsia="zh-CN"/>
              </w:rPr>
              <w:t>2</w:t>
            </w:r>
            <w:r>
              <w:rPr>
                <w:rFonts w:hint="eastAsia" w:ascii="宋体" w:hAnsi="宋体" w:cs="Courier New"/>
                <w:bCs/>
                <w:color w:val="auto"/>
                <w:highlight w:val="none"/>
              </w:rPr>
              <w:t>）价格分计算公式：</w:t>
            </w:r>
          </w:p>
          <w:p>
            <w:pPr>
              <w:pStyle w:val="42"/>
              <w:spacing w:line="360" w:lineRule="auto"/>
              <w:rPr>
                <w:rFonts w:hint="eastAsia" w:hAnsi="宋体" w:cs="宋体"/>
                <w:bCs/>
                <w:color w:val="auto"/>
                <w:szCs w:val="21"/>
                <w:highlight w:val="none"/>
              </w:rPr>
            </w:pPr>
            <w:r>
              <w:rPr>
                <w:rFonts w:hint="eastAsia" w:ascii="宋体" w:hAnsi="宋体" w:cs="Courier New"/>
                <w:bCs/>
                <w:color w:val="auto"/>
                <w:highlight w:val="none"/>
              </w:rPr>
              <w:t>价格分=(评标基准价／评标报价)×10分</w:t>
            </w:r>
          </w:p>
        </w:tc>
        <w:tc>
          <w:tcPr>
            <w:tcW w:w="1171" w:type="dxa"/>
            <w:vAlign w:val="center"/>
          </w:tcPr>
          <w:p>
            <w:pPr>
              <w:pStyle w:val="42"/>
              <w:spacing w:line="360" w:lineRule="auto"/>
              <w:jc w:val="center"/>
              <w:rPr>
                <w:rFonts w:hAnsi="宋体" w:cs="宋体"/>
                <w:bCs/>
                <w:color w:val="auto"/>
                <w:szCs w:val="21"/>
                <w:highlight w:val="none"/>
              </w:rPr>
            </w:pPr>
            <w:r>
              <w:rPr>
                <w:rFonts w:hint="eastAsia" w:hAnsi="宋体" w:cs="宋体"/>
                <w:bCs/>
                <w:color w:val="auto"/>
                <w:szCs w:val="21"/>
                <w:highlight w:val="none"/>
                <w:lang w:val="en-US" w:eastAsia="zh-CN"/>
              </w:rPr>
              <w:t>10</w:t>
            </w:r>
            <w:r>
              <w:rPr>
                <w:rFonts w:hint="eastAsia" w:hAnsi="宋体" w:cs="宋体"/>
                <w:bCs/>
                <w:color w:val="auto"/>
                <w:szCs w:val="21"/>
                <w:highlight w:val="none"/>
              </w:rPr>
              <w:t>分</w:t>
            </w:r>
          </w:p>
        </w:tc>
        <w:tc>
          <w:tcPr>
            <w:tcW w:w="1180" w:type="dxa"/>
            <w:vAlign w:val="center"/>
          </w:tcPr>
          <w:p>
            <w:pPr>
              <w:pStyle w:val="42"/>
              <w:spacing w:line="360" w:lineRule="auto"/>
              <w:jc w:val="center"/>
              <w:rPr>
                <w:rFonts w:hAnsi="宋体" w:cs="宋体"/>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661" w:type="dxa"/>
            <w:vAlign w:val="center"/>
          </w:tcPr>
          <w:p>
            <w:pPr>
              <w:pStyle w:val="42"/>
              <w:spacing w:line="360" w:lineRule="auto"/>
              <w:jc w:val="center"/>
              <w:rPr>
                <w:rFonts w:hAnsi="宋体" w:cs="宋体"/>
                <w:b/>
                <w:color w:val="auto"/>
                <w:szCs w:val="21"/>
                <w:highlight w:val="none"/>
              </w:rPr>
            </w:pPr>
            <w:r>
              <w:rPr>
                <w:rFonts w:hint="eastAsia" w:hAnsi="宋体" w:cs="宋体"/>
                <w:b/>
                <w:color w:val="auto"/>
                <w:szCs w:val="21"/>
                <w:highlight w:val="none"/>
              </w:rPr>
              <w:t>2</w:t>
            </w:r>
          </w:p>
        </w:tc>
        <w:tc>
          <w:tcPr>
            <w:tcW w:w="1315" w:type="dxa"/>
            <w:vAlign w:val="center"/>
          </w:tcPr>
          <w:p>
            <w:pPr>
              <w:pStyle w:val="42"/>
              <w:spacing w:line="360" w:lineRule="auto"/>
              <w:jc w:val="center"/>
              <w:rPr>
                <w:rFonts w:hAnsi="宋体" w:cs="宋体"/>
                <w:b/>
                <w:color w:val="auto"/>
                <w:szCs w:val="21"/>
                <w:highlight w:val="none"/>
              </w:rPr>
            </w:pPr>
            <w:r>
              <w:rPr>
                <w:rFonts w:hint="eastAsia" w:hAnsi="宋体" w:cs="宋体"/>
                <w:b/>
                <w:color w:val="auto"/>
                <w:szCs w:val="21"/>
                <w:highlight w:val="none"/>
              </w:rPr>
              <w:t>技术分</w:t>
            </w:r>
          </w:p>
        </w:tc>
        <w:tc>
          <w:tcPr>
            <w:tcW w:w="5282" w:type="dxa"/>
          </w:tcPr>
          <w:p>
            <w:pPr>
              <w:pStyle w:val="42"/>
              <w:spacing w:line="360" w:lineRule="auto"/>
              <w:jc w:val="center"/>
              <w:rPr>
                <w:rFonts w:hAnsi="宋体" w:cs="宋体"/>
                <w:b/>
                <w:color w:val="auto"/>
                <w:kern w:val="0"/>
                <w:szCs w:val="21"/>
                <w:highlight w:val="none"/>
              </w:rPr>
            </w:pPr>
            <w:r>
              <w:rPr>
                <w:rFonts w:hint="eastAsia" w:hAnsi="宋体" w:cs="宋体"/>
                <w:b/>
                <w:color w:val="auto"/>
                <w:kern w:val="0"/>
                <w:szCs w:val="21"/>
                <w:highlight w:val="none"/>
              </w:rPr>
              <w:t>评审因素具体内容</w:t>
            </w:r>
          </w:p>
        </w:tc>
        <w:tc>
          <w:tcPr>
            <w:tcW w:w="1171" w:type="dxa"/>
            <w:vAlign w:val="center"/>
          </w:tcPr>
          <w:p>
            <w:pPr>
              <w:pStyle w:val="42"/>
              <w:spacing w:line="360" w:lineRule="auto"/>
              <w:jc w:val="center"/>
              <w:rPr>
                <w:rFonts w:hAnsi="宋体" w:cs="宋体"/>
                <w:b/>
                <w:color w:val="auto"/>
                <w:szCs w:val="21"/>
                <w:highlight w:val="none"/>
              </w:rPr>
            </w:pPr>
            <w:r>
              <w:rPr>
                <w:rFonts w:hint="eastAsia" w:hAnsi="宋体" w:cs="宋体"/>
                <w:b/>
                <w:color w:val="auto"/>
                <w:szCs w:val="21"/>
                <w:highlight w:val="none"/>
              </w:rPr>
              <w:t>分值</w:t>
            </w:r>
          </w:p>
        </w:tc>
        <w:tc>
          <w:tcPr>
            <w:tcW w:w="1180" w:type="dxa"/>
            <w:vAlign w:val="center"/>
          </w:tcPr>
          <w:p>
            <w:pPr>
              <w:pStyle w:val="42"/>
              <w:spacing w:line="360" w:lineRule="auto"/>
              <w:jc w:val="center"/>
              <w:rPr>
                <w:rFonts w:hAnsi="宋体" w:cs="宋体"/>
                <w:b/>
                <w:color w:val="auto"/>
                <w:szCs w:val="21"/>
                <w:highlight w:val="none"/>
              </w:rPr>
            </w:pPr>
            <w:r>
              <w:rPr>
                <w:rFonts w:hint="eastAsia" w:hAnsi="宋体" w:cs="宋体"/>
                <w:b/>
                <w:color w:val="auto"/>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661" w:type="dxa"/>
            <w:vAlign w:val="center"/>
          </w:tcPr>
          <w:p>
            <w:pPr>
              <w:pStyle w:val="42"/>
              <w:spacing w:line="360" w:lineRule="auto"/>
              <w:jc w:val="center"/>
              <w:rPr>
                <w:rFonts w:hint="default" w:hAnsi="宋体" w:eastAsia="宋体" w:cs="宋体"/>
                <w:b/>
                <w:color w:val="auto"/>
                <w:szCs w:val="21"/>
                <w:highlight w:val="none"/>
                <w:lang w:val="en-US" w:eastAsia="zh-CN"/>
              </w:rPr>
            </w:pPr>
            <w:r>
              <w:rPr>
                <w:rFonts w:hint="eastAsia" w:hAnsi="宋体" w:cs="宋体"/>
                <w:b w:val="0"/>
                <w:bCs/>
                <w:color w:val="auto"/>
                <w:szCs w:val="21"/>
                <w:highlight w:val="none"/>
                <w:lang w:val="en-US" w:eastAsia="zh-CN"/>
              </w:rPr>
              <w:t>2.1</w:t>
            </w:r>
          </w:p>
        </w:tc>
        <w:tc>
          <w:tcPr>
            <w:tcW w:w="1315" w:type="dxa"/>
            <w:vAlign w:val="center"/>
          </w:tcPr>
          <w:p>
            <w:pPr>
              <w:pStyle w:val="42"/>
              <w:spacing w:line="360" w:lineRule="auto"/>
              <w:jc w:val="center"/>
              <w:rPr>
                <w:rFonts w:hint="eastAsia" w:hAnsi="宋体" w:cs="宋体"/>
                <w:b/>
                <w:color w:val="auto"/>
                <w:szCs w:val="21"/>
                <w:highlight w:val="none"/>
              </w:rPr>
            </w:pPr>
            <w:r>
              <w:rPr>
                <w:rFonts w:hint="eastAsia" w:hAnsi="宋体" w:cs="宋体"/>
                <w:b w:val="0"/>
                <w:bCs/>
                <w:color w:val="auto"/>
                <w:szCs w:val="21"/>
                <w:highlight w:val="none"/>
              </w:rPr>
              <w:t>组织服务方案</w:t>
            </w:r>
          </w:p>
        </w:tc>
        <w:tc>
          <w:tcPr>
            <w:tcW w:w="5282" w:type="dxa"/>
          </w:tcPr>
          <w:p>
            <w:pPr>
              <w:pStyle w:val="102"/>
              <w:spacing w:line="360" w:lineRule="auto"/>
              <w:jc w:val="both"/>
              <w:rPr>
                <w:rFonts w:ascii="Times New Roman" w:hAnsi="Times New Roman"/>
                <w:bCs/>
                <w:kern w:val="2"/>
                <w:sz w:val="21"/>
                <w:szCs w:val="24"/>
              </w:rPr>
            </w:pPr>
            <w:r>
              <w:rPr>
                <w:rFonts w:hint="eastAsia" w:ascii="Times New Roman" w:hAnsi="Times New Roman"/>
                <w:bCs/>
                <w:kern w:val="2"/>
                <w:sz w:val="21"/>
                <w:szCs w:val="24"/>
              </w:rPr>
              <w:t>一档（</w:t>
            </w:r>
            <w:r>
              <w:rPr>
                <w:rFonts w:hint="eastAsia" w:ascii="Times New Roman" w:hAnsi="Times New Roman"/>
                <w:bCs/>
                <w:kern w:val="2"/>
                <w:sz w:val="21"/>
                <w:szCs w:val="24"/>
                <w:lang w:val="en-US" w:eastAsia="zh-CN"/>
              </w:rPr>
              <w:t>0</w:t>
            </w:r>
            <w:r>
              <w:rPr>
                <w:rFonts w:hint="eastAsia" w:ascii="Times New Roman" w:hAnsi="Times New Roman"/>
                <w:bCs/>
                <w:kern w:val="2"/>
                <w:sz w:val="21"/>
                <w:szCs w:val="24"/>
              </w:rPr>
              <w:t>分）：对上述内容有具体描述，但内容不完整或有缺项或内容单一、简单；</w:t>
            </w:r>
          </w:p>
          <w:p>
            <w:pPr>
              <w:pStyle w:val="102"/>
              <w:spacing w:line="360" w:lineRule="auto"/>
              <w:jc w:val="both"/>
              <w:rPr>
                <w:rFonts w:ascii="Times New Roman" w:hAnsi="Times New Roman"/>
                <w:bCs/>
                <w:kern w:val="2"/>
                <w:sz w:val="21"/>
                <w:szCs w:val="24"/>
              </w:rPr>
            </w:pPr>
            <w:r>
              <w:rPr>
                <w:rFonts w:hint="eastAsia" w:ascii="Times New Roman" w:hAnsi="Times New Roman"/>
                <w:bCs/>
                <w:kern w:val="2"/>
                <w:sz w:val="21"/>
                <w:szCs w:val="24"/>
              </w:rPr>
              <w:t>二档（</w:t>
            </w:r>
            <w:r>
              <w:rPr>
                <w:rFonts w:hint="eastAsia" w:ascii="Times New Roman" w:hAnsi="Times New Roman"/>
                <w:bCs/>
                <w:kern w:val="2"/>
                <w:sz w:val="21"/>
                <w:szCs w:val="24"/>
                <w:lang w:val="en-US" w:eastAsia="zh-CN"/>
              </w:rPr>
              <w:t>5</w:t>
            </w:r>
            <w:r>
              <w:rPr>
                <w:rFonts w:hint="eastAsia" w:ascii="Times New Roman" w:hAnsi="Times New Roman"/>
                <w:bCs/>
                <w:kern w:val="2"/>
                <w:sz w:val="21"/>
                <w:szCs w:val="24"/>
              </w:rPr>
              <w:t>分）：组织服务方案</w:t>
            </w:r>
            <w:r>
              <w:rPr>
                <w:rFonts w:hint="eastAsia" w:ascii="Times New Roman" w:hAnsi="Times New Roman"/>
                <w:bCs/>
                <w:kern w:val="2"/>
                <w:sz w:val="21"/>
                <w:szCs w:val="24"/>
                <w:lang w:val="en-US" w:eastAsia="zh-CN"/>
              </w:rPr>
              <w:t>包含</w:t>
            </w:r>
            <w:r>
              <w:rPr>
                <w:rFonts w:hint="eastAsia" w:ascii="Times New Roman" w:hAnsi="Times New Roman"/>
                <w:bCs/>
                <w:kern w:val="2"/>
                <w:sz w:val="21"/>
                <w:szCs w:val="24"/>
              </w:rPr>
              <w:t>项目前期准备、项目实施计划；</w:t>
            </w:r>
          </w:p>
          <w:p>
            <w:pPr>
              <w:pStyle w:val="42"/>
              <w:spacing w:line="360" w:lineRule="auto"/>
              <w:jc w:val="both"/>
              <w:rPr>
                <w:rFonts w:hint="eastAsia" w:ascii="Times New Roman" w:hAnsi="Times New Roman"/>
                <w:bCs/>
                <w:kern w:val="2"/>
                <w:sz w:val="21"/>
                <w:szCs w:val="24"/>
                <w:lang w:eastAsia="zh-CN"/>
              </w:rPr>
            </w:pPr>
            <w:r>
              <w:rPr>
                <w:rFonts w:hint="eastAsia" w:ascii="Times New Roman" w:hAnsi="Times New Roman"/>
                <w:bCs/>
                <w:kern w:val="2"/>
                <w:sz w:val="21"/>
                <w:szCs w:val="24"/>
              </w:rPr>
              <w:t>三档（</w:t>
            </w:r>
            <w:r>
              <w:rPr>
                <w:rFonts w:hint="eastAsia" w:ascii="Times New Roman" w:hAnsi="Times New Roman"/>
                <w:bCs/>
                <w:kern w:val="2"/>
                <w:sz w:val="21"/>
                <w:szCs w:val="24"/>
                <w:lang w:val="en-US" w:eastAsia="zh-CN"/>
              </w:rPr>
              <w:t>8</w:t>
            </w:r>
            <w:r>
              <w:rPr>
                <w:rFonts w:hint="eastAsia" w:ascii="Times New Roman" w:hAnsi="Times New Roman"/>
                <w:bCs/>
                <w:kern w:val="2"/>
                <w:sz w:val="21"/>
                <w:szCs w:val="24"/>
              </w:rPr>
              <w:t>分）：组织服务方案</w:t>
            </w:r>
            <w:r>
              <w:rPr>
                <w:rFonts w:hint="eastAsia" w:ascii="Times New Roman" w:hAnsi="Times New Roman"/>
                <w:bCs/>
                <w:kern w:val="2"/>
                <w:sz w:val="21"/>
                <w:szCs w:val="24"/>
                <w:lang w:val="en-US" w:eastAsia="zh-CN"/>
              </w:rPr>
              <w:t>包含</w:t>
            </w:r>
            <w:r>
              <w:rPr>
                <w:rFonts w:hint="eastAsia" w:ascii="Times New Roman" w:hAnsi="Times New Roman"/>
                <w:bCs/>
                <w:kern w:val="2"/>
                <w:sz w:val="21"/>
                <w:szCs w:val="24"/>
              </w:rPr>
              <w:t>项目前期准备、项目实施计划</w:t>
            </w:r>
            <w:r>
              <w:rPr>
                <w:rFonts w:hint="eastAsia" w:ascii="Times New Roman" w:hAnsi="Times New Roman"/>
                <w:bCs/>
                <w:kern w:val="2"/>
                <w:sz w:val="21"/>
                <w:szCs w:val="24"/>
                <w:lang w:eastAsia="zh-CN"/>
              </w:rPr>
              <w:t>、技术服务、技术培训内容和措施。</w:t>
            </w:r>
          </w:p>
          <w:p>
            <w:pPr>
              <w:pStyle w:val="42"/>
              <w:spacing w:line="360" w:lineRule="auto"/>
              <w:jc w:val="both"/>
              <w:rPr>
                <w:rFonts w:hint="eastAsia" w:ascii="Times New Roman" w:hAnsi="Times New Roman" w:eastAsia="宋体"/>
                <w:bCs/>
                <w:kern w:val="2"/>
                <w:sz w:val="21"/>
                <w:szCs w:val="24"/>
                <w:lang w:eastAsia="zh-CN"/>
              </w:rPr>
            </w:pPr>
            <w:r>
              <w:rPr>
                <w:rFonts w:hint="eastAsia" w:ascii="Times New Roman" w:hAnsi="Times New Roman"/>
                <w:bCs/>
                <w:kern w:val="2"/>
                <w:sz w:val="21"/>
                <w:szCs w:val="24"/>
                <w:lang w:val="en-US" w:eastAsia="zh-CN"/>
              </w:rPr>
              <w:t>四</w:t>
            </w:r>
            <w:r>
              <w:rPr>
                <w:rFonts w:hint="eastAsia" w:ascii="Times New Roman" w:hAnsi="Times New Roman"/>
                <w:bCs/>
                <w:kern w:val="2"/>
                <w:sz w:val="21"/>
                <w:szCs w:val="24"/>
              </w:rPr>
              <w:t>档（</w:t>
            </w:r>
            <w:r>
              <w:rPr>
                <w:rFonts w:hint="eastAsia" w:ascii="Times New Roman" w:hAnsi="Times New Roman"/>
                <w:bCs/>
                <w:kern w:val="2"/>
                <w:sz w:val="21"/>
                <w:szCs w:val="24"/>
                <w:lang w:val="en-US" w:eastAsia="zh-CN"/>
              </w:rPr>
              <w:t>10</w:t>
            </w:r>
            <w:r>
              <w:rPr>
                <w:rFonts w:hint="eastAsia" w:ascii="Times New Roman" w:hAnsi="Times New Roman"/>
                <w:bCs/>
                <w:kern w:val="2"/>
                <w:sz w:val="21"/>
                <w:szCs w:val="24"/>
              </w:rPr>
              <w:t>分）：</w:t>
            </w:r>
            <w:r>
              <w:rPr>
                <w:rFonts w:hint="eastAsia" w:ascii="Times New Roman" w:hAnsi="Times New Roman"/>
                <w:bCs/>
                <w:kern w:val="2"/>
                <w:sz w:val="21"/>
                <w:szCs w:val="24"/>
                <w:lang w:val="en-US" w:eastAsia="zh-CN"/>
              </w:rPr>
              <w:t>结合现行政策</w:t>
            </w:r>
            <w:r>
              <w:rPr>
                <w:rFonts w:hint="eastAsia" w:ascii="Times New Roman" w:hAnsi="Times New Roman"/>
                <w:bCs/>
                <w:kern w:val="2"/>
                <w:sz w:val="21"/>
                <w:szCs w:val="24"/>
              </w:rPr>
              <w:t>、</w:t>
            </w:r>
            <w:r>
              <w:rPr>
                <w:rFonts w:hint="eastAsia" w:ascii="Times New Roman" w:hAnsi="Times New Roman"/>
                <w:bCs/>
                <w:kern w:val="2"/>
                <w:sz w:val="21"/>
                <w:szCs w:val="24"/>
                <w:lang w:eastAsia="zh-CN"/>
              </w:rPr>
              <w:t>总体框架方案大纲编写，</w:t>
            </w:r>
            <w:r>
              <w:rPr>
                <w:rFonts w:hint="eastAsia" w:ascii="Times New Roman" w:hAnsi="Times New Roman"/>
                <w:bCs/>
                <w:kern w:val="2"/>
                <w:sz w:val="21"/>
                <w:szCs w:val="24"/>
                <w:lang w:val="en-US" w:eastAsia="zh-CN"/>
              </w:rPr>
              <w:t>在满足三档的基础上，包含</w:t>
            </w:r>
            <w:r>
              <w:rPr>
                <w:rFonts w:hint="eastAsia" w:ascii="Times New Roman" w:hAnsi="Times New Roman"/>
                <w:bCs/>
                <w:kern w:val="2"/>
                <w:sz w:val="21"/>
                <w:szCs w:val="24"/>
                <w:lang w:eastAsia="zh-CN"/>
              </w:rPr>
              <w:t>管理制度、应急保障方案、保密承诺及廉洁承诺等，</w:t>
            </w:r>
            <w:r>
              <w:rPr>
                <w:rFonts w:hint="eastAsia" w:ascii="Times New Roman" w:hAnsi="Times New Roman"/>
                <w:bCs/>
                <w:kern w:val="2"/>
                <w:sz w:val="21"/>
                <w:szCs w:val="24"/>
              </w:rPr>
              <w:t>思路清晰，有针对性、操作性和可行性强，优于本项目需求</w:t>
            </w:r>
            <w:r>
              <w:rPr>
                <w:rFonts w:hint="eastAsia" w:ascii="Times New Roman" w:hAnsi="Times New Roman"/>
                <w:bCs/>
                <w:kern w:val="2"/>
                <w:sz w:val="21"/>
                <w:szCs w:val="24"/>
                <w:lang w:eastAsia="zh-CN"/>
              </w:rPr>
              <w:t>。</w:t>
            </w:r>
          </w:p>
        </w:tc>
        <w:tc>
          <w:tcPr>
            <w:tcW w:w="1171" w:type="dxa"/>
            <w:vAlign w:val="center"/>
          </w:tcPr>
          <w:p>
            <w:pPr>
              <w:pStyle w:val="42"/>
              <w:spacing w:line="360" w:lineRule="auto"/>
              <w:jc w:val="center"/>
              <w:rPr>
                <w:rFonts w:hint="default" w:hAnsi="宋体" w:eastAsia="宋体" w:cs="宋体"/>
                <w:b/>
                <w:color w:val="auto"/>
                <w:szCs w:val="21"/>
                <w:highlight w:val="none"/>
                <w:lang w:val="en-US" w:eastAsia="zh-CN"/>
              </w:rPr>
            </w:pPr>
            <w:r>
              <w:rPr>
                <w:rFonts w:hint="eastAsia" w:hAnsi="宋体" w:cs="宋体"/>
                <w:bCs/>
                <w:color w:val="auto"/>
                <w:kern w:val="0"/>
                <w:szCs w:val="21"/>
                <w:highlight w:val="none"/>
                <w:lang w:val="en-US" w:eastAsia="zh-CN"/>
              </w:rPr>
              <w:t>10</w:t>
            </w:r>
            <w:r>
              <w:rPr>
                <w:rFonts w:hint="eastAsia" w:hAnsi="宋体" w:cs="宋体"/>
                <w:bCs/>
                <w:color w:val="auto"/>
                <w:kern w:val="0"/>
                <w:szCs w:val="21"/>
                <w:highlight w:val="none"/>
              </w:rPr>
              <w:t>分</w:t>
            </w:r>
          </w:p>
        </w:tc>
        <w:tc>
          <w:tcPr>
            <w:tcW w:w="1180" w:type="dxa"/>
            <w:vAlign w:val="center"/>
          </w:tcPr>
          <w:p>
            <w:pPr>
              <w:pStyle w:val="42"/>
              <w:spacing w:line="360" w:lineRule="auto"/>
              <w:jc w:val="center"/>
              <w:rPr>
                <w:rFonts w:hint="eastAsia" w:hAnsi="宋体" w:cs="宋体"/>
                <w:b/>
                <w:color w:val="auto"/>
                <w:szCs w:val="21"/>
                <w:highlight w:val="none"/>
              </w:rPr>
            </w:pPr>
            <w:r>
              <w:rPr>
                <w:rFonts w:hint="eastAsia" w:hAnsi="宋体" w:cs="宋体"/>
                <w:bCs/>
                <w:color w:val="auto"/>
                <w:szCs w:val="21"/>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661" w:type="dxa"/>
            <w:vAlign w:val="center"/>
          </w:tcPr>
          <w:p>
            <w:pPr>
              <w:pStyle w:val="42"/>
              <w:spacing w:line="360" w:lineRule="auto"/>
              <w:jc w:val="center"/>
              <w:rPr>
                <w:rFonts w:hint="eastAsia" w:hAnsi="宋体" w:eastAsia="宋体" w:cs="宋体"/>
                <w:bCs/>
                <w:color w:val="auto"/>
                <w:szCs w:val="21"/>
                <w:highlight w:val="none"/>
                <w:lang w:eastAsia="zh-CN"/>
              </w:rPr>
            </w:pPr>
            <w:r>
              <w:rPr>
                <w:rFonts w:hint="eastAsia" w:hAnsi="宋体" w:cs="宋体"/>
                <w:bCs/>
                <w:color w:val="auto"/>
                <w:szCs w:val="21"/>
                <w:highlight w:val="none"/>
              </w:rPr>
              <w:t>2.</w:t>
            </w:r>
            <w:r>
              <w:rPr>
                <w:rFonts w:hint="eastAsia" w:hAnsi="宋体" w:cs="宋体"/>
                <w:bCs/>
                <w:color w:val="auto"/>
                <w:szCs w:val="21"/>
                <w:highlight w:val="none"/>
                <w:lang w:val="en-US" w:eastAsia="zh-CN"/>
              </w:rPr>
              <w:t>2</w:t>
            </w:r>
          </w:p>
        </w:tc>
        <w:tc>
          <w:tcPr>
            <w:tcW w:w="1315" w:type="dxa"/>
            <w:vAlign w:val="center"/>
          </w:tcPr>
          <w:p>
            <w:pPr>
              <w:pStyle w:val="42"/>
              <w:spacing w:line="360" w:lineRule="auto"/>
              <w:jc w:val="center"/>
              <w:rPr>
                <w:rFonts w:hAnsi="宋体" w:cs="宋体"/>
                <w:bCs/>
                <w:color w:val="auto"/>
                <w:szCs w:val="21"/>
                <w:highlight w:val="none"/>
              </w:rPr>
            </w:pPr>
            <w:r>
              <w:rPr>
                <w:rFonts w:hint="eastAsia" w:hAnsi="宋体" w:cs="宋体"/>
                <w:bCs/>
                <w:color w:val="auto"/>
                <w:szCs w:val="21"/>
                <w:highlight w:val="none"/>
                <w:lang w:val="en-US" w:eastAsia="zh-CN"/>
              </w:rPr>
              <w:t>运营及维护服务方案</w:t>
            </w:r>
          </w:p>
        </w:tc>
        <w:tc>
          <w:tcPr>
            <w:tcW w:w="5282" w:type="dxa"/>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一档（</w:t>
            </w:r>
            <w:r>
              <w:rPr>
                <w:rFonts w:hint="eastAsia" w:ascii="宋体" w:hAnsi="宋体" w:eastAsia="宋体" w:cs="宋体"/>
                <w:sz w:val="21"/>
                <w:szCs w:val="21"/>
                <w:lang w:val="en-US" w:eastAsia="zh-CN"/>
              </w:rPr>
              <w:t>0</w:t>
            </w:r>
            <w:r>
              <w:rPr>
                <w:rFonts w:hint="eastAsia" w:ascii="宋体" w:hAnsi="宋体" w:eastAsia="宋体" w:cs="宋体"/>
                <w:sz w:val="21"/>
                <w:szCs w:val="21"/>
              </w:rPr>
              <w:t>分）：方案不提供或与本项目无关；</w:t>
            </w:r>
          </w:p>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二档（5分）：</w:t>
            </w:r>
            <w:r>
              <w:rPr>
                <w:rFonts w:hint="eastAsia" w:ascii="宋体" w:hAnsi="宋体" w:eastAsia="宋体" w:cs="宋体"/>
                <w:sz w:val="21"/>
                <w:szCs w:val="21"/>
                <w:lang w:val="en-US" w:eastAsia="zh-CN"/>
              </w:rPr>
              <w:t>制定的方案</w:t>
            </w:r>
            <w:r>
              <w:rPr>
                <w:rFonts w:hint="eastAsia" w:ascii="宋体" w:hAnsi="宋体" w:cs="宋体"/>
                <w:sz w:val="21"/>
                <w:szCs w:val="21"/>
                <w:lang w:val="en-US" w:eastAsia="zh-CN"/>
              </w:rPr>
              <w:t>包含</w:t>
            </w:r>
            <w:r>
              <w:rPr>
                <w:rFonts w:hint="eastAsia" w:ascii="宋体" w:hAnsi="宋体" w:eastAsia="宋体" w:cs="宋体"/>
                <w:sz w:val="21"/>
                <w:szCs w:val="21"/>
                <w:lang w:val="en-US" w:eastAsia="zh-CN"/>
              </w:rPr>
              <w:t>运营及维保服务方案</w:t>
            </w:r>
            <w:r>
              <w:rPr>
                <w:rFonts w:hint="eastAsia" w:ascii="宋体" w:hAnsi="宋体" w:cs="宋体"/>
                <w:sz w:val="21"/>
                <w:szCs w:val="21"/>
                <w:lang w:val="en-US" w:eastAsia="zh-CN"/>
              </w:rPr>
              <w:t>、运维管理体系建设</w:t>
            </w:r>
            <w:r>
              <w:rPr>
                <w:rFonts w:hint="eastAsia" w:ascii="宋体" w:hAnsi="宋体" w:eastAsia="宋体" w:cs="宋体"/>
                <w:sz w:val="21"/>
                <w:szCs w:val="21"/>
              </w:rPr>
              <w:t xml:space="preserve">； </w:t>
            </w:r>
          </w:p>
          <w:p>
            <w:pPr>
              <w:keepNext w:val="0"/>
              <w:keepLines w:val="0"/>
              <w:pageBreakBefore w:val="0"/>
              <w:widowControl/>
              <w:kinsoku/>
              <w:wordWrap/>
              <w:overflowPunct/>
              <w:topLinePunct w:val="0"/>
              <w:bidi w:val="0"/>
              <w:snapToGrid/>
              <w:spacing w:before="100" w:beforeAutospacing="1" w:after="100" w:afterAutospacing="1" w:line="360" w:lineRule="auto"/>
              <w:contextualSpacing/>
              <w:textAlignment w:val="auto"/>
              <w:rPr>
                <w:rFonts w:hint="eastAsia" w:ascii="宋体" w:hAnsi="宋体" w:cs="宋体"/>
                <w:sz w:val="21"/>
                <w:szCs w:val="21"/>
                <w:lang w:val="en-US" w:eastAsia="zh-CN"/>
              </w:rPr>
            </w:pPr>
            <w:r>
              <w:rPr>
                <w:rFonts w:hint="eastAsia" w:ascii="宋体" w:hAnsi="宋体" w:eastAsia="宋体" w:cs="宋体"/>
                <w:sz w:val="21"/>
                <w:szCs w:val="21"/>
              </w:rPr>
              <w:t>三档（</w:t>
            </w:r>
            <w:r>
              <w:rPr>
                <w:rFonts w:hint="eastAsia" w:ascii="宋体" w:hAnsi="宋体" w:cs="宋体"/>
                <w:sz w:val="21"/>
                <w:szCs w:val="21"/>
                <w:lang w:val="en-US" w:eastAsia="zh-CN"/>
              </w:rPr>
              <w:t>10</w:t>
            </w:r>
            <w:r>
              <w:rPr>
                <w:rFonts w:hint="eastAsia" w:ascii="宋体" w:hAnsi="宋体" w:eastAsia="宋体" w:cs="宋体"/>
                <w:sz w:val="21"/>
                <w:szCs w:val="21"/>
              </w:rPr>
              <w:t>分）：</w:t>
            </w:r>
            <w:r>
              <w:rPr>
                <w:rFonts w:hint="eastAsia" w:ascii="宋体" w:hAnsi="宋体" w:eastAsia="宋体" w:cs="宋体"/>
                <w:sz w:val="21"/>
                <w:szCs w:val="21"/>
                <w:lang w:val="en-US" w:eastAsia="zh-CN"/>
              </w:rPr>
              <w:t>制定的方案包含运营及维保服务方案、运维管理体系建设</w:t>
            </w:r>
            <w:r>
              <w:rPr>
                <w:rFonts w:hint="eastAsia" w:ascii="宋体" w:hAnsi="宋体" w:cs="宋体"/>
                <w:sz w:val="21"/>
                <w:szCs w:val="21"/>
                <w:lang w:val="en-US" w:eastAsia="zh-CN"/>
              </w:rPr>
              <w:t>、明确运维团队的组织架构，设立项目管理、技术支持、现场运维等岗位，确保各环节衔接顺畅，持续优化运维流程，采用信息化手段提高管理效率，实现运维工作的标准化、流程化。</w:t>
            </w:r>
          </w:p>
          <w:p>
            <w:pPr>
              <w:keepNext w:val="0"/>
              <w:keepLines w:val="0"/>
              <w:pageBreakBefore w:val="0"/>
              <w:widowControl/>
              <w:kinsoku/>
              <w:wordWrap/>
              <w:overflowPunct/>
              <w:topLinePunct w:val="0"/>
              <w:bidi w:val="0"/>
              <w:snapToGrid/>
              <w:spacing w:before="100" w:beforeAutospacing="1" w:after="100" w:afterAutospacing="1" w:line="360" w:lineRule="auto"/>
              <w:contextualSpacing/>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四</w:t>
            </w:r>
            <w:r>
              <w:rPr>
                <w:rFonts w:hint="eastAsia" w:ascii="宋体" w:hAnsi="宋体" w:eastAsia="宋体" w:cs="宋体"/>
                <w:sz w:val="21"/>
                <w:szCs w:val="21"/>
              </w:rPr>
              <w:t>档（</w:t>
            </w:r>
            <w:r>
              <w:rPr>
                <w:rFonts w:hint="eastAsia" w:ascii="宋体" w:hAnsi="宋体" w:eastAsia="宋体" w:cs="宋体"/>
                <w:sz w:val="21"/>
                <w:szCs w:val="21"/>
                <w:lang w:val="en-US" w:eastAsia="zh-CN"/>
              </w:rPr>
              <w:t>15</w:t>
            </w:r>
            <w:r>
              <w:rPr>
                <w:rFonts w:hint="eastAsia" w:ascii="宋体" w:hAnsi="宋体" w:eastAsia="宋体" w:cs="宋体"/>
                <w:sz w:val="21"/>
                <w:szCs w:val="21"/>
              </w:rPr>
              <w:t>分）：</w:t>
            </w:r>
            <w:r>
              <w:rPr>
                <w:rFonts w:hint="eastAsia" w:ascii="宋体" w:hAnsi="宋体" w:eastAsia="宋体" w:cs="宋体"/>
                <w:sz w:val="21"/>
                <w:szCs w:val="21"/>
                <w:lang w:val="en-US" w:eastAsia="zh-CN"/>
              </w:rPr>
              <w:t>制定的方案包含运营及维保服务方案、运维管理体系建设、明确运维团队的组织架构，设立项目管理、技术支持、现场运维等岗位，确保各环节衔接顺畅，持续优化运维流程，采用信息化手段提高管理效率，实现运维工作的标准化、流程化</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建立集监控、管理、分析于一体的运维管理平台，实现运维工作的数字化、智能化</w:t>
            </w:r>
            <w:r>
              <w:rPr>
                <w:rFonts w:hint="eastAsia" w:ascii="宋体" w:hAnsi="宋体" w:eastAsia="宋体" w:cs="宋体"/>
                <w:sz w:val="21"/>
                <w:szCs w:val="21"/>
              </w:rPr>
              <w:t>。</w:t>
            </w:r>
          </w:p>
          <w:p>
            <w:pPr>
              <w:keepNext w:val="0"/>
              <w:keepLines w:val="0"/>
              <w:pageBreakBefore w:val="0"/>
              <w:widowControl/>
              <w:kinsoku/>
              <w:wordWrap/>
              <w:overflowPunct/>
              <w:topLinePunct w:val="0"/>
              <w:bidi w:val="0"/>
              <w:snapToGrid/>
              <w:spacing w:before="100" w:beforeAutospacing="1" w:after="100" w:afterAutospacing="1" w:line="360" w:lineRule="auto"/>
              <w:contextualSpacing/>
              <w:textAlignment w:val="auto"/>
              <w:rPr>
                <w:rFonts w:hint="default" w:ascii="宋体" w:hAnsi="宋体" w:eastAsia="宋体" w:cs="宋体"/>
                <w:sz w:val="21"/>
                <w:szCs w:val="21"/>
                <w:lang w:val="en-US"/>
              </w:rPr>
            </w:pPr>
            <w:r>
              <w:rPr>
                <w:rFonts w:hint="eastAsia" w:ascii="宋体" w:hAnsi="宋体" w:eastAsia="宋体" w:cs="宋体"/>
                <w:sz w:val="21"/>
                <w:szCs w:val="21"/>
                <w:lang w:val="en-US" w:eastAsia="zh-CN"/>
              </w:rPr>
              <w:t>五</w:t>
            </w:r>
            <w:r>
              <w:rPr>
                <w:rFonts w:hint="eastAsia" w:ascii="宋体" w:hAnsi="宋体" w:eastAsia="宋体" w:cs="宋体"/>
                <w:sz w:val="21"/>
                <w:szCs w:val="21"/>
              </w:rPr>
              <w:t>档（</w:t>
            </w:r>
            <w:r>
              <w:rPr>
                <w:rFonts w:hint="eastAsia" w:ascii="宋体" w:hAnsi="宋体" w:eastAsia="宋体" w:cs="宋体"/>
                <w:sz w:val="21"/>
                <w:szCs w:val="21"/>
                <w:lang w:val="en-US" w:eastAsia="zh-CN"/>
              </w:rPr>
              <w:t>20</w:t>
            </w:r>
            <w:r>
              <w:rPr>
                <w:rFonts w:hint="eastAsia" w:ascii="宋体" w:hAnsi="宋体" w:eastAsia="宋体" w:cs="宋体"/>
                <w:sz w:val="21"/>
                <w:szCs w:val="21"/>
              </w:rPr>
              <w:t>分）：</w:t>
            </w:r>
            <w:r>
              <w:rPr>
                <w:rFonts w:hint="eastAsia" w:ascii="宋体" w:hAnsi="宋体" w:eastAsia="宋体" w:cs="宋体"/>
                <w:sz w:val="21"/>
                <w:szCs w:val="21"/>
                <w:lang w:val="en-US" w:eastAsia="zh-CN"/>
              </w:rPr>
              <w:t>制定的方案包含运营及维保服务方案、运维管理体系建设、明确运维团队的组织架构，设立项目管理、技术支持、现场运维等岗位，确保各环节衔接顺畅，持续优化运维流程，采用信息化手段提高管理效率，实现运维工作的标准化、流程化、建立集监控、管理、分析于一体的运维管理平台，实现运维工作的数字化、智能化、定期更新平台数据，确保数据的准确性和时效性，对日常巡检、设备定期保养、隐患排查有相应的计划与措施。</w:t>
            </w:r>
          </w:p>
        </w:tc>
        <w:tc>
          <w:tcPr>
            <w:tcW w:w="1171" w:type="dxa"/>
            <w:vAlign w:val="center"/>
          </w:tcPr>
          <w:p>
            <w:pPr>
              <w:pStyle w:val="42"/>
              <w:spacing w:line="360" w:lineRule="auto"/>
              <w:jc w:val="center"/>
              <w:rPr>
                <w:rFonts w:hAnsi="宋体" w:cs="宋体"/>
                <w:bCs/>
                <w:color w:val="auto"/>
                <w:kern w:val="0"/>
                <w:szCs w:val="21"/>
                <w:highlight w:val="none"/>
              </w:rPr>
            </w:pPr>
            <w:r>
              <w:rPr>
                <w:rFonts w:hint="eastAsia" w:hAnsi="宋体" w:cs="宋体"/>
                <w:bCs/>
                <w:color w:val="auto"/>
                <w:kern w:val="0"/>
                <w:szCs w:val="21"/>
                <w:highlight w:val="none"/>
                <w:lang w:val="en-US" w:eastAsia="zh-CN"/>
              </w:rPr>
              <w:t>20</w:t>
            </w:r>
            <w:r>
              <w:rPr>
                <w:rFonts w:hint="eastAsia" w:hAnsi="宋体" w:cs="宋体"/>
                <w:bCs/>
                <w:color w:val="auto"/>
                <w:kern w:val="0"/>
                <w:szCs w:val="21"/>
                <w:highlight w:val="none"/>
              </w:rPr>
              <w:t>分</w:t>
            </w:r>
          </w:p>
        </w:tc>
        <w:tc>
          <w:tcPr>
            <w:tcW w:w="1180" w:type="dxa"/>
            <w:vAlign w:val="center"/>
          </w:tcPr>
          <w:p>
            <w:pPr>
              <w:pStyle w:val="42"/>
              <w:spacing w:line="360" w:lineRule="auto"/>
              <w:jc w:val="center"/>
              <w:rPr>
                <w:rFonts w:hAnsi="宋体" w:cs="宋体"/>
                <w:bCs/>
                <w:color w:val="auto"/>
                <w:szCs w:val="21"/>
                <w:highlight w:val="none"/>
              </w:rPr>
            </w:pPr>
            <w:r>
              <w:rPr>
                <w:rFonts w:hint="eastAsia" w:hAnsi="宋体" w:cs="宋体"/>
                <w:bCs/>
                <w:color w:val="auto"/>
                <w:szCs w:val="21"/>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661" w:type="dxa"/>
            <w:vAlign w:val="center"/>
          </w:tcPr>
          <w:p>
            <w:pPr>
              <w:pStyle w:val="42"/>
              <w:spacing w:line="360" w:lineRule="auto"/>
              <w:jc w:val="center"/>
              <w:rPr>
                <w:rFonts w:hint="eastAsia" w:hAnsi="宋体" w:eastAsia="宋体" w:cs="宋体"/>
                <w:bCs/>
                <w:color w:val="auto"/>
                <w:szCs w:val="21"/>
                <w:highlight w:val="none"/>
                <w:lang w:eastAsia="zh-CN"/>
              </w:rPr>
            </w:pPr>
            <w:r>
              <w:rPr>
                <w:rFonts w:hint="eastAsia" w:hAnsi="宋体" w:cs="宋体"/>
                <w:bCs/>
                <w:color w:val="auto"/>
                <w:szCs w:val="21"/>
                <w:highlight w:val="none"/>
              </w:rPr>
              <w:t>2.</w:t>
            </w:r>
            <w:r>
              <w:rPr>
                <w:rFonts w:hint="eastAsia" w:hAnsi="宋体" w:cs="宋体"/>
                <w:bCs/>
                <w:color w:val="auto"/>
                <w:szCs w:val="21"/>
                <w:highlight w:val="none"/>
                <w:lang w:val="en-US" w:eastAsia="zh-CN"/>
              </w:rPr>
              <w:t>3</w:t>
            </w:r>
          </w:p>
        </w:tc>
        <w:tc>
          <w:tcPr>
            <w:tcW w:w="1315" w:type="dxa"/>
            <w:vAlign w:val="center"/>
          </w:tcPr>
          <w:p>
            <w:pPr>
              <w:pStyle w:val="42"/>
              <w:spacing w:line="360" w:lineRule="auto"/>
              <w:jc w:val="center"/>
              <w:rPr>
                <w:rFonts w:hAnsi="宋体" w:cs="宋体"/>
                <w:bCs/>
                <w:color w:val="auto"/>
                <w:szCs w:val="21"/>
                <w:highlight w:val="none"/>
              </w:rPr>
            </w:pPr>
            <w:r>
              <w:rPr>
                <w:rFonts w:hint="eastAsia" w:hAnsi="宋体" w:cs="宋体"/>
                <w:bCs/>
                <w:color w:val="auto"/>
                <w:szCs w:val="21"/>
                <w:highlight w:val="none"/>
                <w:lang w:val="en-US" w:eastAsia="zh-CN"/>
              </w:rPr>
              <w:t>环境保护措施方案</w:t>
            </w:r>
          </w:p>
        </w:tc>
        <w:tc>
          <w:tcPr>
            <w:tcW w:w="5282" w:type="dxa"/>
          </w:tcPr>
          <w:p>
            <w:pPr>
              <w:pStyle w:val="6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Ansi="宋体" w:cs="宋体"/>
                <w:color w:val="auto"/>
                <w:highlight w:val="none"/>
              </w:rPr>
            </w:pPr>
            <w:r>
              <w:rPr>
                <w:rFonts w:hint="eastAsia" w:hAnsi="宋体" w:cs="宋体"/>
                <w:color w:val="auto"/>
                <w:highlight w:val="none"/>
                <w:lang w:val="en-US" w:eastAsia="zh-CN"/>
              </w:rPr>
              <w:t>根据投标人提供的的“环境保护措施”内容（环境保护措施至少要包含：根据设备对通风、除臭控制、噪声控制、污泥、废渣的控制等因素的处理等方面内容）</w:t>
            </w:r>
            <w:r>
              <w:rPr>
                <w:rFonts w:hint="eastAsia" w:hAnsi="宋体" w:cs="宋体"/>
                <w:color w:val="auto"/>
                <w:highlight w:val="none"/>
              </w:rPr>
              <w:t>进行评审</w:t>
            </w:r>
            <w:r>
              <w:rPr>
                <w:rFonts w:hint="eastAsia" w:hAnsi="宋体" w:cs="宋体"/>
                <w:color w:val="auto"/>
                <w:highlight w:val="none"/>
                <w:lang w:eastAsia="zh-CN"/>
              </w:rPr>
              <w:t>并打分</w:t>
            </w:r>
            <w:r>
              <w:rPr>
                <w:rFonts w:hint="eastAsia" w:hAnsi="宋体" w:cs="宋体"/>
                <w:color w:val="auto"/>
                <w:highlight w:val="none"/>
                <w:lang w:val="en-US" w:eastAsia="zh-CN"/>
              </w:rPr>
              <w:t>。</w:t>
            </w:r>
          </w:p>
          <w:p>
            <w:pPr>
              <w:pStyle w:val="6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Ansi="宋体" w:cs="宋体"/>
                <w:color w:val="auto"/>
                <w:highlight w:val="none"/>
              </w:rPr>
            </w:pPr>
            <w:r>
              <w:rPr>
                <w:rFonts w:hint="eastAsia" w:hAnsi="宋体" w:cs="宋体"/>
                <w:color w:val="auto"/>
                <w:highlight w:val="none"/>
              </w:rPr>
              <w:t>一档（</w:t>
            </w:r>
            <w:r>
              <w:rPr>
                <w:rFonts w:hint="eastAsia" w:hAnsi="宋体" w:cs="宋体"/>
                <w:color w:val="auto"/>
                <w:highlight w:val="none"/>
                <w:lang w:val="en-US" w:eastAsia="zh-CN"/>
              </w:rPr>
              <w:t>0</w:t>
            </w:r>
            <w:r>
              <w:rPr>
                <w:rFonts w:hint="eastAsia" w:hAnsi="宋体" w:cs="宋体"/>
                <w:color w:val="auto"/>
                <w:highlight w:val="none"/>
              </w:rPr>
              <w:t>分）：方案不提供或与本项目无关；</w:t>
            </w:r>
          </w:p>
          <w:p>
            <w:pPr>
              <w:pStyle w:val="6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Ansi="宋体" w:cs="宋体"/>
                <w:color w:val="auto"/>
                <w:highlight w:val="none"/>
              </w:rPr>
            </w:pPr>
            <w:r>
              <w:rPr>
                <w:rFonts w:hint="eastAsia" w:hAnsi="宋体" w:cs="宋体"/>
                <w:color w:val="auto"/>
                <w:highlight w:val="none"/>
                <w:lang w:val="en-US" w:eastAsia="zh-CN"/>
              </w:rPr>
              <w:t>二</w:t>
            </w:r>
            <w:r>
              <w:rPr>
                <w:rFonts w:hint="eastAsia" w:hAnsi="宋体" w:cs="宋体"/>
                <w:color w:val="auto"/>
                <w:highlight w:val="none"/>
              </w:rPr>
              <w:t>档（</w:t>
            </w:r>
            <w:r>
              <w:rPr>
                <w:rFonts w:hint="eastAsia" w:hAnsi="宋体" w:cs="宋体"/>
                <w:color w:val="auto"/>
                <w:highlight w:val="none"/>
                <w:lang w:val="en-US" w:eastAsia="zh-CN"/>
              </w:rPr>
              <w:t>5</w:t>
            </w:r>
            <w:r>
              <w:rPr>
                <w:rFonts w:hint="eastAsia" w:hAnsi="宋体" w:cs="宋体"/>
                <w:color w:val="auto"/>
                <w:highlight w:val="none"/>
              </w:rPr>
              <w:t>分）：</w:t>
            </w:r>
            <w:r>
              <w:rPr>
                <w:rFonts w:hint="eastAsia" w:hAnsi="宋体" w:cs="宋体"/>
                <w:color w:val="auto"/>
                <w:highlight w:val="none"/>
                <w:lang w:val="en-US" w:eastAsia="zh-CN"/>
              </w:rPr>
              <w:t>环境保护措施至少要包含:处理设备对通风、除臭控制、噪声控制、污泥、废渣的控制等因素的处理等内容，内容简单且有 2 项及以上的缺项，内容基本符合本项目情况的</w:t>
            </w:r>
            <w:r>
              <w:rPr>
                <w:rFonts w:hint="eastAsia" w:hAnsi="宋体" w:cs="宋体"/>
                <w:color w:val="auto"/>
                <w:highlight w:val="none"/>
              </w:rPr>
              <w:t>；</w:t>
            </w:r>
          </w:p>
          <w:p>
            <w:pPr>
              <w:pStyle w:val="6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Ansi="宋体" w:cs="宋体"/>
                <w:color w:val="auto"/>
                <w:highlight w:val="none"/>
              </w:rPr>
            </w:pPr>
            <w:r>
              <w:rPr>
                <w:rFonts w:hint="eastAsia" w:hAnsi="宋体" w:cs="宋体"/>
                <w:color w:val="auto"/>
                <w:highlight w:val="none"/>
                <w:lang w:val="en-US" w:eastAsia="zh-CN"/>
              </w:rPr>
              <w:t>三</w:t>
            </w:r>
            <w:r>
              <w:rPr>
                <w:rFonts w:hint="eastAsia" w:hAnsi="宋体" w:cs="宋体"/>
                <w:color w:val="auto"/>
                <w:highlight w:val="none"/>
              </w:rPr>
              <w:t>档（</w:t>
            </w:r>
            <w:r>
              <w:rPr>
                <w:rFonts w:hint="eastAsia" w:hAnsi="宋体" w:cs="宋体"/>
                <w:color w:val="auto"/>
                <w:highlight w:val="none"/>
                <w:lang w:val="en-US" w:eastAsia="zh-CN"/>
              </w:rPr>
              <w:t>10</w:t>
            </w:r>
            <w:r>
              <w:rPr>
                <w:rFonts w:hint="eastAsia" w:hAnsi="宋体" w:cs="宋体"/>
                <w:color w:val="auto"/>
                <w:highlight w:val="none"/>
              </w:rPr>
              <w:t>分）：</w:t>
            </w:r>
            <w:r>
              <w:rPr>
                <w:rFonts w:hint="eastAsia" w:hAnsi="宋体" w:cs="宋体"/>
                <w:color w:val="auto"/>
                <w:highlight w:val="none"/>
                <w:lang w:val="en-US" w:eastAsia="zh-CN"/>
              </w:rPr>
              <w:t>环境保护措施至少要包含处理设备对通风、除臭控制、噪声控制、污泥、废渣的控制等因素的处理等内容，内容比较完整，只有 1 项缺项，符合项目的基本情况的</w:t>
            </w:r>
            <w:r>
              <w:rPr>
                <w:rFonts w:hint="eastAsia" w:hAnsi="宋体" w:cs="宋体"/>
                <w:color w:val="auto"/>
                <w:highlight w:val="none"/>
              </w:rPr>
              <w:t xml:space="preserve">； </w:t>
            </w:r>
          </w:p>
          <w:p>
            <w:pPr>
              <w:pStyle w:val="6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Ansi="宋体" w:cs="宋体"/>
                <w:color w:val="auto"/>
                <w:highlight w:val="none"/>
              </w:rPr>
            </w:pPr>
            <w:r>
              <w:rPr>
                <w:rFonts w:hint="eastAsia" w:hAnsi="宋体" w:cs="宋体"/>
                <w:color w:val="auto"/>
                <w:highlight w:val="none"/>
                <w:lang w:val="en-US" w:eastAsia="zh-CN"/>
              </w:rPr>
              <w:t>四</w:t>
            </w:r>
            <w:r>
              <w:rPr>
                <w:rFonts w:hint="eastAsia" w:hAnsi="宋体" w:cs="宋体"/>
                <w:color w:val="auto"/>
                <w:highlight w:val="none"/>
              </w:rPr>
              <w:t>档（</w:t>
            </w:r>
            <w:r>
              <w:rPr>
                <w:rFonts w:hint="eastAsia" w:hAnsi="宋体" w:cs="宋体"/>
                <w:color w:val="auto"/>
                <w:highlight w:val="none"/>
                <w:lang w:val="en-US" w:eastAsia="zh-CN"/>
              </w:rPr>
              <w:t>15</w:t>
            </w:r>
            <w:r>
              <w:rPr>
                <w:rFonts w:hint="eastAsia" w:hAnsi="宋体" w:cs="宋体"/>
                <w:color w:val="auto"/>
                <w:highlight w:val="none"/>
              </w:rPr>
              <w:t>分）：</w:t>
            </w:r>
            <w:r>
              <w:rPr>
                <w:rFonts w:hint="eastAsia" w:hAnsi="宋体" w:cs="宋体"/>
                <w:color w:val="auto"/>
                <w:highlight w:val="none"/>
                <w:lang w:val="en-US" w:eastAsia="zh-CN"/>
              </w:rPr>
              <w:t>环境保护措施至少要包含处理设备对通风、除臭控制、噪声控制、污泥、废渣的控制等因素的处理等内容，内容完整，没有缺项，具有针对性的</w:t>
            </w:r>
            <w:r>
              <w:rPr>
                <w:rFonts w:hint="eastAsia" w:hAnsi="宋体" w:cs="宋体"/>
                <w:color w:val="auto"/>
                <w:highlight w:val="none"/>
              </w:rPr>
              <w:t>。</w:t>
            </w:r>
          </w:p>
          <w:p>
            <w:pPr>
              <w:pStyle w:val="6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Ansi="宋体" w:cs="宋体"/>
                <w:color w:val="auto"/>
                <w:highlight w:val="none"/>
              </w:rPr>
            </w:pPr>
            <w:r>
              <w:rPr>
                <w:rFonts w:hint="eastAsia" w:hAnsi="宋体" w:cs="宋体"/>
                <w:color w:val="auto"/>
                <w:highlight w:val="none"/>
                <w:lang w:val="en-US" w:eastAsia="zh-CN"/>
              </w:rPr>
              <w:t>五档（20分）：环境保护措施至少要包含处理设备对通风、除臭控制、噪声控制、污泥、废渣的控制等因素的处理等内容，内容完整全面，重点突出，可操作性及针对性强的</w:t>
            </w:r>
          </w:p>
        </w:tc>
        <w:tc>
          <w:tcPr>
            <w:tcW w:w="1171" w:type="dxa"/>
            <w:vAlign w:val="center"/>
          </w:tcPr>
          <w:p>
            <w:pPr>
              <w:pStyle w:val="42"/>
              <w:spacing w:line="360" w:lineRule="auto"/>
              <w:jc w:val="center"/>
              <w:rPr>
                <w:rFonts w:hAnsi="宋体" w:cs="宋体"/>
                <w:bCs/>
                <w:color w:val="auto"/>
                <w:kern w:val="0"/>
                <w:szCs w:val="21"/>
                <w:highlight w:val="none"/>
              </w:rPr>
            </w:pPr>
            <w:r>
              <w:rPr>
                <w:rFonts w:hint="eastAsia" w:hAnsi="宋体" w:cs="宋体"/>
                <w:bCs/>
                <w:color w:val="auto"/>
                <w:kern w:val="0"/>
                <w:szCs w:val="21"/>
                <w:highlight w:val="none"/>
                <w:lang w:val="en-US" w:eastAsia="zh-CN"/>
              </w:rPr>
              <w:t>20</w:t>
            </w:r>
            <w:r>
              <w:rPr>
                <w:rFonts w:hint="eastAsia" w:hAnsi="宋体" w:cs="宋体"/>
                <w:bCs/>
                <w:color w:val="auto"/>
                <w:kern w:val="0"/>
                <w:szCs w:val="21"/>
                <w:highlight w:val="none"/>
              </w:rPr>
              <w:t>分</w:t>
            </w:r>
          </w:p>
        </w:tc>
        <w:tc>
          <w:tcPr>
            <w:tcW w:w="1180" w:type="dxa"/>
            <w:vAlign w:val="center"/>
          </w:tcPr>
          <w:p>
            <w:pPr>
              <w:pStyle w:val="42"/>
              <w:spacing w:line="360" w:lineRule="auto"/>
              <w:jc w:val="center"/>
              <w:rPr>
                <w:rFonts w:hAnsi="宋体" w:cs="宋体"/>
                <w:bCs/>
                <w:color w:val="auto"/>
                <w:szCs w:val="21"/>
                <w:highlight w:val="none"/>
              </w:rPr>
            </w:pPr>
            <w:r>
              <w:rPr>
                <w:rFonts w:hint="eastAsia" w:hAnsi="宋体" w:cs="宋体"/>
                <w:bCs/>
                <w:color w:val="auto"/>
                <w:szCs w:val="21"/>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661" w:type="dxa"/>
            <w:vAlign w:val="center"/>
          </w:tcPr>
          <w:p>
            <w:pPr>
              <w:spacing w:line="360" w:lineRule="auto"/>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4</w:t>
            </w:r>
          </w:p>
        </w:tc>
        <w:tc>
          <w:tcPr>
            <w:tcW w:w="1315" w:type="dxa"/>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服务质量保障措施</w:t>
            </w:r>
          </w:p>
        </w:tc>
        <w:tc>
          <w:tcPr>
            <w:tcW w:w="5282" w:type="dxa"/>
            <w:vAlign w:val="center"/>
          </w:tcPr>
          <w:p>
            <w:pPr>
              <w:spacing w:line="400" w:lineRule="exact"/>
              <w:jc w:val="left"/>
              <w:rPr>
                <w:rFonts w:hint="eastAsia" w:ascii="宋体" w:hAnsi="宋体" w:eastAsia="宋体" w:cs="宋体"/>
                <w:color w:val="auto"/>
                <w:highlight w:val="none"/>
                <w:lang w:eastAsia="zh-CN"/>
              </w:rPr>
            </w:pPr>
            <w:r>
              <w:rPr>
                <w:rFonts w:hint="eastAsia" w:ascii="宋体" w:hAnsi="宋体" w:cs="宋体"/>
                <w:color w:val="auto"/>
                <w:highlight w:val="none"/>
              </w:rPr>
              <w:t>一档（</w:t>
            </w:r>
            <w:r>
              <w:rPr>
                <w:rFonts w:hint="eastAsia" w:ascii="宋体" w:hAnsi="宋体" w:cs="宋体"/>
                <w:color w:val="auto"/>
                <w:highlight w:val="none"/>
                <w:lang w:val="en-US" w:eastAsia="zh-CN"/>
              </w:rPr>
              <w:t>0</w:t>
            </w:r>
            <w:r>
              <w:rPr>
                <w:rFonts w:hint="eastAsia" w:ascii="宋体" w:hAnsi="宋体" w:cs="宋体"/>
                <w:color w:val="auto"/>
                <w:highlight w:val="none"/>
              </w:rPr>
              <w:t>分）：</w:t>
            </w:r>
            <w:r>
              <w:rPr>
                <w:rFonts w:hint="eastAsia"/>
              </w:rPr>
              <w:t>未提供服务质量保障措施</w:t>
            </w:r>
            <w:r>
              <w:rPr>
                <w:rFonts w:hint="eastAsia"/>
                <w:lang w:eastAsia="zh-CN"/>
              </w:rPr>
              <w:t>；</w:t>
            </w:r>
          </w:p>
          <w:p>
            <w:pPr>
              <w:spacing w:line="400" w:lineRule="exact"/>
              <w:jc w:val="left"/>
              <w:rPr>
                <w:rFonts w:hint="eastAsia" w:ascii="宋体" w:hAnsi="宋体" w:cs="宋体"/>
                <w:color w:val="auto"/>
                <w:highlight w:val="none"/>
              </w:rPr>
            </w:pPr>
            <w:r>
              <w:rPr>
                <w:rFonts w:hint="eastAsia" w:ascii="宋体" w:hAnsi="宋体" w:cs="宋体"/>
                <w:color w:val="auto"/>
                <w:highlight w:val="none"/>
              </w:rPr>
              <w:t>二档（</w:t>
            </w:r>
            <w:r>
              <w:rPr>
                <w:rFonts w:hint="eastAsia" w:ascii="宋体" w:hAnsi="宋体" w:cs="宋体"/>
                <w:color w:val="auto"/>
                <w:highlight w:val="none"/>
                <w:lang w:val="en-US" w:eastAsia="zh-CN"/>
              </w:rPr>
              <w:t>5</w:t>
            </w:r>
            <w:r>
              <w:rPr>
                <w:rFonts w:hint="eastAsia" w:ascii="宋体" w:hAnsi="宋体" w:cs="宋体"/>
                <w:color w:val="auto"/>
                <w:highlight w:val="none"/>
              </w:rPr>
              <w:t>分）：</w:t>
            </w:r>
            <w:r>
              <w:rPr>
                <w:rFonts w:hint="eastAsia" w:ascii="宋体" w:hAnsi="宋体" w:cs="宋体"/>
                <w:color w:val="auto"/>
                <w:highlight w:val="none"/>
                <w:lang w:val="en-US" w:eastAsia="zh-CN"/>
              </w:rPr>
              <w:t>有</w:t>
            </w:r>
            <w:r>
              <w:rPr>
                <w:rFonts w:hint="eastAsia"/>
              </w:rPr>
              <w:t>质量保障体系</w:t>
            </w:r>
            <w:r>
              <w:rPr>
                <w:rFonts w:hint="eastAsia" w:ascii="宋体" w:hAnsi="宋体" w:cs="宋体"/>
                <w:color w:val="auto"/>
                <w:highlight w:val="none"/>
                <w:lang w:eastAsia="zh-CN"/>
              </w:rPr>
              <w:t>、</w:t>
            </w:r>
            <w:r>
              <w:rPr>
                <w:rFonts w:hint="eastAsia" w:ascii="宋体" w:hAnsi="宋体" w:cs="宋体"/>
                <w:color w:val="auto"/>
                <w:highlight w:val="none"/>
              </w:rPr>
              <w:t>质量保证及质量承诺；</w:t>
            </w:r>
          </w:p>
          <w:p>
            <w:pPr>
              <w:spacing w:line="400" w:lineRule="exact"/>
              <w:jc w:val="left"/>
              <w:rPr>
                <w:rFonts w:hint="eastAsia" w:ascii="宋体" w:hAnsi="宋体" w:cs="宋体"/>
                <w:color w:val="auto"/>
                <w:highlight w:val="none"/>
              </w:rPr>
            </w:pPr>
            <w:r>
              <w:rPr>
                <w:rFonts w:hint="eastAsia" w:ascii="宋体" w:hAnsi="宋体" w:cs="宋体"/>
                <w:color w:val="auto"/>
                <w:highlight w:val="none"/>
                <w:lang w:val="en-US" w:eastAsia="zh-CN"/>
              </w:rPr>
              <w:t>三</w:t>
            </w:r>
            <w:r>
              <w:rPr>
                <w:rFonts w:hint="eastAsia" w:ascii="宋体" w:hAnsi="宋体" w:cs="宋体"/>
                <w:color w:val="auto"/>
                <w:highlight w:val="none"/>
              </w:rPr>
              <w:t>档（</w:t>
            </w:r>
            <w:r>
              <w:rPr>
                <w:rFonts w:hint="eastAsia" w:ascii="宋体" w:hAnsi="宋体" w:cs="宋体"/>
                <w:color w:val="auto"/>
                <w:highlight w:val="none"/>
                <w:lang w:val="en-US" w:eastAsia="zh-CN"/>
              </w:rPr>
              <w:t>8</w:t>
            </w:r>
            <w:r>
              <w:rPr>
                <w:rFonts w:hint="eastAsia" w:ascii="宋体" w:hAnsi="宋体" w:cs="宋体"/>
                <w:color w:val="auto"/>
                <w:highlight w:val="none"/>
              </w:rPr>
              <w:t>分）：有质量管理制度和措施</w:t>
            </w:r>
            <w:r>
              <w:rPr>
                <w:rFonts w:hint="eastAsia" w:ascii="宋体" w:hAnsi="宋体" w:cs="宋体"/>
                <w:color w:val="auto"/>
                <w:highlight w:val="none"/>
                <w:lang w:eastAsia="zh-CN"/>
              </w:rPr>
              <w:t>，</w:t>
            </w:r>
            <w:r>
              <w:rPr>
                <w:rFonts w:hint="eastAsia"/>
              </w:rPr>
              <w:t>可控的项目进度计划</w:t>
            </w:r>
            <w:r>
              <w:rPr>
                <w:rFonts w:hint="eastAsia"/>
                <w:lang w:eastAsia="zh-CN"/>
              </w:rPr>
              <w:t>、</w:t>
            </w:r>
            <w:r>
              <w:rPr>
                <w:rFonts w:hint="eastAsia"/>
              </w:rPr>
              <w:t>技术保障措施</w:t>
            </w:r>
            <w:r>
              <w:rPr>
                <w:rFonts w:hint="eastAsia"/>
                <w:lang w:eastAsia="zh-CN"/>
              </w:rPr>
              <w:t>、</w:t>
            </w:r>
            <w:r>
              <w:rPr>
                <w:rFonts w:hint="eastAsia"/>
              </w:rPr>
              <w:t>进度管理体系</w:t>
            </w:r>
            <w:r>
              <w:rPr>
                <w:rFonts w:hint="eastAsia" w:ascii="宋体" w:hAnsi="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color w:val="auto"/>
                <w:szCs w:val="21"/>
                <w:highlight w:val="none"/>
              </w:rPr>
            </w:pPr>
            <w:r>
              <w:rPr>
                <w:rFonts w:hint="eastAsia" w:ascii="宋体" w:hAnsi="宋体" w:cs="宋体"/>
                <w:color w:val="auto"/>
                <w:highlight w:val="none"/>
                <w:lang w:val="en-US" w:eastAsia="zh-CN"/>
              </w:rPr>
              <w:t>四</w:t>
            </w:r>
            <w:r>
              <w:rPr>
                <w:rFonts w:hint="eastAsia" w:ascii="宋体" w:hAnsi="宋体" w:cs="宋体"/>
                <w:color w:val="auto"/>
                <w:highlight w:val="none"/>
              </w:rPr>
              <w:t>档（</w:t>
            </w:r>
            <w:r>
              <w:rPr>
                <w:rFonts w:hint="eastAsia" w:ascii="宋体" w:hAnsi="宋体" w:cs="宋体"/>
                <w:color w:val="auto"/>
                <w:highlight w:val="none"/>
                <w:lang w:val="en-US" w:eastAsia="zh-CN"/>
              </w:rPr>
              <w:t>10</w:t>
            </w:r>
            <w:r>
              <w:rPr>
                <w:rFonts w:hint="eastAsia" w:ascii="宋体" w:hAnsi="宋体" w:cs="宋体"/>
                <w:color w:val="auto"/>
                <w:highlight w:val="none"/>
              </w:rPr>
              <w:t>分）：有质量管理制度和措施，建立过程检查制度和多级别审核制度；有技术培训、质量意识教育，质量保障体系清晰合理，质量控制措施完善有效，质量审核程序规范严谨；相关制度完善，措施到位，具有针对性的廉洁承诺及服务质量承诺</w:t>
            </w:r>
            <w:r>
              <w:rPr>
                <w:rFonts w:hint="eastAsia" w:ascii="宋体" w:hAnsi="宋体" w:cs="宋体"/>
                <w:color w:val="auto"/>
                <w:highlight w:val="none"/>
                <w:lang w:eastAsia="zh-CN"/>
              </w:rPr>
              <w:t>。</w:t>
            </w:r>
          </w:p>
        </w:tc>
        <w:tc>
          <w:tcPr>
            <w:tcW w:w="1171" w:type="dxa"/>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p>
        </w:tc>
        <w:tc>
          <w:tcPr>
            <w:tcW w:w="1180" w:type="dxa"/>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661" w:type="dxa"/>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1315" w:type="dxa"/>
            <w:vAlign w:val="center"/>
          </w:tcPr>
          <w:p>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商务分</w:t>
            </w:r>
          </w:p>
        </w:tc>
        <w:tc>
          <w:tcPr>
            <w:tcW w:w="5282" w:type="dxa"/>
          </w:tcPr>
          <w:p>
            <w:pPr>
              <w:pStyle w:val="42"/>
              <w:spacing w:line="360" w:lineRule="auto"/>
              <w:jc w:val="center"/>
              <w:rPr>
                <w:rFonts w:hAnsi="宋体" w:cs="宋体"/>
                <w:b/>
                <w:color w:val="auto"/>
                <w:kern w:val="0"/>
                <w:szCs w:val="21"/>
                <w:highlight w:val="none"/>
              </w:rPr>
            </w:pPr>
            <w:r>
              <w:rPr>
                <w:rFonts w:hint="eastAsia" w:hAnsi="宋体" w:cs="宋体"/>
                <w:b/>
                <w:color w:val="auto"/>
                <w:kern w:val="0"/>
                <w:szCs w:val="21"/>
                <w:highlight w:val="none"/>
              </w:rPr>
              <w:t>评审因素具体内容</w:t>
            </w:r>
          </w:p>
        </w:tc>
        <w:tc>
          <w:tcPr>
            <w:tcW w:w="1171" w:type="dxa"/>
            <w:vAlign w:val="center"/>
          </w:tcPr>
          <w:p>
            <w:pPr>
              <w:pStyle w:val="42"/>
              <w:spacing w:line="360" w:lineRule="auto"/>
              <w:jc w:val="center"/>
              <w:rPr>
                <w:rFonts w:hAnsi="宋体" w:cs="宋体"/>
                <w:b/>
                <w:color w:val="auto"/>
                <w:szCs w:val="21"/>
                <w:highlight w:val="none"/>
              </w:rPr>
            </w:pPr>
            <w:r>
              <w:rPr>
                <w:rFonts w:hint="eastAsia" w:hAnsi="宋体" w:cs="宋体"/>
                <w:b/>
                <w:color w:val="auto"/>
                <w:szCs w:val="21"/>
                <w:highlight w:val="none"/>
              </w:rPr>
              <w:t>分值</w:t>
            </w:r>
          </w:p>
        </w:tc>
        <w:tc>
          <w:tcPr>
            <w:tcW w:w="1180" w:type="dxa"/>
            <w:vAlign w:val="center"/>
          </w:tcPr>
          <w:p>
            <w:pPr>
              <w:pStyle w:val="42"/>
              <w:spacing w:line="360" w:lineRule="auto"/>
              <w:jc w:val="center"/>
              <w:rPr>
                <w:rFonts w:hAnsi="宋体" w:cs="宋体"/>
                <w:b/>
                <w:color w:val="auto"/>
                <w:szCs w:val="21"/>
                <w:highlight w:val="none"/>
              </w:rPr>
            </w:pPr>
            <w:r>
              <w:rPr>
                <w:rFonts w:hint="eastAsia" w:hAnsi="宋体" w:cs="宋体"/>
                <w:b/>
                <w:color w:val="auto"/>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9" w:hRule="atLeast"/>
          <w:jc w:val="center"/>
        </w:trPr>
        <w:tc>
          <w:tcPr>
            <w:tcW w:w="66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131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eastAsia="zh-CN"/>
              </w:rPr>
              <w:t>拟投入人员</w:t>
            </w:r>
          </w:p>
        </w:tc>
        <w:tc>
          <w:tcPr>
            <w:tcW w:w="5282" w:type="dxa"/>
            <w:vAlign w:val="center"/>
          </w:tcPr>
          <w:p>
            <w:pPr>
              <w:pStyle w:val="51"/>
              <w:keepNext w:val="0"/>
              <w:keepLines w:val="0"/>
              <w:pageBreakBefore w:val="0"/>
              <w:widowControl w:val="0"/>
              <w:tabs>
                <w:tab w:val="clear" w:pos="4153"/>
                <w:tab w:val="clear" w:pos="8306"/>
              </w:tabs>
              <w:kinsoku/>
              <w:wordWrap/>
              <w:overflowPunct/>
              <w:topLinePunct w:val="0"/>
              <w:autoSpaceDE/>
              <w:autoSpaceDN/>
              <w:bidi w:val="0"/>
              <w:adjustRightInd/>
              <w:snapToGrid w:val="0"/>
              <w:spacing w:line="360"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符合本项目最低人员要求（项目负责人需具有环保或给排水专业中级或以上职称；项目运维团队中应有不少于3名本科学历以上的工程技术人员，并提供毕业证书、技术职称证书），同时满足下列条件：</w:t>
            </w:r>
          </w:p>
          <w:p>
            <w:pPr>
              <w:pStyle w:val="51"/>
              <w:keepNext w:val="0"/>
              <w:keepLines w:val="0"/>
              <w:pageBreakBefore w:val="0"/>
              <w:widowControl w:val="0"/>
              <w:tabs>
                <w:tab w:val="clear" w:pos="4153"/>
                <w:tab w:val="clear" w:pos="8306"/>
              </w:tabs>
              <w:kinsoku/>
              <w:wordWrap/>
              <w:overflowPunct/>
              <w:topLinePunct w:val="0"/>
              <w:autoSpaceDE/>
              <w:autoSpaceDN/>
              <w:bidi w:val="0"/>
              <w:adjustRightInd/>
              <w:snapToGrid w:val="0"/>
              <w:spacing w:line="360"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1.拟投入本项目的项目负责人：（满分 5 分）；</w:t>
            </w:r>
          </w:p>
          <w:p>
            <w:pPr>
              <w:pStyle w:val="51"/>
              <w:keepNext w:val="0"/>
              <w:keepLines w:val="0"/>
              <w:pageBreakBefore w:val="0"/>
              <w:widowControl w:val="0"/>
              <w:tabs>
                <w:tab w:val="clear" w:pos="4153"/>
                <w:tab w:val="clear" w:pos="8306"/>
              </w:tabs>
              <w:kinsoku/>
              <w:wordWrap/>
              <w:overflowPunct/>
              <w:topLinePunct w:val="0"/>
              <w:autoSpaceDE/>
              <w:autoSpaceDN/>
              <w:bidi w:val="0"/>
              <w:adjustRightInd/>
              <w:snapToGrid w:val="0"/>
              <w:spacing w:line="360"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（1）具有本科（含）以上学历 2 分；</w:t>
            </w:r>
          </w:p>
          <w:p>
            <w:pPr>
              <w:pStyle w:val="51"/>
              <w:keepNext w:val="0"/>
              <w:keepLines w:val="0"/>
              <w:pageBreakBefore w:val="0"/>
              <w:widowControl w:val="0"/>
              <w:tabs>
                <w:tab w:val="clear" w:pos="4153"/>
                <w:tab w:val="clear" w:pos="8306"/>
              </w:tabs>
              <w:kinsoku/>
              <w:wordWrap/>
              <w:overflowPunct/>
              <w:topLinePunct w:val="0"/>
              <w:autoSpaceDE/>
              <w:autoSpaceDN/>
              <w:bidi w:val="0"/>
              <w:adjustRightInd/>
              <w:snapToGrid w:val="0"/>
              <w:spacing w:line="360"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（2）具有环保或给排水专业高级职称的得3分。</w:t>
            </w:r>
          </w:p>
          <w:p>
            <w:pPr>
              <w:pStyle w:val="51"/>
              <w:keepNext w:val="0"/>
              <w:keepLines w:val="0"/>
              <w:pageBreakBefore w:val="0"/>
              <w:widowControl w:val="0"/>
              <w:tabs>
                <w:tab w:val="clear" w:pos="4153"/>
                <w:tab w:val="clear" w:pos="8306"/>
              </w:tabs>
              <w:kinsoku/>
              <w:wordWrap/>
              <w:overflowPunct/>
              <w:topLinePunct w:val="0"/>
              <w:autoSpaceDE/>
              <w:autoSpaceDN/>
              <w:bidi w:val="0"/>
              <w:adjustRightInd/>
              <w:snapToGrid w:val="0"/>
              <w:spacing w:line="360"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注：需提供供应商为本项目的负责人缴纳近半年内连续3个月依法缴纳社保费的缴费凭证</w:t>
            </w:r>
            <w:r>
              <w:rPr>
                <w:rFonts w:hint="eastAsia" w:ascii="宋体" w:hAnsi="宋体" w:cs="宋体"/>
                <w:color w:val="auto"/>
                <w:sz w:val="21"/>
                <w:szCs w:val="21"/>
                <w:highlight w:val="none"/>
                <w:lang w:val="en-US" w:eastAsia="zh-CN"/>
              </w:rPr>
              <w:t>或劳动合同</w:t>
            </w:r>
            <w:r>
              <w:rPr>
                <w:rFonts w:hint="eastAsia" w:ascii="宋体" w:hAnsi="宋体" w:cs="宋体"/>
                <w:color w:val="auto"/>
                <w:sz w:val="21"/>
                <w:szCs w:val="21"/>
                <w:highlight w:val="none"/>
                <w:lang w:eastAsia="zh-CN"/>
              </w:rPr>
              <w:t>复印件，否则该项不得分。</w:t>
            </w:r>
          </w:p>
          <w:p>
            <w:pPr>
              <w:pStyle w:val="51"/>
              <w:tabs>
                <w:tab w:val="clear" w:pos="4153"/>
                <w:tab w:val="clear" w:pos="8306"/>
              </w:tabs>
              <w:spacing w:line="312"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拟投入团队人员（满分</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5 分）：项目运维团队本科学历以上的工程技术人员人</w:t>
            </w:r>
            <w:r>
              <w:rPr>
                <w:rFonts w:hint="eastAsia" w:ascii="宋体" w:hAnsi="宋体" w:cs="宋体"/>
                <w:color w:val="auto"/>
                <w:sz w:val="21"/>
                <w:szCs w:val="21"/>
                <w:highlight w:val="none"/>
                <w:lang w:val="en-US" w:eastAsia="zh-CN"/>
              </w:rPr>
              <w:t>员（不少于3人）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拥有</w:t>
            </w:r>
            <w:r>
              <w:rPr>
                <w:rFonts w:hint="eastAsia" w:ascii="宋体" w:hAnsi="宋体" w:cs="宋体"/>
                <w:color w:val="auto"/>
                <w:sz w:val="21"/>
                <w:szCs w:val="21"/>
                <w:highlight w:val="none"/>
                <w:lang w:eastAsia="zh-CN"/>
              </w:rPr>
              <w:t>建筑类、给排水类、环境类、化工类或机电相关专业中级职称的</w:t>
            </w:r>
            <w:r>
              <w:rPr>
                <w:rFonts w:hint="eastAsia" w:ascii="宋体" w:hAnsi="宋体" w:cs="宋体"/>
                <w:color w:val="auto"/>
                <w:sz w:val="21"/>
                <w:szCs w:val="21"/>
                <w:highlight w:val="none"/>
                <w:lang w:val="en-US" w:eastAsia="zh-CN"/>
              </w:rPr>
              <w:t>1 人得2分，</w:t>
            </w:r>
            <w:r>
              <w:rPr>
                <w:rFonts w:hint="eastAsia" w:ascii="宋体" w:hAnsi="宋体" w:cs="宋体"/>
                <w:color w:val="auto"/>
                <w:sz w:val="21"/>
                <w:szCs w:val="21"/>
                <w:highlight w:val="none"/>
                <w:lang w:eastAsia="zh-CN"/>
              </w:rPr>
              <w:t>建筑类、给排水类、环境类、化工类或机电相关专业初级职称的</w:t>
            </w:r>
            <w:r>
              <w:rPr>
                <w:rFonts w:hint="eastAsia" w:ascii="宋体" w:hAnsi="宋体" w:cs="宋体"/>
                <w:color w:val="auto"/>
                <w:sz w:val="21"/>
                <w:szCs w:val="21"/>
                <w:highlight w:val="none"/>
                <w:lang w:val="en-US" w:eastAsia="zh-CN"/>
              </w:rPr>
              <w:t>1 人得1分。</w:t>
            </w:r>
            <w:r>
              <w:rPr>
                <w:rFonts w:hint="eastAsia" w:ascii="宋体" w:hAnsi="宋体" w:cs="宋体"/>
                <w:color w:val="auto"/>
                <w:sz w:val="21"/>
                <w:szCs w:val="21"/>
                <w:highlight w:val="none"/>
                <w:lang w:eastAsia="zh-CN"/>
              </w:rPr>
              <w:t>（不含项目负责人，团队成员</w:t>
            </w:r>
            <w:r>
              <w:rPr>
                <w:rFonts w:hint="eastAsia" w:ascii="宋体" w:hAnsi="宋体" w:cs="宋体"/>
                <w:color w:val="auto"/>
                <w:sz w:val="21"/>
                <w:szCs w:val="21"/>
                <w:highlight w:val="none"/>
                <w:lang w:val="en-US" w:eastAsia="zh-CN"/>
              </w:rPr>
              <w:t>提供毕业证书、技术职称证书及</w:t>
            </w:r>
            <w:r>
              <w:rPr>
                <w:rFonts w:hint="eastAsia" w:ascii="宋体" w:hAnsi="宋体" w:cs="宋体"/>
                <w:color w:val="auto"/>
                <w:sz w:val="21"/>
                <w:szCs w:val="21"/>
                <w:highlight w:val="none"/>
                <w:lang w:eastAsia="zh-CN"/>
              </w:rPr>
              <w:t>提供近半年内连续3个月依法缴纳社保费的缴费凭证</w:t>
            </w:r>
            <w:r>
              <w:rPr>
                <w:rFonts w:hint="eastAsia" w:ascii="宋体" w:hAnsi="宋体" w:cs="宋体"/>
                <w:color w:val="auto"/>
                <w:sz w:val="21"/>
                <w:szCs w:val="21"/>
                <w:highlight w:val="none"/>
                <w:lang w:val="en-US" w:eastAsia="zh-CN"/>
              </w:rPr>
              <w:t>或劳动合同</w:t>
            </w:r>
            <w:r>
              <w:rPr>
                <w:rFonts w:hint="eastAsia" w:ascii="宋体" w:hAnsi="宋体" w:cs="宋体"/>
                <w:color w:val="auto"/>
                <w:sz w:val="21"/>
                <w:szCs w:val="21"/>
                <w:highlight w:val="none"/>
                <w:lang w:eastAsia="zh-CN"/>
              </w:rPr>
              <w:t>复印件。否则，不计分。）</w:t>
            </w:r>
          </w:p>
        </w:tc>
        <w:tc>
          <w:tcPr>
            <w:tcW w:w="1171" w:type="dxa"/>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分</w:t>
            </w:r>
          </w:p>
        </w:tc>
        <w:tc>
          <w:tcPr>
            <w:tcW w:w="1180" w:type="dxa"/>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4" w:hRule="atLeast"/>
          <w:jc w:val="center"/>
        </w:trPr>
        <w:tc>
          <w:tcPr>
            <w:tcW w:w="661" w:type="dxa"/>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3.2</w:t>
            </w:r>
          </w:p>
        </w:tc>
        <w:tc>
          <w:tcPr>
            <w:tcW w:w="1315" w:type="dxa"/>
            <w:vAlign w:val="center"/>
          </w:tcPr>
          <w:p>
            <w:pPr>
              <w:spacing w:line="360" w:lineRule="auto"/>
              <w:jc w:val="center"/>
              <w:rPr>
                <w:rFonts w:hint="default"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lang w:val="en-US" w:eastAsia="zh-CN" w:bidi="ar-SA"/>
              </w:rPr>
              <w:t>项目业绩</w:t>
            </w:r>
          </w:p>
        </w:tc>
        <w:tc>
          <w:tcPr>
            <w:tcW w:w="5282" w:type="dxa"/>
            <w:vAlign w:val="center"/>
          </w:tcPr>
          <w:p>
            <w:pPr>
              <w:pStyle w:val="42"/>
              <w:spacing w:line="420" w:lineRule="exac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自20</w:t>
            </w:r>
            <w:r>
              <w:rPr>
                <w:rFonts w:hint="eastAsia" w:hAnsi="宋体" w:cs="宋体"/>
                <w:color w:val="auto"/>
                <w:kern w:val="2"/>
                <w:sz w:val="21"/>
                <w:szCs w:val="21"/>
                <w:highlight w:val="none"/>
                <w:lang w:val="en-US" w:eastAsia="zh-CN" w:bidi="ar-SA"/>
              </w:rPr>
              <w:t>20</w:t>
            </w:r>
            <w:r>
              <w:rPr>
                <w:rFonts w:hint="default" w:ascii="宋体" w:hAnsi="宋体" w:eastAsia="宋体" w:cs="宋体"/>
                <w:color w:val="auto"/>
                <w:kern w:val="2"/>
                <w:sz w:val="21"/>
                <w:szCs w:val="21"/>
                <w:highlight w:val="none"/>
                <w:lang w:val="en-US" w:eastAsia="zh-CN" w:bidi="ar-SA"/>
              </w:rPr>
              <w:t>年1月1日以来投标人承接类似项目业绩</w:t>
            </w:r>
            <w:r>
              <w:rPr>
                <w:rFonts w:hint="eastAsia" w:hAnsi="宋体" w:cs="宋体"/>
                <w:color w:val="auto"/>
                <w:kern w:val="2"/>
                <w:sz w:val="21"/>
                <w:szCs w:val="21"/>
                <w:highlight w:val="none"/>
                <w:lang w:val="en-US" w:eastAsia="zh-CN" w:bidi="ar-SA"/>
              </w:rPr>
              <w:t>（污水处理业绩），</w:t>
            </w:r>
            <w:r>
              <w:rPr>
                <w:rFonts w:hint="default" w:ascii="宋体" w:hAnsi="宋体" w:eastAsia="宋体" w:cs="宋体"/>
                <w:color w:val="auto"/>
                <w:kern w:val="2"/>
                <w:sz w:val="21"/>
                <w:szCs w:val="21"/>
                <w:highlight w:val="none"/>
                <w:lang w:val="en-US" w:eastAsia="zh-CN" w:bidi="ar-SA"/>
              </w:rPr>
              <w:t>以中标/成交通知书或项目合同关键页为准，包含以联合体方式中标或签订合同的项目，合同关键页并能清晰反映所服务名称、类型、金额，否则将不得分，同一个编号的项目有两个或两个以上的分标中标的只算一个，提供一项业绩得2分（满分为10分）。（提供中标/成交通知书或项目合同复印件并加盖公章）</w:t>
            </w:r>
          </w:p>
        </w:tc>
        <w:tc>
          <w:tcPr>
            <w:tcW w:w="1171" w:type="dxa"/>
            <w:vAlign w:val="center"/>
          </w:tcPr>
          <w:p>
            <w:pPr>
              <w:widowControl/>
              <w:spacing w:line="360"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p>
        </w:tc>
        <w:tc>
          <w:tcPr>
            <w:tcW w:w="1180" w:type="dxa"/>
            <w:vAlign w:val="center"/>
          </w:tcPr>
          <w:p>
            <w:pPr>
              <w:widowControl/>
              <w:spacing w:line="360"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661" w:type="dxa"/>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315" w:type="dxa"/>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诚信分</w:t>
            </w:r>
          </w:p>
        </w:tc>
        <w:tc>
          <w:tcPr>
            <w:tcW w:w="7633" w:type="dxa"/>
            <w:gridSpan w:val="3"/>
            <w:vAlign w:val="center"/>
          </w:tcPr>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投标人在截标日前1年内在政府采购活动中存在违约违规情形的（以财政部门出具的书面材料为评分依据），每次扣除3分，最高扣分6分。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7258" w:type="dxa"/>
            <w:gridSpan w:val="3"/>
            <w:vAlign w:val="center"/>
          </w:tcPr>
          <w:p>
            <w:pPr>
              <w:pStyle w:val="42"/>
              <w:spacing w:line="360" w:lineRule="auto"/>
              <w:rPr>
                <w:rFonts w:hAnsi="宋体" w:cs="宋体"/>
                <w:bCs/>
                <w:color w:val="auto"/>
                <w:szCs w:val="21"/>
                <w:highlight w:val="none"/>
              </w:rPr>
            </w:pPr>
            <w:r>
              <w:rPr>
                <w:rFonts w:hint="eastAsia" w:hAnsi="宋体" w:cs="宋体"/>
                <w:bCs/>
                <w:color w:val="auto"/>
                <w:szCs w:val="21"/>
                <w:highlight w:val="none"/>
              </w:rPr>
              <w:t>总得分＝1＋2＋3</w:t>
            </w:r>
          </w:p>
        </w:tc>
        <w:tc>
          <w:tcPr>
            <w:tcW w:w="2351" w:type="dxa"/>
            <w:gridSpan w:val="2"/>
            <w:vAlign w:val="center"/>
          </w:tcPr>
          <w:p>
            <w:pPr>
              <w:pStyle w:val="42"/>
              <w:spacing w:line="360" w:lineRule="auto"/>
              <w:jc w:val="center"/>
              <w:rPr>
                <w:rFonts w:hAnsi="宋体" w:cs="宋体"/>
                <w:bCs/>
                <w:color w:val="auto"/>
                <w:szCs w:val="21"/>
                <w:highlight w:val="none"/>
              </w:rPr>
            </w:pPr>
            <w:r>
              <w:rPr>
                <w:rFonts w:hint="eastAsia" w:hAnsi="宋体" w:cs="宋体"/>
                <w:bCs/>
                <w:color w:val="auto"/>
                <w:szCs w:val="21"/>
                <w:highlight w:val="none"/>
              </w:rPr>
              <w:t>100</w:t>
            </w:r>
          </w:p>
        </w:tc>
      </w:tr>
      <w:bookmarkEnd w:id="139"/>
    </w:tbl>
    <w:p>
      <w:pPr>
        <w:pStyle w:val="42"/>
        <w:spacing w:line="360" w:lineRule="auto"/>
        <w:ind w:firstLine="420"/>
        <w:rPr>
          <w:rFonts w:hAnsi="宋体" w:cs="宋体"/>
          <w:bCs/>
          <w:color w:val="auto"/>
          <w:highlight w:val="none"/>
        </w:rPr>
      </w:pPr>
      <w:r>
        <w:rPr>
          <w:rFonts w:hint="eastAsia" w:hAnsi="宋体" w:cs="宋体"/>
          <w:bCs/>
          <w:color w:val="auto"/>
          <w:highlight w:val="none"/>
        </w:rPr>
        <w:t xml:space="preserve"> </w:t>
      </w:r>
    </w:p>
    <w:p>
      <w:pPr>
        <w:pStyle w:val="42"/>
        <w:spacing w:line="360" w:lineRule="auto"/>
        <w:ind w:firstLine="420"/>
        <w:rPr>
          <w:rFonts w:hAnsi="宋体" w:cs="宋体"/>
          <w:bCs/>
          <w:color w:val="auto"/>
          <w:highlight w:val="none"/>
        </w:rPr>
      </w:pPr>
      <w:r>
        <w:rPr>
          <w:rFonts w:hint="eastAsia" w:hAnsi="宋体" w:cs="宋体"/>
          <w:bCs/>
          <w:color w:val="auto"/>
          <w:highlight w:val="none"/>
        </w:rPr>
        <w:t>注：计分方法按四舍五入取至百分位。</w:t>
      </w:r>
    </w:p>
    <w:p>
      <w:pPr>
        <w:pStyle w:val="42"/>
        <w:spacing w:line="460" w:lineRule="exact"/>
        <w:ind w:firstLine="420" w:firstLineChars="200"/>
        <w:rPr>
          <w:rFonts w:hAnsi="宋体" w:cs="宋体"/>
          <w:color w:val="auto"/>
          <w:highlight w:val="none"/>
        </w:rPr>
      </w:pPr>
    </w:p>
    <w:p>
      <w:pPr>
        <w:pStyle w:val="15"/>
        <w:jc w:val="center"/>
        <w:rPr>
          <w:rFonts w:ascii="宋体" w:hAnsi="宋体" w:eastAsia="宋体" w:cs="宋体"/>
          <w:b w:val="0"/>
          <w:color w:val="auto"/>
          <w:sz w:val="30"/>
          <w:szCs w:val="30"/>
          <w:highlight w:val="none"/>
        </w:rPr>
      </w:pPr>
      <w:bookmarkStart w:id="141" w:name="_Toc80093007"/>
      <w:bookmarkEnd w:id="141"/>
      <w:r>
        <w:rPr>
          <w:rFonts w:hint="eastAsia" w:ascii="宋体" w:hAnsi="宋体" w:eastAsia="宋体" w:cs="宋体"/>
          <w:b w:val="0"/>
          <w:color w:val="auto"/>
          <w:sz w:val="30"/>
          <w:szCs w:val="30"/>
          <w:highlight w:val="none"/>
        </w:rPr>
        <w:t>第四节 中标候选人推荐原则</w:t>
      </w:r>
    </w:p>
    <w:p>
      <w:pPr>
        <w:pStyle w:val="42"/>
        <w:numPr>
          <w:ilvl w:val="0"/>
          <w:numId w:val="4"/>
        </w:numPr>
        <w:spacing w:line="360" w:lineRule="auto"/>
        <w:contextualSpacing/>
        <w:rPr>
          <w:rFonts w:hAnsi="宋体" w:cs="宋体"/>
          <w:b/>
          <w:bCs/>
          <w:color w:val="auto"/>
          <w:sz w:val="24"/>
          <w:szCs w:val="24"/>
          <w:highlight w:val="none"/>
        </w:rPr>
      </w:pPr>
      <w:r>
        <w:rPr>
          <w:rFonts w:hint="eastAsia" w:hAnsi="宋体" w:cs="宋体"/>
          <w:b/>
          <w:bCs/>
          <w:color w:val="auto"/>
          <w:sz w:val="24"/>
          <w:szCs w:val="24"/>
          <w:highlight w:val="none"/>
        </w:rPr>
        <w:t>综合评分法</w:t>
      </w:r>
    </w:p>
    <w:p>
      <w:pPr>
        <w:pStyle w:val="42"/>
        <w:spacing w:line="360" w:lineRule="auto"/>
        <w:ind w:firstLine="420" w:firstLineChars="200"/>
        <w:contextualSpacing/>
        <w:rPr>
          <w:rFonts w:hAnsi="宋体" w:cs="宋体"/>
          <w:color w:val="auto"/>
          <w:highlight w:val="none"/>
        </w:rPr>
      </w:pPr>
      <w:r>
        <w:rPr>
          <w:rFonts w:hint="eastAsia" w:hAnsi="宋体" w:cs="宋体"/>
          <w:color w:val="auto"/>
          <w:highlight w:val="none"/>
        </w:rPr>
        <w:t>评委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pPr>
        <w:pStyle w:val="42"/>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（二）最低评标报价法</w:t>
      </w:r>
    </w:p>
    <w:p>
      <w:pPr>
        <w:pStyle w:val="42"/>
        <w:tabs>
          <w:tab w:val="left" w:pos="2472"/>
        </w:tabs>
        <w:spacing w:line="480" w:lineRule="exact"/>
        <w:ind w:firstLine="420" w:firstLineChars="200"/>
        <w:rPr>
          <w:rFonts w:hAnsi="宋体" w:cs="宋体"/>
          <w:color w:val="auto"/>
          <w:highlight w:val="none"/>
        </w:rPr>
      </w:pPr>
      <w:r>
        <w:rPr>
          <w:rFonts w:hint="eastAsia" w:hAnsi="宋体" w:cs="宋体"/>
          <w:color w:val="auto"/>
          <w:highlight w:val="none"/>
        </w:rPr>
        <w:t>评委将按照有效报价从低到高排序并推荐中标候选人。投标报价相同的并列，投标文件满足招标文件全部实质性要求且投标报价最低的投标人为排名第一的中标候选人；评标价相同且前述指标均相同时，由评委各成员对评标价相同的供应商，当场投票表决，得票多者优先，并依照次序确定1家</w:t>
      </w:r>
      <w:r>
        <w:rPr>
          <w:rFonts w:hint="eastAsia" w:hAnsi="宋体" w:cs="宋体"/>
          <w:color w:val="auto"/>
          <w:highlight w:val="none"/>
          <w:lang w:eastAsia="zh-CN"/>
        </w:rPr>
        <w:t>中标人</w:t>
      </w:r>
      <w:r>
        <w:rPr>
          <w:rFonts w:hint="eastAsia" w:hAnsi="宋体" w:cs="宋体"/>
          <w:color w:val="auto"/>
          <w:highlight w:val="none"/>
        </w:rPr>
        <w:t>。</w:t>
      </w:r>
    </w:p>
    <w:p>
      <w:pPr>
        <w:pStyle w:val="15"/>
        <w:spacing w:before="0" w:after="0" w:line="360" w:lineRule="auto"/>
        <w:ind w:firstLine="600" w:firstLineChars="200"/>
        <w:jc w:val="center"/>
        <w:rPr>
          <w:rFonts w:ascii="宋体" w:hAnsi="宋体" w:eastAsia="宋体" w:cs="宋体"/>
          <w:b w:val="0"/>
          <w:color w:val="auto"/>
          <w:sz w:val="30"/>
          <w:szCs w:val="30"/>
          <w:highlight w:val="none"/>
        </w:rPr>
      </w:pPr>
      <w:bookmarkStart w:id="142" w:name="_Toc80093008"/>
      <w:bookmarkEnd w:id="142"/>
      <w:r>
        <w:rPr>
          <w:rFonts w:hint="eastAsia" w:ascii="宋体" w:hAnsi="宋体" w:eastAsia="宋体" w:cs="宋体"/>
          <w:b w:val="0"/>
          <w:color w:val="auto"/>
          <w:sz w:val="30"/>
          <w:szCs w:val="30"/>
          <w:highlight w:val="none"/>
        </w:rPr>
        <w:t>第五节 评标报告</w:t>
      </w:r>
    </w:p>
    <w:p>
      <w:pPr>
        <w:pStyle w:val="88"/>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pPr>
        <w:pStyle w:val="42"/>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评委根据原始评标记录和评标结果编写评标报告，并通过电子交易平台向采购人、采购代理机构提交。</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pPr>
        <w:pStyle w:val="42"/>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评委成员对需要共同认定的事项存在争议的，应当按照少数服从多数的原则作出结论。持不同意见的评委成员应当在评标报告上签署不同意见及理由，否则视为同意评标报告。</w:t>
      </w:r>
    </w:p>
    <w:p>
      <w:pPr>
        <w:pStyle w:val="42"/>
        <w:tabs>
          <w:tab w:val="left" w:pos="2472"/>
        </w:tabs>
        <w:spacing w:line="460" w:lineRule="exact"/>
        <w:rPr>
          <w:rFonts w:hAnsi="宋体" w:cs="宋体"/>
          <w:b/>
          <w:color w:val="auto"/>
          <w:sz w:val="36"/>
          <w:highlight w:val="none"/>
        </w:rPr>
        <w:sectPr>
          <w:footerReference r:id="rId8" w:type="default"/>
          <w:pgSz w:w="11906" w:h="16838"/>
          <w:pgMar w:top="1440" w:right="1080" w:bottom="1440" w:left="1080" w:header="720" w:footer="720" w:gutter="0"/>
          <w:pgNumType w:fmt="decimal"/>
          <w:cols w:space="720" w:num="1"/>
          <w:docGrid w:type="lines" w:linePitch="331" w:charSpace="0"/>
        </w:sect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outlineLvl w:val="0"/>
        <w:rPr>
          <w:rFonts w:hAnsi="宋体" w:cs="宋体"/>
          <w:b/>
          <w:color w:val="auto"/>
          <w:sz w:val="36"/>
          <w:highlight w:val="none"/>
        </w:rPr>
      </w:pPr>
      <w:bookmarkStart w:id="143" w:name="_Toc80093009"/>
      <w:bookmarkEnd w:id="143"/>
      <w:r>
        <w:rPr>
          <w:rFonts w:hint="eastAsia" w:hAnsi="宋体" w:cs="宋体"/>
          <w:b/>
          <w:color w:val="auto"/>
          <w:sz w:val="36"/>
          <w:highlight w:val="none"/>
        </w:rPr>
        <w:t>第五章 拟签订的合同文本</w:t>
      </w:r>
    </w:p>
    <w:p>
      <w:pPr>
        <w:pStyle w:val="42"/>
        <w:tabs>
          <w:tab w:val="left" w:pos="720"/>
        </w:tabs>
        <w:spacing w:line="460" w:lineRule="exact"/>
        <w:rPr>
          <w:rFonts w:hAnsi="宋体" w:cs="宋体"/>
          <w:bCs/>
          <w:color w:val="auto"/>
          <w:highlight w:val="none"/>
        </w:rPr>
        <w:sectPr>
          <w:pgSz w:w="11906" w:h="16838"/>
          <w:pgMar w:top="1440" w:right="1080" w:bottom="1440" w:left="1080" w:header="720" w:footer="720" w:gutter="0"/>
          <w:pgNumType w:fmt="decimal"/>
          <w:cols w:space="720" w:num="1"/>
          <w:docGrid w:type="lines" w:linePitch="331" w:charSpace="0"/>
        </w:sectPr>
      </w:pPr>
    </w:p>
    <w:p>
      <w:pPr>
        <w:spacing w:line="360" w:lineRule="auto"/>
        <w:rPr>
          <w:rFonts w:ascii="宋体" w:hAnsi="宋体"/>
          <w:color w:val="auto"/>
          <w:sz w:val="24"/>
          <w:highlight w:val="none"/>
        </w:rPr>
      </w:pPr>
      <w:r>
        <w:rPr>
          <w:rFonts w:hint="eastAsia" w:ascii="宋体" w:hAnsi="宋体"/>
          <w:color w:val="auto"/>
          <w:sz w:val="24"/>
          <w:highlight w:val="none"/>
        </w:rPr>
        <w:t>“政采云”平台合同编号：</w:t>
      </w:r>
      <w:r>
        <w:rPr>
          <w:rFonts w:hint="eastAsia" w:ascii="宋体" w:hAnsi="宋体"/>
          <w:color w:val="auto"/>
          <w:sz w:val="24"/>
          <w:highlight w:val="none"/>
          <w:u w:val="single"/>
        </w:rPr>
        <w:t xml:space="preserve">           </w:t>
      </w:r>
    </w:p>
    <w:p>
      <w:pPr>
        <w:spacing w:line="360" w:lineRule="auto"/>
        <w:jc w:val="center"/>
        <w:rPr>
          <w:rFonts w:ascii="宋体" w:hAnsi="宋体"/>
          <w:b/>
          <w:bCs/>
          <w:color w:val="auto"/>
          <w:sz w:val="52"/>
          <w:highlight w:val="none"/>
        </w:rPr>
      </w:pPr>
      <w:r>
        <w:rPr>
          <w:rFonts w:hint="eastAsia" w:ascii="宋体" w:hAnsi="宋体"/>
          <w:b/>
          <w:bCs/>
          <w:color w:val="auto"/>
          <w:sz w:val="52"/>
          <w:highlight w:val="none"/>
        </w:rPr>
        <w:t>南 宁 市 青 秀 区 政 府 采 购</w:t>
      </w:r>
    </w:p>
    <w:p>
      <w:pPr>
        <w:spacing w:line="360" w:lineRule="auto"/>
        <w:ind w:firstLine="420" w:firstLineChars="200"/>
        <w:rPr>
          <w:rFonts w:ascii="宋体" w:hAnsi="宋体"/>
          <w:color w:val="auto"/>
          <w:highlight w:val="none"/>
        </w:rPr>
      </w:pP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                                                 </w:t>
      </w:r>
    </w:p>
    <w:p>
      <w:pPr>
        <w:spacing w:line="360" w:lineRule="auto"/>
        <w:jc w:val="center"/>
        <w:rPr>
          <w:rFonts w:ascii="宋体" w:hAnsi="宋体"/>
          <w:b/>
          <w:bCs/>
          <w:color w:val="auto"/>
          <w:sz w:val="44"/>
          <w:highlight w:val="none"/>
          <w:u w:val="single"/>
        </w:rPr>
      </w:pPr>
      <w:r>
        <w:rPr>
          <w:rFonts w:hint="eastAsia" w:ascii="宋体" w:hAnsi="宋体"/>
          <w:b/>
          <w:bCs/>
          <w:color w:val="auto"/>
          <w:sz w:val="44"/>
          <w:highlight w:val="none"/>
          <w:u w:val="single"/>
          <w:lang w:eastAsia="zh-CN"/>
        </w:rPr>
        <w:t>青秀区73套农村生活污水处理设施第三方运维服务</w:t>
      </w:r>
      <w:r>
        <w:rPr>
          <w:rFonts w:hint="eastAsia" w:ascii="宋体" w:hAnsi="宋体"/>
          <w:b/>
          <w:bCs/>
          <w:color w:val="auto"/>
          <w:sz w:val="44"/>
          <w:highlight w:val="none"/>
        </w:rPr>
        <w:t>合同</w:t>
      </w:r>
    </w:p>
    <w:p>
      <w:pPr>
        <w:spacing w:line="360" w:lineRule="auto"/>
        <w:jc w:val="center"/>
        <w:rPr>
          <w:rFonts w:ascii="宋体" w:hAnsi="宋体"/>
          <w:b/>
          <w:bCs/>
          <w:color w:val="auto"/>
          <w:sz w:val="44"/>
          <w:highlight w:val="none"/>
        </w:rPr>
      </w:pPr>
    </w:p>
    <w:p>
      <w:pPr>
        <w:spacing w:line="360" w:lineRule="auto"/>
        <w:jc w:val="center"/>
        <w:rPr>
          <w:rFonts w:ascii="宋体" w:hAnsi="宋体"/>
          <w:b/>
          <w:bCs/>
          <w:color w:val="auto"/>
          <w:sz w:val="44"/>
          <w:highlight w:val="none"/>
        </w:rPr>
      </w:pPr>
    </w:p>
    <w:p>
      <w:pPr>
        <w:spacing w:line="360" w:lineRule="auto"/>
        <w:ind w:firstLine="3507" w:firstLineChars="794"/>
        <w:rPr>
          <w:rFonts w:ascii="宋体" w:hAnsi="宋体"/>
          <w:b/>
          <w:bCs/>
          <w:color w:val="auto"/>
          <w:sz w:val="44"/>
          <w:highlight w:val="none"/>
        </w:rPr>
      </w:pPr>
    </w:p>
    <w:p>
      <w:pPr>
        <w:spacing w:line="360" w:lineRule="auto"/>
        <w:ind w:firstLine="3507" w:firstLineChars="794"/>
        <w:rPr>
          <w:rFonts w:ascii="宋体" w:hAnsi="宋体"/>
          <w:b/>
          <w:bCs/>
          <w:color w:val="auto"/>
          <w:sz w:val="44"/>
          <w:highlight w:val="none"/>
        </w:rPr>
      </w:pPr>
    </w:p>
    <w:p>
      <w:pPr>
        <w:ind w:firstLine="1995" w:firstLineChars="552"/>
        <w:rPr>
          <w:rFonts w:ascii="宋体" w:hAnsi="宋体"/>
          <w:b/>
          <w:color w:val="auto"/>
          <w:sz w:val="36"/>
          <w:szCs w:val="36"/>
          <w:highlight w:val="none"/>
        </w:rPr>
      </w:pPr>
      <w:r>
        <w:rPr>
          <w:rFonts w:hint="eastAsia" w:ascii="宋体" w:hAnsi="宋体"/>
          <w:b/>
          <w:color w:val="auto"/>
          <w:sz w:val="36"/>
          <w:szCs w:val="36"/>
          <w:highlight w:val="none"/>
        </w:rPr>
        <w:t>项目编号：</w:t>
      </w: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u w:val="single"/>
          <w:lang w:val="en-US" w:eastAsia="zh-CN"/>
        </w:rPr>
        <w:t xml:space="preserve">    </w:t>
      </w:r>
      <w:r>
        <w:rPr>
          <w:rFonts w:hint="eastAsia" w:ascii="宋体" w:hAnsi="宋体"/>
          <w:b/>
          <w:color w:val="auto"/>
          <w:sz w:val="36"/>
          <w:szCs w:val="36"/>
          <w:highlight w:val="none"/>
          <w:u w:val="single"/>
        </w:rPr>
        <w:t xml:space="preserve">     </w:t>
      </w:r>
    </w:p>
    <w:p>
      <w:pPr>
        <w:ind w:firstLine="1995" w:firstLineChars="552"/>
        <w:rPr>
          <w:rFonts w:ascii="宋体" w:hAnsi="宋体"/>
          <w:b/>
          <w:color w:val="auto"/>
          <w:sz w:val="36"/>
          <w:szCs w:val="36"/>
          <w:highlight w:val="none"/>
        </w:rPr>
      </w:pPr>
      <w:r>
        <w:rPr>
          <w:rFonts w:hint="eastAsia" w:ascii="宋体" w:hAnsi="宋体"/>
          <w:b/>
          <w:color w:val="auto"/>
          <w:sz w:val="36"/>
          <w:szCs w:val="36"/>
          <w:highlight w:val="none"/>
        </w:rPr>
        <w:t>采购计划文号：</w:t>
      </w: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u w:val="single"/>
          <w:lang w:val="en-US" w:eastAsia="zh-CN"/>
        </w:rPr>
        <w:t xml:space="preserve">    </w:t>
      </w:r>
      <w:r>
        <w:rPr>
          <w:rFonts w:hint="eastAsia" w:ascii="宋体" w:hAnsi="宋体"/>
          <w:b/>
          <w:color w:val="auto"/>
          <w:sz w:val="36"/>
          <w:szCs w:val="36"/>
          <w:highlight w:val="none"/>
          <w:u w:val="single"/>
        </w:rPr>
        <w:t xml:space="preserve">     </w:t>
      </w:r>
    </w:p>
    <w:p>
      <w:pPr>
        <w:ind w:firstLine="1970" w:firstLineChars="545"/>
        <w:rPr>
          <w:rFonts w:ascii="宋体" w:hAnsi="宋体"/>
          <w:b/>
          <w:color w:val="auto"/>
          <w:sz w:val="36"/>
          <w:szCs w:val="36"/>
          <w:highlight w:val="none"/>
          <w:u w:val="single"/>
        </w:rPr>
      </w:pPr>
    </w:p>
    <w:p>
      <w:pPr>
        <w:ind w:firstLine="1995" w:firstLineChars="552"/>
        <w:rPr>
          <w:rFonts w:ascii="宋体" w:hAnsi="宋体"/>
          <w:b/>
          <w:color w:val="auto"/>
          <w:sz w:val="36"/>
          <w:szCs w:val="36"/>
          <w:highlight w:val="none"/>
          <w:u w:val="single"/>
        </w:rPr>
      </w:pPr>
    </w:p>
    <w:p>
      <w:pPr>
        <w:ind w:firstLine="1995" w:firstLineChars="552"/>
        <w:rPr>
          <w:rFonts w:ascii="宋体" w:hAnsi="宋体"/>
          <w:b/>
          <w:color w:val="auto"/>
          <w:sz w:val="36"/>
          <w:szCs w:val="36"/>
          <w:highlight w:val="none"/>
          <w:u w:val="single"/>
        </w:rPr>
      </w:pPr>
    </w:p>
    <w:p>
      <w:pPr>
        <w:tabs>
          <w:tab w:val="left" w:pos="7200"/>
        </w:tabs>
        <w:spacing w:line="360" w:lineRule="auto"/>
        <w:ind w:firstLine="1995" w:firstLineChars="552"/>
        <w:rPr>
          <w:rFonts w:ascii="宋体" w:hAnsi="宋体"/>
          <w:b/>
          <w:color w:val="auto"/>
          <w:sz w:val="36"/>
          <w:szCs w:val="36"/>
          <w:highlight w:val="non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w:t>
      </w:r>
    </w:p>
    <w:p>
      <w:pPr>
        <w:tabs>
          <w:tab w:val="left" w:pos="7380"/>
        </w:tabs>
        <w:spacing w:line="360" w:lineRule="auto"/>
        <w:ind w:firstLine="1995" w:firstLineChars="552"/>
        <w:rPr>
          <w:rFonts w:ascii="宋体" w:hAnsi="宋体"/>
          <w:b/>
          <w:color w:val="auto"/>
          <w:sz w:val="36"/>
          <w:szCs w:val="36"/>
          <w:highlight w:val="none"/>
        </w:rPr>
      </w:pPr>
      <w:r>
        <w:rPr>
          <w:rFonts w:hint="eastAsia" w:ascii="宋体" w:hAnsi="宋体"/>
          <w:b/>
          <w:color w:val="auto"/>
          <w:sz w:val="36"/>
          <w:szCs w:val="36"/>
          <w:highlight w:val="none"/>
          <w:lang w:eastAsia="zh-CN"/>
        </w:rPr>
        <w:t>中标人</w:t>
      </w:r>
      <w:r>
        <w:rPr>
          <w:rFonts w:hint="eastAsia" w:ascii="宋体" w:hAnsi="宋体"/>
          <w:b/>
          <w:color w:val="auto"/>
          <w:sz w:val="36"/>
          <w:szCs w:val="36"/>
          <w:highlight w:val="none"/>
        </w:rPr>
        <w:t>：</w:t>
      </w:r>
      <w:r>
        <w:rPr>
          <w:rFonts w:hint="eastAsia" w:ascii="宋体" w:hAnsi="宋体"/>
          <w:b/>
          <w:color w:val="auto"/>
          <w:sz w:val="36"/>
          <w:szCs w:val="36"/>
          <w:highlight w:val="none"/>
          <w:u w:val="single"/>
        </w:rPr>
        <w:t xml:space="preserve">                   </w:t>
      </w:r>
    </w:p>
    <w:p>
      <w:pPr>
        <w:tabs>
          <w:tab w:val="left" w:pos="7380"/>
        </w:tabs>
        <w:spacing w:line="360" w:lineRule="auto"/>
        <w:rPr>
          <w:rFonts w:ascii="宋体" w:hAnsi="宋体"/>
          <w:b/>
          <w:bCs/>
          <w:color w:val="auto"/>
          <w:sz w:val="44"/>
          <w:highlight w:val="none"/>
        </w:rPr>
      </w:pPr>
    </w:p>
    <w:p>
      <w:pPr>
        <w:spacing w:before="120" w:line="360" w:lineRule="auto"/>
        <w:ind w:firstLine="960" w:firstLineChars="400"/>
        <w:rPr>
          <w:rFonts w:ascii="宋体" w:hAnsi="宋体"/>
          <w:color w:val="auto"/>
          <w:sz w:val="24"/>
          <w:highlight w:val="none"/>
        </w:rPr>
      </w:pPr>
    </w:p>
    <w:p>
      <w:pPr>
        <w:spacing w:before="120" w:line="360" w:lineRule="auto"/>
        <w:ind w:firstLine="960" w:firstLineChars="400"/>
        <w:rPr>
          <w:rFonts w:ascii="宋体" w:hAnsi="宋体"/>
          <w:color w:val="auto"/>
          <w:sz w:val="24"/>
          <w:highlight w:val="none"/>
        </w:rPr>
      </w:pPr>
    </w:p>
    <w:p>
      <w:pPr>
        <w:spacing w:before="120" w:line="360" w:lineRule="auto"/>
        <w:ind w:firstLine="2280" w:firstLineChars="950"/>
        <w:rPr>
          <w:rFonts w:ascii="宋体" w:hAnsi="宋体"/>
          <w:color w:val="auto"/>
          <w:sz w:val="24"/>
          <w:highlight w:val="none"/>
        </w:rPr>
      </w:pPr>
      <w:r>
        <w:rPr>
          <w:rFonts w:hint="eastAsia" w:ascii="宋体" w:hAnsi="宋体"/>
          <w:color w:val="auto"/>
          <w:sz w:val="24"/>
          <w:highlight w:val="none"/>
        </w:rPr>
        <w:t>签订日期：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napToGrid w:val="0"/>
        <w:spacing w:line="360" w:lineRule="auto"/>
        <w:jc w:val="center"/>
        <w:rPr>
          <w:rFonts w:ascii="宋体" w:hAnsi="宋体"/>
          <w:b/>
          <w:bCs/>
          <w:color w:val="auto"/>
          <w:sz w:val="44"/>
          <w:highlight w:val="none"/>
        </w:rPr>
      </w:pPr>
      <w:r>
        <w:rPr>
          <w:rFonts w:hint="eastAsia" w:ascii="宋体" w:hAnsi="宋体"/>
          <w:b/>
          <w:bCs/>
          <w:color w:val="auto"/>
          <w:sz w:val="44"/>
          <w:highlight w:val="none"/>
        </w:rPr>
        <w:br w:type="page"/>
      </w:r>
      <w:r>
        <w:rPr>
          <w:rFonts w:hint="eastAsia" w:ascii="宋体" w:hAnsi="宋体"/>
          <w:b/>
          <w:color w:val="auto"/>
          <w:sz w:val="24"/>
          <w:highlight w:val="none"/>
        </w:rPr>
        <w:t>合同目录</w:t>
      </w:r>
    </w:p>
    <w:p>
      <w:pPr>
        <w:snapToGrid w:val="0"/>
        <w:spacing w:line="360" w:lineRule="auto"/>
        <w:jc w:val="center"/>
        <w:rPr>
          <w:rFonts w:ascii="宋体" w:hAnsi="宋体"/>
          <w:b/>
          <w:bCs/>
          <w:color w:val="auto"/>
          <w:sz w:val="44"/>
          <w:highlight w:val="none"/>
        </w:rPr>
      </w:pPr>
    </w:p>
    <w:p>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一、</w:t>
      </w:r>
      <w:r>
        <w:rPr>
          <w:rFonts w:hint="eastAsia" w:ascii="宋体" w:hAnsi="宋体"/>
          <w:color w:val="auto"/>
          <w:sz w:val="24"/>
          <w:highlight w:val="none"/>
        </w:rPr>
        <w:t>第一部分 合同书</w:t>
      </w:r>
      <w:r>
        <w:rPr>
          <w:rFonts w:hint="eastAsia" w:ascii="宋体" w:hAnsi="宋体"/>
          <w:color w:val="auto"/>
          <w:kern w:val="0"/>
          <w:sz w:val="24"/>
          <w:highlight w:val="none"/>
        </w:rPr>
        <w:t>……………………………………………………………（页码）</w:t>
      </w:r>
    </w:p>
    <w:p>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二、第二部分 合同一般条款……………………………………………………（页码）</w:t>
      </w:r>
    </w:p>
    <w:p>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三、第三部分 合同专用条款……………………………………………………（页码）</w:t>
      </w:r>
    </w:p>
    <w:p>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四、</w:t>
      </w:r>
      <w:r>
        <w:rPr>
          <w:rFonts w:hint="eastAsia" w:ascii="宋体" w:hAnsi="宋体"/>
          <w:color w:val="auto"/>
          <w:sz w:val="24"/>
          <w:highlight w:val="none"/>
        </w:rPr>
        <w:t>第四部分 合同附件</w:t>
      </w:r>
      <w:r>
        <w:rPr>
          <w:rFonts w:hint="eastAsia" w:ascii="宋体" w:hAnsi="宋体"/>
          <w:color w:val="auto"/>
          <w:kern w:val="0"/>
          <w:sz w:val="24"/>
          <w:highlight w:val="none"/>
        </w:rPr>
        <w:t>…………………………………………………………（页码）</w:t>
      </w:r>
    </w:p>
    <w:p>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4.1中标通知书 …………………………………………………………………（页码）</w:t>
      </w:r>
    </w:p>
    <w:p>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4.2招标文件服务需求一览表 …………………………………………………（页码）</w:t>
      </w:r>
    </w:p>
    <w:p>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4.3招标文件的更改通知（如有） ……………………………………………（页码）</w:t>
      </w:r>
    </w:p>
    <w:p>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4.4投标函 ………………………………………………………………………（页码）</w:t>
      </w:r>
    </w:p>
    <w:p>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4.5开标一览表 …………………………………………………………………（页码）</w:t>
      </w:r>
    </w:p>
    <w:p>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4.6投标服务技术偏离表 ………………………………………………………（页码）</w:t>
      </w:r>
    </w:p>
    <w:p>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4.7商务条款偏离表 ……………………………………………………………（页码）</w:t>
      </w:r>
    </w:p>
    <w:p>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4.8</w:t>
      </w:r>
      <w:r>
        <w:rPr>
          <w:rFonts w:hint="eastAsia" w:ascii="宋体" w:hAnsi="宋体"/>
          <w:color w:val="auto"/>
          <w:kern w:val="0"/>
          <w:sz w:val="24"/>
          <w:highlight w:val="none"/>
          <w:lang w:eastAsia="zh-CN"/>
        </w:rPr>
        <w:t>中标人</w:t>
      </w:r>
      <w:r>
        <w:rPr>
          <w:rFonts w:hint="eastAsia" w:ascii="宋体" w:hAnsi="宋体"/>
          <w:color w:val="auto"/>
          <w:kern w:val="0"/>
          <w:sz w:val="24"/>
          <w:highlight w:val="none"/>
        </w:rPr>
        <w:t>澄清函（如有请提供） ………………………………………（页码）</w:t>
      </w:r>
    </w:p>
    <w:p>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4.9其他与本合同相关的资料（如有请提供） ………………………………（页码）</w:t>
      </w:r>
    </w:p>
    <w:p>
      <w:pPr>
        <w:snapToGrid w:val="0"/>
        <w:spacing w:line="360" w:lineRule="auto"/>
        <w:rPr>
          <w:rFonts w:ascii="宋体" w:hAnsi="宋体"/>
          <w:color w:val="auto"/>
          <w:kern w:val="0"/>
          <w:sz w:val="24"/>
          <w:highlight w:val="none"/>
        </w:rPr>
      </w:pPr>
    </w:p>
    <w:p>
      <w:pPr>
        <w:pStyle w:val="38"/>
        <w:rPr>
          <w:rFonts w:hAnsi="宋体"/>
          <w:color w:val="auto"/>
          <w:spacing w:val="0"/>
          <w:highlight w:val="none"/>
        </w:rPr>
        <w:sectPr>
          <w:pgSz w:w="11906" w:h="16838"/>
          <w:pgMar w:top="1440" w:right="1080" w:bottom="1440" w:left="1080" w:header="720" w:footer="720" w:gutter="0"/>
          <w:pgNumType w:fmt="decimal"/>
          <w:cols w:space="720" w:num="1"/>
          <w:docGrid w:type="lines" w:linePitch="331" w:charSpace="0"/>
        </w:sectPr>
      </w:pPr>
    </w:p>
    <w:p>
      <w:pPr>
        <w:pStyle w:val="128"/>
        <w:ind w:firstLine="562"/>
        <w:jc w:val="center"/>
        <w:rPr>
          <w:rFonts w:ascii="宋体" w:hAnsi="宋体"/>
          <w:b/>
          <w:color w:val="auto"/>
          <w:sz w:val="28"/>
          <w:szCs w:val="28"/>
          <w:highlight w:val="none"/>
        </w:rPr>
      </w:pPr>
      <w:r>
        <w:rPr>
          <w:rFonts w:hint="eastAsia" w:ascii="宋体" w:hAnsi="宋体"/>
          <w:b/>
          <w:color w:val="auto"/>
          <w:sz w:val="28"/>
          <w:szCs w:val="28"/>
          <w:highlight w:val="none"/>
        </w:rPr>
        <w:t>第一部分 合同书</w:t>
      </w:r>
    </w:p>
    <w:p>
      <w:pPr>
        <w:spacing w:line="360" w:lineRule="auto"/>
        <w:ind w:firstLine="480" w:firstLineChars="200"/>
        <w:rPr>
          <w:rFonts w:ascii="宋体" w:hAnsi="宋体"/>
          <w:color w:val="auto"/>
          <w:sz w:val="24"/>
          <w:highlight w:val="none"/>
          <w:u w:val="single"/>
          <w:lang w:val="zh-CN"/>
        </w:rPr>
      </w:pP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color w:val="auto"/>
          <w:sz w:val="24"/>
          <w:highlight w:val="none"/>
          <w:u w:val="single"/>
          <w:lang w:eastAsia="zh-CN"/>
        </w:rPr>
        <w:t>南宁市青秀生态环境局</w:t>
      </w:r>
      <w:r>
        <w:rPr>
          <w:rFonts w:hint="eastAsia" w:ascii="宋体" w:hAnsi="宋体"/>
          <w:color w:val="auto"/>
          <w:sz w:val="24"/>
          <w:highlight w:val="none"/>
        </w:rPr>
        <w:t>以</w:t>
      </w:r>
      <w:r>
        <w:rPr>
          <w:rFonts w:hint="eastAsia" w:ascii="宋体" w:hAnsi="宋体"/>
          <w:color w:val="auto"/>
          <w:sz w:val="24"/>
          <w:highlight w:val="none"/>
          <w:u w:val="single"/>
        </w:rPr>
        <w:t xml:space="preserve">   公开招标方式  </w:t>
      </w:r>
      <w:r>
        <w:rPr>
          <w:rFonts w:hint="eastAsia" w:ascii="宋体" w:hAnsi="宋体"/>
          <w:color w:val="auto"/>
          <w:sz w:val="24"/>
          <w:highlight w:val="none"/>
        </w:rPr>
        <w:t>对</w:t>
      </w:r>
      <w:r>
        <w:rPr>
          <w:rFonts w:hint="eastAsia" w:ascii="宋体" w:hAnsi="宋体"/>
          <w:color w:val="auto"/>
          <w:sz w:val="24"/>
          <w:highlight w:val="none"/>
          <w:u w:val="single"/>
        </w:rPr>
        <w:t xml:space="preserve">        </w:t>
      </w:r>
      <w:r>
        <w:rPr>
          <w:rFonts w:hint="eastAsia" w:ascii="宋体" w:hAnsi="宋体"/>
          <w:color w:val="auto"/>
          <w:sz w:val="24"/>
          <w:highlight w:val="none"/>
        </w:rPr>
        <w:t>项目进行了采购。经</w:t>
      </w:r>
      <w:r>
        <w:rPr>
          <w:rFonts w:hint="eastAsia" w:ascii="宋体" w:hAnsi="宋体"/>
          <w:color w:val="auto"/>
          <w:sz w:val="24"/>
          <w:highlight w:val="none"/>
          <w:u w:val="single"/>
        </w:rPr>
        <w:t xml:space="preserve"> 评标委员会 </w:t>
      </w:r>
      <w:r>
        <w:rPr>
          <w:rFonts w:hint="eastAsia" w:ascii="宋体" w:hAnsi="宋体"/>
          <w:color w:val="auto"/>
          <w:sz w:val="24"/>
          <w:highlight w:val="none"/>
        </w:rPr>
        <w:t>评定，</w:t>
      </w:r>
      <w:r>
        <w:rPr>
          <w:rFonts w:hint="eastAsia" w:ascii="宋体" w:hAnsi="宋体"/>
          <w:color w:val="auto"/>
          <w:sz w:val="24"/>
          <w:highlight w:val="none"/>
          <w:u w:val="single"/>
        </w:rPr>
        <w:t xml:space="preserve">   （中标人名称）</w:t>
      </w:r>
      <w:r>
        <w:rPr>
          <w:rFonts w:hint="eastAsia" w:ascii="宋体" w:hAnsi="宋体"/>
          <w:color w:val="auto"/>
          <w:sz w:val="24"/>
          <w:highlight w:val="none"/>
        </w:rPr>
        <w:t>为该项目中标人。现于中标通知书发出之日起</w:t>
      </w:r>
      <w:r>
        <w:rPr>
          <w:rFonts w:hint="eastAsia" w:ascii="宋体" w:hAnsi="宋体"/>
          <w:color w:val="auto"/>
          <w:sz w:val="24"/>
          <w:highlight w:val="none"/>
          <w:u w:val="single"/>
        </w:rPr>
        <w:t xml:space="preserve"> 25 </w:t>
      </w:r>
      <w:r>
        <w:rPr>
          <w:rFonts w:hint="eastAsia" w:ascii="宋体" w:hAnsi="宋体"/>
          <w:color w:val="auto"/>
          <w:sz w:val="24"/>
          <w:highlight w:val="none"/>
        </w:rPr>
        <w:t>日内，按照采购文件确定的事项签订本合同。</w:t>
      </w:r>
    </w:p>
    <w:p>
      <w:pPr>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根据《中华人民共和国民法典》、《中华人民共和国政府采购法》等相关法律法规规定，按照平等、自愿、公平和诚实信用的原则，经</w:t>
      </w:r>
      <w:r>
        <w:rPr>
          <w:rFonts w:hint="eastAsia" w:ascii="宋体" w:hAnsi="宋体"/>
          <w:color w:val="auto"/>
          <w:sz w:val="24"/>
          <w:highlight w:val="none"/>
          <w:u w:val="single"/>
          <w:lang w:eastAsia="zh-CN"/>
        </w:rPr>
        <w:t>南宁市青秀生态环境局</w:t>
      </w:r>
      <w:r>
        <w:rPr>
          <w:rFonts w:hint="eastAsia" w:ascii="宋体" w:hAnsi="宋体"/>
          <w:color w:val="auto"/>
          <w:sz w:val="24"/>
          <w:highlight w:val="none"/>
          <w:lang w:val="zh-CN"/>
        </w:rPr>
        <w:t>（以下简称：甲方）和</w:t>
      </w:r>
      <w:r>
        <w:rPr>
          <w:rFonts w:hint="eastAsia" w:ascii="宋体" w:hAnsi="宋体"/>
          <w:color w:val="auto"/>
          <w:sz w:val="24"/>
          <w:highlight w:val="none"/>
          <w:u w:val="single"/>
        </w:rPr>
        <w:t xml:space="preserve">   （中标人名称）   </w:t>
      </w:r>
      <w:r>
        <w:rPr>
          <w:rFonts w:hint="eastAsia"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360" w:lineRule="auto"/>
        <w:ind w:firstLine="482" w:firstLineChars="200"/>
        <w:rPr>
          <w:rFonts w:ascii="宋体" w:hAnsi="宋体"/>
          <w:b/>
          <w:color w:val="auto"/>
          <w:sz w:val="24"/>
          <w:highlight w:val="none"/>
        </w:rPr>
      </w:pPr>
      <w:bookmarkStart w:id="144" w:name="_Toc2232"/>
      <w:bookmarkEnd w:id="144"/>
      <w:bookmarkStart w:id="145" w:name="_Toc3029"/>
      <w:bookmarkEnd w:id="145"/>
      <w:bookmarkStart w:id="146" w:name="_Toc24059"/>
      <w:bookmarkEnd w:id="146"/>
      <w:r>
        <w:rPr>
          <w:rFonts w:hint="eastAsia" w:ascii="宋体" w:hAnsi="宋体"/>
          <w:b/>
          <w:color w:val="auto"/>
          <w:sz w:val="24"/>
          <w:highlight w:val="none"/>
        </w:rPr>
        <w:t>1.1 合同组成部分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1.1.1 本合同及其补充合同、变更协议；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1.1.2 中标通知书；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 投标文件及“投标报价”（含澄清或者说明文件）；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1.1.4 招标文件（含澄清或者修改文件）；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1.1.5 其他相关采购文件。</w:t>
      </w:r>
    </w:p>
    <w:p>
      <w:pPr>
        <w:spacing w:line="360" w:lineRule="auto"/>
        <w:ind w:firstLine="482" w:firstLineChars="200"/>
        <w:rPr>
          <w:rFonts w:ascii="宋体" w:hAnsi="宋体"/>
          <w:b/>
          <w:color w:val="auto"/>
          <w:sz w:val="24"/>
          <w:highlight w:val="none"/>
        </w:rPr>
      </w:pPr>
      <w:bookmarkStart w:id="147" w:name="_Toc21295"/>
      <w:bookmarkEnd w:id="147"/>
      <w:bookmarkStart w:id="148" w:name="_Toc27126"/>
      <w:bookmarkEnd w:id="148"/>
      <w:bookmarkStart w:id="149" w:name="_Toc24300"/>
      <w:bookmarkEnd w:id="149"/>
      <w:r>
        <w:rPr>
          <w:rFonts w:hint="eastAsia" w:ascii="宋体" w:hAnsi="宋体"/>
          <w:b/>
          <w:color w:val="auto"/>
          <w:sz w:val="24"/>
          <w:highlight w:val="none"/>
        </w:rPr>
        <w:t>1.2 标的物</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1.2.1 标的物1信息</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1.2.1.1名称：</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1.2.1.2数量：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1.2.1.3质量：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2" w:firstLineChars="200"/>
        <w:rPr>
          <w:rFonts w:ascii="宋体" w:hAnsi="宋体"/>
          <w:b/>
          <w:color w:val="auto"/>
          <w:sz w:val="24"/>
          <w:highlight w:val="none"/>
        </w:rPr>
      </w:pPr>
      <w:bookmarkStart w:id="150" w:name="_Toc23292"/>
      <w:bookmarkEnd w:id="150"/>
      <w:bookmarkStart w:id="151" w:name="_Toc21551"/>
      <w:bookmarkEnd w:id="151"/>
      <w:bookmarkStart w:id="152" w:name="_Toc21631"/>
      <w:bookmarkEnd w:id="152"/>
      <w:r>
        <w:rPr>
          <w:rFonts w:hint="eastAsia" w:ascii="宋体" w:hAnsi="宋体"/>
          <w:b/>
          <w:color w:val="auto"/>
          <w:sz w:val="24"/>
          <w:highlight w:val="none"/>
        </w:rPr>
        <w:t>1.3 价款</w:t>
      </w:r>
    </w:p>
    <w:p>
      <w:pPr>
        <w:spacing w:line="360" w:lineRule="auto"/>
        <w:ind w:firstLine="480" w:firstLineChars="200"/>
        <w:rPr>
          <w:rFonts w:ascii="宋体" w:hAnsi="宋体"/>
          <w:color w:val="auto"/>
          <w:sz w:val="24"/>
          <w:highlight w:val="none"/>
        </w:rPr>
      </w:pPr>
      <w:bookmarkStart w:id="153" w:name="_Toc1814"/>
      <w:bookmarkStart w:id="154" w:name="_Toc10340"/>
      <w:bookmarkStart w:id="155" w:name="_Toc22618"/>
      <w:r>
        <w:rPr>
          <w:rFonts w:hint="eastAsia" w:ascii="宋体" w:hAnsi="宋体"/>
          <w:color w:val="auto"/>
          <w:sz w:val="24"/>
          <w:highlight w:val="none"/>
        </w:rPr>
        <w:t>本合同总价为：人民币</w:t>
      </w:r>
      <w:r>
        <w:rPr>
          <w:rFonts w:hint="eastAsia" w:ascii="宋体" w:hAnsi="宋体"/>
          <w:color w:val="auto"/>
          <w:sz w:val="24"/>
          <w:highlight w:val="none"/>
          <w:u w:val="single"/>
        </w:rPr>
        <w:t xml:space="preserve">           </w:t>
      </w:r>
      <w:r>
        <w:rPr>
          <w:rFonts w:hint="eastAsia" w:ascii="宋体" w:hAnsi="宋体"/>
          <w:color w:val="auto"/>
          <w:sz w:val="24"/>
          <w:highlight w:val="none"/>
        </w:rPr>
        <w:t>元（大写：</w:t>
      </w:r>
      <w:r>
        <w:rPr>
          <w:rFonts w:hint="eastAsia" w:ascii="宋体" w:hAnsi="宋体"/>
          <w:color w:val="auto"/>
          <w:sz w:val="24"/>
          <w:highlight w:val="none"/>
          <w:u w:val="single"/>
        </w:rPr>
        <w:t xml:space="preserve">                 </w:t>
      </w:r>
      <w:r>
        <w:rPr>
          <w:rFonts w:hint="eastAsia" w:ascii="宋体" w:hAnsi="宋体"/>
          <w:color w:val="auto"/>
          <w:sz w:val="24"/>
          <w:highlight w:val="none"/>
        </w:rPr>
        <w:t>元人民币，含税）。</w:t>
      </w:r>
    </w:p>
    <w:bookmarkEnd w:id="153"/>
    <w:bookmarkEnd w:id="154"/>
    <w:bookmarkEnd w:id="155"/>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1.4 付款方式和发票开具方式</w:t>
      </w:r>
    </w:p>
    <w:p>
      <w:pPr>
        <w:spacing w:line="360" w:lineRule="auto"/>
        <w:ind w:firstLine="1200" w:firstLineChars="500"/>
        <w:rPr>
          <w:rFonts w:ascii="宋体" w:hAnsi="宋体"/>
          <w:color w:val="auto"/>
          <w:sz w:val="24"/>
          <w:highlight w:val="none"/>
        </w:rPr>
      </w:pPr>
      <w:r>
        <w:rPr>
          <w:rFonts w:hint="eastAsia" w:ascii="宋体" w:hAnsi="宋体"/>
          <w:color w:val="auto"/>
          <w:sz w:val="24"/>
          <w:highlight w:val="none"/>
        </w:rPr>
        <w:t>1.4.1 付款方式：资金拨付形式：</w:t>
      </w:r>
      <w:r>
        <w:rPr>
          <w:rFonts w:hint="eastAsia" w:ascii="宋体" w:hAnsi="宋体"/>
          <w:color w:val="auto"/>
          <w:sz w:val="24"/>
          <w:highlight w:val="none"/>
          <w:lang w:val="en-US" w:eastAsia="zh-CN"/>
        </w:rPr>
        <w:t>本次托管污水处理装置的运维费预付款30%，剩余费用按季度分次拨付。第三方运行管理企业在每季度最后一个月月底前将本季度使用资金申请材料报南宁市青秀生态环境局，申请材料包括：申请运维费用报告、生活污水处理设施运行费用清单、设施运行率报表、设施电费票据凭证及发票凭证、运营总结等，并每半年提供一次设备出水水质监测数据。由南宁市青秀生态环境局根据日常监督检查、监测及综合考评情况及时进行审核，在下季度第一个月前10个工作日内将资金拨付给第三方运行管理单位。当季应拨付的第三方运维费用=根据运维总价合同计算实际月运维费用×考核对应的拨款比例（中标后签订考核补充协议，明确考核要求）。</w:t>
      </w:r>
      <w:r>
        <w:rPr>
          <w:rFonts w:hint="eastAsia" w:ascii="宋体" w:hAnsi="宋体"/>
          <w:color w:val="auto"/>
          <w:sz w:val="24"/>
          <w:highlight w:val="none"/>
        </w:rPr>
        <w:t>乙方指定收款账户：</w:t>
      </w:r>
    </w:p>
    <w:p>
      <w:pPr>
        <w:spacing w:line="360" w:lineRule="auto"/>
        <w:ind w:firstLine="1200" w:firstLineChars="500"/>
        <w:rPr>
          <w:rFonts w:ascii="宋体" w:hAnsi="宋体"/>
          <w:color w:val="auto"/>
          <w:sz w:val="24"/>
          <w:highlight w:val="none"/>
        </w:rPr>
      </w:pPr>
      <w:r>
        <w:rPr>
          <w:rFonts w:hint="eastAsia" w:ascii="宋体" w:hAnsi="宋体"/>
          <w:color w:val="auto"/>
          <w:sz w:val="24"/>
          <w:highlight w:val="none"/>
        </w:rPr>
        <w:t>户名：</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1200" w:firstLineChars="500"/>
        <w:rPr>
          <w:rFonts w:ascii="宋体" w:hAnsi="宋体"/>
          <w:color w:val="auto"/>
          <w:sz w:val="24"/>
          <w:highlight w:val="none"/>
        </w:rPr>
      </w:pPr>
      <w:r>
        <w:rPr>
          <w:rFonts w:hint="eastAsia" w:ascii="宋体" w:hAnsi="宋体"/>
          <w:color w:val="auto"/>
          <w:sz w:val="24"/>
          <w:highlight w:val="none"/>
        </w:rPr>
        <w:t>开户行：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1200" w:firstLineChars="500"/>
        <w:rPr>
          <w:rFonts w:ascii="宋体" w:hAnsi="宋体"/>
          <w:color w:val="auto"/>
          <w:sz w:val="24"/>
          <w:highlight w:val="none"/>
        </w:rPr>
      </w:pPr>
      <w:r>
        <w:rPr>
          <w:rFonts w:hint="eastAsia" w:ascii="宋体" w:hAnsi="宋体"/>
          <w:color w:val="auto"/>
          <w:sz w:val="24"/>
          <w:highlight w:val="none"/>
        </w:rPr>
        <w:t>账号：</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1.4.2 发票开具方式：</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2" w:firstLineChars="200"/>
        <w:rPr>
          <w:rFonts w:hint="eastAsia" w:ascii="宋体" w:hAnsi="宋体" w:eastAsia="宋体"/>
          <w:b/>
          <w:color w:val="auto"/>
          <w:sz w:val="24"/>
          <w:highlight w:val="none"/>
          <w:lang w:eastAsia="zh-CN"/>
        </w:rPr>
      </w:pPr>
      <w:bookmarkStart w:id="156" w:name="_Toc32071"/>
      <w:bookmarkEnd w:id="156"/>
      <w:bookmarkStart w:id="157" w:name="_Toc2846"/>
      <w:bookmarkEnd w:id="157"/>
      <w:bookmarkStart w:id="158" w:name="_Toc19304"/>
      <w:bookmarkEnd w:id="158"/>
      <w:r>
        <w:rPr>
          <w:rFonts w:hint="eastAsia" w:ascii="宋体" w:hAnsi="宋体"/>
          <w:b/>
          <w:color w:val="auto"/>
          <w:sz w:val="24"/>
          <w:highlight w:val="none"/>
        </w:rPr>
        <w:t>1.5 标的物交付期限、地点、方式和</w:t>
      </w:r>
      <w:r>
        <w:rPr>
          <w:rFonts w:hint="eastAsia" w:ascii="宋体" w:hAnsi="宋体"/>
          <w:b/>
          <w:color w:val="auto"/>
          <w:sz w:val="24"/>
          <w:highlight w:val="none"/>
          <w:lang w:val="en-US" w:eastAsia="zh-CN"/>
        </w:rPr>
        <w:t>服务</w:t>
      </w:r>
      <w:r>
        <w:rPr>
          <w:rFonts w:hint="eastAsia" w:ascii="宋体" w:hAnsi="宋体"/>
          <w:b/>
          <w:color w:val="auto"/>
          <w:sz w:val="24"/>
          <w:highlight w:val="none"/>
          <w:lang w:eastAsia="zh-CN"/>
        </w:rPr>
        <w:t>期限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1.5.1 </w:t>
      </w:r>
      <w:r>
        <w:rPr>
          <w:rFonts w:hint="eastAsia" w:ascii="宋体" w:hAnsi="宋体"/>
          <w:color w:val="auto"/>
          <w:sz w:val="24"/>
          <w:highlight w:val="none"/>
          <w:lang w:val="en-US" w:eastAsia="zh-CN"/>
        </w:rPr>
        <w:t>服务</w:t>
      </w:r>
      <w:r>
        <w:rPr>
          <w:rFonts w:hint="eastAsia" w:ascii="宋体" w:hAnsi="宋体"/>
          <w:color w:val="auto"/>
          <w:sz w:val="24"/>
          <w:highlight w:val="none"/>
        </w:rPr>
        <w:t>期限：</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1.5.2 </w:t>
      </w:r>
      <w:r>
        <w:rPr>
          <w:rFonts w:hint="eastAsia" w:ascii="宋体" w:hAnsi="宋体"/>
          <w:color w:val="auto"/>
          <w:sz w:val="24"/>
          <w:highlight w:val="none"/>
          <w:lang w:val="en-US" w:eastAsia="zh-CN"/>
        </w:rPr>
        <w:t>服务</w:t>
      </w:r>
      <w:r>
        <w:rPr>
          <w:rFonts w:hint="eastAsia" w:ascii="宋体" w:hAnsi="宋体"/>
          <w:color w:val="auto"/>
          <w:sz w:val="24"/>
          <w:highlight w:val="none"/>
        </w:rPr>
        <w:t>地点：</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1.5.3 服务方式：</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1.5.4 售后服务要求：</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 xml:space="preserve">1.5.5乙方履约联系方式：联系人：    通讯地址：     联系电话：    微信：  </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特别说明：如甲方按照以上联系方式向乙方送达相应通知时，如因乙方原因导致邮件无人签收、拒签或微信未回复等情形的产生，自甲方邮件发出之日起或微信发送之日起三日内视为已送达乙方，乙方认可甲方已履行通知义务。</w:t>
      </w:r>
    </w:p>
    <w:p>
      <w:pPr>
        <w:spacing w:line="360" w:lineRule="auto"/>
        <w:ind w:firstLine="482" w:firstLineChars="200"/>
        <w:rPr>
          <w:rFonts w:ascii="宋体" w:hAnsi="宋体"/>
          <w:b/>
          <w:color w:val="auto"/>
          <w:sz w:val="24"/>
          <w:highlight w:val="none"/>
        </w:rPr>
      </w:pPr>
      <w:bookmarkStart w:id="159" w:name="_Toc19554"/>
      <w:bookmarkEnd w:id="159"/>
      <w:bookmarkStart w:id="160" w:name="_Toc21423"/>
      <w:bookmarkEnd w:id="160"/>
      <w:bookmarkStart w:id="161" w:name="_Toc27250"/>
      <w:bookmarkEnd w:id="161"/>
      <w:r>
        <w:rPr>
          <w:rFonts w:hint="eastAsia" w:ascii="宋体" w:hAnsi="宋体"/>
          <w:b/>
          <w:color w:val="auto"/>
          <w:sz w:val="24"/>
          <w:highlight w:val="none"/>
        </w:rPr>
        <w:t>1.6 违约责任</w:t>
      </w:r>
    </w:p>
    <w:p>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1.6.1 除不可抗力外，如果乙方没有按照本合同约定的期限、地点和方式交付标的物，甲方可要求乙方支付违约金，违约金按每迟延交付标的物一日的应交付而未交付标的物价格的万分之五（根据项目实际填写，一般为万分之五）计算，最高限额为本合同总价的     %（根据项目实际填写，一般为20%）；迟延超过【  】日的，甲方有权在要求乙方支付违约金的同时，书面通知乙方解除本合同，乙方应退回全部已收取的合同价款并按合同总金额的     %（根据项目实际填写，一般为20%）向甲方支付违约金；</w:t>
      </w:r>
    </w:p>
    <w:p>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1.6.2 除不可抗力外，如果甲方没有按照本合同约定的付款方式付款，乙方可要求甲方支付违约金，违约金按每迟延付款一日的应付而未付款的万分之五（根据项目实际填写，一般为万分之五）计算，最高限额为欠付金额的      %（根据项目实际填写，一般为20%）；迟延付款的违约金计算数额达到前述最高限额之日起，乙方有权在要求甲方支付违约金的同时，书面通知甲方解除本合同；</w:t>
      </w:r>
    </w:p>
    <w:p>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1.6.4乙方在质保期内未按承诺提供售后等服务的，每发生一次向甲方支付  元（根据项目实际填写，一般为2000元）的违约金。</w:t>
      </w:r>
    </w:p>
    <w:p>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1.6.7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1.7 合同争议的解决</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olor w:val="auto"/>
          <w:sz w:val="24"/>
          <w:highlight w:val="none"/>
          <w:u w:val="single"/>
        </w:rPr>
        <w:t xml:space="preserve">   1.7.2  </w:t>
      </w:r>
      <w:r>
        <w:rPr>
          <w:rFonts w:hint="eastAsia" w:ascii="宋体" w:hAnsi="宋体"/>
          <w:color w:val="auto"/>
          <w:sz w:val="24"/>
          <w:highlight w:val="none"/>
        </w:rPr>
        <w:t>种方式解决：</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1.7.1 将争议提交</w:t>
      </w:r>
      <w:r>
        <w:rPr>
          <w:rFonts w:hint="eastAsia" w:ascii="宋体" w:hAnsi="宋体"/>
          <w:color w:val="auto"/>
          <w:sz w:val="24"/>
          <w:highlight w:val="none"/>
          <w:u w:val="single"/>
        </w:rPr>
        <w:t>/</w:t>
      </w:r>
      <w:r>
        <w:rPr>
          <w:rFonts w:hint="eastAsia" w:ascii="宋体" w:hAnsi="宋体"/>
          <w:color w:val="auto"/>
          <w:sz w:val="24"/>
          <w:highlight w:val="none"/>
        </w:rPr>
        <w:t>仲裁委员会依申请仲裁时其现行有效的仲裁规则裁决；</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1.7.2 向</w:t>
      </w:r>
      <w:r>
        <w:rPr>
          <w:rFonts w:hint="eastAsia" w:ascii="宋体" w:hAnsi="宋体"/>
          <w:color w:val="auto"/>
          <w:sz w:val="24"/>
          <w:highlight w:val="none"/>
          <w:u w:val="single"/>
        </w:rPr>
        <w:t xml:space="preserve">   甲方所在地  </w:t>
      </w:r>
      <w:r>
        <w:rPr>
          <w:rFonts w:hint="eastAsia" w:ascii="宋体" w:hAnsi="宋体"/>
          <w:color w:val="auto"/>
          <w:sz w:val="24"/>
          <w:highlight w:val="none"/>
        </w:rPr>
        <w:t>有管辖权的人民法院起诉。</w:t>
      </w:r>
    </w:p>
    <w:p>
      <w:pPr>
        <w:spacing w:line="360" w:lineRule="auto"/>
        <w:ind w:firstLine="482" w:firstLineChars="200"/>
        <w:rPr>
          <w:rFonts w:ascii="宋体" w:hAnsi="宋体"/>
          <w:b/>
          <w:color w:val="auto"/>
          <w:sz w:val="24"/>
          <w:highlight w:val="none"/>
        </w:rPr>
      </w:pPr>
      <w:bookmarkStart w:id="162" w:name="_Toc7245"/>
      <w:bookmarkEnd w:id="162"/>
      <w:bookmarkStart w:id="163" w:name="_Toc11173"/>
      <w:bookmarkEnd w:id="163"/>
      <w:bookmarkStart w:id="164" w:name="_Toc15322"/>
      <w:bookmarkEnd w:id="164"/>
      <w:r>
        <w:rPr>
          <w:rFonts w:hint="eastAsia" w:ascii="宋体" w:hAnsi="宋体"/>
          <w:b/>
          <w:color w:val="auto"/>
          <w:sz w:val="24"/>
          <w:highlight w:val="none"/>
        </w:rPr>
        <w:t>1.8 合同生效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本合同自双方当事人加盖有效电子公章时生效。</w:t>
      </w:r>
    </w:p>
    <w:p>
      <w:pPr>
        <w:spacing w:line="360" w:lineRule="auto"/>
        <w:ind w:firstLine="200"/>
        <w:rPr>
          <w:rFonts w:ascii="宋体" w:hAnsi="宋体"/>
          <w:color w:val="auto"/>
          <w:sz w:val="24"/>
          <w:highlight w:val="none"/>
          <w:lang w:val="zh-CN"/>
        </w:rPr>
      </w:pPr>
      <w:r>
        <w:rPr>
          <w:rFonts w:hint="eastAsia" w:ascii="宋体" w:hAnsi="宋体"/>
          <w:color w:val="auto"/>
          <w:sz w:val="24"/>
          <w:highlight w:val="none"/>
          <w:lang w:val="zh-CN"/>
        </w:rPr>
        <w:t>甲方：                                   乙方：</w:t>
      </w:r>
    </w:p>
    <w:p>
      <w:pPr>
        <w:spacing w:line="360" w:lineRule="auto"/>
        <w:ind w:firstLine="200"/>
        <w:rPr>
          <w:rFonts w:ascii="宋体" w:hAnsi="宋体"/>
          <w:color w:val="auto"/>
          <w:sz w:val="24"/>
          <w:highlight w:val="none"/>
          <w:lang w:val="zh-CN"/>
        </w:rPr>
      </w:pPr>
      <w:r>
        <w:rPr>
          <w:rFonts w:hint="eastAsia" w:ascii="宋体" w:hAnsi="宋体"/>
          <w:color w:val="auto"/>
          <w:sz w:val="24"/>
          <w:highlight w:val="none"/>
          <w:lang w:val="zh-CN"/>
        </w:rPr>
        <w:t>统一社会信用代码：                       统一社会信用代码或身份证号码：</w:t>
      </w:r>
    </w:p>
    <w:p>
      <w:pPr>
        <w:spacing w:line="360" w:lineRule="auto"/>
        <w:ind w:firstLine="200"/>
        <w:rPr>
          <w:rFonts w:ascii="宋体" w:hAnsi="宋体"/>
          <w:color w:val="auto"/>
          <w:sz w:val="24"/>
          <w:highlight w:val="none"/>
          <w:lang w:val="zh-CN"/>
        </w:rPr>
      </w:pPr>
      <w:r>
        <w:rPr>
          <w:rFonts w:hint="eastAsia" w:ascii="宋体" w:hAnsi="宋体"/>
          <w:color w:val="auto"/>
          <w:sz w:val="24"/>
          <w:highlight w:val="none"/>
          <w:lang w:val="zh-CN"/>
        </w:rPr>
        <w:t>住所：                                   住所：</w:t>
      </w:r>
    </w:p>
    <w:p>
      <w:pPr>
        <w:spacing w:line="360" w:lineRule="auto"/>
        <w:ind w:firstLine="200"/>
        <w:rPr>
          <w:rFonts w:ascii="宋体" w:hAnsi="宋体"/>
          <w:color w:val="auto"/>
          <w:sz w:val="24"/>
          <w:highlight w:val="none"/>
          <w:lang w:val="zh-CN"/>
        </w:rPr>
      </w:pPr>
      <w:r>
        <w:rPr>
          <w:rFonts w:hint="eastAsia" w:ascii="宋体" w:hAnsi="宋体"/>
          <w:color w:val="auto"/>
          <w:sz w:val="24"/>
          <w:highlight w:val="none"/>
          <w:lang w:val="zh-CN"/>
        </w:rPr>
        <w:t>法定代表人或                             法定代表人</w:t>
      </w:r>
    </w:p>
    <w:p>
      <w:pPr>
        <w:spacing w:line="360" w:lineRule="auto"/>
        <w:ind w:firstLine="200"/>
        <w:rPr>
          <w:rFonts w:ascii="宋体" w:hAnsi="宋体"/>
          <w:color w:val="auto"/>
          <w:sz w:val="24"/>
          <w:highlight w:val="none"/>
          <w:lang w:val="zh-CN"/>
        </w:rPr>
      </w:pPr>
      <w:r>
        <w:rPr>
          <w:rFonts w:hint="eastAsia" w:ascii="宋体" w:hAnsi="宋体"/>
          <w:color w:val="auto"/>
          <w:sz w:val="24"/>
          <w:highlight w:val="none"/>
          <w:lang w:val="zh-CN"/>
        </w:rPr>
        <w:t xml:space="preserve">授权代表（签字或盖章）：                  或授权代表（签字或盖章）： </w:t>
      </w:r>
    </w:p>
    <w:p>
      <w:pPr>
        <w:spacing w:line="360" w:lineRule="auto"/>
        <w:ind w:firstLine="200"/>
        <w:rPr>
          <w:rFonts w:ascii="宋体" w:hAnsi="宋体"/>
          <w:color w:val="auto"/>
          <w:sz w:val="24"/>
          <w:highlight w:val="none"/>
          <w:lang w:val="zh-CN"/>
        </w:rPr>
      </w:pPr>
      <w:r>
        <w:rPr>
          <w:rFonts w:hint="eastAsia" w:ascii="宋体" w:hAnsi="宋体"/>
          <w:color w:val="auto"/>
          <w:sz w:val="24"/>
          <w:highlight w:val="none"/>
          <w:lang w:val="zh-CN"/>
        </w:rPr>
        <w:t>联系人：                                 联系人：</w:t>
      </w:r>
    </w:p>
    <w:p>
      <w:pPr>
        <w:spacing w:line="360" w:lineRule="auto"/>
        <w:ind w:firstLine="200"/>
        <w:rPr>
          <w:rFonts w:ascii="宋体" w:hAnsi="宋体"/>
          <w:color w:val="auto"/>
          <w:sz w:val="24"/>
          <w:highlight w:val="none"/>
          <w:lang w:val="zh-CN"/>
        </w:rPr>
      </w:pPr>
      <w:r>
        <w:rPr>
          <w:rFonts w:hint="eastAsia" w:ascii="宋体" w:hAnsi="宋体"/>
          <w:color w:val="auto"/>
          <w:sz w:val="24"/>
          <w:highlight w:val="none"/>
          <w:lang w:val="zh-CN"/>
        </w:rPr>
        <w:t>约定送达地址：                           约定送达地址：</w:t>
      </w:r>
    </w:p>
    <w:p>
      <w:pPr>
        <w:spacing w:line="360" w:lineRule="auto"/>
        <w:ind w:firstLine="200"/>
        <w:rPr>
          <w:rFonts w:ascii="宋体" w:hAnsi="宋体"/>
          <w:color w:val="auto"/>
          <w:sz w:val="24"/>
          <w:highlight w:val="none"/>
          <w:lang w:val="zh-CN"/>
        </w:rPr>
      </w:pPr>
      <w:r>
        <w:rPr>
          <w:rFonts w:hint="eastAsia" w:ascii="宋体" w:hAnsi="宋体"/>
          <w:color w:val="auto"/>
          <w:sz w:val="24"/>
          <w:highlight w:val="none"/>
          <w:lang w:val="zh-CN"/>
        </w:rPr>
        <w:t>邮政编码：                               邮政编码：</w:t>
      </w:r>
    </w:p>
    <w:p>
      <w:pPr>
        <w:spacing w:line="360" w:lineRule="auto"/>
        <w:ind w:firstLine="200"/>
        <w:rPr>
          <w:rFonts w:ascii="宋体" w:hAnsi="宋体"/>
          <w:color w:val="auto"/>
          <w:sz w:val="24"/>
          <w:highlight w:val="none"/>
          <w:lang w:val="zh-CN"/>
        </w:rPr>
      </w:pPr>
      <w:r>
        <w:rPr>
          <w:rFonts w:hint="eastAsia" w:ascii="宋体" w:hAnsi="宋体"/>
          <w:color w:val="auto"/>
          <w:sz w:val="24"/>
          <w:highlight w:val="none"/>
          <w:lang w:val="zh-CN"/>
        </w:rPr>
        <w:t xml:space="preserve">电话：                                    电话： </w:t>
      </w:r>
    </w:p>
    <w:p>
      <w:pPr>
        <w:spacing w:line="360" w:lineRule="auto"/>
        <w:ind w:firstLine="200"/>
        <w:rPr>
          <w:rFonts w:ascii="宋体" w:hAnsi="宋体"/>
          <w:color w:val="auto"/>
          <w:sz w:val="24"/>
          <w:highlight w:val="none"/>
          <w:lang w:val="zh-CN"/>
        </w:rPr>
      </w:pPr>
      <w:r>
        <w:rPr>
          <w:rFonts w:hint="eastAsia" w:ascii="宋体" w:hAnsi="宋体"/>
          <w:color w:val="auto"/>
          <w:sz w:val="24"/>
          <w:highlight w:val="none"/>
          <w:lang w:val="zh-CN"/>
        </w:rPr>
        <w:t>传真：                                    传真：</w:t>
      </w:r>
    </w:p>
    <w:p>
      <w:pPr>
        <w:spacing w:line="360" w:lineRule="auto"/>
        <w:ind w:firstLine="200"/>
        <w:rPr>
          <w:rFonts w:ascii="宋体" w:hAnsi="宋体"/>
          <w:color w:val="auto"/>
          <w:sz w:val="24"/>
          <w:highlight w:val="none"/>
          <w:lang w:val="zh-CN"/>
        </w:rPr>
      </w:pPr>
      <w:r>
        <w:rPr>
          <w:rFonts w:hint="eastAsia" w:ascii="宋体" w:hAnsi="宋体"/>
          <w:color w:val="auto"/>
          <w:sz w:val="24"/>
          <w:highlight w:val="none"/>
          <w:lang w:val="zh-CN"/>
        </w:rPr>
        <w:t>电子邮箱：                               电子邮箱：</w:t>
      </w:r>
    </w:p>
    <w:p>
      <w:pPr>
        <w:spacing w:line="360" w:lineRule="auto"/>
        <w:ind w:firstLine="200"/>
        <w:rPr>
          <w:rFonts w:ascii="宋体" w:hAnsi="宋体"/>
          <w:color w:val="auto"/>
          <w:sz w:val="24"/>
          <w:highlight w:val="none"/>
        </w:rPr>
      </w:pPr>
      <w:r>
        <w:rPr>
          <w:rFonts w:hint="eastAsia" w:ascii="宋体" w:hAnsi="宋体"/>
          <w:color w:val="auto"/>
          <w:sz w:val="24"/>
          <w:highlight w:val="none"/>
        </w:rPr>
        <w:t xml:space="preserve">开户银行：                               开户银行： </w:t>
      </w:r>
    </w:p>
    <w:p>
      <w:pPr>
        <w:spacing w:line="360" w:lineRule="auto"/>
        <w:ind w:firstLine="200"/>
        <w:rPr>
          <w:rFonts w:ascii="宋体" w:hAnsi="宋体"/>
          <w:color w:val="auto"/>
          <w:sz w:val="24"/>
          <w:highlight w:val="none"/>
        </w:rPr>
      </w:pPr>
      <w:r>
        <w:rPr>
          <w:rFonts w:hint="eastAsia" w:ascii="宋体" w:hAnsi="宋体"/>
          <w:color w:val="auto"/>
          <w:sz w:val="24"/>
          <w:highlight w:val="none"/>
        </w:rPr>
        <w:t xml:space="preserve">开户名称：                               开户名称： </w:t>
      </w:r>
    </w:p>
    <w:p>
      <w:pPr>
        <w:spacing w:line="360" w:lineRule="auto"/>
        <w:ind w:firstLine="200"/>
        <w:rPr>
          <w:rFonts w:ascii="宋体" w:hAnsi="宋体"/>
          <w:color w:val="auto"/>
          <w:sz w:val="24"/>
          <w:highlight w:val="none"/>
        </w:rPr>
      </w:pPr>
      <w:r>
        <w:rPr>
          <w:rFonts w:hint="eastAsia" w:ascii="宋体" w:hAnsi="宋体"/>
          <w:color w:val="auto"/>
          <w:sz w:val="24"/>
          <w:highlight w:val="none"/>
        </w:rPr>
        <w:t>开户账号：</w:t>
      </w:r>
      <w:r>
        <w:rPr>
          <w:rFonts w:hint="eastAsia" w:ascii="宋体" w:hAnsi="宋体"/>
          <w:color w:val="auto"/>
          <w:sz w:val="24"/>
          <w:highlight w:val="none"/>
          <w:lang w:val="zh-CN"/>
        </w:rPr>
        <w:t xml:space="preserve">                               </w:t>
      </w:r>
      <w:r>
        <w:rPr>
          <w:rFonts w:hint="eastAsia" w:ascii="宋体" w:hAnsi="宋体"/>
          <w:color w:val="auto"/>
          <w:sz w:val="24"/>
          <w:highlight w:val="none"/>
        </w:rPr>
        <w:t>开户账号：</w:t>
      </w:r>
    </w:p>
    <w:p>
      <w:pPr>
        <w:spacing w:line="360" w:lineRule="auto"/>
        <w:ind w:firstLine="200"/>
        <w:jc w:val="center"/>
        <w:rPr>
          <w:rFonts w:ascii="宋体" w:hAnsi="宋体"/>
          <w:b/>
          <w:color w:val="auto"/>
          <w:highlight w:val="none"/>
        </w:rPr>
      </w:pPr>
      <w:bookmarkStart w:id="165" w:name="_Toc331685783"/>
      <w:bookmarkEnd w:id="165"/>
      <w:r>
        <w:rPr>
          <w:rFonts w:hint="eastAsia" w:ascii="宋体" w:hAnsi="宋体"/>
          <w:b/>
          <w:color w:val="auto"/>
          <w:highlight w:val="none"/>
        </w:rPr>
        <w:br w:type="page"/>
      </w:r>
      <w:r>
        <w:rPr>
          <w:rFonts w:hint="eastAsia" w:ascii="宋体" w:hAnsi="宋体"/>
          <w:b/>
          <w:color w:val="auto"/>
          <w:sz w:val="28"/>
          <w:szCs w:val="28"/>
          <w:highlight w:val="none"/>
        </w:rPr>
        <w:t>第二部分 合同一般条款</w:t>
      </w:r>
    </w:p>
    <w:p>
      <w:pPr>
        <w:spacing w:line="360" w:lineRule="auto"/>
        <w:ind w:firstLine="482" w:firstLineChars="200"/>
        <w:rPr>
          <w:rFonts w:ascii="宋体" w:hAnsi="宋体"/>
          <w:b/>
          <w:color w:val="auto"/>
          <w:sz w:val="24"/>
          <w:highlight w:val="none"/>
        </w:rPr>
      </w:pPr>
      <w:bookmarkStart w:id="166" w:name="_Toc259093669"/>
      <w:bookmarkEnd w:id="166"/>
      <w:bookmarkStart w:id="167" w:name="_Ref467379094"/>
      <w:bookmarkEnd w:id="167"/>
      <w:bookmarkStart w:id="168" w:name="_Ref467379109"/>
      <w:bookmarkEnd w:id="168"/>
      <w:bookmarkStart w:id="169" w:name="_Ref467379205"/>
      <w:bookmarkEnd w:id="169"/>
      <w:bookmarkStart w:id="170" w:name="_Toc487900349"/>
      <w:bookmarkEnd w:id="170"/>
      <w:bookmarkStart w:id="171" w:name="_Ref467378463"/>
      <w:bookmarkEnd w:id="171"/>
      <w:bookmarkStart w:id="172" w:name="_Ref467378499"/>
      <w:bookmarkEnd w:id="172"/>
      <w:bookmarkStart w:id="173" w:name="_Ref467379214"/>
      <w:bookmarkEnd w:id="173"/>
      <w:bookmarkStart w:id="174" w:name="_Toc28763"/>
      <w:bookmarkEnd w:id="174"/>
      <w:bookmarkStart w:id="175" w:name="_Ref467379225"/>
      <w:bookmarkEnd w:id="175"/>
      <w:bookmarkStart w:id="176" w:name="_Ref467379195"/>
      <w:bookmarkEnd w:id="176"/>
      <w:bookmarkStart w:id="177" w:name="_Toc279701240"/>
      <w:bookmarkEnd w:id="177"/>
      <w:bookmarkStart w:id="178" w:name="_Ref467379101"/>
      <w:bookmarkEnd w:id="178"/>
      <w:bookmarkStart w:id="179" w:name="_Toc16917"/>
      <w:bookmarkEnd w:id="179"/>
      <w:bookmarkStart w:id="180" w:name="_Ref467378404"/>
      <w:bookmarkEnd w:id="180"/>
      <w:bookmarkStart w:id="181" w:name="_Toc19614"/>
      <w:bookmarkEnd w:id="181"/>
      <w:r>
        <w:rPr>
          <w:rFonts w:hint="eastAsia" w:ascii="宋体" w:hAnsi="宋体"/>
          <w:b/>
          <w:color w:val="auto"/>
          <w:sz w:val="24"/>
          <w:highlight w:val="none"/>
        </w:rPr>
        <w:t>2.1 定义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本合同中的下列词语应按以下内容进行解释：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 “合同”系指采购人和中标人签订的载明双方当事人所达成的协议，并包括所有的附件、附录和构成合同的其他文件。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 “合同价”系指根据合同约定，中标人在完全履行合同义务后，采购人应支付给中标人的价格。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宋体" w:hAnsi="宋体"/>
          <w:color w:val="auto"/>
          <w:sz w:val="24"/>
          <w:highlight w:val="none"/>
        </w:rPr>
      </w:pPr>
      <w:bookmarkStart w:id="182" w:name="_Ref467378840"/>
      <w:bookmarkEnd w:id="182"/>
      <w:r>
        <w:rPr>
          <w:rFonts w:hint="eastAsia" w:ascii="宋体" w:hAnsi="宋体"/>
          <w:color w:val="auto"/>
          <w:sz w:val="24"/>
          <w:highlight w:val="none"/>
        </w:rPr>
        <w:t>2.1.4 “甲方”系指与中标人签署合同的采购人；采购人委托采购机构代表其与乙方签订合同的，采购人的授权委托书作为合同附件。</w:t>
      </w:r>
    </w:p>
    <w:p>
      <w:pPr>
        <w:spacing w:line="360" w:lineRule="auto"/>
        <w:ind w:firstLine="480" w:firstLineChars="200"/>
        <w:rPr>
          <w:rFonts w:ascii="宋体" w:hAnsi="宋体"/>
          <w:color w:val="auto"/>
          <w:sz w:val="24"/>
          <w:highlight w:val="none"/>
        </w:rPr>
      </w:pPr>
      <w:bookmarkStart w:id="183" w:name="_Ref467379400"/>
      <w:bookmarkEnd w:id="183"/>
      <w:r>
        <w:rPr>
          <w:rFonts w:hint="eastAsia" w:ascii="宋体" w:hAnsi="宋体"/>
          <w:color w:val="auto"/>
          <w:sz w:val="24"/>
          <w:highlight w:val="none"/>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olor w:val="auto"/>
          <w:sz w:val="24"/>
          <w:highlight w:val="none"/>
        </w:rPr>
      </w:pPr>
      <w:bookmarkStart w:id="184" w:name="_Ref467379436"/>
      <w:bookmarkEnd w:id="184"/>
      <w:r>
        <w:rPr>
          <w:rFonts w:hint="eastAsia" w:ascii="宋体" w:hAnsi="宋体"/>
          <w:color w:val="auto"/>
          <w:sz w:val="24"/>
          <w:highlight w:val="none"/>
        </w:rPr>
        <w:t>2.1.6 “现场”系指合同约定标的物将要运至或者实施或者安装的地点。</w:t>
      </w:r>
    </w:p>
    <w:p>
      <w:pPr>
        <w:spacing w:line="360" w:lineRule="auto"/>
        <w:ind w:firstLine="482" w:firstLineChars="200"/>
        <w:rPr>
          <w:rFonts w:ascii="宋体" w:hAnsi="宋体"/>
          <w:b/>
          <w:color w:val="auto"/>
          <w:sz w:val="24"/>
          <w:highlight w:val="none"/>
        </w:rPr>
      </w:pPr>
      <w:bookmarkStart w:id="185" w:name="_Toc27635"/>
      <w:bookmarkEnd w:id="185"/>
      <w:bookmarkStart w:id="186" w:name="_Toc32504"/>
      <w:bookmarkEnd w:id="186"/>
      <w:bookmarkStart w:id="187" w:name="_Toc487900350"/>
      <w:bookmarkEnd w:id="187"/>
      <w:bookmarkStart w:id="188" w:name="_Toc259093670"/>
      <w:bookmarkEnd w:id="188"/>
      <w:bookmarkStart w:id="189" w:name="_Toc13336"/>
      <w:bookmarkEnd w:id="189"/>
      <w:bookmarkStart w:id="190" w:name="_Toc279701241"/>
      <w:bookmarkEnd w:id="190"/>
      <w:r>
        <w:rPr>
          <w:rFonts w:hint="eastAsia" w:ascii="宋体" w:hAnsi="宋体"/>
          <w:b/>
          <w:color w:val="auto"/>
          <w:sz w:val="24"/>
          <w:highlight w:val="none"/>
        </w:rPr>
        <w:t>2.2 技术规范</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pacing w:line="360" w:lineRule="auto"/>
        <w:ind w:firstLine="482" w:firstLineChars="200"/>
        <w:rPr>
          <w:rFonts w:ascii="宋体" w:hAnsi="宋体"/>
          <w:b/>
          <w:color w:val="auto"/>
          <w:sz w:val="24"/>
          <w:highlight w:val="none"/>
        </w:rPr>
      </w:pPr>
      <w:bookmarkStart w:id="191" w:name="_Toc259093671"/>
      <w:bookmarkEnd w:id="191"/>
      <w:bookmarkStart w:id="192" w:name="_Toc31634"/>
      <w:bookmarkEnd w:id="192"/>
      <w:bookmarkStart w:id="193" w:name="_Toc487900351"/>
      <w:bookmarkEnd w:id="193"/>
      <w:bookmarkStart w:id="194" w:name="_Toc9829"/>
      <w:bookmarkEnd w:id="194"/>
      <w:bookmarkStart w:id="195" w:name="_Toc27853"/>
      <w:bookmarkEnd w:id="195"/>
      <w:bookmarkStart w:id="196" w:name="_Toc279701242"/>
      <w:bookmarkEnd w:id="196"/>
      <w:r>
        <w:rPr>
          <w:rFonts w:hint="eastAsia" w:ascii="宋体" w:hAnsi="宋体"/>
          <w:b/>
          <w:color w:val="auto"/>
          <w:sz w:val="24"/>
          <w:highlight w:val="none"/>
        </w:rPr>
        <w:t>2.3 知识产权</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2.3.2具有知识产权的计算机软件等标的物的知识产权归属，详见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360" w:lineRule="auto"/>
        <w:ind w:firstLine="482" w:firstLineChars="200"/>
        <w:rPr>
          <w:rFonts w:ascii="宋体" w:hAnsi="宋体"/>
          <w:b/>
          <w:color w:val="auto"/>
          <w:sz w:val="24"/>
          <w:highlight w:val="none"/>
        </w:rPr>
      </w:pPr>
      <w:bookmarkStart w:id="197" w:name="_Toc11932"/>
      <w:bookmarkEnd w:id="197"/>
      <w:bookmarkStart w:id="198" w:name="_Toc29149"/>
      <w:bookmarkEnd w:id="198"/>
      <w:bookmarkStart w:id="199" w:name="_Toc4194"/>
      <w:bookmarkEnd w:id="199"/>
      <w:r>
        <w:rPr>
          <w:rFonts w:hint="eastAsia" w:ascii="宋体" w:hAnsi="宋体"/>
          <w:b/>
          <w:color w:val="auto"/>
          <w:sz w:val="24"/>
          <w:highlight w:val="none"/>
        </w:rPr>
        <w:t>2.4 包装和装运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2.4.1除</w:t>
      </w:r>
      <w:r>
        <w:rPr>
          <w:rFonts w:hint="eastAsia" w:ascii="宋体" w:hAnsi="宋体"/>
          <w:b/>
          <w:i/>
          <w:color w:val="auto"/>
          <w:sz w:val="24"/>
          <w:highlight w:val="none"/>
          <w:u w:val="single"/>
        </w:rPr>
        <w:t>合同专用条款</w:t>
      </w:r>
      <w:r>
        <w:rPr>
          <w:rFonts w:hint="eastAsia" w:ascii="宋体" w:hAnsi="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2.4.2 装运标的物的要求和通知，详见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360" w:lineRule="auto"/>
        <w:ind w:firstLine="482" w:firstLineChars="200"/>
        <w:rPr>
          <w:rFonts w:ascii="宋体" w:hAnsi="宋体"/>
          <w:b/>
          <w:color w:val="auto"/>
          <w:sz w:val="24"/>
          <w:highlight w:val="none"/>
        </w:rPr>
      </w:pPr>
      <w:bookmarkStart w:id="200" w:name="_Toc19074"/>
      <w:bookmarkEnd w:id="200"/>
      <w:bookmarkStart w:id="201" w:name="_Ref467379527"/>
      <w:bookmarkEnd w:id="201"/>
      <w:bookmarkStart w:id="202" w:name="_Ref467379536"/>
      <w:bookmarkEnd w:id="202"/>
      <w:bookmarkStart w:id="203" w:name="_Toc259093674"/>
      <w:bookmarkEnd w:id="203"/>
      <w:bookmarkStart w:id="204" w:name="_Ref467378541"/>
      <w:bookmarkEnd w:id="204"/>
      <w:bookmarkStart w:id="205" w:name="_Ref467379542"/>
      <w:bookmarkEnd w:id="205"/>
      <w:bookmarkStart w:id="206" w:name="_Toc487900354"/>
      <w:bookmarkEnd w:id="206"/>
      <w:bookmarkStart w:id="207" w:name="_Toc26182"/>
      <w:bookmarkEnd w:id="207"/>
      <w:bookmarkStart w:id="208" w:name="_Toc279701245"/>
      <w:bookmarkEnd w:id="208"/>
      <w:bookmarkStart w:id="209" w:name="_Toc30272"/>
      <w:bookmarkEnd w:id="209"/>
      <w:bookmarkStart w:id="210" w:name="_Ref467378591"/>
      <w:bookmarkEnd w:id="210"/>
      <w:r>
        <w:rPr>
          <w:rFonts w:hint="eastAsia" w:ascii="宋体" w:hAnsi="宋体"/>
          <w:b/>
          <w:color w:val="auto"/>
          <w:sz w:val="24"/>
          <w:highlight w:val="none"/>
        </w:rPr>
        <w:t>2.5 履约检查和问题反馈</w:t>
      </w:r>
    </w:p>
    <w:p>
      <w:pPr>
        <w:spacing w:line="360" w:lineRule="auto"/>
        <w:ind w:firstLine="480" w:firstLineChars="200"/>
        <w:rPr>
          <w:rFonts w:ascii="宋体" w:hAnsi="宋体"/>
          <w:color w:val="auto"/>
          <w:sz w:val="24"/>
          <w:highlight w:val="none"/>
        </w:rPr>
      </w:pPr>
      <w:bookmarkStart w:id="211" w:name="_Ref467379657"/>
      <w:bookmarkEnd w:id="211"/>
      <w:bookmarkStart w:id="212" w:name="_Toc186431854"/>
      <w:bookmarkStart w:id="213" w:name="_Toc259093676"/>
      <w:bookmarkStart w:id="214" w:name="_Ref467379793"/>
      <w:bookmarkStart w:id="215" w:name="_Toc487900357"/>
      <w:bookmarkStart w:id="216" w:name="_Ref467379807"/>
      <w:bookmarkStart w:id="217" w:name="_Toc279701247"/>
      <w:r>
        <w:rPr>
          <w:rFonts w:hint="eastAsia" w:ascii="宋体" w:hAnsi="宋体"/>
          <w:color w:val="auto"/>
          <w:sz w:val="24"/>
          <w:highlight w:val="none"/>
        </w:rPr>
        <w:t>2.5.1甲方有权在其认为必要时，对乙方是否能够按照合同约定交付标的物进行履约检查，以确保乙方所交付的标的物能够依约满足甲方之项目需求，但不得因履约检查妨碍乙方的正常工作，乙方应予积极配合；</w:t>
      </w:r>
    </w:p>
    <w:bookmarkEnd w:id="212"/>
    <w:p>
      <w:pPr>
        <w:spacing w:line="360" w:lineRule="auto"/>
        <w:ind w:firstLine="480" w:firstLineChars="200"/>
        <w:rPr>
          <w:rFonts w:ascii="宋体" w:hAnsi="宋体"/>
          <w:color w:val="auto"/>
          <w:sz w:val="24"/>
          <w:highlight w:val="none"/>
        </w:rPr>
      </w:pPr>
      <w:bookmarkStart w:id="218" w:name="_Toc186431855"/>
      <w:r>
        <w:rPr>
          <w:rFonts w:hint="eastAsia" w:ascii="宋体" w:hAnsi="宋体"/>
          <w:color w:val="auto"/>
          <w:sz w:val="24"/>
          <w:highlight w:val="none"/>
        </w:rPr>
        <w:t>2.5.2 合同履行期间，甲方有权将履行过程中出现的问题反馈给乙方，双方当事人应以书面形式约定需要完善和改进的内容。</w:t>
      </w:r>
    </w:p>
    <w:bookmarkEnd w:id="213"/>
    <w:bookmarkEnd w:id="214"/>
    <w:bookmarkEnd w:id="215"/>
    <w:bookmarkEnd w:id="216"/>
    <w:bookmarkEnd w:id="217"/>
    <w:bookmarkEnd w:id="218"/>
    <w:p>
      <w:pPr>
        <w:spacing w:line="360" w:lineRule="auto"/>
        <w:ind w:firstLine="482" w:firstLineChars="200"/>
        <w:rPr>
          <w:rFonts w:ascii="宋体" w:hAnsi="宋体"/>
          <w:b/>
          <w:color w:val="auto"/>
          <w:sz w:val="24"/>
          <w:highlight w:val="none"/>
        </w:rPr>
      </w:pPr>
      <w:bookmarkStart w:id="219" w:name="_Toc19219"/>
      <w:bookmarkEnd w:id="219"/>
      <w:bookmarkStart w:id="220" w:name="_Toc28451"/>
      <w:bookmarkEnd w:id="220"/>
      <w:bookmarkStart w:id="221" w:name="_Toc7836"/>
      <w:bookmarkEnd w:id="221"/>
      <w:r>
        <w:rPr>
          <w:rFonts w:hint="eastAsia" w:ascii="宋体" w:hAnsi="宋体"/>
          <w:b/>
          <w:color w:val="auto"/>
          <w:sz w:val="24"/>
          <w:highlight w:val="none"/>
        </w:rPr>
        <w:t>2.6 结算方式和付款条件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360" w:lineRule="auto"/>
        <w:ind w:firstLine="482" w:firstLineChars="200"/>
        <w:rPr>
          <w:rFonts w:ascii="宋体" w:hAnsi="宋体"/>
          <w:b/>
          <w:color w:val="auto"/>
          <w:sz w:val="24"/>
          <w:highlight w:val="none"/>
        </w:rPr>
      </w:pPr>
      <w:bookmarkStart w:id="222" w:name="_Ref467379923"/>
      <w:bookmarkEnd w:id="222"/>
      <w:bookmarkStart w:id="223" w:name="_Toc774"/>
      <w:bookmarkEnd w:id="223"/>
      <w:bookmarkStart w:id="224" w:name="_Toc259093677"/>
      <w:bookmarkEnd w:id="224"/>
      <w:bookmarkStart w:id="225" w:name="_Ref467379863"/>
      <w:bookmarkEnd w:id="225"/>
      <w:bookmarkStart w:id="226" w:name="_Toc3225"/>
      <w:bookmarkEnd w:id="226"/>
      <w:bookmarkStart w:id="227" w:name="_Ref467379852"/>
      <w:bookmarkEnd w:id="227"/>
      <w:bookmarkStart w:id="228" w:name="_Toc487900358"/>
      <w:bookmarkEnd w:id="228"/>
      <w:bookmarkStart w:id="229" w:name="_Toc16110"/>
      <w:bookmarkEnd w:id="229"/>
      <w:bookmarkStart w:id="230" w:name="_Toc279701248"/>
      <w:bookmarkEnd w:id="230"/>
      <w:r>
        <w:rPr>
          <w:rFonts w:hint="eastAsia" w:ascii="宋体" w:hAnsi="宋体"/>
          <w:b/>
          <w:color w:val="auto"/>
          <w:sz w:val="24"/>
          <w:highlight w:val="none"/>
        </w:rPr>
        <w:t>2.7 技术资料和保密义务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 乙方有权依据合同约定和项目需要，向甲方了解有关情况，调阅有关资料等，甲方应予积极配合；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2.7.2 乙方有义务妥善保管和保护由甲方提供的前款信息和资料等；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ascii="宋体" w:hAnsi="宋体"/>
          <w:b/>
          <w:color w:val="auto"/>
          <w:sz w:val="24"/>
          <w:highlight w:val="none"/>
        </w:rPr>
      </w:pPr>
      <w:bookmarkStart w:id="231" w:name="_Toc7860"/>
      <w:bookmarkEnd w:id="231"/>
      <w:r>
        <w:rPr>
          <w:rFonts w:hint="eastAsia" w:ascii="宋体" w:hAnsi="宋体"/>
          <w:b/>
          <w:color w:val="auto"/>
          <w:sz w:val="24"/>
          <w:highlight w:val="none"/>
        </w:rPr>
        <w:t>2.8 质量保证</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2.8.1 乙方应建立和完善履行合同的内部质量保证体系，并提供相关内部规章制度给甲方，以便甲方进行监督检查；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2.8.3乙方应确保项目技术人员的数量和水平与投标文件一致。未经甲方书面同意，乙方不得擅自更换投标文件中注明的项目负责人。否则</w:t>
      </w:r>
      <w:r>
        <w:rPr>
          <w:rFonts w:hint="eastAsia" w:ascii="宋体" w:hAnsi="宋体"/>
          <w:color w:val="auto"/>
          <w:kern w:val="0"/>
          <w:sz w:val="24"/>
          <w:highlight w:val="none"/>
        </w:rPr>
        <w:t>甲方有权放弃或终止合同，并没收履约保证金。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highlight w:val="none"/>
          <w:u w:val="single"/>
        </w:rPr>
        <w:t>30%</w:t>
      </w:r>
      <w:r>
        <w:rPr>
          <w:rFonts w:hint="eastAsia" w:ascii="宋体" w:hAnsi="宋体"/>
          <w:color w:val="auto"/>
          <w:sz w:val="24"/>
          <w:highlight w:val="none"/>
        </w:rPr>
        <w:t>。</w:t>
      </w:r>
    </w:p>
    <w:p>
      <w:pPr>
        <w:spacing w:line="360" w:lineRule="auto"/>
        <w:ind w:firstLine="482" w:firstLineChars="200"/>
        <w:rPr>
          <w:rFonts w:ascii="宋体" w:hAnsi="宋体"/>
          <w:b/>
          <w:color w:val="auto"/>
          <w:sz w:val="24"/>
          <w:highlight w:val="none"/>
        </w:rPr>
      </w:pPr>
      <w:bookmarkStart w:id="232" w:name="_Toc17244"/>
      <w:bookmarkEnd w:id="232"/>
      <w:bookmarkStart w:id="233" w:name="_Toc279701252"/>
      <w:bookmarkStart w:id="234" w:name="_Toc487900362"/>
      <w:bookmarkStart w:id="235" w:name="_Toc259093681"/>
      <w:r>
        <w:rPr>
          <w:rFonts w:hint="eastAsia" w:ascii="宋体" w:hAnsi="宋体"/>
          <w:b/>
          <w:color w:val="auto"/>
          <w:sz w:val="24"/>
          <w:highlight w:val="none"/>
        </w:rPr>
        <w:t>2.9 标的物的风险负担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标的物或者在途标的物或者交付给第一承运人后的标的物毁损、灭失的风险负担详见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bookmarkEnd w:id="233"/>
    <w:bookmarkEnd w:id="234"/>
    <w:bookmarkEnd w:id="235"/>
    <w:p>
      <w:pPr>
        <w:spacing w:line="360" w:lineRule="auto"/>
        <w:ind w:firstLine="482" w:firstLineChars="200"/>
        <w:rPr>
          <w:rFonts w:ascii="宋体" w:hAnsi="宋体"/>
          <w:b/>
          <w:color w:val="auto"/>
          <w:sz w:val="24"/>
          <w:highlight w:val="none"/>
        </w:rPr>
      </w:pPr>
      <w:bookmarkStart w:id="236" w:name="_Toc14055"/>
      <w:bookmarkEnd w:id="236"/>
      <w:r>
        <w:rPr>
          <w:rFonts w:hint="eastAsia" w:ascii="宋体" w:hAnsi="宋体"/>
          <w:b/>
          <w:color w:val="auto"/>
          <w:sz w:val="24"/>
          <w:highlight w:val="none"/>
        </w:rPr>
        <w:t>2.10 延迟交货/交付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ascii="宋体" w:hAnsi="宋体"/>
          <w:b/>
          <w:color w:val="auto"/>
          <w:sz w:val="24"/>
          <w:highlight w:val="none"/>
        </w:rPr>
      </w:pPr>
      <w:bookmarkStart w:id="237" w:name="_Toc7502"/>
      <w:bookmarkEnd w:id="237"/>
      <w:bookmarkStart w:id="238" w:name="_Toc487900364"/>
      <w:bookmarkStart w:id="239" w:name="_Ref467378121"/>
      <w:bookmarkStart w:id="240" w:name="_Toc279701254"/>
      <w:bookmarkStart w:id="241" w:name="_Toc259093683"/>
      <w:r>
        <w:rPr>
          <w:rFonts w:hint="eastAsia" w:ascii="宋体" w:hAnsi="宋体"/>
          <w:b/>
          <w:color w:val="auto"/>
          <w:sz w:val="24"/>
          <w:highlight w:val="none"/>
        </w:rPr>
        <w:t>2.11 合同变更</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宋体" w:hAnsi="宋体"/>
          <w:color w:val="auto"/>
          <w:sz w:val="24"/>
          <w:highlight w:val="none"/>
        </w:rPr>
      </w:pPr>
      <w:bookmarkStart w:id="242" w:name="_Toc279701259"/>
      <w:bookmarkStart w:id="243" w:name="_Toc259093688"/>
      <w:bookmarkStart w:id="244" w:name="_Toc487900369"/>
      <w:r>
        <w:rPr>
          <w:rFonts w:hint="eastAsia" w:ascii="宋体" w:hAnsi="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p>
    <w:bookmarkEnd w:id="242"/>
    <w:bookmarkEnd w:id="243"/>
    <w:bookmarkEnd w:id="244"/>
    <w:p>
      <w:pPr>
        <w:spacing w:line="360" w:lineRule="auto"/>
        <w:ind w:firstLine="482" w:firstLineChars="200"/>
        <w:rPr>
          <w:rFonts w:ascii="宋体" w:hAnsi="宋体"/>
          <w:b/>
          <w:color w:val="auto"/>
          <w:sz w:val="24"/>
          <w:highlight w:val="none"/>
        </w:rPr>
      </w:pPr>
      <w:bookmarkStart w:id="245" w:name="_Toc10366"/>
      <w:bookmarkEnd w:id="245"/>
      <w:bookmarkStart w:id="246" w:name="_Toc15237"/>
      <w:bookmarkEnd w:id="246"/>
      <w:bookmarkStart w:id="247" w:name="_Toc22955"/>
      <w:bookmarkEnd w:id="247"/>
      <w:r>
        <w:rPr>
          <w:rFonts w:hint="eastAsia" w:ascii="宋体" w:hAnsi="宋体"/>
          <w:b/>
          <w:color w:val="auto"/>
          <w:sz w:val="24"/>
          <w:highlight w:val="none"/>
        </w:rPr>
        <w:t>2.12 合同转让和分包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本合同不允许转让和分包。</w:t>
      </w:r>
    </w:p>
    <w:p>
      <w:pPr>
        <w:spacing w:line="360" w:lineRule="auto"/>
        <w:ind w:firstLine="482" w:firstLineChars="200"/>
        <w:rPr>
          <w:rFonts w:ascii="宋体" w:hAnsi="宋体"/>
          <w:b/>
          <w:color w:val="auto"/>
          <w:sz w:val="24"/>
          <w:highlight w:val="none"/>
        </w:rPr>
      </w:pPr>
      <w:bookmarkStart w:id="248" w:name="_Toc13566"/>
      <w:bookmarkEnd w:id="248"/>
      <w:bookmarkStart w:id="249" w:name="_Toc16508"/>
      <w:bookmarkEnd w:id="249"/>
      <w:bookmarkStart w:id="250" w:name="_Toc14066"/>
      <w:bookmarkEnd w:id="250"/>
      <w:r>
        <w:rPr>
          <w:rFonts w:hint="eastAsia" w:ascii="宋体" w:hAnsi="宋体"/>
          <w:b/>
          <w:color w:val="auto"/>
          <w:sz w:val="24"/>
          <w:highlight w:val="none"/>
        </w:rPr>
        <w:t>2.13 不可抗力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2.13.2受不可抗力影响的一方在不可抗力发生后，应在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约定时间内以书面形式通知对方当事人，并在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约定时间内，将有关部门出具的证明文件送达对方当事人。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2.13.3 因不可抗力致使不能实现合同目的的，当事人可以解除合同；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2.13.4 因不可抗力致使合同有变更必要的，双方当事人应在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约定时间内以书面形式变更合同；</w:t>
      </w:r>
    </w:p>
    <w:p>
      <w:pPr>
        <w:spacing w:line="360" w:lineRule="auto"/>
        <w:ind w:firstLine="482" w:firstLineChars="200"/>
        <w:rPr>
          <w:rFonts w:ascii="宋体" w:hAnsi="宋体"/>
          <w:b/>
          <w:color w:val="auto"/>
          <w:sz w:val="24"/>
          <w:highlight w:val="none"/>
        </w:rPr>
      </w:pPr>
      <w:bookmarkStart w:id="251" w:name="_Toc259093684"/>
      <w:bookmarkEnd w:id="251"/>
      <w:bookmarkStart w:id="252" w:name="_Toc279701255"/>
      <w:bookmarkEnd w:id="252"/>
      <w:bookmarkStart w:id="253" w:name="_Toc689"/>
      <w:bookmarkEnd w:id="253"/>
      <w:bookmarkStart w:id="254" w:name="_Toc6969"/>
      <w:bookmarkEnd w:id="254"/>
      <w:bookmarkStart w:id="255" w:name="_Toc30676"/>
      <w:bookmarkEnd w:id="255"/>
      <w:bookmarkStart w:id="256" w:name="_Toc487900365"/>
      <w:bookmarkEnd w:id="256"/>
      <w:r>
        <w:rPr>
          <w:rFonts w:hint="eastAsia" w:ascii="宋体" w:hAnsi="宋体"/>
          <w:b/>
          <w:color w:val="auto"/>
          <w:sz w:val="24"/>
          <w:highlight w:val="none"/>
        </w:rPr>
        <w:t>2.14 税费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与合同有关的一切税费，均按照中华人民共和国法律的相关规定执行。</w:t>
      </w:r>
    </w:p>
    <w:p>
      <w:pPr>
        <w:spacing w:line="360" w:lineRule="auto"/>
        <w:ind w:firstLine="482" w:firstLineChars="200"/>
        <w:rPr>
          <w:rFonts w:ascii="宋体" w:hAnsi="宋体"/>
          <w:b/>
          <w:color w:val="auto"/>
          <w:sz w:val="24"/>
          <w:highlight w:val="none"/>
        </w:rPr>
      </w:pPr>
      <w:bookmarkStart w:id="257" w:name="_Toc259093687"/>
      <w:bookmarkEnd w:id="257"/>
      <w:bookmarkStart w:id="258" w:name="_Toc487900368"/>
      <w:bookmarkEnd w:id="258"/>
      <w:bookmarkStart w:id="259" w:name="_Toc7102"/>
      <w:bookmarkEnd w:id="259"/>
      <w:bookmarkStart w:id="260" w:name="_Toc279701258"/>
      <w:bookmarkEnd w:id="260"/>
      <w:bookmarkStart w:id="261" w:name="_Toc16959"/>
      <w:bookmarkEnd w:id="261"/>
      <w:bookmarkStart w:id="262" w:name="_Toc8298"/>
      <w:bookmarkEnd w:id="262"/>
      <w:r>
        <w:rPr>
          <w:rFonts w:hint="eastAsia" w:ascii="宋体" w:hAnsi="宋体"/>
          <w:b/>
          <w:color w:val="auto"/>
          <w:sz w:val="24"/>
          <w:highlight w:val="none"/>
        </w:rPr>
        <w:t>2.15 乙方破产</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ascii="宋体" w:hAnsi="宋体"/>
          <w:b/>
          <w:color w:val="auto"/>
          <w:sz w:val="24"/>
          <w:highlight w:val="none"/>
        </w:rPr>
      </w:pPr>
      <w:bookmarkStart w:id="263" w:name="_Toc6134"/>
      <w:bookmarkEnd w:id="263"/>
      <w:bookmarkStart w:id="264" w:name="_Toc29333"/>
      <w:bookmarkEnd w:id="264"/>
      <w:bookmarkStart w:id="265" w:name="_Toc15387"/>
      <w:bookmarkEnd w:id="265"/>
      <w:r>
        <w:rPr>
          <w:rFonts w:hint="eastAsia" w:ascii="宋体" w:hAnsi="宋体"/>
          <w:b/>
          <w:color w:val="auto"/>
          <w:sz w:val="24"/>
          <w:highlight w:val="none"/>
        </w:rPr>
        <w:t>2.16 合同中止、终止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2.16.1 双方当事人不得擅自中止或者终止合同；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宋体" w:hAnsi="宋体"/>
          <w:b/>
          <w:color w:val="auto"/>
          <w:sz w:val="24"/>
          <w:highlight w:val="none"/>
        </w:rPr>
      </w:pPr>
      <w:bookmarkStart w:id="266" w:name="_Toc6596"/>
      <w:bookmarkEnd w:id="266"/>
      <w:bookmarkStart w:id="267" w:name="_Toc1125"/>
      <w:bookmarkEnd w:id="267"/>
      <w:bookmarkStart w:id="268" w:name="_Toc14563"/>
      <w:bookmarkEnd w:id="268"/>
      <w:r>
        <w:rPr>
          <w:rFonts w:hint="eastAsia" w:ascii="宋体" w:hAnsi="宋体"/>
          <w:b/>
          <w:color w:val="auto"/>
          <w:sz w:val="24"/>
          <w:highlight w:val="none"/>
        </w:rPr>
        <w:t>2.17 检验和验收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约定时间内组织验收，并可依法邀请相关方参加，验收应出具验收书。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2.17.3 检验和验收标准、程序等具体内容以及前述验收书的效力详见</w:t>
      </w:r>
      <w:r>
        <w:rPr>
          <w:rFonts w:hint="eastAsia" w:ascii="宋体" w:hAnsi="宋体"/>
          <w:b/>
          <w:i/>
          <w:color w:val="auto"/>
          <w:sz w:val="24"/>
          <w:highlight w:val="none"/>
          <w:u w:val="single"/>
        </w:rPr>
        <w:t>合同专用条款</w:t>
      </w:r>
      <w:r>
        <w:rPr>
          <w:rFonts w:hint="eastAsia" w:ascii="宋体" w:hAnsi="宋体"/>
          <w:i/>
          <w:color w:val="auto"/>
          <w:sz w:val="24"/>
          <w:highlight w:val="none"/>
        </w:rPr>
        <w:t>。</w:t>
      </w:r>
    </w:p>
    <w:bookmarkEnd w:id="238"/>
    <w:bookmarkEnd w:id="239"/>
    <w:bookmarkEnd w:id="240"/>
    <w:bookmarkEnd w:id="241"/>
    <w:p>
      <w:pPr>
        <w:spacing w:line="360" w:lineRule="auto"/>
        <w:ind w:firstLine="482" w:firstLineChars="200"/>
        <w:rPr>
          <w:rFonts w:ascii="宋体" w:hAnsi="宋体"/>
          <w:b/>
          <w:color w:val="auto"/>
          <w:sz w:val="24"/>
          <w:highlight w:val="none"/>
        </w:rPr>
      </w:pPr>
      <w:bookmarkStart w:id="269" w:name="_Toc279701261"/>
      <w:bookmarkEnd w:id="269"/>
      <w:bookmarkStart w:id="270" w:name="_Toc487900371"/>
      <w:bookmarkEnd w:id="270"/>
      <w:bookmarkStart w:id="271" w:name="_Toc11284"/>
      <w:bookmarkEnd w:id="271"/>
      <w:bookmarkStart w:id="272" w:name="_Toc25182"/>
      <w:bookmarkEnd w:id="272"/>
      <w:bookmarkStart w:id="273" w:name="_Toc19604"/>
      <w:bookmarkEnd w:id="273"/>
      <w:bookmarkStart w:id="274" w:name="_Toc259093690"/>
      <w:bookmarkEnd w:id="274"/>
      <w:r>
        <w:rPr>
          <w:rFonts w:hint="eastAsia" w:ascii="宋体" w:hAnsi="宋体"/>
          <w:b/>
          <w:color w:val="auto"/>
          <w:sz w:val="24"/>
          <w:highlight w:val="none"/>
        </w:rPr>
        <w:t>2.18 通知和送达</w:t>
      </w:r>
    </w:p>
    <w:p>
      <w:pPr>
        <w:spacing w:line="360" w:lineRule="auto"/>
        <w:ind w:firstLine="480" w:firstLineChars="200"/>
        <w:rPr>
          <w:rFonts w:ascii="宋体" w:hAnsi="宋体"/>
          <w:color w:val="auto"/>
          <w:sz w:val="24"/>
          <w:highlight w:val="none"/>
        </w:rPr>
      </w:pPr>
      <w:bookmarkStart w:id="275" w:name="_Toc3135"/>
      <w:bookmarkEnd w:id="275"/>
      <w:bookmarkStart w:id="276" w:name="_Toc6698"/>
      <w:bookmarkEnd w:id="276"/>
      <w:bookmarkStart w:id="277" w:name="_Toc487900372"/>
      <w:bookmarkStart w:id="278" w:name="_Toc259093691"/>
      <w:bookmarkStart w:id="279" w:name="_Toc279701262"/>
      <w:r>
        <w:rPr>
          <w:rFonts w:hint="eastAsia" w:ascii="宋体" w:hAnsi="宋体"/>
          <w:color w:val="auto"/>
          <w:sz w:val="24"/>
          <w:highlight w:val="none"/>
        </w:rPr>
        <w:t>2.18.1 任何一方因履行合同而以合同第一部分尾部所列明的</w:t>
      </w:r>
      <w:r>
        <w:rPr>
          <w:rFonts w:hint="eastAsia" w:ascii="宋体" w:hAnsi="宋体"/>
          <w:color w:val="auto"/>
          <w:sz w:val="24"/>
          <w:highlight w:val="none"/>
          <w:u w:val="single"/>
        </w:rPr>
        <w:t>“约定送达地址”</w:t>
      </w:r>
      <w:r>
        <w:rPr>
          <w:rFonts w:hint="eastAsia" w:ascii="宋体" w:hAnsi="宋体"/>
          <w:color w:val="auto"/>
          <w:sz w:val="24"/>
          <w:highlight w:val="none"/>
        </w:rPr>
        <w:t>为收件地址的所有通知、文件、材料，均视为已向对方当事人送达；任何一方变更上述送达方式或者地址的，应于</w:t>
      </w:r>
      <w:r>
        <w:rPr>
          <w:rFonts w:hint="eastAsia" w:ascii="宋体" w:hAnsi="宋体"/>
          <w:color w:val="auto"/>
          <w:sz w:val="24"/>
          <w:highlight w:val="none"/>
          <w:u w:val="single"/>
        </w:rPr>
        <w:t>5</w:t>
      </w:r>
      <w:r>
        <w:rPr>
          <w:rFonts w:hint="eastAsia" w:ascii="宋体" w:hAnsi="宋体"/>
          <w:color w:val="auto"/>
          <w:sz w:val="24"/>
          <w:highlight w:val="none"/>
        </w:rPr>
        <w:t>工作日内（根据项目实际情况填写）书面通知对方当事人，在对方当事人收到有关变更通知之前，变更前的约定送达方式或者地址仍视为有效。</w:t>
      </w:r>
    </w:p>
    <w:p>
      <w:pPr>
        <w:spacing w:line="360" w:lineRule="auto"/>
        <w:ind w:firstLine="480" w:firstLineChars="200"/>
        <w:rPr>
          <w:rFonts w:ascii="宋体" w:hAnsi="宋体"/>
          <w:color w:val="auto"/>
          <w:sz w:val="24"/>
          <w:highlight w:val="none"/>
        </w:rPr>
      </w:pPr>
      <w:bookmarkStart w:id="280" w:name="_Toc23294"/>
      <w:bookmarkEnd w:id="280"/>
      <w:bookmarkStart w:id="281" w:name="_Toc23128"/>
      <w:bookmarkEnd w:id="281"/>
      <w:r>
        <w:rPr>
          <w:rFonts w:hint="eastAsia" w:ascii="宋体" w:hAnsi="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p>
    <w:bookmarkEnd w:id="277"/>
    <w:bookmarkEnd w:id="278"/>
    <w:bookmarkEnd w:id="279"/>
    <w:p>
      <w:pPr>
        <w:spacing w:line="360" w:lineRule="auto"/>
        <w:ind w:firstLine="482" w:firstLineChars="200"/>
        <w:rPr>
          <w:rFonts w:ascii="宋体" w:hAnsi="宋体"/>
          <w:b/>
          <w:color w:val="auto"/>
          <w:sz w:val="24"/>
          <w:highlight w:val="none"/>
        </w:rPr>
      </w:pPr>
      <w:bookmarkStart w:id="282" w:name="_Toc4355"/>
      <w:bookmarkEnd w:id="282"/>
      <w:bookmarkStart w:id="283" w:name="_Toc18540"/>
      <w:bookmarkEnd w:id="283"/>
      <w:bookmarkStart w:id="284" w:name="_Toc30599"/>
      <w:bookmarkEnd w:id="284"/>
      <w:r>
        <w:rPr>
          <w:rFonts w:hint="eastAsia" w:ascii="宋体" w:hAnsi="宋体"/>
          <w:b/>
          <w:color w:val="auto"/>
          <w:sz w:val="24"/>
          <w:highlight w:val="none"/>
        </w:rPr>
        <w:t>2.19 计量单位</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除技术规范中另有规定外,合同的计量单位均使用国家法定计量单位。</w:t>
      </w:r>
    </w:p>
    <w:p>
      <w:pPr>
        <w:spacing w:line="360" w:lineRule="auto"/>
        <w:ind w:firstLine="482" w:firstLineChars="200"/>
        <w:rPr>
          <w:rFonts w:ascii="宋体" w:hAnsi="宋体"/>
          <w:b/>
          <w:color w:val="auto"/>
          <w:sz w:val="24"/>
          <w:highlight w:val="none"/>
        </w:rPr>
      </w:pPr>
      <w:bookmarkStart w:id="285" w:name="_Toc279701263"/>
      <w:bookmarkEnd w:id="285"/>
      <w:bookmarkStart w:id="286" w:name="_Toc259093692"/>
      <w:bookmarkEnd w:id="286"/>
      <w:bookmarkStart w:id="287" w:name="_Toc18567"/>
      <w:bookmarkEnd w:id="287"/>
      <w:bookmarkStart w:id="288" w:name="_Toc10330"/>
      <w:bookmarkEnd w:id="288"/>
      <w:bookmarkStart w:id="289" w:name="_Toc487900373"/>
      <w:bookmarkEnd w:id="289"/>
      <w:bookmarkStart w:id="290" w:name="_Toc12773"/>
      <w:bookmarkEnd w:id="290"/>
      <w:r>
        <w:rPr>
          <w:rFonts w:hint="eastAsia" w:ascii="宋体" w:hAnsi="宋体"/>
          <w:b/>
          <w:color w:val="auto"/>
          <w:sz w:val="24"/>
          <w:highlight w:val="none"/>
        </w:rPr>
        <w:t>2.20 合同使用的文字和适用的法律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2.20.1 合同使用汉语书就、变更和解释；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2.20.2 合同适用中华人民共和国法律。</w:t>
      </w:r>
    </w:p>
    <w:p>
      <w:pPr>
        <w:spacing w:line="360" w:lineRule="auto"/>
        <w:ind w:firstLine="482" w:firstLineChars="200"/>
        <w:rPr>
          <w:rFonts w:ascii="宋体" w:hAnsi="宋体"/>
          <w:b/>
          <w:color w:val="auto"/>
          <w:sz w:val="24"/>
          <w:highlight w:val="none"/>
        </w:rPr>
      </w:pPr>
      <w:bookmarkStart w:id="291" w:name="_Toc3148"/>
      <w:bookmarkEnd w:id="291"/>
      <w:bookmarkStart w:id="292" w:name="_Toc279701264"/>
      <w:bookmarkEnd w:id="292"/>
      <w:bookmarkStart w:id="293" w:name="_Toc16673"/>
      <w:bookmarkEnd w:id="293"/>
      <w:bookmarkStart w:id="294" w:name="_Toc259093693"/>
      <w:bookmarkEnd w:id="294"/>
      <w:bookmarkStart w:id="295" w:name="_Toc12004"/>
      <w:bookmarkEnd w:id="295"/>
      <w:bookmarkStart w:id="296" w:name="_Toc487900374"/>
      <w:r>
        <w:rPr>
          <w:rFonts w:hint="eastAsia" w:ascii="宋体" w:hAnsi="宋体"/>
          <w:b/>
          <w:color w:val="auto"/>
          <w:sz w:val="24"/>
          <w:highlight w:val="none"/>
        </w:rPr>
        <w:t>2.21 履约保证金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本项目不收取履约保证金</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2.22 中小企业政策</w:t>
      </w:r>
    </w:p>
    <w:p>
      <w:pPr>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2.22.1本合同（□是  □否）为可融资合同，关于中小企业信用融资事项见采购文件“投标人须知正文”。</w:t>
      </w:r>
    </w:p>
    <w:p>
      <w:pPr>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2.22.2本合同（□是  □否）为小微企业预留合同。</w:t>
      </w:r>
    </w:p>
    <w:bookmarkEnd w:id="296"/>
    <w:p>
      <w:pPr>
        <w:spacing w:line="360" w:lineRule="auto"/>
        <w:ind w:firstLine="482" w:firstLineChars="200"/>
        <w:rPr>
          <w:rFonts w:ascii="宋体" w:hAnsi="宋体"/>
          <w:b/>
          <w:color w:val="auto"/>
          <w:sz w:val="24"/>
          <w:highlight w:val="none"/>
        </w:rPr>
      </w:pPr>
      <w:bookmarkStart w:id="297" w:name="_Toc14001"/>
      <w:bookmarkEnd w:id="297"/>
      <w:bookmarkStart w:id="298" w:name="_Toc19890"/>
      <w:bookmarkEnd w:id="298"/>
      <w:bookmarkStart w:id="299" w:name="_Toc6885"/>
      <w:bookmarkEnd w:id="299"/>
      <w:r>
        <w:rPr>
          <w:rFonts w:hint="eastAsia" w:ascii="宋体" w:hAnsi="宋体"/>
          <w:b/>
          <w:color w:val="auto"/>
          <w:sz w:val="24"/>
          <w:highlight w:val="none"/>
        </w:rPr>
        <w:t>2.23 合同份数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本合同壹式</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份，采购代理机构执</w:t>
      </w:r>
      <w:r>
        <w:rPr>
          <w:rFonts w:hint="eastAsia" w:ascii="宋体" w:hAnsi="宋体"/>
          <w:color w:val="auto"/>
          <w:sz w:val="24"/>
          <w:highlight w:val="none"/>
          <w:u w:val="single"/>
        </w:rPr>
        <w:t xml:space="preserve">   </w:t>
      </w:r>
      <w:r>
        <w:rPr>
          <w:rFonts w:hint="eastAsia" w:ascii="宋体" w:hAnsi="宋体"/>
          <w:color w:val="auto"/>
          <w:sz w:val="24"/>
          <w:highlight w:val="none"/>
        </w:rPr>
        <w:t>份。每份均具有同等法律效力。</w:t>
      </w:r>
    </w:p>
    <w:p>
      <w:pPr>
        <w:spacing w:line="360" w:lineRule="auto"/>
        <w:jc w:val="center"/>
        <w:rPr>
          <w:rFonts w:ascii="宋体" w:hAnsi="宋体"/>
          <w:color w:val="auto"/>
          <w:highlight w:val="none"/>
        </w:rPr>
      </w:pPr>
      <w:bookmarkStart w:id="300" w:name="_Toc331685784"/>
      <w:bookmarkEnd w:id="300"/>
      <w:r>
        <w:rPr>
          <w:rFonts w:hint="eastAsia" w:ascii="宋体" w:hAnsi="宋体"/>
          <w:color w:val="auto"/>
          <w:highlight w:val="none"/>
        </w:rPr>
        <w:br w:type="page"/>
      </w:r>
      <w:r>
        <w:rPr>
          <w:rFonts w:hint="eastAsia" w:ascii="宋体" w:hAnsi="宋体"/>
          <w:b/>
          <w:color w:val="auto"/>
          <w:sz w:val="28"/>
          <w:szCs w:val="28"/>
          <w:highlight w:val="none"/>
        </w:rPr>
        <w:t>第三部分  合同专用条款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2.3.2具有知识产权的标的物知识产权归属：</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2.4.1包装和装运专用条款（如果有）：</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2.4.2装运标的物的要求和通知：</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w:t>
      </w:r>
      <w:r>
        <w:rPr>
          <w:rFonts w:hint="eastAsia" w:ascii="宋体" w:hAnsi="宋体"/>
          <w:b/>
          <w:color w:val="auto"/>
          <w:sz w:val="24"/>
          <w:highlight w:val="none"/>
        </w:rPr>
        <w:t>结算方式和付款条件</w:t>
      </w:r>
    </w:p>
    <w:p>
      <w:pPr>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本次项目合同总价为大写人民币</w:t>
      </w:r>
      <w:r>
        <w:rPr>
          <w:rFonts w:hint="eastAsia" w:ascii="宋体" w:hAnsi="宋体"/>
          <w:color w:val="auto"/>
          <w:kern w:val="0"/>
          <w:sz w:val="24"/>
          <w:highlight w:val="none"/>
          <w:u w:val="single"/>
          <w:lang w:val="zh-CN"/>
        </w:rPr>
        <w:t xml:space="preserve">            （</w:t>
      </w:r>
      <w:r>
        <w:rPr>
          <w:rFonts w:hint="eastAsia" w:ascii="宋体" w:hAnsi="宋体"/>
          <w:color w:val="auto"/>
          <w:kern w:val="0"/>
          <w:sz w:val="24"/>
          <w:highlight w:val="none"/>
        </w:rPr>
        <w:t>¥</w:t>
      </w:r>
      <w:r>
        <w:rPr>
          <w:rFonts w:hint="eastAsia" w:ascii="宋体" w:hAnsi="宋体"/>
          <w:color w:val="auto"/>
          <w:kern w:val="0"/>
          <w:sz w:val="24"/>
          <w:highlight w:val="none"/>
          <w:lang w:val="zh-CN"/>
        </w:rPr>
        <w:t xml:space="preserve">   </w:t>
      </w:r>
      <w:r>
        <w:rPr>
          <w:rFonts w:hint="eastAsia" w:ascii="宋体" w:hAnsi="宋体"/>
          <w:color w:val="auto"/>
          <w:kern w:val="0"/>
          <w:sz w:val="24"/>
          <w:highlight w:val="none"/>
        </w:rPr>
        <w:t xml:space="preserve">   </w:t>
      </w:r>
      <w:r>
        <w:rPr>
          <w:rFonts w:hint="eastAsia" w:ascii="宋体" w:hAnsi="宋体"/>
          <w:color w:val="auto"/>
          <w:kern w:val="0"/>
          <w:sz w:val="24"/>
          <w:highlight w:val="none"/>
          <w:lang w:val="zh-CN"/>
        </w:rPr>
        <w:t xml:space="preserve"> 元）。本项目采用以下勾选结算方式进行支付：</w:t>
      </w:r>
    </w:p>
    <w:p>
      <w:pPr>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□采用一次性支付方式，付款条件为：</w:t>
      </w:r>
      <w:r>
        <w:rPr>
          <w:rFonts w:hint="eastAsia" w:ascii="宋体" w:hAnsi="宋体"/>
          <w:color w:val="auto"/>
          <w:kern w:val="0"/>
          <w:sz w:val="24"/>
          <w:highlight w:val="none"/>
          <w:u w:val="single"/>
        </w:rPr>
        <w:t xml:space="preserve">           </w:t>
      </w:r>
    </w:p>
    <w:p>
      <w:pPr>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□采用分期付款方式，付款条件为</w:t>
      </w:r>
      <w:r>
        <w:rPr>
          <w:rFonts w:hint="eastAsia" w:ascii="宋体" w:hAnsi="宋体"/>
          <w:color w:val="auto"/>
          <w:kern w:val="0"/>
          <w:sz w:val="24"/>
          <w:highlight w:val="none"/>
        </w:rPr>
        <w:t>：</w:t>
      </w:r>
    </w:p>
    <w:p>
      <w:pPr>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第一期付款</w:t>
      </w:r>
      <w:r>
        <w:rPr>
          <w:rFonts w:hint="eastAsia" w:ascii="宋体" w:hAnsi="宋体"/>
          <w:color w:val="auto"/>
          <w:kern w:val="0"/>
          <w:sz w:val="24"/>
          <w:highlight w:val="none"/>
        </w:rPr>
        <w:t>：</w:t>
      </w:r>
      <w:r>
        <w:rPr>
          <w:rFonts w:hint="eastAsia" w:ascii="宋体" w:hAnsi="宋体"/>
          <w:color w:val="auto"/>
          <w:kern w:val="0"/>
          <w:sz w:val="24"/>
          <w:highlight w:val="none"/>
          <w:u w:val="single"/>
        </w:rPr>
        <w:t xml:space="preserve">                                        </w:t>
      </w:r>
    </w:p>
    <w:p>
      <w:pPr>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第</w:t>
      </w:r>
      <w:r>
        <w:rPr>
          <w:rFonts w:hint="eastAsia" w:ascii="宋体" w:hAnsi="宋体"/>
          <w:color w:val="auto"/>
          <w:kern w:val="0"/>
          <w:sz w:val="24"/>
          <w:highlight w:val="none"/>
        </w:rPr>
        <w:t>二</w:t>
      </w:r>
      <w:r>
        <w:rPr>
          <w:rFonts w:hint="eastAsia" w:ascii="宋体" w:hAnsi="宋体"/>
          <w:color w:val="auto"/>
          <w:kern w:val="0"/>
          <w:sz w:val="24"/>
          <w:highlight w:val="none"/>
          <w:lang w:val="zh-CN"/>
        </w:rPr>
        <w:t>期付款</w:t>
      </w:r>
      <w:r>
        <w:rPr>
          <w:rFonts w:hint="eastAsia" w:ascii="宋体" w:hAnsi="宋体"/>
          <w:color w:val="auto"/>
          <w:kern w:val="0"/>
          <w:sz w:val="24"/>
          <w:highlight w:val="none"/>
        </w:rPr>
        <w:t>：</w:t>
      </w:r>
      <w:r>
        <w:rPr>
          <w:rFonts w:hint="eastAsia" w:ascii="宋体" w:hAnsi="宋体"/>
          <w:color w:val="auto"/>
          <w:kern w:val="0"/>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甲方无故逾期支付服务费用的，按照每逾期一日支付欠付服务费额度的</w:t>
      </w:r>
      <w:r>
        <w:rPr>
          <w:rFonts w:hint="eastAsia" w:ascii="宋体" w:hAnsi="宋体"/>
          <w:color w:val="auto"/>
          <w:sz w:val="24"/>
          <w:highlight w:val="none"/>
          <w:u w:val="single"/>
        </w:rPr>
        <w:t>万分之五</w:t>
      </w:r>
      <w:r>
        <w:rPr>
          <w:rFonts w:hint="eastAsia" w:ascii="宋体" w:hAnsi="宋体"/>
          <w:color w:val="auto"/>
          <w:sz w:val="24"/>
          <w:highlight w:val="none"/>
        </w:rPr>
        <w:t>承担违约责任，违约金上限按照《合同书》约定执行。</w:t>
      </w:r>
    </w:p>
    <w:p>
      <w:pPr>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2.9</w:t>
      </w:r>
      <w:r>
        <w:rPr>
          <w:rFonts w:hint="eastAsia" w:ascii="宋体" w:hAnsi="宋体"/>
          <w:b/>
          <w:color w:val="auto"/>
          <w:sz w:val="24"/>
          <w:highlight w:val="none"/>
        </w:rPr>
        <w:t>标的物的风险负担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标的物或者在途标的物或者交付给第一承运人后的标的物毁损、灭失的风险负担：</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乙方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2.13.2受不可抗力影响的一方在不可抗力发生后，应在</w:t>
      </w:r>
      <w:r>
        <w:rPr>
          <w:rFonts w:hint="eastAsia" w:ascii="宋体" w:hAnsi="宋体"/>
          <w:color w:val="auto"/>
          <w:sz w:val="24"/>
          <w:highlight w:val="none"/>
          <w:u w:val="single"/>
        </w:rPr>
        <w:t>7</w:t>
      </w:r>
      <w:r>
        <w:rPr>
          <w:rFonts w:hint="eastAsia" w:ascii="宋体" w:hAnsi="宋体"/>
          <w:color w:val="auto"/>
          <w:sz w:val="24"/>
          <w:highlight w:val="none"/>
        </w:rPr>
        <w:t>日内以书面形式通知对方当事人，并在</w:t>
      </w:r>
      <w:r>
        <w:rPr>
          <w:rFonts w:hint="eastAsia" w:ascii="宋体" w:hAnsi="宋体"/>
          <w:color w:val="auto"/>
          <w:sz w:val="24"/>
          <w:highlight w:val="none"/>
          <w:u w:val="single"/>
        </w:rPr>
        <w:t>10</w:t>
      </w:r>
      <w:r>
        <w:rPr>
          <w:rFonts w:hint="eastAsia" w:ascii="宋体" w:hAnsi="宋体"/>
          <w:color w:val="auto"/>
          <w:sz w:val="24"/>
          <w:highlight w:val="none"/>
        </w:rPr>
        <w:t>日内，将有关部门出具的证明文件送达对方当事人。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2.13.4因不可抗力致使合同有变更必要的，双方当事人应在</w:t>
      </w:r>
      <w:r>
        <w:rPr>
          <w:rFonts w:hint="eastAsia" w:ascii="宋体" w:hAnsi="宋体"/>
          <w:color w:val="auto"/>
          <w:sz w:val="24"/>
          <w:highlight w:val="none"/>
          <w:u w:val="single"/>
        </w:rPr>
        <w:t>30</w:t>
      </w:r>
      <w:r>
        <w:rPr>
          <w:rFonts w:hint="eastAsia" w:ascii="宋体" w:hAnsi="宋体"/>
          <w:color w:val="auto"/>
          <w:sz w:val="24"/>
          <w:highlight w:val="none"/>
        </w:rPr>
        <w:t>日内以书面形式变更合同；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olor w:val="auto"/>
          <w:sz w:val="24"/>
          <w:highlight w:val="none"/>
          <w:u w:val="single"/>
        </w:rPr>
        <w:t>30</w:t>
      </w:r>
      <w:r>
        <w:rPr>
          <w:rFonts w:hint="eastAsia" w:ascii="宋体" w:hAnsi="宋体"/>
          <w:color w:val="auto"/>
          <w:sz w:val="24"/>
          <w:highlight w:val="none"/>
        </w:rPr>
        <w:t>日内发起验收，并可依法邀请相关方参加，验收应出具验收书。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2.17.3 检验和验收标准、程序等具体内容以及前述验收书的效力：</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验收小组对照合同中各服务参数进行验收，与合同一致即为合格。服务需求一览表符合招标文件及投标文件要求，无任何变动，提交服务成果后验收付款。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3.1 </w:t>
      </w:r>
      <w:r>
        <w:rPr>
          <w:rFonts w:hint="eastAsia" w:ascii="仿宋" w:hAnsi="仿宋" w:eastAsia="仿宋"/>
          <w:b/>
          <w:color w:val="auto"/>
          <w:sz w:val="24"/>
          <w:highlight w:val="none"/>
        </w:rPr>
        <w:t>项目</w:t>
      </w:r>
      <w:r>
        <w:rPr>
          <w:rFonts w:hint="eastAsia" w:ascii="宋体" w:hAnsi="宋体"/>
          <w:color w:val="auto"/>
          <w:sz w:val="24"/>
          <w:highlight w:val="none"/>
        </w:rPr>
        <w:t>验收：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3.1.4验收产生的费用首次验收费用由甲方承担，如首次验收不合格，后续验收费用由乙方支付。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3.1.5验收内容及资料要求：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根根据采购文件确定的技术指标或者服务要求确定验收指标和标准。未进行相应约定的，应当符合国家强制性规定、政策要求、安全标准、行业或企业有关标准等。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3.1.6验收内容</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3"/>
        <w:gridCol w:w="1914"/>
        <w:gridCol w:w="5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673" w:type="dxa"/>
            <w:vAlign w:val="center"/>
          </w:tcPr>
          <w:p>
            <w:pPr>
              <w:widowControl/>
              <w:spacing w:line="360" w:lineRule="auto"/>
              <w:rPr>
                <w:rFonts w:ascii="宋体" w:hAnsi="宋体"/>
                <w:bCs/>
                <w:color w:val="auto"/>
                <w:kern w:val="0"/>
                <w:sz w:val="24"/>
                <w:highlight w:val="none"/>
              </w:rPr>
            </w:pPr>
            <w:r>
              <w:rPr>
                <w:rFonts w:hint="eastAsia" w:ascii="宋体" w:hAnsi="宋体"/>
                <w:bCs/>
                <w:color w:val="auto"/>
                <w:kern w:val="0"/>
                <w:sz w:val="24"/>
                <w:highlight w:val="none"/>
              </w:rPr>
              <w:t>序号</w:t>
            </w:r>
          </w:p>
        </w:tc>
        <w:tc>
          <w:tcPr>
            <w:tcW w:w="1914" w:type="dxa"/>
            <w:vAlign w:val="center"/>
          </w:tcPr>
          <w:p>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验收内容</w:t>
            </w:r>
          </w:p>
        </w:tc>
        <w:tc>
          <w:tcPr>
            <w:tcW w:w="5930" w:type="dxa"/>
            <w:vAlign w:val="center"/>
          </w:tcPr>
          <w:p>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 xml:space="preserve"> 验收标准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673" w:type="dxa"/>
            <w:vAlign w:val="center"/>
          </w:tcPr>
          <w:p>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1</w:t>
            </w:r>
          </w:p>
        </w:tc>
        <w:tc>
          <w:tcPr>
            <w:tcW w:w="1914" w:type="dxa"/>
            <w:vAlign w:val="center"/>
          </w:tcPr>
          <w:p>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交付标的物数量</w:t>
            </w:r>
          </w:p>
        </w:tc>
        <w:tc>
          <w:tcPr>
            <w:tcW w:w="5930" w:type="dxa"/>
            <w:vAlign w:val="center"/>
          </w:tcPr>
          <w:p>
            <w:pPr>
              <w:widowControl/>
              <w:spacing w:line="360" w:lineRule="auto"/>
              <w:jc w:val="center"/>
              <w:rPr>
                <w:rFonts w:ascii="宋体" w:hAnsi="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jc w:val="center"/>
        </w:trPr>
        <w:tc>
          <w:tcPr>
            <w:tcW w:w="673" w:type="dxa"/>
            <w:vAlign w:val="center"/>
          </w:tcPr>
          <w:p>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2</w:t>
            </w:r>
          </w:p>
        </w:tc>
        <w:tc>
          <w:tcPr>
            <w:tcW w:w="1914" w:type="dxa"/>
            <w:vAlign w:val="center"/>
          </w:tcPr>
          <w:p>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交付标的物质量文件</w:t>
            </w:r>
          </w:p>
        </w:tc>
        <w:tc>
          <w:tcPr>
            <w:tcW w:w="5930" w:type="dxa"/>
            <w:vAlign w:val="center"/>
          </w:tcPr>
          <w:p>
            <w:pPr>
              <w:widowControl/>
              <w:spacing w:line="360" w:lineRule="auto"/>
              <w:jc w:val="center"/>
              <w:rPr>
                <w:rFonts w:ascii="宋体" w:hAnsi="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673" w:type="dxa"/>
            <w:vAlign w:val="center"/>
          </w:tcPr>
          <w:p>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4</w:t>
            </w:r>
          </w:p>
        </w:tc>
        <w:tc>
          <w:tcPr>
            <w:tcW w:w="1914" w:type="dxa"/>
            <w:vAlign w:val="center"/>
          </w:tcPr>
          <w:p>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 xml:space="preserve">交付标的物技术、性能指标 </w:t>
            </w:r>
          </w:p>
        </w:tc>
        <w:tc>
          <w:tcPr>
            <w:tcW w:w="5930" w:type="dxa"/>
            <w:vAlign w:val="center"/>
          </w:tcPr>
          <w:p>
            <w:pPr>
              <w:pStyle w:val="36"/>
              <w:spacing w:after="0" w:line="360" w:lineRule="auto"/>
              <w:jc w:val="center"/>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jc w:val="center"/>
        </w:trPr>
        <w:tc>
          <w:tcPr>
            <w:tcW w:w="673" w:type="dxa"/>
            <w:vAlign w:val="center"/>
          </w:tcPr>
          <w:p>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5</w:t>
            </w:r>
          </w:p>
        </w:tc>
        <w:tc>
          <w:tcPr>
            <w:tcW w:w="1914" w:type="dxa"/>
            <w:vAlign w:val="center"/>
          </w:tcPr>
          <w:p>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售后服务承诺</w:t>
            </w:r>
          </w:p>
        </w:tc>
        <w:tc>
          <w:tcPr>
            <w:tcW w:w="5930" w:type="dxa"/>
            <w:vAlign w:val="center"/>
          </w:tcPr>
          <w:p>
            <w:pPr>
              <w:widowControl/>
              <w:spacing w:line="360" w:lineRule="auto"/>
              <w:jc w:val="center"/>
              <w:rPr>
                <w:rFonts w:ascii="宋体" w:hAnsi="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9" w:hRule="atLeast"/>
          <w:jc w:val="center"/>
        </w:trPr>
        <w:tc>
          <w:tcPr>
            <w:tcW w:w="673" w:type="dxa"/>
            <w:vAlign w:val="center"/>
          </w:tcPr>
          <w:p>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6</w:t>
            </w:r>
          </w:p>
        </w:tc>
        <w:tc>
          <w:tcPr>
            <w:tcW w:w="1914" w:type="dxa"/>
            <w:vAlign w:val="center"/>
          </w:tcPr>
          <w:p>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其他工作</w:t>
            </w:r>
          </w:p>
        </w:tc>
        <w:tc>
          <w:tcPr>
            <w:tcW w:w="5930" w:type="dxa"/>
            <w:vAlign w:val="center"/>
          </w:tcPr>
          <w:p>
            <w:pPr>
              <w:widowControl/>
              <w:spacing w:line="360" w:lineRule="auto"/>
              <w:jc w:val="center"/>
              <w:rPr>
                <w:rFonts w:ascii="宋体" w:hAnsi="宋体"/>
                <w:color w:val="auto"/>
                <w:kern w:val="0"/>
                <w:sz w:val="24"/>
                <w:highlight w:val="none"/>
              </w:rPr>
            </w:pPr>
          </w:p>
        </w:tc>
      </w:tr>
    </w:tbl>
    <w:p>
      <w:pPr>
        <w:tabs>
          <w:tab w:val="left" w:pos="904"/>
        </w:tabs>
        <w:snapToGrid w:val="0"/>
        <w:spacing w:line="360" w:lineRule="auto"/>
        <w:ind w:firstLine="480" w:firstLineChars="200"/>
        <w:jc w:val="left"/>
        <w:rPr>
          <w:rFonts w:ascii="宋体" w:hAnsi="宋体"/>
          <w:color w:val="auto"/>
          <w:sz w:val="24"/>
          <w:highlight w:val="none"/>
        </w:rPr>
      </w:pPr>
    </w:p>
    <w:p>
      <w:pPr>
        <w:tabs>
          <w:tab w:val="left" w:pos="904"/>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3.1.7验收资料要求</w:t>
      </w:r>
    </w:p>
    <w:p>
      <w:pPr>
        <w:tabs>
          <w:tab w:val="left" w:pos="904"/>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验收资料要求包括（不限于）以下内容：</w:t>
      </w:r>
    </w:p>
    <w:p>
      <w:pPr>
        <w:tabs>
          <w:tab w:val="left" w:pos="904"/>
        </w:tabs>
        <w:snapToGrid w:val="0"/>
        <w:spacing w:line="360" w:lineRule="auto"/>
        <w:ind w:firstLine="240" w:firstLineChars="100"/>
        <w:jc w:val="left"/>
        <w:rPr>
          <w:rFonts w:ascii="宋体" w:hAnsi="宋体"/>
          <w:color w:val="auto"/>
          <w:sz w:val="24"/>
          <w:highlight w:val="none"/>
        </w:rPr>
      </w:pPr>
      <w:r>
        <w:rPr>
          <w:rFonts w:hint="eastAsia" w:ascii="宋体" w:hAnsi="宋体"/>
          <w:color w:val="auto"/>
          <w:sz w:val="24"/>
          <w:highlight w:val="none"/>
        </w:rPr>
        <w:t>（1）采购文件；</w:t>
      </w:r>
    </w:p>
    <w:p>
      <w:pPr>
        <w:tabs>
          <w:tab w:val="left" w:pos="904"/>
        </w:tabs>
        <w:snapToGrid w:val="0"/>
        <w:spacing w:line="360" w:lineRule="auto"/>
        <w:ind w:firstLine="240" w:firstLineChars="100"/>
        <w:jc w:val="left"/>
        <w:rPr>
          <w:rFonts w:ascii="宋体" w:hAnsi="宋体"/>
          <w:color w:val="auto"/>
          <w:sz w:val="24"/>
          <w:highlight w:val="none"/>
        </w:rPr>
      </w:pPr>
      <w:r>
        <w:rPr>
          <w:rFonts w:hint="eastAsia" w:ascii="宋体" w:hAnsi="宋体"/>
          <w:color w:val="auto"/>
          <w:sz w:val="24"/>
          <w:highlight w:val="none"/>
        </w:rPr>
        <w:t>（2）投标文件；</w:t>
      </w:r>
    </w:p>
    <w:p>
      <w:pPr>
        <w:tabs>
          <w:tab w:val="left" w:pos="904"/>
        </w:tabs>
        <w:snapToGrid w:val="0"/>
        <w:spacing w:line="360" w:lineRule="auto"/>
        <w:ind w:firstLine="240" w:firstLineChars="100"/>
        <w:jc w:val="left"/>
        <w:rPr>
          <w:rFonts w:ascii="宋体" w:hAnsi="宋体"/>
          <w:color w:val="auto"/>
          <w:sz w:val="24"/>
          <w:highlight w:val="none"/>
        </w:rPr>
      </w:pPr>
      <w:r>
        <w:rPr>
          <w:rFonts w:hint="eastAsia" w:ascii="宋体" w:hAnsi="宋体"/>
          <w:color w:val="auto"/>
          <w:sz w:val="24"/>
          <w:highlight w:val="none"/>
        </w:rPr>
        <w:t>（3）采购合同；</w:t>
      </w:r>
    </w:p>
    <w:p>
      <w:pPr>
        <w:tabs>
          <w:tab w:val="left" w:pos="904"/>
        </w:tabs>
        <w:snapToGrid w:val="0"/>
        <w:spacing w:line="360" w:lineRule="auto"/>
        <w:ind w:firstLine="240" w:firstLineChars="100"/>
        <w:jc w:val="left"/>
        <w:rPr>
          <w:rFonts w:ascii="宋体" w:hAnsi="宋体"/>
          <w:color w:val="auto"/>
          <w:sz w:val="24"/>
          <w:highlight w:val="none"/>
        </w:rPr>
      </w:pPr>
      <w:r>
        <w:rPr>
          <w:rFonts w:hint="eastAsia" w:ascii="宋体" w:hAnsi="宋体"/>
          <w:color w:val="auto"/>
          <w:sz w:val="24"/>
          <w:highlight w:val="none"/>
        </w:rPr>
        <w:t>（4）交付验收单（需采购核验人、复核人及乙方负责人三方签字盖章）、产权证明、竣工验收证明、消防验收合格证明等；</w:t>
      </w:r>
    </w:p>
    <w:p>
      <w:pPr>
        <w:tabs>
          <w:tab w:val="left" w:pos="904"/>
        </w:tabs>
        <w:snapToGrid w:val="0"/>
        <w:spacing w:line="360" w:lineRule="auto"/>
        <w:ind w:firstLine="240" w:firstLineChars="100"/>
        <w:jc w:val="left"/>
        <w:rPr>
          <w:rFonts w:ascii="宋体" w:hAnsi="宋体"/>
          <w:color w:val="auto"/>
          <w:sz w:val="24"/>
          <w:highlight w:val="none"/>
        </w:rPr>
      </w:pPr>
      <w:r>
        <w:rPr>
          <w:rFonts w:hint="eastAsia" w:ascii="宋体" w:hAnsi="宋体"/>
          <w:color w:val="auto"/>
          <w:sz w:val="24"/>
          <w:highlight w:val="none"/>
        </w:rPr>
        <w:t>（5）其他需提供的相关材料。</w:t>
      </w:r>
    </w:p>
    <w:p>
      <w:pPr>
        <w:pStyle w:val="64"/>
        <w:ind w:firstLine="241"/>
        <w:rPr>
          <w:rFonts w:ascii="仿宋" w:hAnsi="仿宋" w:eastAsia="仿宋"/>
          <w:b/>
          <w:bCs/>
          <w:color w:val="auto"/>
          <w:sz w:val="24"/>
          <w:highlight w:val="none"/>
        </w:rPr>
        <w:sectPr>
          <w:pgSz w:w="11906" w:h="16838"/>
          <w:pgMar w:top="1440" w:right="1080" w:bottom="1440" w:left="1080" w:header="720" w:footer="720" w:gutter="0"/>
          <w:pgNumType w:fmt="decimal"/>
          <w:cols w:space="720" w:num="1"/>
          <w:docGrid w:type="lines" w:linePitch="331" w:charSpace="0"/>
        </w:sectPr>
      </w:pPr>
    </w:p>
    <w:p>
      <w:pPr>
        <w:pStyle w:val="42"/>
        <w:spacing w:line="360" w:lineRule="auto"/>
        <w:ind w:left="178" w:leftChars="85"/>
        <w:rPr>
          <w:rFonts w:hAnsi="宋体" w:cs="宋体"/>
          <w:color w:val="auto"/>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outlineLvl w:val="0"/>
        <w:rPr>
          <w:rFonts w:hAnsi="宋体" w:cs="宋体"/>
          <w:b/>
          <w:color w:val="auto"/>
          <w:sz w:val="36"/>
          <w:highlight w:val="none"/>
        </w:rPr>
      </w:pPr>
      <w:bookmarkStart w:id="301" w:name="_Toc80093010"/>
      <w:bookmarkEnd w:id="301"/>
      <w:r>
        <w:rPr>
          <w:rFonts w:hint="eastAsia" w:hAnsi="宋体" w:cs="宋体"/>
          <w:b/>
          <w:color w:val="auto"/>
          <w:sz w:val="36"/>
          <w:highlight w:val="none"/>
        </w:rPr>
        <w:t>第六章 投标文件格式</w:t>
      </w:r>
    </w:p>
    <w:p>
      <w:pPr>
        <w:pStyle w:val="42"/>
        <w:spacing w:line="360" w:lineRule="auto"/>
        <w:rPr>
          <w:rFonts w:hAnsi="宋体" w:cs="宋体"/>
          <w:color w:val="auto"/>
          <w:highlight w:val="none"/>
        </w:rPr>
        <w:sectPr>
          <w:pgSz w:w="11906" w:h="16838"/>
          <w:pgMar w:top="1440" w:right="1080" w:bottom="1440" w:left="1080" w:header="720" w:footer="720" w:gutter="0"/>
          <w:pgNumType w:fmt="decimal"/>
          <w:cols w:space="720" w:num="1"/>
          <w:docGrid w:type="lines" w:linePitch="331" w:charSpace="0"/>
        </w:sectPr>
      </w:pPr>
    </w:p>
    <w:p>
      <w:pPr>
        <w:pStyle w:val="42"/>
        <w:ind w:firstLine="551" w:firstLineChars="196"/>
        <w:jc w:val="center"/>
        <w:outlineLvl w:val="1"/>
        <w:rPr>
          <w:rFonts w:hAnsi="宋体" w:cs="宋体"/>
          <w:b/>
          <w:bCs/>
          <w:color w:val="auto"/>
          <w:sz w:val="28"/>
          <w:szCs w:val="28"/>
          <w:highlight w:val="none"/>
        </w:rPr>
      </w:pPr>
      <w:bookmarkStart w:id="302" w:name="_Toc80093011"/>
      <w:bookmarkEnd w:id="302"/>
      <w:r>
        <w:rPr>
          <w:rFonts w:hint="eastAsia" w:hAnsi="宋体" w:cs="宋体"/>
          <w:b/>
          <w:bCs/>
          <w:color w:val="auto"/>
          <w:sz w:val="28"/>
          <w:szCs w:val="28"/>
          <w:highlight w:val="none"/>
        </w:rPr>
        <w:t>第一节 投标文件外层包装封面格式</w:t>
      </w:r>
    </w:p>
    <w:p>
      <w:pPr>
        <w:pStyle w:val="42"/>
        <w:ind w:firstLine="551" w:firstLineChars="196"/>
        <w:jc w:val="center"/>
        <w:rPr>
          <w:rFonts w:hAnsi="宋体" w:cs="宋体"/>
          <w:b/>
          <w:bCs/>
          <w:color w:val="auto"/>
          <w:sz w:val="28"/>
          <w:szCs w:val="28"/>
          <w:highlight w:val="none"/>
        </w:rPr>
      </w:pPr>
      <w:r>
        <w:rPr>
          <w:rFonts w:hint="eastAsia" w:hAnsi="宋体" w:cs="宋体"/>
          <w:b/>
          <w:bCs/>
          <w:color w:val="auto"/>
          <w:sz w:val="28"/>
          <w:szCs w:val="28"/>
          <w:highlight w:val="none"/>
        </w:rPr>
        <w:t>（</w:t>
      </w:r>
      <w:r>
        <w:rPr>
          <w:rFonts w:hint="eastAsia" w:hAnsi="宋体" w:cs="宋体"/>
          <w:color w:val="auto"/>
          <w:sz w:val="28"/>
          <w:szCs w:val="28"/>
          <w:highlight w:val="none"/>
        </w:rPr>
        <w:t>公开、邀请招标服务类投标文件格式范本</w:t>
      </w:r>
      <w:r>
        <w:rPr>
          <w:rFonts w:hint="eastAsia" w:hAnsi="宋体" w:cs="宋体"/>
          <w:b/>
          <w:bCs/>
          <w:color w:val="auto"/>
          <w:sz w:val="28"/>
          <w:szCs w:val="28"/>
          <w:highlight w:val="none"/>
        </w:rPr>
        <w:t>）</w:t>
      </w:r>
    </w:p>
    <w:p>
      <w:pPr>
        <w:spacing w:before="120" w:after="120"/>
        <w:jc w:val="center"/>
        <w:rPr>
          <w:rFonts w:ascii="宋体" w:hAnsi="宋体" w:cs="宋体"/>
          <w:color w:val="auto"/>
          <w:sz w:val="44"/>
          <w:szCs w:val="44"/>
          <w:highlight w:val="none"/>
        </w:rPr>
      </w:pPr>
    </w:p>
    <w:p>
      <w:pPr>
        <w:spacing w:before="120" w:after="120"/>
        <w:jc w:val="center"/>
        <w:rPr>
          <w:rFonts w:ascii="宋体" w:hAnsi="宋体" w:cs="宋体"/>
          <w:color w:val="auto"/>
          <w:sz w:val="44"/>
          <w:szCs w:val="44"/>
          <w:highlight w:val="none"/>
        </w:rPr>
      </w:pPr>
    </w:p>
    <w:p>
      <w:pPr>
        <w:spacing w:before="120" w:after="120"/>
        <w:jc w:val="center"/>
        <w:rPr>
          <w:rFonts w:ascii="宋体" w:hAnsi="宋体" w:cs="宋体"/>
          <w:color w:val="auto"/>
          <w:sz w:val="44"/>
          <w:szCs w:val="44"/>
          <w:highlight w:val="none"/>
        </w:rPr>
      </w:pPr>
    </w:p>
    <w:p>
      <w:pPr>
        <w:spacing w:before="120" w:after="120"/>
        <w:jc w:val="center"/>
        <w:rPr>
          <w:rFonts w:ascii="宋体" w:hAnsi="宋体" w:cs="宋体"/>
          <w:color w:val="auto"/>
          <w:sz w:val="44"/>
          <w:szCs w:val="44"/>
          <w:highlight w:val="none"/>
        </w:rPr>
      </w:pPr>
    </w:p>
    <w:p>
      <w:pPr>
        <w:spacing w:before="120" w:after="120"/>
        <w:jc w:val="center"/>
        <w:rPr>
          <w:rFonts w:ascii="宋体" w:hAnsi="宋体" w:cs="宋体"/>
          <w:color w:val="auto"/>
          <w:sz w:val="44"/>
          <w:szCs w:val="44"/>
          <w:highlight w:val="none"/>
        </w:rPr>
      </w:pPr>
      <w:r>
        <w:rPr>
          <w:rFonts w:hint="eastAsia" w:ascii="宋体" w:hAnsi="宋体" w:cs="宋体"/>
          <w:color w:val="auto"/>
          <w:sz w:val="44"/>
          <w:szCs w:val="44"/>
          <w:highlight w:val="none"/>
        </w:rPr>
        <w:t>XXXXX（项目名称）</w:t>
      </w:r>
    </w:p>
    <w:p>
      <w:pPr>
        <w:spacing w:before="120" w:after="120"/>
        <w:jc w:val="center"/>
        <w:rPr>
          <w:rFonts w:ascii="宋体" w:hAnsi="宋体" w:cs="宋体"/>
          <w:color w:val="auto"/>
          <w:sz w:val="44"/>
          <w:szCs w:val="44"/>
          <w:highlight w:val="none"/>
        </w:rPr>
      </w:pPr>
      <w:r>
        <w:rPr>
          <w:rFonts w:hint="eastAsia" w:ascii="宋体" w:hAnsi="宋体" w:cs="宋体"/>
          <w:color w:val="auto"/>
          <w:sz w:val="44"/>
          <w:szCs w:val="44"/>
          <w:highlight w:val="none"/>
        </w:rPr>
        <w:t>投标文件</w:t>
      </w:r>
    </w:p>
    <w:p>
      <w:pPr>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8"/>
        <w:tblW w:w="0" w:type="auto"/>
        <w:jc w:val="center"/>
        <w:tblLayout w:type="fixed"/>
        <w:tblCellMar>
          <w:top w:w="0" w:type="dxa"/>
          <w:left w:w="108" w:type="dxa"/>
          <w:bottom w:w="0" w:type="dxa"/>
          <w:right w:w="108" w:type="dxa"/>
        </w:tblCellMar>
      </w:tblPr>
      <w:tblGrid>
        <w:gridCol w:w="1601"/>
        <w:gridCol w:w="6172"/>
      </w:tblGrid>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bottom w:val="single" w:color="000000" w:sz="4" w:space="0"/>
            </w:tcBorders>
            <w:vAlign w:val="bottom"/>
          </w:tcPr>
          <w:p>
            <w:pPr>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青秀区73套农村生活污水处理设施第三方运维服务</w:t>
            </w:r>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color w:val="auto"/>
                <w:sz w:val="24"/>
                <w:highlight w:val="none"/>
              </w:rPr>
            </w:pPr>
            <w:r>
              <w:rPr>
                <w:rFonts w:hint="eastAsia" w:ascii="宋体" w:hAnsi="宋体" w:cs="宋体"/>
                <w:color w:val="auto"/>
                <w:sz w:val="24"/>
                <w:highlight w:val="none"/>
              </w:rPr>
              <w:t>采购方式：</w:t>
            </w:r>
          </w:p>
        </w:tc>
        <w:tc>
          <w:tcPr>
            <w:tcW w:w="6172" w:type="dxa"/>
            <w:tcBorders>
              <w:top w:val="single" w:color="000000" w:sz="4" w:space="0"/>
              <w:bottom w:val="single" w:color="000000" w:sz="4" w:space="0"/>
            </w:tcBorders>
            <w:vAlign w:val="bottom"/>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bottom w:val="single" w:color="000000" w:sz="4" w:space="0"/>
            </w:tcBorders>
            <w:vAlign w:val="bottom"/>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bottom w:val="single" w:color="000000" w:sz="4" w:space="0"/>
            </w:tcBorders>
            <w:vAlign w:val="bottom"/>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bottom w:val="single" w:color="000000" w:sz="4" w:space="0"/>
            </w:tcBorders>
            <w:vAlign w:val="bottom"/>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bottom w:val="single" w:color="000000" w:sz="4" w:space="0"/>
            </w:tcBorders>
            <w:vAlign w:val="bottom"/>
          </w:tcPr>
          <w:p>
            <w:pPr>
              <w:jc w:val="left"/>
              <w:rPr>
                <w:rFonts w:ascii="宋体" w:hAnsi="宋体" w:cs="宋体"/>
                <w:color w:val="auto"/>
                <w:sz w:val="24"/>
                <w:highlight w:val="none"/>
              </w:rPr>
            </w:pPr>
          </w:p>
        </w:tc>
      </w:tr>
    </w:tbl>
    <w:p>
      <w:pPr>
        <w:ind w:firstLine="4200" w:firstLineChars="1750"/>
        <w:rPr>
          <w:rFonts w:ascii="宋体" w:hAnsi="宋体" w:cs="宋体"/>
          <w:color w:val="auto"/>
          <w:sz w:val="24"/>
          <w:highlight w:val="none"/>
        </w:rPr>
      </w:pPr>
    </w:p>
    <w:p>
      <w:pPr>
        <w:ind w:firstLine="4200" w:firstLineChars="1750"/>
        <w:rPr>
          <w:rFonts w:ascii="宋体" w:hAnsi="宋体" w:cs="宋体"/>
          <w:color w:val="auto"/>
          <w:sz w:val="24"/>
          <w:highlight w:val="none"/>
        </w:rPr>
      </w:pPr>
    </w:p>
    <w:p>
      <w:pPr>
        <w:ind w:firstLine="4200" w:firstLineChars="1750"/>
        <w:rPr>
          <w:rFonts w:ascii="宋体" w:hAnsi="宋体" w:cs="宋体"/>
          <w:color w:val="auto"/>
          <w:sz w:val="24"/>
          <w:highlight w:val="none"/>
        </w:rPr>
      </w:pPr>
    </w:p>
    <w:p>
      <w:pPr>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pPr>
        <w:ind w:firstLine="6480" w:firstLineChars="2700"/>
        <w:rPr>
          <w:rFonts w:ascii="宋体" w:hAnsi="宋体" w:cs="宋体"/>
          <w:color w:val="auto"/>
          <w:sz w:val="24"/>
          <w:highlight w:val="none"/>
        </w:rPr>
        <w:sectPr>
          <w:footerReference r:id="rId9" w:type="default"/>
          <w:pgSz w:w="11907" w:h="16840"/>
          <w:pgMar w:top="1440" w:right="1080" w:bottom="1440" w:left="1080" w:header="720" w:footer="720" w:gutter="0"/>
          <w:pgNumType w:fmt="decimal"/>
          <w:cols w:space="720" w:num="1"/>
          <w:docGrid w:linePitch="285" w:charSpace="0"/>
        </w:sectPr>
      </w:pPr>
      <w:r>
        <w:rPr>
          <w:rFonts w:hint="eastAsia" w:ascii="宋体" w:hAnsi="宋体" w:cs="宋体"/>
          <w:color w:val="auto"/>
          <w:sz w:val="24"/>
          <w:highlight w:val="none"/>
        </w:rPr>
        <w:t>年   月   日</w:t>
      </w:r>
    </w:p>
    <w:p>
      <w:pPr>
        <w:pStyle w:val="42"/>
        <w:jc w:val="center"/>
        <w:outlineLvl w:val="1"/>
        <w:rPr>
          <w:rFonts w:hAnsi="宋体" w:cs="宋体"/>
          <w:b/>
          <w:bCs/>
          <w:color w:val="auto"/>
          <w:sz w:val="28"/>
          <w:szCs w:val="28"/>
          <w:highlight w:val="none"/>
        </w:rPr>
      </w:pPr>
      <w:bookmarkStart w:id="303" w:name="_Toc80093012"/>
      <w:bookmarkEnd w:id="303"/>
      <w:r>
        <w:rPr>
          <w:rFonts w:hint="eastAsia" w:hAnsi="宋体" w:cs="宋体"/>
          <w:b/>
          <w:bCs/>
          <w:color w:val="auto"/>
          <w:sz w:val="28"/>
          <w:szCs w:val="28"/>
          <w:highlight w:val="none"/>
        </w:rPr>
        <w:t>第二节 资格证明文件格式</w:t>
      </w:r>
    </w:p>
    <w:p>
      <w:pPr>
        <w:pStyle w:val="42"/>
        <w:spacing w:line="360" w:lineRule="auto"/>
        <w:ind w:firstLine="420"/>
        <w:rPr>
          <w:rFonts w:hAnsi="宋体" w:cs="宋体"/>
          <w:color w:val="auto"/>
          <w:sz w:val="30"/>
          <w:highlight w:val="none"/>
        </w:rPr>
      </w:pPr>
    </w:p>
    <w:p>
      <w:pPr>
        <w:snapToGrid w:val="0"/>
        <w:spacing w:before="165" w:after="5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pPr>
        <w:snapToGrid w:val="0"/>
        <w:spacing w:before="165" w:after="50"/>
        <w:rPr>
          <w:rFonts w:ascii="宋体" w:hAnsi="宋体" w:cs="宋体"/>
          <w:color w:val="auto"/>
          <w:sz w:val="24"/>
          <w:szCs w:val="20"/>
          <w:highlight w:val="none"/>
        </w:rPr>
      </w:pPr>
    </w:p>
    <w:p>
      <w:pPr>
        <w:snapToGrid w:val="0"/>
        <w:spacing w:before="165"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资格证明文件（封面）</w:t>
      </w:r>
    </w:p>
    <w:p>
      <w:pPr>
        <w:snapToGrid w:val="0"/>
        <w:spacing w:before="165" w:after="50"/>
        <w:rPr>
          <w:rFonts w:ascii="宋体" w:hAnsi="宋体" w:cs="宋体"/>
          <w:bCs/>
          <w:color w:val="auto"/>
          <w:sz w:val="24"/>
          <w:szCs w:val="20"/>
          <w:highlight w:val="none"/>
        </w:rPr>
      </w:pPr>
    </w:p>
    <w:p>
      <w:pPr>
        <w:snapToGrid w:val="0"/>
        <w:spacing w:before="165" w:after="50"/>
        <w:rPr>
          <w:rFonts w:ascii="宋体" w:hAnsi="宋体" w:cs="宋体"/>
          <w:bCs/>
          <w:color w:val="auto"/>
          <w:sz w:val="24"/>
          <w:szCs w:val="20"/>
          <w:highlight w:val="none"/>
        </w:rPr>
      </w:pPr>
    </w:p>
    <w:p>
      <w:pPr>
        <w:snapToGrid w:val="0"/>
        <w:spacing w:before="165" w:after="50"/>
        <w:rPr>
          <w:rFonts w:ascii="宋体" w:hAnsi="宋体" w:cs="宋体"/>
          <w:bCs/>
          <w:color w:val="auto"/>
          <w:sz w:val="24"/>
          <w:szCs w:val="20"/>
          <w:highlight w:val="none"/>
        </w:rPr>
      </w:pPr>
    </w:p>
    <w:p>
      <w:pPr>
        <w:snapToGrid w:val="0"/>
        <w:spacing w:before="165" w:after="50"/>
        <w:rPr>
          <w:rFonts w:ascii="宋体" w:hAnsi="宋体" w:cs="宋体"/>
          <w:bCs/>
          <w:color w:val="auto"/>
          <w:sz w:val="24"/>
          <w:szCs w:val="20"/>
          <w:highlight w:val="none"/>
        </w:rPr>
      </w:pPr>
    </w:p>
    <w:p>
      <w:pPr>
        <w:snapToGrid w:val="0"/>
        <w:spacing w:before="165" w:after="50"/>
        <w:rPr>
          <w:rFonts w:ascii="宋体" w:hAnsi="宋体" w:cs="宋体"/>
          <w:bCs/>
          <w:color w:val="auto"/>
          <w:sz w:val="24"/>
          <w:szCs w:val="20"/>
          <w:highlight w:val="none"/>
        </w:rPr>
      </w:pPr>
    </w:p>
    <w:p>
      <w:pPr>
        <w:snapToGrid w:val="0"/>
        <w:spacing w:before="165" w:after="50"/>
        <w:rPr>
          <w:rFonts w:ascii="宋体" w:hAnsi="宋体" w:cs="宋体"/>
          <w:bCs/>
          <w:color w:val="auto"/>
          <w:sz w:val="24"/>
          <w:szCs w:val="20"/>
          <w:highlight w:val="none"/>
        </w:rPr>
      </w:pPr>
    </w:p>
    <w:p>
      <w:pPr>
        <w:snapToGrid w:val="0"/>
        <w:spacing w:before="165" w:after="50"/>
        <w:rPr>
          <w:rFonts w:ascii="宋体" w:hAnsi="宋体" w:cs="宋体"/>
          <w:bCs/>
          <w:color w:val="auto"/>
          <w:sz w:val="24"/>
          <w:szCs w:val="20"/>
          <w:highlight w:val="none"/>
        </w:rPr>
      </w:pPr>
    </w:p>
    <w:p>
      <w:pPr>
        <w:snapToGrid w:val="0"/>
        <w:spacing w:before="165" w:after="50"/>
        <w:ind w:firstLine="540" w:firstLineChars="225"/>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项目名称：</w:t>
      </w:r>
      <w:r>
        <w:rPr>
          <w:rFonts w:hint="eastAsia" w:ascii="宋体" w:hAnsi="宋体" w:cs="宋体"/>
          <w:bCs/>
          <w:color w:val="auto"/>
          <w:sz w:val="24"/>
          <w:highlight w:val="none"/>
          <w:lang w:eastAsia="zh-CN"/>
        </w:rPr>
        <w:t>青秀区73套农村生活污水处理设施第三方运维服务</w:t>
      </w:r>
    </w:p>
    <w:p>
      <w:pPr>
        <w:snapToGrid w:val="0"/>
        <w:spacing w:before="165" w:after="50"/>
        <w:ind w:firstLine="540" w:firstLineChars="225"/>
        <w:rPr>
          <w:rFonts w:ascii="宋体" w:hAnsi="宋体" w:cs="宋体"/>
          <w:bCs/>
          <w:color w:val="auto"/>
          <w:sz w:val="24"/>
          <w:szCs w:val="20"/>
          <w:highlight w:val="none"/>
        </w:rPr>
      </w:pPr>
    </w:p>
    <w:p>
      <w:pPr>
        <w:snapToGrid w:val="0"/>
        <w:spacing w:before="165"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项目编号：</w:t>
      </w:r>
    </w:p>
    <w:p>
      <w:pPr>
        <w:pStyle w:val="139"/>
      </w:pPr>
    </w:p>
    <w:p>
      <w:pPr>
        <w:snapToGrid w:val="0"/>
        <w:spacing w:before="165"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pPr>
        <w:pStyle w:val="28"/>
        <w:snapToGrid w:val="0"/>
        <w:spacing w:before="50" w:after="50"/>
        <w:ind w:firstLine="540" w:firstLineChars="225"/>
        <w:rPr>
          <w:rFonts w:ascii="宋体" w:hAnsi="宋体" w:cs="宋体"/>
          <w:bCs/>
          <w:color w:val="auto"/>
          <w:sz w:val="24"/>
          <w:szCs w:val="24"/>
          <w:highlight w:val="none"/>
        </w:rPr>
      </w:pPr>
    </w:p>
    <w:p>
      <w:pPr>
        <w:pStyle w:val="28"/>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pPr>
        <w:pStyle w:val="28"/>
        <w:snapToGrid w:val="0"/>
        <w:spacing w:before="50" w:after="50"/>
        <w:ind w:firstLine="540" w:firstLineChars="225"/>
        <w:rPr>
          <w:rFonts w:ascii="宋体" w:hAnsi="宋体" w:cs="宋体"/>
          <w:bCs/>
          <w:color w:val="auto"/>
          <w:sz w:val="24"/>
          <w:szCs w:val="24"/>
          <w:highlight w:val="none"/>
        </w:rPr>
      </w:pPr>
    </w:p>
    <w:p>
      <w:pPr>
        <w:pStyle w:val="28"/>
        <w:snapToGrid w:val="0"/>
        <w:spacing w:before="50" w:after="50"/>
        <w:ind w:firstLine="960" w:firstLineChars="400"/>
        <w:rPr>
          <w:rFonts w:ascii="宋体" w:hAnsi="宋体" w:cs="宋体"/>
          <w:bCs/>
          <w:color w:val="auto"/>
          <w:sz w:val="24"/>
          <w:szCs w:val="24"/>
          <w:highlight w:val="none"/>
        </w:rPr>
      </w:pPr>
    </w:p>
    <w:p>
      <w:pPr>
        <w:snapToGrid w:val="0"/>
        <w:spacing w:before="165"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pPr>
        <w:pStyle w:val="42"/>
        <w:spacing w:line="360" w:lineRule="auto"/>
        <w:ind w:firstLine="420"/>
        <w:rPr>
          <w:rFonts w:hAnsi="宋体" w:cs="宋体"/>
          <w:color w:val="auto"/>
          <w:sz w:val="30"/>
          <w:highlight w:val="none"/>
        </w:rPr>
        <w:sectPr>
          <w:pgSz w:w="11906" w:h="16838"/>
          <w:pgMar w:top="1440" w:right="1080" w:bottom="1440" w:left="1080" w:header="720" w:footer="720" w:gutter="0"/>
          <w:pgNumType w:fmt="decimal"/>
          <w:cols w:space="720" w:num="1"/>
          <w:docGrid w:type="lines" w:linePitch="331" w:charSpace="0"/>
        </w:sectPr>
      </w:pPr>
    </w:p>
    <w:p>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pPr>
        <w:snapToGrid w:val="0"/>
        <w:spacing w:line="360" w:lineRule="auto"/>
        <w:rPr>
          <w:rFonts w:ascii="宋体" w:hAnsi="宋体" w:cs="宋体"/>
          <w:color w:val="auto"/>
          <w:kern w:val="0"/>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四、投标人直接控股股东信息</w:t>
      </w:r>
      <w:r>
        <w:rPr>
          <w:rFonts w:hint="eastAsia" w:ascii="宋体" w:hAnsi="宋体" w:cs="宋体"/>
          <w:color w:val="auto"/>
          <w:kern w:val="0"/>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五、投标人直接关联关系信息表</w:t>
      </w:r>
      <w:r>
        <w:rPr>
          <w:rFonts w:hint="eastAsia" w:ascii="宋体" w:hAnsi="宋体" w:cs="宋体"/>
          <w:color w:val="auto"/>
          <w:kern w:val="0"/>
          <w:sz w:val="24"/>
          <w:highlight w:val="none"/>
        </w:rPr>
        <w:t>………………………………………………………（页码）</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pPr>
        <w:snapToGrid w:val="0"/>
        <w:spacing w:line="360" w:lineRule="auto"/>
      </w:pPr>
      <w:r>
        <w:rPr>
          <w:rFonts w:hint="eastAsia" w:ascii="宋体" w:hAnsi="宋体" w:cs="宋体"/>
          <w:color w:val="auto"/>
          <w:kern w:val="0"/>
          <w:sz w:val="24"/>
          <w:highlight w:val="none"/>
          <w:lang w:val="en-US" w:eastAsia="zh-CN"/>
        </w:rPr>
        <w:t>七</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联合体协议书</w:t>
      </w:r>
      <w:r>
        <w:rPr>
          <w:rFonts w:hint="eastAsia" w:ascii="宋体" w:hAnsi="宋体" w:cs="宋体"/>
          <w:color w:val="auto"/>
          <w:kern w:val="0"/>
          <w:sz w:val="24"/>
          <w:highlight w:val="none"/>
        </w:rPr>
        <w:t>………………………………………………………………………（页码）</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八、</w:t>
      </w:r>
      <w:r>
        <w:rPr>
          <w:rFonts w:hint="eastAsia" w:ascii="宋体" w:hAnsi="宋体" w:cs="宋体"/>
          <w:color w:val="auto"/>
          <w:kern w:val="0"/>
          <w:sz w:val="24"/>
          <w:highlight w:val="none"/>
        </w:rPr>
        <w:t>中小企业声明函或残疾人福利性单位声明函或监狱企业证明…………………（页码）</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pPr>
        <w:pStyle w:val="42"/>
        <w:spacing w:line="360" w:lineRule="auto"/>
        <w:ind w:firstLine="420"/>
        <w:rPr>
          <w:rFonts w:hAnsi="宋体" w:cs="宋体"/>
          <w:color w:val="auto"/>
          <w:sz w:val="30"/>
          <w:highlight w:val="none"/>
        </w:rPr>
        <w:sectPr>
          <w:pgSz w:w="11906" w:h="16838"/>
          <w:pgMar w:top="1440" w:right="1080" w:bottom="1440" w:left="1080" w:header="720" w:footer="720" w:gutter="0"/>
          <w:pgNumType w:fmt="decimal"/>
          <w:cols w:space="720" w:num="1"/>
          <w:docGrid w:type="lines" w:linePitch="331" w:charSpace="0"/>
        </w:sectPr>
      </w:pPr>
    </w:p>
    <w:p>
      <w:pPr>
        <w:snapToGrid w:val="0"/>
        <w:spacing w:line="360" w:lineRule="auto"/>
        <w:rPr>
          <w:rFonts w:ascii="宋体" w:hAnsi="宋体" w:cs="宋体"/>
          <w:b/>
          <w:color w:val="auto"/>
          <w:kern w:val="0"/>
          <w:sz w:val="32"/>
          <w:szCs w:val="32"/>
          <w:highlight w:val="none"/>
          <w:lang w:val="zh-CN"/>
        </w:rPr>
      </w:pPr>
    </w:p>
    <w:p>
      <w:pP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pPr>
        <w:spacing w:line="360" w:lineRule="auto"/>
        <w:rPr>
          <w:rFonts w:ascii="宋体" w:hAnsi="宋体" w:cs="宋体"/>
          <w:b/>
          <w:color w:val="auto"/>
          <w:sz w:val="30"/>
          <w:szCs w:val="30"/>
          <w:highlight w:val="none"/>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center"/>
        <w:rPr>
          <w:rFonts w:ascii="宋体" w:hAnsi="宋体" w:cs="宋体"/>
          <w:b/>
          <w:color w:val="auto"/>
          <w:sz w:val="30"/>
          <w:szCs w:val="30"/>
          <w:highlight w:val="none"/>
        </w:rPr>
      </w:pPr>
    </w:p>
    <w:p>
      <w:pPr>
        <w:snapToGrid w:val="0"/>
        <w:spacing w:line="360" w:lineRule="auto"/>
        <w:ind w:right="480"/>
        <w:jc w:val="center"/>
        <w:rPr>
          <w:rFonts w:ascii="宋体" w:hAnsi="宋体" w:cs="宋体"/>
          <w:b/>
          <w:color w:val="auto"/>
          <w:sz w:val="30"/>
          <w:szCs w:val="30"/>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pPr>
        <w:snapToGrid w:val="0"/>
        <w:spacing w:line="360" w:lineRule="auto"/>
        <w:ind w:firstLine="480" w:firstLineChars="200"/>
        <w:rPr>
          <w:rFonts w:ascii="宋体" w:hAnsi="宋体" w:cs="宋体"/>
          <w:color w:val="auto"/>
          <w:sz w:val="24"/>
          <w:highlight w:val="none"/>
        </w:rPr>
      </w:pP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pPr>
        <w:snapToGrid w:val="0"/>
        <w:spacing w:line="360" w:lineRule="auto"/>
        <w:ind w:firstLine="480" w:firstLineChars="200"/>
        <w:rPr>
          <w:rFonts w:ascii="宋体" w:hAnsi="宋体" w:cs="宋体"/>
          <w:color w:val="auto"/>
          <w:sz w:val="24"/>
          <w:highlight w:val="none"/>
        </w:rPr>
      </w:pP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firstLine="5160" w:firstLineChars="2150"/>
        <w:rPr>
          <w:rFonts w:ascii="宋体" w:hAnsi="宋体" w:cs="宋体"/>
          <w:color w:val="auto"/>
          <w:kern w:val="0"/>
          <w:sz w:val="24"/>
          <w:highlight w:val="none"/>
          <w:lang w:val="zh-CN"/>
        </w:rPr>
      </w:pPr>
    </w:p>
    <w:p>
      <w:pPr>
        <w:snapToGrid w:val="0"/>
        <w:spacing w:line="360" w:lineRule="auto"/>
        <w:ind w:right="480"/>
        <w:jc w:val="center"/>
        <w:rPr>
          <w:rFonts w:ascii="宋体" w:hAnsi="宋体" w:cs="宋体"/>
          <w:b/>
          <w:color w:val="auto"/>
          <w:kern w:val="0"/>
          <w:sz w:val="32"/>
          <w:szCs w:val="32"/>
          <w:highlight w:val="none"/>
          <w:lang w:val="zh-CN"/>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before="50" w:after="165"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8"/>
        <w:tblW w:w="0" w:type="auto"/>
        <w:tblInd w:w="-120" w:type="dxa"/>
        <w:shd w:val="clear" w:color="auto" w:fill="FBFBFB"/>
        <w:tblLayout w:type="fixed"/>
        <w:tblCellMar>
          <w:top w:w="120" w:type="dxa"/>
          <w:left w:w="120" w:type="dxa"/>
          <w:bottom w:w="120" w:type="dxa"/>
          <w:right w:w="120" w:type="dxa"/>
        </w:tblCellMar>
      </w:tblPr>
      <w:tblGrid>
        <w:gridCol w:w="828"/>
        <w:gridCol w:w="2269"/>
        <w:gridCol w:w="1239"/>
        <w:gridCol w:w="3722"/>
        <w:gridCol w:w="1418"/>
      </w:tblGrid>
      <w:tr>
        <w:tblPrEx>
          <w:shd w:val="clear" w:color="auto" w:fill="FBFBFB"/>
          <w:tblCellMar>
            <w:top w:w="120" w:type="dxa"/>
            <w:left w:w="120" w:type="dxa"/>
            <w:bottom w:w="120" w:type="dxa"/>
            <w:right w:w="120" w:type="dxa"/>
          </w:tblCellMar>
        </w:tblPrEx>
        <w:trPr>
          <w:tblHeader/>
        </w:trPr>
        <w:tc>
          <w:tcPr>
            <w:tcW w:w="828"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120" w:type="dxa"/>
            <w:left w:w="120" w:type="dxa"/>
            <w:bottom w:w="120" w:type="dxa"/>
            <w:right w:w="12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120" w:type="dxa"/>
            <w:left w:w="120" w:type="dxa"/>
            <w:bottom w:w="120" w:type="dxa"/>
            <w:right w:w="12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120" w:type="dxa"/>
            <w:left w:w="120" w:type="dxa"/>
            <w:bottom w:w="120" w:type="dxa"/>
            <w:right w:w="12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120" w:type="dxa"/>
            <w:left w:w="120" w:type="dxa"/>
            <w:bottom w:w="120" w:type="dxa"/>
            <w:right w:w="12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8"/>
        <w:tblW w:w="0" w:type="auto"/>
        <w:tblInd w:w="-120" w:type="dxa"/>
        <w:shd w:val="clear" w:color="auto" w:fill="FBFBFB"/>
        <w:tblLayout w:type="fixed"/>
        <w:tblCellMar>
          <w:top w:w="120" w:type="dxa"/>
          <w:left w:w="120" w:type="dxa"/>
          <w:bottom w:w="120" w:type="dxa"/>
          <w:right w:w="120" w:type="dxa"/>
        </w:tblCellMar>
      </w:tblPr>
      <w:tblGrid>
        <w:gridCol w:w="1005"/>
        <w:gridCol w:w="2659"/>
        <w:gridCol w:w="3924"/>
        <w:gridCol w:w="2064"/>
      </w:tblGrid>
      <w:tr>
        <w:tblPrEx>
          <w:shd w:val="clear" w:color="auto" w:fill="FBFBFB"/>
          <w:tblCellMar>
            <w:top w:w="120" w:type="dxa"/>
            <w:left w:w="120" w:type="dxa"/>
            <w:bottom w:w="120" w:type="dxa"/>
            <w:right w:w="120" w:type="dxa"/>
          </w:tblCellMar>
        </w:tblPrEx>
        <w:trPr>
          <w:tblHeader/>
        </w:trPr>
        <w:tc>
          <w:tcPr>
            <w:tcW w:w="1005"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120" w:type="dxa"/>
            <w:left w:w="120" w:type="dxa"/>
            <w:bottom w:w="120" w:type="dxa"/>
            <w:right w:w="12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120" w:type="dxa"/>
            <w:left w:w="120" w:type="dxa"/>
            <w:bottom w:w="120" w:type="dxa"/>
            <w:right w:w="12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120" w:type="dxa"/>
            <w:left w:w="120" w:type="dxa"/>
            <w:bottom w:w="120" w:type="dxa"/>
            <w:right w:w="12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120" w:type="dxa"/>
            <w:left w:w="120" w:type="dxa"/>
            <w:bottom w:w="120" w:type="dxa"/>
            <w:right w:w="12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2.本表所指的管理关系仅限于直接管理关系，不包括间接的管理关系。</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before="50" w:after="165"/>
        <w:jc w:val="left"/>
        <w:rPr>
          <w:rFonts w:ascii="宋体" w:hAnsi="宋体" w:cs="宋体"/>
          <w:color w:val="auto"/>
          <w:szCs w:val="21"/>
          <w:highlight w:val="none"/>
        </w:rPr>
      </w:pPr>
    </w:p>
    <w:p>
      <w:pPr>
        <w:snapToGrid w:val="0"/>
        <w:spacing w:before="165" w:after="50"/>
        <w:jc w:val="left"/>
        <w:rPr>
          <w:rFonts w:ascii="宋体" w:hAnsi="宋体" w:cs="宋体"/>
          <w:b/>
          <w:color w:val="auto"/>
          <w:sz w:val="24"/>
          <w:szCs w:val="20"/>
          <w:highlight w:val="none"/>
        </w:rPr>
      </w:pPr>
    </w:p>
    <w:p>
      <w:pPr>
        <w:snapToGrid w:val="0"/>
        <w:spacing w:before="165" w:after="50"/>
        <w:jc w:val="left"/>
        <w:rPr>
          <w:rFonts w:ascii="宋体" w:hAnsi="宋体" w:cs="宋体"/>
          <w:b/>
          <w:color w:val="auto"/>
          <w:sz w:val="24"/>
          <w:highlight w:val="none"/>
        </w:rPr>
      </w:pPr>
    </w:p>
    <w:p>
      <w:pPr>
        <w:snapToGrid w:val="0"/>
        <w:spacing w:before="165" w:after="50"/>
        <w:jc w:val="left"/>
        <w:rPr>
          <w:rFonts w:ascii="宋体" w:hAnsi="宋体" w:cs="宋体"/>
          <w:b/>
          <w:color w:val="auto"/>
          <w:sz w:val="24"/>
          <w:szCs w:val="20"/>
          <w:highlight w:val="none"/>
        </w:rPr>
      </w:pPr>
      <w:r>
        <w:rPr>
          <w:rFonts w:hint="eastAsia" w:ascii="宋体" w:hAnsi="宋体" w:cs="宋体"/>
          <w:b/>
          <w:color w:val="auto"/>
          <w:sz w:val="24"/>
          <w:szCs w:val="20"/>
          <w:highlight w:val="none"/>
        </w:rPr>
        <w:t xml:space="preserve"> </w:t>
      </w:r>
    </w:p>
    <w:p>
      <w:pPr>
        <w:snapToGrid w:val="0"/>
        <w:spacing w:before="50" w:after="165"/>
        <w:jc w:val="left"/>
        <w:rPr>
          <w:rFonts w:ascii="宋体" w:hAnsi="宋体" w:cs="宋体"/>
          <w:color w:val="auto"/>
          <w:highlight w:val="none"/>
        </w:rPr>
      </w:pPr>
    </w:p>
    <w:p>
      <w:pPr>
        <w:snapToGrid w:val="0"/>
        <w:spacing w:before="50" w:after="165"/>
        <w:jc w:val="center"/>
        <w:rPr>
          <w:rFonts w:ascii="宋体" w:hAnsi="宋体" w:cs="宋体"/>
          <w:b/>
          <w:color w:val="auto"/>
          <w:sz w:val="32"/>
          <w:szCs w:val="32"/>
          <w:highlight w:val="none"/>
        </w:rPr>
      </w:pPr>
      <w:r>
        <w:rPr>
          <w:rFonts w:hint="eastAsia" w:ascii="宋体" w:hAnsi="宋体" w:cs="宋体"/>
          <w:b/>
          <w:color w:val="auto"/>
          <w:sz w:val="32"/>
          <w:szCs w:val="32"/>
          <w:highlight w:val="none"/>
        </w:rPr>
        <w:t>六、投标资格声明函</w:t>
      </w:r>
    </w:p>
    <w:p>
      <w:pPr>
        <w:tabs>
          <w:tab w:val="left" w:pos="7200"/>
        </w:tabs>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（采购代理机构名称）</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）项目的投标，为便于贵方公正、择优地确定中标人，我方就本次投标有关事项郑重声明如下：</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3.经查询，在“信用中国”和“中国政府采购网”网站我方未被列入失信被执行人、重大税收违法案件当事人名单、政府采购严重违法失信行为记录名单。</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pPr>
        <w:tabs>
          <w:tab w:val="left" w:pos="7200"/>
        </w:tabs>
        <w:spacing w:line="360" w:lineRule="auto"/>
        <w:ind w:firstLine="420" w:firstLineChars="200"/>
        <w:rPr>
          <w:rFonts w:ascii="宋体" w:hAnsi="宋体" w:cs="宋体"/>
          <w:color w:val="auto"/>
          <w:szCs w:val="21"/>
          <w:highlight w:val="none"/>
        </w:rPr>
      </w:pPr>
    </w:p>
    <w:p>
      <w:pPr>
        <w:tabs>
          <w:tab w:val="left" w:pos="72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3.如为联合体投标，盖章处须加盖联合体各方公章并由联合体各方法定代表人分别签署，否则投标无效。</w:t>
      </w:r>
    </w:p>
    <w:p>
      <w:pPr>
        <w:snapToGrid w:val="0"/>
        <w:spacing w:before="50" w:after="165"/>
        <w:jc w:val="left"/>
        <w:rPr>
          <w:rFonts w:ascii="宋体" w:hAnsi="宋体" w:cs="宋体"/>
          <w:color w:val="auto"/>
          <w:sz w:val="18"/>
          <w:szCs w:val="18"/>
          <w:highlight w:val="none"/>
        </w:rPr>
      </w:pPr>
    </w:p>
    <w:p>
      <w:pPr>
        <w:snapToGrid w:val="0"/>
        <w:spacing w:before="50" w:after="331"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before="50" w:after="331" w:line="360" w:lineRule="auto"/>
        <w:ind w:left="7428" w:leftChars="2223" w:hanging="2760" w:hangingChars="1150"/>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pPr>
        <w:rPr>
          <w:rFonts w:hint="eastAsia" w:hAnsi="宋体" w:cs="宋体"/>
          <w:b/>
          <w:color w:val="auto"/>
          <w:sz w:val="30"/>
          <w:szCs w:val="30"/>
          <w:highlight w:val="none"/>
          <w:lang w:val="zh-CN"/>
        </w:rPr>
      </w:pPr>
      <w:r>
        <w:rPr>
          <w:rFonts w:hint="eastAsia" w:hAnsi="宋体" w:cs="宋体"/>
          <w:b/>
          <w:color w:val="auto"/>
          <w:sz w:val="30"/>
          <w:szCs w:val="30"/>
          <w:highlight w:val="none"/>
          <w:lang w:val="zh-CN"/>
        </w:rPr>
        <w:br w:type="page"/>
      </w:r>
    </w:p>
    <w:p>
      <w:pPr>
        <w:spacing w:line="600" w:lineRule="exact"/>
        <w:jc w:val="center"/>
        <w:rPr>
          <w:rFonts w:hint="eastAsia" w:ascii="宋体" w:hAnsi="宋体" w:cs="宋体"/>
          <w:szCs w:val="20"/>
        </w:rPr>
      </w:pPr>
      <w:r>
        <w:rPr>
          <w:rFonts w:hint="eastAsia" w:ascii="宋体" w:hAnsi="宋体" w:cs="宋体"/>
          <w:b/>
          <w:bCs/>
          <w:sz w:val="30"/>
          <w:szCs w:val="30"/>
          <w:lang w:val="en-US" w:eastAsia="zh-CN"/>
        </w:rPr>
        <w:t>七、</w:t>
      </w:r>
      <w:r>
        <w:rPr>
          <w:rFonts w:hint="eastAsia" w:ascii="宋体" w:hAnsi="宋体" w:cs="宋体"/>
          <w:b/>
          <w:bCs/>
          <w:sz w:val="30"/>
          <w:szCs w:val="30"/>
        </w:rPr>
        <w:t>联合体协议书</w:t>
      </w:r>
    </w:p>
    <w:p>
      <w:pPr>
        <w:autoSpaceDE w:val="0"/>
        <w:autoSpaceDN w:val="0"/>
        <w:adjustRightInd w:val="0"/>
        <w:spacing w:line="360" w:lineRule="auto"/>
        <w:jc w:val="left"/>
        <w:rPr>
          <w:rFonts w:hint="eastAsia" w:ascii="宋体" w:hAnsi="宋体" w:cs="宋体"/>
          <w:kern w:val="0"/>
          <w:szCs w:val="21"/>
          <w:u w:val="single"/>
        </w:rPr>
      </w:pPr>
    </w:p>
    <w:p>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（所有成员单位名称）自愿组成联合体，共同参加</w:t>
      </w:r>
      <w:r>
        <w:rPr>
          <w:rFonts w:hint="eastAsia" w:ascii="宋体" w:hAnsi="宋体" w:cs="宋体"/>
          <w:kern w:val="0"/>
          <w:szCs w:val="21"/>
          <w:u w:val="single"/>
        </w:rPr>
        <w:t xml:space="preserve"> 广西华进项目管理有限公司  </w:t>
      </w:r>
      <w:r>
        <w:rPr>
          <w:rFonts w:hint="eastAsia" w:ascii="宋体" w:hAnsi="宋体" w:cs="宋体"/>
          <w:kern w:val="0"/>
          <w:szCs w:val="21"/>
        </w:rPr>
        <w:t>组织的</w:t>
      </w:r>
      <w:r>
        <w:rPr>
          <w:rFonts w:hint="eastAsia" w:ascii="宋体" w:hAnsi="宋体" w:cs="宋体"/>
        </w:rPr>
        <w:t>_______________________</w:t>
      </w:r>
      <w:r>
        <w:rPr>
          <w:rFonts w:hint="eastAsia" w:ascii="宋体" w:hAnsi="宋体" w:cs="宋体"/>
          <w:kern w:val="0"/>
          <w:szCs w:val="21"/>
        </w:rPr>
        <w:t>项目编号：</w:t>
      </w:r>
      <w:r>
        <w:rPr>
          <w:rFonts w:hint="eastAsia" w:ascii="宋体" w:hAnsi="宋体" w:cs="宋体"/>
        </w:rPr>
        <w:t>________________________</w:t>
      </w:r>
      <w:r>
        <w:rPr>
          <w:rFonts w:hint="eastAsia" w:ascii="宋体" w:hAnsi="宋体" w:cs="宋体"/>
          <w:kern w:val="0"/>
          <w:szCs w:val="21"/>
        </w:rPr>
        <w:t>）投标。现就联合体投标事宜订立如下协议：</w:t>
      </w:r>
    </w:p>
    <w:p>
      <w:p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宋体"/>
          <w:kern w:val="0"/>
          <w:szCs w:val="21"/>
        </w:rPr>
        <w:t>1、</w:t>
      </w:r>
      <w:r>
        <w:rPr>
          <w:rFonts w:hint="eastAsia" w:ascii="宋体" w:hAnsi="宋体" w:cs="宋体"/>
        </w:rPr>
        <w:t>________________________</w:t>
      </w:r>
      <w:r>
        <w:rPr>
          <w:rFonts w:hint="eastAsia" w:ascii="宋体" w:hAnsi="宋体" w:cs="宋体"/>
          <w:kern w:val="0"/>
          <w:szCs w:val="21"/>
        </w:rPr>
        <w:t>（某成员单位名称）为联合体名称牵头人。</w:t>
      </w:r>
    </w:p>
    <w:p>
      <w:p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宋体"/>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p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宋体"/>
          <w:kern w:val="0"/>
          <w:szCs w:val="21"/>
        </w:rPr>
        <w:t>4、联合体各成员单位内部的职责分工如下</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auto"/>
        <w:ind w:firstLine="420" w:firstLineChars="200"/>
        <w:rPr>
          <w:rFonts w:hint="eastAsia" w:ascii="宋体" w:hAnsi="宋体" w:cs="宋体"/>
          <w:szCs w:val="21"/>
        </w:rPr>
      </w:pPr>
      <w:r>
        <w:rPr>
          <w:rFonts w:hint="eastAsia" w:ascii="宋体" w:hAnsi="宋体" w:cs="宋体"/>
          <w:kern w:val="0"/>
          <w:szCs w:val="20"/>
        </w:rPr>
        <w:t>5、本联合体中</w:t>
      </w:r>
      <w:r>
        <w:rPr>
          <w:rFonts w:hint="eastAsia" w:ascii="宋体" w:hAnsi="宋体" w:cs="宋体"/>
          <w:kern w:val="0"/>
          <w:szCs w:val="20"/>
          <w:u w:val="single"/>
        </w:rPr>
        <w:t xml:space="preserve">，                  （某成员单位名称）为              </w:t>
      </w:r>
      <w:r>
        <w:rPr>
          <w:rFonts w:hint="eastAsia" w:ascii="宋体" w:hAnsi="宋体" w:cs="宋体"/>
          <w:szCs w:val="20"/>
        </w:rPr>
        <w:t>（请填写：中型、小型、微型）企业，其协议合同金额占联合体协议合同总金额的______%。【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宋体"/>
          <w:kern w:val="0"/>
          <w:szCs w:val="21"/>
        </w:rPr>
        <w:t>6、本协议书自签署之日起生效，合同履行完毕后自动失效。</w:t>
      </w:r>
    </w:p>
    <w:p>
      <w:p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宋体"/>
          <w:kern w:val="0"/>
          <w:szCs w:val="21"/>
        </w:rPr>
        <w:t>7、本协议书一式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p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宋体"/>
          <w:kern w:val="0"/>
          <w:szCs w:val="21"/>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rPr>
        <w:t>牵头人名称：</w:t>
      </w:r>
      <w:r>
        <w:rPr>
          <w:rFonts w:hint="eastAsia" w:ascii="宋体" w:hAnsi="宋体" w:cs="宋体"/>
          <w:kern w:val="0"/>
          <w:szCs w:val="21"/>
          <w:u w:val="single"/>
        </w:rPr>
        <w:t xml:space="preserve">                                       </w:t>
      </w:r>
      <w:r>
        <w:rPr>
          <w:rFonts w:hint="eastAsia" w:ascii="宋体" w:hAnsi="宋体" w:cs="宋体"/>
          <w:kern w:val="0"/>
          <w:szCs w:val="21"/>
        </w:rPr>
        <w:t>（公章/电子签章）</w:t>
      </w:r>
    </w:p>
    <w:p>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pPr>
        <w:autoSpaceDE w:val="0"/>
        <w:autoSpaceDN w:val="0"/>
        <w:adjustRightInd w:val="0"/>
        <w:spacing w:line="360" w:lineRule="auto"/>
        <w:jc w:val="left"/>
        <w:rPr>
          <w:rFonts w:hint="eastAsia" w:ascii="宋体" w:hAnsi="宋体" w:cs="宋体"/>
          <w:kern w:val="0"/>
          <w:szCs w:val="21"/>
        </w:rPr>
      </w:pPr>
    </w:p>
    <w:p>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rPr>
        <w:t>成员一名称：</w:t>
      </w:r>
      <w:r>
        <w:rPr>
          <w:rFonts w:hint="eastAsia" w:ascii="宋体" w:hAnsi="宋体" w:cs="宋体"/>
          <w:kern w:val="0"/>
          <w:szCs w:val="21"/>
          <w:u w:val="single"/>
        </w:rPr>
        <w:t xml:space="preserve">                                       </w:t>
      </w:r>
      <w:r>
        <w:rPr>
          <w:rFonts w:hint="eastAsia" w:ascii="宋体" w:hAnsi="宋体" w:cs="宋体"/>
          <w:kern w:val="0"/>
          <w:szCs w:val="21"/>
        </w:rPr>
        <w:t>（公章/电子签章）</w:t>
      </w:r>
    </w:p>
    <w:p>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pPr>
        <w:autoSpaceDE w:val="0"/>
        <w:autoSpaceDN w:val="0"/>
        <w:adjustRightInd w:val="0"/>
        <w:spacing w:line="360" w:lineRule="auto"/>
        <w:jc w:val="left"/>
        <w:rPr>
          <w:rFonts w:hint="eastAsia" w:ascii="宋体" w:hAnsi="宋体" w:cs="宋体"/>
          <w:kern w:val="0"/>
          <w:szCs w:val="21"/>
        </w:rPr>
      </w:pPr>
    </w:p>
    <w:p>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（公章/电子签章）</w:t>
      </w:r>
    </w:p>
    <w:p>
      <w:pPr>
        <w:spacing w:line="600" w:lineRule="exact"/>
        <w:rPr>
          <w:rFonts w:hint="eastAsia"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pPr>
        <w:rPr>
          <w:rFonts w:hint="eastAsia" w:hAnsi="宋体" w:cs="宋体"/>
          <w:b/>
          <w:color w:val="auto"/>
          <w:sz w:val="30"/>
          <w:szCs w:val="30"/>
          <w:highlight w:val="none"/>
          <w:lang w:val="zh-CN"/>
        </w:rPr>
      </w:pPr>
      <w:r>
        <w:rPr>
          <w:rFonts w:hint="eastAsia" w:hAnsi="宋体" w:cs="宋体"/>
          <w:b/>
          <w:color w:val="auto"/>
          <w:sz w:val="30"/>
          <w:szCs w:val="30"/>
          <w:highlight w:val="none"/>
          <w:lang w:val="zh-CN"/>
        </w:rPr>
        <w:br w:type="page"/>
      </w:r>
    </w:p>
    <w:p>
      <w:pPr>
        <w:pStyle w:val="42"/>
        <w:spacing w:line="500" w:lineRule="exact"/>
        <w:ind w:firstLine="602" w:firstLineChars="200"/>
        <w:rPr>
          <w:rFonts w:hAnsi="宋体" w:cs="宋体"/>
          <w:b/>
          <w:color w:val="auto"/>
          <w:sz w:val="30"/>
          <w:szCs w:val="30"/>
          <w:highlight w:val="none"/>
          <w:lang w:val="zh-CN"/>
        </w:rPr>
      </w:pPr>
      <w:r>
        <w:rPr>
          <w:rFonts w:hint="eastAsia" w:hAnsi="宋体" w:cs="宋体"/>
          <w:b/>
          <w:color w:val="auto"/>
          <w:sz w:val="30"/>
          <w:szCs w:val="30"/>
          <w:highlight w:val="none"/>
          <w:lang w:val="en-US" w:eastAsia="zh-CN"/>
        </w:rPr>
        <w:t>八</w:t>
      </w:r>
      <w:r>
        <w:rPr>
          <w:rFonts w:hint="eastAsia" w:hAnsi="宋体" w:cs="宋体"/>
          <w:b/>
          <w:color w:val="auto"/>
          <w:sz w:val="30"/>
          <w:szCs w:val="30"/>
          <w:highlight w:val="none"/>
          <w:lang w:val="zh-CN"/>
        </w:rPr>
        <w:t>、中小企业声明函或残疾人福利性单位声明函或监狱企业证明</w:t>
      </w:r>
    </w:p>
    <w:p>
      <w:pPr>
        <w:spacing w:line="300" w:lineRule="auto"/>
        <w:ind w:firstLine="1506" w:firstLineChars="500"/>
        <w:rPr>
          <w:rFonts w:ascii="宋体" w:hAnsi="宋体" w:cs="宋体"/>
          <w:b/>
          <w:color w:val="auto"/>
          <w:sz w:val="30"/>
          <w:szCs w:val="30"/>
          <w:highlight w:val="none"/>
        </w:rPr>
      </w:pPr>
    </w:p>
    <w:p>
      <w:pPr>
        <w:spacing w:line="30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中小企业声明函</w:t>
      </w:r>
    </w:p>
    <w:p>
      <w:pPr>
        <w:pStyle w:val="38"/>
        <w:spacing w:line="240" w:lineRule="auto"/>
        <w:ind w:firstLine="0"/>
        <w:rPr>
          <w:rFonts w:hAnsi="宋体" w:cs="宋体"/>
          <w:color w:val="auto"/>
          <w:spacing w:val="0"/>
          <w:sz w:val="21"/>
          <w:szCs w:val="21"/>
          <w:highlight w:val="none"/>
        </w:rPr>
      </w:pPr>
    </w:p>
    <w:p>
      <w:pPr>
        <w:pStyle w:val="38"/>
        <w:spacing w:line="240" w:lineRule="auto"/>
        <w:ind w:firstLine="0"/>
        <w:rPr>
          <w:rFonts w:hAnsi="宋体" w:cs="宋体"/>
          <w:color w:val="auto"/>
          <w:spacing w:val="0"/>
          <w:sz w:val="21"/>
          <w:szCs w:val="21"/>
          <w:highlight w:val="none"/>
        </w:rPr>
      </w:pPr>
      <w:r>
        <w:rPr>
          <w:rFonts w:hint="eastAsia" w:hAnsi="宋体" w:cs="宋体"/>
          <w:color w:val="auto"/>
          <w:spacing w:val="0"/>
          <w:sz w:val="21"/>
          <w:szCs w:val="21"/>
          <w:highlight w:val="none"/>
        </w:rPr>
        <w:t>说明：</w:t>
      </w:r>
    </w:p>
    <w:p>
      <w:pPr>
        <w:pStyle w:val="38"/>
        <w:spacing w:line="240" w:lineRule="auto"/>
        <w:ind w:firstLine="420" w:firstLineChars="200"/>
        <w:rPr>
          <w:rFonts w:hAnsi="宋体" w:cs="宋体"/>
          <w:color w:val="auto"/>
          <w:spacing w:val="0"/>
          <w:sz w:val="21"/>
          <w:szCs w:val="21"/>
          <w:highlight w:val="none"/>
        </w:rPr>
      </w:pPr>
      <w:r>
        <w:rPr>
          <w:rFonts w:hint="eastAsia" w:hAnsi="宋体" w:cs="宋体"/>
          <w:color w:val="auto"/>
          <w:spacing w:val="0"/>
          <w:sz w:val="21"/>
          <w:szCs w:val="21"/>
          <w:highlight w:val="none"/>
        </w:rPr>
        <w:t>1、本声明函主要供参加政府采购活动的中小企业填写，非中小企业无需填写。</w:t>
      </w:r>
    </w:p>
    <w:p>
      <w:pPr>
        <w:pStyle w:val="38"/>
        <w:spacing w:line="240" w:lineRule="auto"/>
        <w:ind w:firstLine="420" w:firstLineChars="200"/>
        <w:rPr>
          <w:rFonts w:hAnsi="宋体" w:cs="宋体"/>
          <w:color w:val="auto"/>
          <w:spacing w:val="0"/>
          <w:sz w:val="21"/>
          <w:szCs w:val="21"/>
          <w:highlight w:val="none"/>
        </w:rPr>
      </w:pPr>
      <w:r>
        <w:rPr>
          <w:rFonts w:hint="eastAsia" w:hAnsi="宋体" w:cs="宋体"/>
          <w:color w:val="auto"/>
          <w:spacing w:val="0"/>
          <w:sz w:val="21"/>
          <w:szCs w:val="21"/>
          <w:highlight w:val="none"/>
        </w:rPr>
        <w:t>2、小型、微型企业提供中型企业提供的服务的，视同为中型企业。</w:t>
      </w:r>
    </w:p>
    <w:p>
      <w:pPr>
        <w:pStyle w:val="38"/>
        <w:spacing w:line="240" w:lineRule="auto"/>
        <w:ind w:firstLine="420" w:firstLineChars="200"/>
        <w:rPr>
          <w:rFonts w:hAnsi="宋体" w:cs="宋体"/>
          <w:color w:val="auto"/>
          <w:spacing w:val="0"/>
          <w:sz w:val="21"/>
          <w:szCs w:val="21"/>
          <w:highlight w:val="none"/>
        </w:rPr>
      </w:pPr>
    </w:p>
    <w:p>
      <w:pPr>
        <w:pStyle w:val="36"/>
        <w:spacing w:line="500" w:lineRule="exact"/>
        <w:ind w:right="142" w:firstLine="420" w:firstLineChars="200"/>
        <w:rPr>
          <w:rFonts w:ascii="宋体" w:hAnsi="宋体" w:cs="宋体"/>
          <w:color w:val="auto"/>
          <w:highlight w:val="none"/>
        </w:rPr>
      </w:pPr>
      <w:r>
        <w:rPr>
          <w:rFonts w:hint="eastAsia" w:ascii="宋体" w:hAnsi="宋体" w:cs="宋体"/>
          <w:color w:val="auto"/>
          <w:highlight w:val="none"/>
        </w:rPr>
        <w:t>本公司郑重声明，根据《政府采购促进中小企业发展管理办法》（财库﹝2020﹞46号）的规定，本公司参加</w:t>
      </w:r>
      <w:r>
        <w:rPr>
          <w:rFonts w:hint="eastAsia" w:ascii="宋体" w:hAnsi="宋体" w:cs="宋体"/>
          <w:color w:val="auto"/>
          <w:highlight w:val="none"/>
          <w:u w:val="single"/>
        </w:rPr>
        <w:t>（单位名称）</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采购活动，服务全部由符合政策要求的中小企业承接。相关企业的具体情况如下：</w:t>
      </w:r>
    </w:p>
    <w:p>
      <w:pPr>
        <w:tabs>
          <w:tab w:val="left" w:pos="1384"/>
          <w:tab w:val="left" w:pos="4562"/>
          <w:tab w:val="left" w:pos="6803"/>
        </w:tabs>
        <w:spacing w:before="13" w:line="500" w:lineRule="exact"/>
        <w:ind w:right="142" w:firstLine="600" w:firstLineChars="286"/>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tabs>
          <w:tab w:val="left" w:pos="1065"/>
          <w:tab w:val="left" w:pos="4262"/>
          <w:tab w:val="left" w:pos="6477"/>
        </w:tabs>
        <w:spacing w:before="20" w:line="500" w:lineRule="exact"/>
        <w:ind w:right="84" w:firstLine="600" w:firstLineChars="286"/>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pStyle w:val="36"/>
        <w:spacing w:before="34" w:line="500" w:lineRule="exact"/>
        <w:ind w:left="765" w:right="142" w:hanging="5"/>
        <w:rPr>
          <w:rFonts w:ascii="宋体" w:hAnsi="宋体" w:cs="宋体"/>
          <w:color w:val="auto"/>
          <w:highlight w:val="none"/>
        </w:rPr>
      </w:pPr>
      <w:r>
        <w:rPr>
          <w:rFonts w:hint="eastAsia" w:ascii="宋体" w:hAnsi="宋体" w:cs="宋体"/>
          <w:color w:val="auto"/>
          <w:highlight w:val="none"/>
        </w:rPr>
        <w:t xml:space="preserve">…… </w:t>
      </w:r>
    </w:p>
    <w:p>
      <w:pPr>
        <w:pStyle w:val="36"/>
        <w:spacing w:before="34" w:line="500" w:lineRule="exact"/>
        <w:ind w:right="142" w:firstLine="643" w:firstLineChars="200"/>
        <w:rPr>
          <w:rFonts w:ascii="宋体" w:hAnsi="宋体" w:cs="宋体"/>
          <w:b/>
          <w:bCs/>
          <w:color w:val="auto"/>
          <w:sz w:val="32"/>
          <w:szCs w:val="40"/>
          <w:highlight w:val="none"/>
        </w:rPr>
      </w:pPr>
      <w:r>
        <w:rPr>
          <w:rFonts w:hint="eastAsia" w:ascii="宋体" w:hAnsi="宋体" w:cs="宋体"/>
          <w:b/>
          <w:bCs/>
          <w:color w:val="auto"/>
          <w:sz w:val="32"/>
          <w:szCs w:val="40"/>
          <w:highlight w:val="none"/>
        </w:rPr>
        <w:t>以上企业，不属于大企业的分支机构，不存在控股股东为大企业的情形，也不存在与大企业的负责人为同一人的情形。</w:t>
      </w:r>
    </w:p>
    <w:p>
      <w:pPr>
        <w:pStyle w:val="36"/>
        <w:spacing w:before="34" w:line="500" w:lineRule="exact"/>
        <w:ind w:right="142" w:firstLine="420" w:firstLineChars="200"/>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pPr>
        <w:pStyle w:val="42"/>
        <w:spacing w:line="360" w:lineRule="auto"/>
        <w:ind w:firstLine="420" w:firstLineChars="200"/>
        <w:rPr>
          <w:rFonts w:hAnsi="宋体" w:cs="宋体"/>
          <w:color w:val="auto"/>
          <w:szCs w:val="21"/>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before="50" w:after="165" w:line="360" w:lineRule="auto"/>
        <w:jc w:val="left"/>
        <w:rPr>
          <w:rFonts w:ascii="宋体" w:hAnsi="宋体" w:cs="宋体"/>
          <w:color w:val="auto"/>
          <w:sz w:val="20"/>
          <w:highlight w:val="none"/>
        </w:rPr>
      </w:pPr>
      <w:r>
        <w:rPr>
          <w:rFonts w:hint="eastAsia" w:ascii="宋体" w:hAnsi="宋体" w:cs="宋体"/>
          <w:color w:val="auto"/>
          <w:sz w:val="20"/>
          <w:highlight w:val="none"/>
        </w:rPr>
        <w:t>注：</w:t>
      </w:r>
    </w:p>
    <w:p>
      <w:pPr>
        <w:numPr>
          <w:ilvl w:val="0"/>
          <w:numId w:val="5"/>
        </w:numPr>
        <w:snapToGrid w:val="0"/>
        <w:spacing w:before="50" w:after="165" w:line="360" w:lineRule="auto"/>
        <w:jc w:val="left"/>
        <w:rPr>
          <w:rFonts w:ascii="宋体" w:hAnsi="宋体" w:cs="宋体"/>
          <w:color w:val="auto"/>
          <w:sz w:val="20"/>
          <w:highlight w:val="none"/>
        </w:rPr>
      </w:pPr>
      <w:r>
        <w:rPr>
          <w:rFonts w:hint="eastAsia" w:ascii="宋体" w:hAnsi="宋体" w:cs="宋体"/>
          <w:color w:val="auto"/>
          <w:sz w:val="20"/>
          <w:highlight w:val="none"/>
        </w:rPr>
        <w:t>从业人员、营业收入、资产总额填报上一年度数据，无上一年度数据的新成立企业可不填报。</w:t>
      </w:r>
    </w:p>
    <w:p>
      <w:pPr>
        <w:numPr>
          <w:ilvl w:val="0"/>
          <w:numId w:val="5"/>
        </w:numPr>
        <w:snapToGrid w:val="0"/>
        <w:spacing w:before="50" w:after="165" w:line="360" w:lineRule="auto"/>
        <w:jc w:val="left"/>
        <w:rPr>
          <w:rFonts w:ascii="宋体" w:hAnsi="宋体" w:cs="宋体"/>
          <w:color w:val="auto"/>
          <w:sz w:val="20"/>
          <w:highlight w:val="none"/>
        </w:rPr>
      </w:pPr>
      <w:r>
        <w:rPr>
          <w:rFonts w:hint="eastAsia" w:ascii="宋体" w:hAnsi="宋体" w:cs="宋体"/>
          <w:color w:val="auto"/>
          <w:sz w:val="20"/>
          <w:highlight w:val="none"/>
        </w:rPr>
        <w:t>请根据自己的真实情况出具《中小企业声明函》。依法享受中小企业优惠政策的，采购人或者采购代理机构在公告中标结果时，同时公告其《中小企业声明函》，接受社会监督。</w:t>
      </w:r>
    </w:p>
    <w:p>
      <w:pPr>
        <w:snapToGrid w:val="0"/>
        <w:spacing w:before="50" w:after="165" w:line="360" w:lineRule="auto"/>
        <w:ind w:left="300"/>
        <w:jc w:val="cente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44"/>
          <w:szCs w:val="44"/>
          <w:highlight w:val="none"/>
        </w:rPr>
        <w:t>残疾人福利性单位声明函</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contextualSpacing/>
        <w:rPr>
          <w:rFonts w:ascii="宋体" w:hAnsi="宋体" w:cs="宋体"/>
          <w:color w:val="auto"/>
          <w:sz w:val="24"/>
          <w:highlight w:val="none"/>
        </w:rPr>
      </w:pPr>
    </w:p>
    <w:p>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520" w:lineRule="exact"/>
        <w:jc w:val="center"/>
        <w:rPr>
          <w:rFonts w:ascii="宋体" w:hAnsi="宋体" w:cs="宋体"/>
          <w:color w:val="auto"/>
          <w:sz w:val="24"/>
          <w:highlight w:val="none"/>
        </w:rPr>
      </w:pPr>
    </w:p>
    <w:p>
      <w:pPr>
        <w:wordWrap w:val="0"/>
        <w:topLinePunct/>
        <w:spacing w:line="460" w:lineRule="exact"/>
        <w:ind w:firstLine="420" w:firstLineChars="200"/>
        <w:rPr>
          <w:rFonts w:ascii="宋体" w:hAnsi="宋体" w:cs="宋体"/>
          <w:color w:val="auto"/>
          <w:highlight w:val="none"/>
        </w:rPr>
      </w:pPr>
      <w:r>
        <w:rPr>
          <w:rFonts w:hint="eastAsia" w:ascii="宋体" w:hAnsi="宋体" w:cs="宋体"/>
          <w:color w:val="auto"/>
          <w:highlight w:val="none"/>
        </w:rPr>
        <w:t>备注：根据《关于促进残疾人就业政府采购政策的通知》（财库〔2017〕141号）规定，享受政府采购支持政策的残疾人福利性单位</w:t>
      </w:r>
      <w:r>
        <w:rPr>
          <w:rFonts w:hint="eastAsia" w:ascii="宋体" w:hAnsi="宋体" w:cs="宋体"/>
          <w:b/>
          <w:bCs/>
          <w:color w:val="auto"/>
          <w:sz w:val="28"/>
          <w:szCs w:val="28"/>
          <w:highlight w:val="none"/>
          <w:u w:val="single"/>
        </w:rPr>
        <w:t>应当同时</w:t>
      </w:r>
      <w:r>
        <w:rPr>
          <w:rFonts w:hint="eastAsia" w:ascii="宋体" w:hAnsi="宋体" w:cs="宋体"/>
          <w:color w:val="auto"/>
          <w:highlight w:val="none"/>
        </w:rPr>
        <w:t>满足以下条件：</w:t>
      </w:r>
    </w:p>
    <w:p>
      <w:pPr>
        <w:wordWrap w:val="0"/>
        <w:topLinePunct/>
        <w:spacing w:line="460" w:lineRule="exact"/>
        <w:ind w:firstLine="420" w:firstLineChars="200"/>
        <w:rPr>
          <w:rFonts w:ascii="宋体" w:hAnsi="宋体" w:cs="宋体"/>
          <w:color w:val="auto"/>
          <w:highlight w:val="none"/>
        </w:rPr>
      </w:pPr>
      <w:r>
        <w:rPr>
          <w:rFonts w:hint="eastAsia" w:ascii="宋体" w:hAnsi="宋体" w:cs="宋体"/>
          <w:color w:val="auto"/>
          <w:highlight w:val="none"/>
        </w:rPr>
        <w:t>（一）安置的残疾人占本单位在职职工人数的比例不低于25%（含25%），并且安置的残疾人人数不少于10人（含10人）；</w:t>
      </w:r>
    </w:p>
    <w:p>
      <w:pPr>
        <w:wordWrap w:val="0"/>
        <w:topLinePunct/>
        <w:spacing w:line="460" w:lineRule="exact"/>
        <w:ind w:firstLine="420" w:firstLineChars="200"/>
        <w:rPr>
          <w:rFonts w:ascii="宋体" w:hAnsi="宋体" w:cs="宋体"/>
          <w:color w:val="auto"/>
          <w:highlight w:val="none"/>
        </w:rPr>
      </w:pPr>
      <w:r>
        <w:rPr>
          <w:rFonts w:hint="eastAsia" w:ascii="宋体" w:hAnsi="宋体" w:cs="宋体"/>
          <w:color w:val="auto"/>
          <w:highlight w:val="none"/>
        </w:rPr>
        <w:t>（二）依法与安置的每位残疾人签订了一年以上（含一年）的劳动合同或服务协议；</w:t>
      </w:r>
    </w:p>
    <w:p>
      <w:pPr>
        <w:wordWrap w:val="0"/>
        <w:topLinePunct/>
        <w:spacing w:line="460" w:lineRule="exact"/>
        <w:ind w:firstLine="420" w:firstLineChars="200"/>
        <w:rPr>
          <w:rFonts w:ascii="宋体" w:hAnsi="宋体" w:cs="宋体"/>
          <w:color w:val="auto"/>
          <w:highlight w:val="none"/>
        </w:rPr>
      </w:pPr>
      <w:r>
        <w:rPr>
          <w:rFonts w:hint="eastAsia" w:ascii="宋体" w:hAnsi="宋体" w:cs="宋体"/>
          <w:color w:val="auto"/>
          <w:highlight w:val="none"/>
        </w:rPr>
        <w:t>（三）为安置的每位残疾人按月足额缴纳了基本养老保险、基本医疗保险、失业保险、工伤保险和生育保险等社会保险费；</w:t>
      </w:r>
    </w:p>
    <w:p>
      <w:pPr>
        <w:wordWrap w:val="0"/>
        <w:topLinePunct/>
        <w:spacing w:line="460" w:lineRule="exact"/>
        <w:ind w:firstLine="420" w:firstLineChars="200"/>
        <w:rPr>
          <w:rFonts w:ascii="宋体" w:hAnsi="宋体" w:cs="宋体"/>
          <w:color w:val="auto"/>
          <w:highlight w:val="none"/>
        </w:rPr>
      </w:pPr>
      <w:r>
        <w:rPr>
          <w:rFonts w:hint="eastAsia" w:ascii="宋体" w:hAnsi="宋体" w:cs="宋体"/>
          <w:color w:val="auto"/>
          <w:highlight w:val="none"/>
        </w:rPr>
        <w:t>（四）通过银行等金融机构向安置的每位残疾人，按月支付了不低于单位所在区县适用的经省级人民政府批准的月最低工资标准的工资；</w:t>
      </w:r>
    </w:p>
    <w:p>
      <w:pPr>
        <w:wordWrap w:val="0"/>
        <w:topLinePunct/>
        <w:spacing w:line="460" w:lineRule="exact"/>
        <w:ind w:firstLine="420" w:firstLineChars="200"/>
        <w:rPr>
          <w:rFonts w:ascii="宋体" w:hAnsi="宋体" w:cs="宋体"/>
          <w:color w:val="auto"/>
          <w:highlight w:val="none"/>
        </w:rPr>
      </w:pPr>
      <w:r>
        <w:rPr>
          <w:rFonts w:hint="eastAsia" w:ascii="宋体" w:hAnsi="宋体" w:cs="宋体"/>
          <w:color w:val="auto"/>
          <w:highlight w:val="none"/>
        </w:rPr>
        <w:t>（五）提供本单位制造的货物、承担的工程或者服务（以下简称产品），或者提供其他残疾人福利性单位制造的货物（不包括使用非残疾人福利性单位注册商标的货物）。</w:t>
      </w:r>
    </w:p>
    <w:p>
      <w:pPr>
        <w:wordWrap w:val="0"/>
        <w:topLinePunct/>
        <w:spacing w:line="460" w:lineRule="exact"/>
        <w:ind w:firstLine="420" w:firstLineChars="200"/>
        <w:rPr>
          <w:rFonts w:ascii="宋体" w:hAnsi="宋体" w:cs="宋体"/>
          <w:color w:val="auto"/>
          <w:highlight w:val="none"/>
        </w:rPr>
      </w:pPr>
      <w:r>
        <w:rPr>
          <w:rFonts w:hint="eastAsia" w:ascii="宋体" w:hAnsi="宋体" w:cs="宋体"/>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监狱企业证明</w:t>
      </w:r>
    </w:p>
    <w:p>
      <w:pPr>
        <w:spacing w:line="520" w:lineRule="exact"/>
        <w:ind w:firstLine="480" w:firstLineChars="200"/>
        <w:jc w:val="left"/>
        <w:rPr>
          <w:rFonts w:ascii="宋体" w:hAnsi="宋体" w:cs="宋体"/>
          <w:color w:val="auto"/>
          <w:sz w:val="24"/>
          <w:highlight w:val="none"/>
        </w:rPr>
      </w:pPr>
    </w:p>
    <w:p>
      <w:pPr>
        <w:spacing w:line="5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提供由省级以上监狱管理局、戒毒管理局（含新疆生产建设兵团）出具的属于监狱企业的证明文件。</w:t>
      </w:r>
    </w:p>
    <w:p>
      <w:pPr>
        <w:spacing w:line="520" w:lineRule="exact"/>
        <w:jc w:val="center"/>
        <w:rPr>
          <w:rFonts w:ascii="宋体" w:hAnsi="宋体" w:cs="宋体"/>
          <w:color w:val="auto"/>
          <w:sz w:val="24"/>
          <w:highlight w:val="none"/>
        </w:rPr>
      </w:pPr>
    </w:p>
    <w:p>
      <w:pPr>
        <w:spacing w:line="360" w:lineRule="auto"/>
        <w:jc w:val="center"/>
        <w:rPr>
          <w:rFonts w:ascii="宋体" w:hAnsi="宋体" w:cs="宋体"/>
          <w:b/>
          <w:bCs/>
          <w:color w:val="auto"/>
          <w:sz w:val="44"/>
          <w:szCs w:val="44"/>
          <w:highlight w:val="none"/>
        </w:rPr>
      </w:pPr>
    </w:p>
    <w:p>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pPr>
        <w:snapToGrid w:val="0"/>
        <w:spacing w:before="50" w:after="165" w:line="360" w:lineRule="auto"/>
        <w:ind w:firstLine="300" w:firstLineChars="150"/>
        <w:jc w:val="left"/>
        <w:rPr>
          <w:rFonts w:ascii="宋体" w:hAnsi="宋体" w:cs="宋体"/>
          <w:color w:val="auto"/>
          <w:sz w:val="20"/>
          <w:highlight w:val="none"/>
        </w:rPr>
      </w:pPr>
    </w:p>
    <w:p/>
    <w:p>
      <w:pPr>
        <w:rPr>
          <w:rFonts w:ascii="宋体" w:hAnsi="宋体" w:cs="宋体"/>
          <w:color w:val="auto"/>
          <w:sz w:val="20"/>
          <w:highlight w:val="none"/>
        </w:rPr>
      </w:pPr>
    </w:p>
    <w:p>
      <w:pPr>
        <w:pStyle w:val="17"/>
        <w:tabs>
          <w:tab w:val="clear" w:pos="2155"/>
        </w:tabs>
        <w:rPr>
          <w:rFonts w:ascii="宋体" w:hAnsi="宋体" w:eastAsia="宋体" w:cs="宋体"/>
          <w:color w:val="auto"/>
          <w:sz w:val="20"/>
          <w:highlight w:val="none"/>
        </w:rPr>
      </w:pPr>
    </w:p>
    <w:p>
      <w:pPr>
        <w:rPr>
          <w:rFonts w:ascii="宋体" w:hAnsi="宋体" w:cs="宋体"/>
          <w:color w:val="auto"/>
          <w:sz w:val="20"/>
          <w:highlight w:val="none"/>
        </w:rPr>
      </w:pPr>
    </w:p>
    <w:p>
      <w:pPr>
        <w:pStyle w:val="17"/>
        <w:tabs>
          <w:tab w:val="clear" w:pos="2155"/>
        </w:tabs>
        <w:rPr>
          <w:rFonts w:ascii="宋体" w:hAnsi="宋体" w:eastAsia="宋体" w:cs="宋体"/>
          <w:color w:val="auto"/>
          <w:sz w:val="20"/>
          <w:highlight w:val="none"/>
        </w:rPr>
      </w:pP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注：请根据自己的真实情况出具《监狱企业证明》。依法享受中小企业优惠政策的，采购人或者采购代理机构在公告中标结果时，同时公告其《监狱企业证明》，接受社会监督。</w:t>
      </w:r>
    </w:p>
    <w:p>
      <w:pPr>
        <w:pStyle w:val="17"/>
        <w:tabs>
          <w:tab w:val="clear" w:pos="2155"/>
        </w:tabs>
        <w:rPr>
          <w:rFonts w:ascii="宋体" w:hAnsi="宋体" w:eastAsia="宋体" w:cs="宋体"/>
          <w:color w:val="auto"/>
          <w:highlight w:val="none"/>
        </w:rPr>
        <w:sectPr>
          <w:pgSz w:w="11906" w:h="16838"/>
          <w:pgMar w:top="1440" w:right="1080" w:bottom="1440" w:left="1080" w:header="720" w:footer="720" w:gutter="0"/>
          <w:pgNumType w:fmt="decimal"/>
          <w:cols w:space="720" w:num="1"/>
          <w:docGrid w:type="lines" w:linePitch="331" w:charSpace="0"/>
        </w:sectPr>
      </w:pPr>
    </w:p>
    <w:p>
      <w:pPr>
        <w:pStyle w:val="42"/>
        <w:jc w:val="center"/>
        <w:outlineLvl w:val="1"/>
        <w:rPr>
          <w:rFonts w:hAnsi="宋体" w:cs="宋体"/>
          <w:color w:val="auto"/>
          <w:szCs w:val="21"/>
          <w:highlight w:val="none"/>
        </w:rPr>
      </w:pPr>
    </w:p>
    <w:p>
      <w:pPr>
        <w:pStyle w:val="42"/>
        <w:jc w:val="center"/>
        <w:outlineLvl w:val="1"/>
        <w:rPr>
          <w:rFonts w:hAnsi="宋体" w:cs="宋体"/>
          <w:b/>
          <w:bCs/>
          <w:color w:val="auto"/>
          <w:sz w:val="28"/>
          <w:szCs w:val="28"/>
          <w:highlight w:val="none"/>
        </w:rPr>
      </w:pPr>
      <w:bookmarkStart w:id="304" w:name="_Toc19686838"/>
      <w:bookmarkEnd w:id="304"/>
      <w:bookmarkStart w:id="305" w:name="_Toc80093013"/>
      <w:bookmarkEnd w:id="305"/>
      <w:r>
        <w:rPr>
          <w:rFonts w:hint="eastAsia" w:hAnsi="宋体" w:cs="宋体"/>
          <w:b/>
          <w:bCs/>
          <w:color w:val="auto"/>
          <w:sz w:val="28"/>
          <w:szCs w:val="28"/>
          <w:highlight w:val="none"/>
        </w:rPr>
        <w:t>第三节 商务文件格式</w:t>
      </w:r>
    </w:p>
    <w:p>
      <w:pPr>
        <w:snapToGrid w:val="0"/>
        <w:spacing w:before="165" w:after="50"/>
        <w:rPr>
          <w:rFonts w:ascii="宋体" w:hAnsi="宋体" w:cs="宋体"/>
          <w:color w:val="auto"/>
          <w:sz w:val="30"/>
          <w:szCs w:val="20"/>
          <w:highlight w:val="none"/>
        </w:rPr>
      </w:pPr>
    </w:p>
    <w:p>
      <w:pPr>
        <w:snapToGrid w:val="0"/>
        <w:spacing w:before="165" w:after="5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pPr>
        <w:snapToGrid w:val="0"/>
        <w:spacing w:before="165" w:after="50"/>
        <w:rPr>
          <w:rFonts w:ascii="宋体" w:hAnsi="宋体" w:cs="宋体"/>
          <w:color w:val="auto"/>
          <w:sz w:val="24"/>
          <w:szCs w:val="20"/>
          <w:highlight w:val="none"/>
        </w:rPr>
      </w:pPr>
    </w:p>
    <w:p>
      <w:pPr>
        <w:snapToGrid w:val="0"/>
        <w:spacing w:before="165"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商务文件（封面）</w:t>
      </w:r>
    </w:p>
    <w:p>
      <w:pPr>
        <w:snapToGrid w:val="0"/>
        <w:spacing w:before="165" w:after="50"/>
        <w:rPr>
          <w:rFonts w:ascii="宋体" w:hAnsi="宋体" w:cs="宋体"/>
          <w:bCs/>
          <w:color w:val="auto"/>
          <w:sz w:val="24"/>
          <w:szCs w:val="20"/>
          <w:highlight w:val="none"/>
        </w:rPr>
      </w:pPr>
    </w:p>
    <w:p>
      <w:pPr>
        <w:snapToGrid w:val="0"/>
        <w:spacing w:before="165" w:after="50"/>
        <w:ind w:firstLine="540" w:firstLineChars="225"/>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项目名称：</w:t>
      </w:r>
      <w:r>
        <w:rPr>
          <w:rFonts w:hint="eastAsia" w:ascii="宋体" w:hAnsi="宋体" w:cs="宋体"/>
          <w:bCs/>
          <w:color w:val="auto"/>
          <w:sz w:val="24"/>
          <w:highlight w:val="none"/>
          <w:lang w:eastAsia="zh-CN"/>
        </w:rPr>
        <w:t>青秀区73套农村生活污水处理设施第三方运维服务</w:t>
      </w:r>
    </w:p>
    <w:p>
      <w:pPr>
        <w:snapToGrid w:val="0"/>
        <w:spacing w:before="165" w:after="50"/>
        <w:ind w:firstLine="540" w:firstLineChars="225"/>
        <w:rPr>
          <w:rFonts w:ascii="宋体" w:hAnsi="宋体" w:cs="宋体"/>
          <w:bCs/>
          <w:color w:val="auto"/>
          <w:sz w:val="24"/>
          <w:szCs w:val="20"/>
          <w:highlight w:val="none"/>
        </w:rPr>
      </w:pPr>
    </w:p>
    <w:p>
      <w:pPr>
        <w:snapToGrid w:val="0"/>
        <w:spacing w:before="165"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pPr>
        <w:snapToGrid w:val="0"/>
        <w:spacing w:before="165"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 </w:t>
      </w:r>
    </w:p>
    <w:p>
      <w:pPr>
        <w:snapToGrid w:val="0"/>
        <w:spacing w:before="165"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pPr>
        <w:snapToGrid w:val="0"/>
        <w:spacing w:before="165" w:after="50"/>
        <w:ind w:firstLine="540" w:firstLineChars="225"/>
        <w:rPr>
          <w:rFonts w:ascii="宋体" w:hAnsi="宋体" w:cs="宋体"/>
          <w:bCs/>
          <w:color w:val="auto"/>
          <w:sz w:val="24"/>
          <w:szCs w:val="20"/>
          <w:highlight w:val="none"/>
        </w:rPr>
      </w:pPr>
    </w:p>
    <w:p>
      <w:pPr>
        <w:pStyle w:val="28"/>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pPr>
        <w:pStyle w:val="28"/>
        <w:snapToGrid w:val="0"/>
        <w:spacing w:before="50" w:after="50"/>
        <w:ind w:firstLine="540" w:firstLineChars="225"/>
        <w:rPr>
          <w:rFonts w:ascii="宋体" w:hAnsi="宋体" w:cs="宋体"/>
          <w:bCs/>
          <w:color w:val="auto"/>
          <w:sz w:val="24"/>
          <w:szCs w:val="24"/>
          <w:highlight w:val="none"/>
        </w:rPr>
      </w:pPr>
    </w:p>
    <w:p>
      <w:pPr>
        <w:pStyle w:val="28"/>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pPr>
        <w:pStyle w:val="28"/>
        <w:snapToGrid w:val="0"/>
        <w:spacing w:before="50" w:after="50"/>
        <w:ind w:firstLine="960" w:firstLineChars="400"/>
        <w:rPr>
          <w:rFonts w:ascii="宋体" w:hAnsi="宋体" w:cs="宋体"/>
          <w:bCs/>
          <w:color w:val="auto"/>
          <w:sz w:val="24"/>
          <w:szCs w:val="24"/>
          <w:highlight w:val="none"/>
        </w:rPr>
      </w:pPr>
    </w:p>
    <w:p>
      <w:pPr>
        <w:snapToGrid w:val="0"/>
        <w:spacing w:before="165" w:after="50"/>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pPr>
        <w:snapToGrid w:val="0"/>
        <w:spacing w:before="165"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pPr>
        <w:spacing w:line="360" w:lineRule="auto"/>
        <w:ind w:right="420"/>
        <w:rPr>
          <w:rFonts w:ascii="宋体" w:hAnsi="宋体" w:cs="宋体"/>
          <w:color w:val="auto"/>
          <w:sz w:val="24"/>
          <w:szCs w:val="20"/>
          <w:highlight w:val="none"/>
        </w:rPr>
      </w:pPr>
    </w:p>
    <w:p>
      <w:pPr>
        <w:spacing w:line="360" w:lineRule="auto"/>
        <w:ind w:right="420"/>
        <w:rPr>
          <w:rFonts w:ascii="宋体" w:hAnsi="宋体" w:cs="宋体"/>
          <w:color w:val="auto"/>
          <w:sz w:val="24"/>
          <w:szCs w:val="20"/>
          <w:highlight w:val="none"/>
        </w:rPr>
      </w:pPr>
    </w:p>
    <w:p>
      <w:pPr>
        <w:spacing w:line="360" w:lineRule="auto"/>
        <w:ind w:right="420"/>
        <w:rPr>
          <w:rFonts w:ascii="宋体" w:hAnsi="宋体" w:cs="宋体"/>
          <w:color w:val="auto"/>
          <w:sz w:val="24"/>
          <w:szCs w:val="20"/>
          <w:highlight w:val="none"/>
        </w:rPr>
      </w:pPr>
    </w:p>
    <w:p>
      <w:pPr>
        <w:spacing w:line="360" w:lineRule="auto"/>
        <w:ind w:right="420"/>
        <w:rPr>
          <w:rFonts w:ascii="宋体" w:hAnsi="宋体" w:cs="宋体"/>
          <w:color w:val="auto"/>
          <w:sz w:val="24"/>
          <w:szCs w:val="20"/>
          <w:highlight w:val="none"/>
        </w:rPr>
      </w:pPr>
    </w:p>
    <w:p>
      <w:pPr>
        <w:spacing w:line="360" w:lineRule="auto"/>
        <w:ind w:right="420"/>
        <w:rPr>
          <w:rFonts w:ascii="宋体" w:hAnsi="宋体" w:cs="宋体"/>
          <w:color w:val="auto"/>
          <w:sz w:val="24"/>
          <w:szCs w:val="20"/>
          <w:highlight w:val="none"/>
        </w:rPr>
      </w:pPr>
    </w:p>
    <w:p>
      <w:pPr>
        <w:spacing w:line="360" w:lineRule="auto"/>
        <w:ind w:right="420"/>
        <w:rPr>
          <w:rFonts w:ascii="宋体" w:hAnsi="宋体" w:cs="宋体"/>
          <w:color w:val="auto"/>
          <w:sz w:val="24"/>
          <w:szCs w:val="20"/>
          <w:highlight w:val="none"/>
        </w:rPr>
      </w:pPr>
    </w:p>
    <w:p>
      <w:pPr>
        <w:spacing w:line="360" w:lineRule="auto"/>
        <w:ind w:right="420"/>
        <w:rPr>
          <w:rFonts w:ascii="宋体" w:hAnsi="宋体" w:cs="宋体"/>
          <w:color w:val="auto"/>
          <w:sz w:val="24"/>
          <w:szCs w:val="20"/>
          <w:highlight w:val="none"/>
        </w:rPr>
      </w:pPr>
    </w:p>
    <w:p>
      <w:pPr>
        <w:spacing w:line="360" w:lineRule="auto"/>
        <w:ind w:right="420"/>
        <w:rPr>
          <w:rFonts w:ascii="宋体" w:hAnsi="宋体" w:cs="宋体"/>
          <w:color w:val="auto"/>
          <w:sz w:val="24"/>
          <w:szCs w:val="20"/>
          <w:highlight w:val="none"/>
        </w:rPr>
      </w:pPr>
    </w:p>
    <w:p>
      <w:pPr>
        <w:spacing w:line="360" w:lineRule="auto"/>
        <w:ind w:right="420"/>
        <w:rPr>
          <w:rFonts w:ascii="宋体" w:hAnsi="宋体" w:cs="宋体"/>
          <w:color w:val="auto"/>
          <w:sz w:val="24"/>
          <w:szCs w:val="20"/>
          <w:highlight w:val="none"/>
        </w:rPr>
      </w:pPr>
    </w:p>
    <w:p>
      <w:pPr>
        <w:spacing w:line="360" w:lineRule="auto"/>
        <w:ind w:right="42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pPr>
        <w:rPr>
          <w:rFonts w:ascii="宋体" w:hAnsi="宋体" w:cs="宋体"/>
          <w:b/>
          <w:color w:val="auto"/>
          <w:kern w:val="0"/>
          <w:sz w:val="24"/>
          <w:highlight w:val="none"/>
        </w:rPr>
      </w:pPr>
    </w:p>
    <w:p>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pPr>
        <w:pStyle w:val="133"/>
        <w:spacing w:line="360" w:lineRule="auto"/>
        <w:rPr>
          <w:rFonts w:ascii="宋体" w:hAnsi="宋体" w:eastAsia="宋体" w:cs="宋体"/>
          <w:color w:val="auto"/>
          <w:highlight w:val="none"/>
        </w:rPr>
      </w:pPr>
      <w:r>
        <w:rPr>
          <w:rFonts w:hint="eastAsia" w:ascii="宋体" w:hAnsi="宋体" w:eastAsia="宋体" w:cs="宋体"/>
          <w:color w:val="auto"/>
          <w:highlight w:val="none"/>
        </w:rPr>
        <w:t>一、无串标行为承诺函…………………………………………………………………（页码）</w:t>
      </w:r>
    </w:p>
    <w:p>
      <w:pPr>
        <w:pStyle w:val="133"/>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pPr>
        <w:pStyle w:val="133"/>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pPr>
        <w:pStyle w:val="133"/>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pPr>
        <w:pStyle w:val="133"/>
        <w:spacing w:line="360" w:lineRule="auto"/>
        <w:rPr>
          <w:rFonts w:ascii="宋体" w:hAnsi="宋体" w:eastAsia="宋体" w:cs="宋体"/>
          <w:color w:val="auto"/>
          <w:highlight w:val="none"/>
        </w:rPr>
      </w:pPr>
      <w:bookmarkStart w:id="306" w:name="OLE_LINK6"/>
      <w:bookmarkStart w:id="307" w:name="OLE_LINK7"/>
      <w:bookmarkStart w:id="308"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pPr>
        <w:pStyle w:val="133"/>
        <w:spacing w:line="360" w:lineRule="auto"/>
        <w:rPr>
          <w:rFonts w:ascii="宋体" w:hAnsi="宋体" w:eastAsia="宋体" w:cs="宋体"/>
          <w:color w:val="auto"/>
          <w:highlight w:val="none"/>
        </w:rPr>
      </w:pPr>
      <w:r>
        <w:rPr>
          <w:rFonts w:hint="eastAsia" w:ascii="宋体" w:hAnsi="宋体" w:eastAsia="宋体" w:cs="宋体"/>
          <w:color w:val="auto"/>
          <w:highlight w:val="none"/>
        </w:rPr>
        <w:t>六、服务承诺方案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306"/>
    <w:bookmarkEnd w:id="307"/>
    <w:p>
      <w:pPr>
        <w:pStyle w:val="133"/>
        <w:spacing w:line="360" w:lineRule="auto"/>
        <w:rPr>
          <w:rFonts w:ascii="宋体" w:hAnsi="宋体" w:eastAsia="宋体" w:cs="宋体"/>
          <w:color w:val="auto"/>
          <w:highlight w:val="none"/>
        </w:rPr>
      </w:pPr>
      <w:r>
        <w:rPr>
          <w:rFonts w:hint="eastAsia" w:ascii="宋体" w:hAnsi="宋体" w:eastAsia="宋体" w:cs="宋体"/>
          <w:color w:val="auto"/>
          <w:highlight w:val="none"/>
        </w:rPr>
        <w:t>七、投标人类似业绩的证明文件（如有要求）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pPr>
        <w:pStyle w:val="133"/>
        <w:spacing w:line="360" w:lineRule="auto"/>
        <w:rPr>
          <w:rFonts w:ascii="宋体" w:hAnsi="宋体" w:eastAsia="宋体" w:cs="宋体"/>
          <w:color w:val="auto"/>
          <w:highlight w:val="none"/>
        </w:rPr>
      </w:pPr>
      <w:r>
        <w:rPr>
          <w:rFonts w:hint="eastAsia" w:ascii="宋体" w:hAnsi="宋体" w:eastAsia="宋体" w:cs="宋体"/>
          <w:color w:val="auto"/>
          <w:highlight w:val="none"/>
        </w:rPr>
        <w:t>八、其他商务文件或说明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308"/>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pPr>
        <w:snapToGrid w:val="0"/>
        <w:spacing w:line="360" w:lineRule="auto"/>
        <w:ind w:firstLine="420" w:firstLineChars="200"/>
        <w:jc w:val="left"/>
        <w:rPr>
          <w:rFonts w:ascii="宋体" w:hAnsi="宋体" w:cs="宋体"/>
          <w:color w:val="auto"/>
          <w:highlight w:val="none"/>
        </w:rPr>
        <w:sectPr>
          <w:pgSz w:w="11906" w:h="16838"/>
          <w:pgMar w:top="1440" w:right="1080" w:bottom="1440" w:left="1080" w:header="720" w:footer="720" w:gutter="0"/>
          <w:pgNumType w:fmt="decimal"/>
          <w:cols w:space="720" w:num="1"/>
          <w:docGrid w:type="lines" w:linePitch="331" w:charSpace="0"/>
        </w:sectPr>
      </w:pPr>
    </w:p>
    <w:p>
      <w:pPr>
        <w:snapToGrid w:val="0"/>
        <w:spacing w:before="120" w:after="50"/>
        <w:ind w:left="42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一、无串标行为承诺函</w:t>
      </w:r>
    </w:p>
    <w:p>
      <w:pPr>
        <w:snapToGrid w:val="0"/>
        <w:spacing w:before="120" w:after="50"/>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投标人参加本项目无围标串标行为的承诺函</w:t>
      </w:r>
    </w:p>
    <w:p>
      <w:pPr>
        <w:snapToGrid w:val="0"/>
        <w:spacing w:before="120" w:after="50"/>
        <w:rPr>
          <w:rFonts w:ascii="宋体" w:hAnsi="宋体" w:cs="宋体"/>
          <w:b/>
          <w:color w:val="auto"/>
          <w:szCs w:val="21"/>
          <w:highlight w:val="none"/>
        </w:rPr>
      </w:pPr>
    </w:p>
    <w:p>
      <w:pPr>
        <w:snapToGrid w:val="0"/>
        <w:spacing w:before="120" w:after="50"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w:t>
      </w:r>
    </w:p>
    <w:p>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pPr>
        <w:snapToGrid w:val="0"/>
        <w:spacing w:before="120" w:after="50" w:line="360" w:lineRule="auto"/>
        <w:jc w:val="left"/>
        <w:rPr>
          <w:rFonts w:ascii="宋体" w:hAnsi="宋体" w:cs="宋体"/>
          <w:b/>
          <w:color w:val="auto"/>
          <w:szCs w:val="21"/>
          <w:highlight w:val="none"/>
        </w:rPr>
      </w:pPr>
      <w:r>
        <w:rPr>
          <w:rFonts w:hint="eastAsia" w:ascii="宋体" w:hAnsi="宋体" w:cs="宋体"/>
          <w:b/>
          <w:color w:val="auto"/>
          <w:szCs w:val="21"/>
          <w:highlight w:val="none"/>
        </w:rPr>
        <w:t>二、我方承诺无下列恶意串通的情形：</w:t>
      </w:r>
    </w:p>
    <w:p>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pPr>
        <w:snapToGrid w:val="0"/>
        <w:spacing w:before="120" w:after="50"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以上情形一经核查属实，我方愿意承担一切后果，并不再寻求任何旨在减轻或者免除法律责任的辩解。</w:t>
      </w:r>
    </w:p>
    <w:p>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pStyle w:val="42"/>
        <w:snapToGrid w:val="0"/>
        <w:spacing w:before="295" w:after="295" w:line="360" w:lineRule="auto"/>
        <w:jc w:val="center"/>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w:t>
      </w:r>
    </w:p>
    <w:p>
      <w:pPr>
        <w:spacing w:before="240" w:after="120"/>
        <w:ind w:left="540"/>
        <w:jc w:val="center"/>
        <w:rPr>
          <w:rFonts w:ascii="宋体" w:hAnsi="宋体" w:cs="宋体"/>
          <w:b/>
          <w:color w:val="auto"/>
          <w:sz w:val="32"/>
          <w:szCs w:val="32"/>
          <w:highlight w:val="none"/>
        </w:rPr>
      </w:pPr>
    </w:p>
    <w:p>
      <w:pPr>
        <w:spacing w:before="240" w:after="120"/>
        <w:ind w:left="54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w:t>
      </w:r>
    </w:p>
    <w:p>
      <w:pPr>
        <w:spacing w:line="500" w:lineRule="exact"/>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pPr>
        <w:spacing w:line="500" w:lineRule="exact"/>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pPr>
        <w:spacing w:line="500" w:lineRule="exact"/>
        <w:ind w:left="540"/>
        <w:rPr>
          <w:rFonts w:ascii="宋体" w:hAnsi="宋体" w:cs="宋体"/>
          <w:color w:val="auto"/>
          <w:sz w:val="24"/>
          <w:highlight w:val="none"/>
        </w:rPr>
      </w:pPr>
    </w:p>
    <w:p>
      <w:pPr>
        <w:spacing w:line="500" w:lineRule="exact"/>
        <w:ind w:left="540"/>
        <w:rPr>
          <w:rFonts w:ascii="宋体" w:hAnsi="宋体" w:cs="宋体"/>
          <w:color w:val="auto"/>
          <w:sz w:val="24"/>
          <w:highlight w:val="none"/>
        </w:rPr>
      </w:pPr>
    </w:p>
    <w:p>
      <w:pPr>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pPr>
        <w:spacing w:line="500" w:lineRule="exact"/>
        <w:ind w:left="540"/>
        <w:rPr>
          <w:rFonts w:ascii="宋体" w:hAnsi="宋体" w:cs="宋体"/>
          <w:color w:val="auto"/>
          <w:sz w:val="24"/>
          <w:highlight w:val="none"/>
        </w:rPr>
      </w:pPr>
    </w:p>
    <w:p>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before="120" w:after="50"/>
        <w:jc w:val="center"/>
        <w:rPr>
          <w:rFonts w:ascii="宋体" w:hAnsi="宋体" w:cs="宋体"/>
          <w:b/>
          <w:color w:val="auto"/>
          <w:sz w:val="24"/>
          <w:highlight w:val="none"/>
        </w:rPr>
      </w:pPr>
    </w:p>
    <w:p>
      <w:pPr>
        <w:snapToGrid w:val="0"/>
        <w:spacing w:before="120" w:after="50"/>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pPr>
        <w:snapToGrid w:val="0"/>
        <w:spacing w:before="120" w:after="50"/>
        <w:ind w:firstLine="600" w:firstLineChars="250"/>
        <w:jc w:val="left"/>
        <w:rPr>
          <w:rFonts w:ascii="宋体" w:hAnsi="宋体" w:cs="宋体"/>
          <w:color w:val="auto"/>
          <w:sz w:val="24"/>
          <w:highlight w:val="none"/>
        </w:rPr>
      </w:pPr>
    </w:p>
    <w:p>
      <w:pPr>
        <w:snapToGrid w:val="0"/>
        <w:spacing w:before="120" w:after="50"/>
        <w:ind w:firstLine="602" w:firstLineChars="250"/>
        <w:jc w:val="left"/>
        <w:rPr>
          <w:rFonts w:ascii="宋体" w:hAnsi="宋体" w:cs="宋体"/>
          <w:b/>
          <w:color w:val="auto"/>
          <w:sz w:val="24"/>
          <w:szCs w:val="20"/>
          <w:highlight w:val="none"/>
        </w:rPr>
      </w:pPr>
    </w:p>
    <w:tbl>
      <w:tblPr>
        <w:tblStyle w:val="8"/>
        <w:tblpPr w:leftFromText="180" w:rightFromText="180" w:vertAnchor="text" w:horzAnchor="margin" w:tblpXSpec="center" w:tblpY="116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5" w:hRule="atLeast"/>
          <w:jc w:val="center"/>
        </w:trPr>
        <w:tc>
          <w:tcPr>
            <w:tcW w:w="8461" w:type="dxa"/>
          </w:tcPr>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pPr>
        <w:pStyle w:val="42"/>
        <w:snapToGrid w:val="0"/>
        <w:spacing w:before="295" w:after="295" w:line="360" w:lineRule="auto"/>
        <w:jc w:val="center"/>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三、法定代表人授权委托书（如有委托时）</w:t>
      </w:r>
    </w:p>
    <w:p>
      <w:pPr>
        <w:snapToGrid w:val="0"/>
        <w:spacing w:before="12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pPr>
        <w:snapToGrid w:val="0"/>
        <w:spacing w:before="120" w:after="50"/>
        <w:jc w:val="center"/>
        <w:rPr>
          <w:rFonts w:ascii="宋体" w:hAnsi="宋体" w:cs="宋体"/>
          <w:b/>
          <w:color w:val="auto"/>
          <w:sz w:val="24"/>
          <w:highlight w:val="none"/>
        </w:rPr>
      </w:pPr>
    </w:p>
    <w:p>
      <w:pPr>
        <w:pStyle w:val="42"/>
        <w:spacing w:line="440" w:lineRule="exact"/>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pPr>
        <w:pStyle w:val="42"/>
        <w:spacing w:line="440" w:lineRule="exact"/>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pPr>
        <w:pStyle w:val="42"/>
        <w:spacing w:line="440" w:lineRule="exact"/>
        <w:ind w:firstLine="420" w:firstLineChars="200"/>
        <w:rPr>
          <w:rFonts w:hAnsi="宋体" w:cs="宋体"/>
          <w:color w:val="auto"/>
          <w:highlight w:val="none"/>
        </w:rPr>
      </w:pPr>
      <w:r>
        <w:rPr>
          <w:rFonts w:hint="eastAsia" w:hAnsi="宋体" w:cs="宋体"/>
          <w:color w:val="auto"/>
          <w:highlight w:val="none"/>
        </w:rPr>
        <w:t>本授权书于</w:t>
      </w:r>
      <w:r>
        <w:rPr>
          <w:rFonts w:hint="eastAsia" w:hAnsi="宋体" w:cs="宋体"/>
          <w:color w:val="auto"/>
          <w:sz w:val="24"/>
          <w:highlight w:val="none"/>
          <w:u w:val="single"/>
        </w:rPr>
        <w:t xml:space="preserve">    </w:t>
      </w:r>
      <w:r>
        <w:rPr>
          <w:rFonts w:hint="eastAsia" w:hAnsi="宋体" w:cs="宋体"/>
          <w:color w:val="auto"/>
          <w:highlight w:val="none"/>
        </w:rPr>
        <w:t>年</w:t>
      </w:r>
      <w:r>
        <w:rPr>
          <w:rFonts w:hint="eastAsia" w:hAnsi="宋体" w:cs="宋体"/>
          <w:color w:val="auto"/>
          <w:sz w:val="24"/>
          <w:highlight w:val="none"/>
          <w:u w:val="single"/>
        </w:rPr>
        <w:t xml:space="preserve">    </w:t>
      </w:r>
      <w:r>
        <w:rPr>
          <w:rFonts w:hint="eastAsia" w:hAnsi="宋体" w:cs="宋体"/>
          <w:color w:val="auto"/>
          <w:highlight w:val="none"/>
        </w:rPr>
        <w:t>月</w:t>
      </w:r>
      <w:r>
        <w:rPr>
          <w:rFonts w:hint="eastAsia" w:hAnsi="宋体" w:cs="宋体"/>
          <w:color w:val="auto"/>
          <w:sz w:val="24"/>
          <w:highlight w:val="none"/>
          <w:u w:val="single"/>
        </w:rPr>
        <w:t xml:space="preserve">    </w:t>
      </w:r>
      <w:r>
        <w:rPr>
          <w:rFonts w:hint="eastAsia" w:hAnsi="宋体" w:cs="宋体"/>
          <w:color w:val="auto"/>
          <w:highlight w:val="none"/>
        </w:rPr>
        <w:t>日签字生效，委托期限：</w:t>
      </w:r>
      <w:r>
        <w:rPr>
          <w:rFonts w:hint="eastAsia" w:hAnsi="宋体" w:cs="宋体"/>
          <w:color w:val="auto"/>
          <w:sz w:val="24"/>
          <w:highlight w:val="none"/>
          <w:u w:val="single"/>
        </w:rPr>
        <w:t xml:space="preserve">    </w:t>
      </w:r>
      <w:r>
        <w:rPr>
          <w:rFonts w:hint="eastAsia" w:hAnsi="宋体" w:cs="宋体"/>
          <w:color w:val="auto"/>
          <w:highlight w:val="none"/>
        </w:rPr>
        <w:t>。</w:t>
      </w:r>
    </w:p>
    <w:p>
      <w:pPr>
        <w:pStyle w:val="42"/>
        <w:spacing w:line="360" w:lineRule="auto"/>
        <w:ind w:firstLine="420"/>
        <w:rPr>
          <w:rFonts w:hAnsi="宋体" w:cs="宋体"/>
          <w:color w:val="auto"/>
          <w:highlight w:val="none"/>
        </w:rPr>
      </w:pPr>
      <w:r>
        <w:rPr>
          <w:rFonts w:hint="eastAsia" w:hAnsi="宋体" w:cs="宋体"/>
          <w:color w:val="auto"/>
          <w:highlight w:val="none"/>
        </w:rPr>
        <w:t>代理人无转委托权。</w:t>
      </w:r>
    </w:p>
    <w:p>
      <w:pPr>
        <w:pStyle w:val="42"/>
        <w:spacing w:line="360" w:lineRule="auto"/>
        <w:ind w:firstLine="420"/>
        <w:rPr>
          <w:rFonts w:hAnsi="宋体" w:cs="宋体"/>
          <w:color w:val="auto"/>
          <w:highlight w:val="none"/>
        </w:rPr>
      </w:pPr>
    </w:p>
    <w:p>
      <w:pPr>
        <w:pStyle w:val="42"/>
        <w:spacing w:line="360" w:lineRule="auto"/>
        <w:ind w:firstLine="420"/>
        <w:rPr>
          <w:rFonts w:hAnsi="宋体" w:cs="宋体"/>
          <w:color w:val="auto"/>
          <w:highlight w:val="none"/>
        </w:rPr>
      </w:pPr>
      <w:r>
        <w:rPr>
          <w:rFonts w:hint="eastAsia" w:hAnsi="宋体" w:cs="宋体"/>
          <w:color w:val="auto"/>
          <w:highlight w:val="none"/>
        </w:rPr>
        <w:t>投标人（或联合体投标</w:t>
      </w:r>
      <w:r>
        <w:rPr>
          <w:rFonts w:hint="eastAsia" w:hAnsi="宋体" w:cs="宋体"/>
          <w:color w:val="auto"/>
          <w:kern w:val="0"/>
          <w:szCs w:val="21"/>
          <w:highlight w:val="none"/>
        </w:rPr>
        <w:t>牵头人名称</w:t>
      </w:r>
      <w:r>
        <w:rPr>
          <w:rFonts w:hint="eastAsia" w:hAnsi="宋体" w:cs="宋体"/>
          <w:color w:val="auto"/>
          <w:highlight w:val="none"/>
        </w:rPr>
        <w:t>）（盖单位公章）：</w:t>
      </w:r>
      <w:r>
        <w:rPr>
          <w:rFonts w:hint="eastAsia" w:hAnsi="宋体" w:cs="宋体"/>
          <w:color w:val="auto"/>
          <w:highlight w:val="none"/>
          <w:u w:val="single"/>
        </w:rPr>
        <w:t xml:space="preserve">                                    </w:t>
      </w:r>
    </w:p>
    <w:p>
      <w:pPr>
        <w:pStyle w:val="42"/>
        <w:spacing w:line="360" w:lineRule="auto"/>
        <w:ind w:firstLine="420"/>
        <w:rPr>
          <w:rFonts w:hAnsi="宋体" w:cs="宋体"/>
          <w:color w:val="auto"/>
          <w:highlight w:val="none"/>
        </w:rPr>
      </w:pPr>
      <w:r>
        <w:rPr>
          <w:rFonts w:hint="eastAsia" w:hAnsi="宋体" w:cs="宋体"/>
          <w:color w:val="auto"/>
          <w:highlight w:val="none"/>
        </w:rPr>
        <w:t>法定代表人（签字）：</w:t>
      </w:r>
      <w:r>
        <w:rPr>
          <w:rFonts w:hint="eastAsia" w:hAnsi="宋体" w:cs="宋体"/>
          <w:color w:val="auto"/>
          <w:highlight w:val="none"/>
          <w:u w:val="single"/>
        </w:rPr>
        <w:t xml:space="preserve">                                </w:t>
      </w:r>
    </w:p>
    <w:p>
      <w:pPr>
        <w:pStyle w:val="42"/>
        <w:spacing w:line="360" w:lineRule="auto"/>
        <w:ind w:firstLine="420"/>
        <w:rPr>
          <w:rFonts w:hAnsi="宋体" w:cs="宋体"/>
          <w:color w:val="auto"/>
          <w:highlight w:val="non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pPr>
        <w:pStyle w:val="42"/>
        <w:spacing w:line="360" w:lineRule="auto"/>
        <w:ind w:firstLine="420" w:firstLineChars="200"/>
        <w:rPr>
          <w:rFonts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pPr>
        <w:pStyle w:val="42"/>
        <w:spacing w:line="360" w:lineRule="auto"/>
        <w:ind w:firstLine="420"/>
        <w:rPr>
          <w:rFonts w:hAnsi="宋体" w:cs="宋体"/>
          <w:color w:val="auto"/>
          <w:highlight w:val="non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pPr>
        <w:pStyle w:val="42"/>
        <w:spacing w:line="360" w:lineRule="auto"/>
        <w:ind w:firstLine="420"/>
        <w:rPr>
          <w:rFonts w:hAnsi="宋体" w:cs="宋体"/>
          <w:color w:val="auto"/>
          <w:highlight w:val="none"/>
          <w:u w:val="single"/>
        </w:rPr>
      </w:pPr>
    </w:p>
    <w:p>
      <w:pPr>
        <w:pStyle w:val="42"/>
        <w:spacing w:line="360" w:lineRule="auto"/>
        <w:ind w:firstLine="420"/>
        <w:rPr>
          <w:rFonts w:hAnsi="宋体" w:cs="宋体"/>
          <w:color w:val="auto"/>
          <w:kern w:val="0"/>
          <w:szCs w:val="21"/>
          <w:highlight w:val="none"/>
        </w:rPr>
      </w:pPr>
      <w:r>
        <w:rPr>
          <w:rFonts w:hint="eastAsia" w:hAnsi="宋体" w:cs="宋体"/>
          <w:color w:val="auto"/>
          <w:kern w:val="0"/>
          <w:szCs w:val="21"/>
          <w:highlight w:val="none"/>
        </w:rPr>
        <w:t>成员一名称：</w:t>
      </w:r>
      <w:r>
        <w:rPr>
          <w:rFonts w:hint="eastAsia" w:hAnsi="宋体" w:cs="宋体"/>
          <w:color w:val="auto"/>
          <w:highlight w:val="none"/>
        </w:rPr>
        <w:t>（盖单位公章）：</w:t>
      </w:r>
      <w:r>
        <w:rPr>
          <w:rFonts w:hint="eastAsia" w:hAnsi="宋体" w:cs="宋体"/>
          <w:color w:val="auto"/>
          <w:highlight w:val="none"/>
          <w:u w:val="single"/>
        </w:rPr>
        <w:t xml:space="preserve">                                    </w:t>
      </w:r>
    </w:p>
    <w:p>
      <w:pPr>
        <w:pStyle w:val="42"/>
        <w:spacing w:line="360" w:lineRule="auto"/>
        <w:ind w:firstLine="420"/>
        <w:rPr>
          <w:rFonts w:hAnsi="宋体" w:cs="宋体"/>
          <w:color w:val="auto"/>
          <w:highlight w:val="none"/>
        </w:rPr>
      </w:pPr>
      <w:r>
        <w:rPr>
          <w:rFonts w:hint="eastAsia" w:hAnsi="宋体" w:cs="宋体"/>
          <w:color w:val="auto"/>
          <w:highlight w:val="none"/>
        </w:rPr>
        <w:t>法定代表人（签字）：</w:t>
      </w:r>
      <w:r>
        <w:rPr>
          <w:rFonts w:hint="eastAsia" w:hAnsi="宋体" w:cs="宋体"/>
          <w:color w:val="auto"/>
          <w:highlight w:val="none"/>
          <w:u w:val="single"/>
        </w:rPr>
        <w:t xml:space="preserve">                                </w:t>
      </w:r>
    </w:p>
    <w:p>
      <w:pPr>
        <w:pStyle w:val="42"/>
        <w:spacing w:line="360" w:lineRule="auto"/>
        <w:ind w:firstLine="420"/>
        <w:rPr>
          <w:rFonts w:hAnsi="宋体" w:cs="宋体"/>
          <w:color w:val="auto"/>
          <w:highlight w:val="none"/>
          <w:u w:val="single"/>
        </w:rPr>
      </w:pPr>
    </w:p>
    <w:p>
      <w:pPr>
        <w:autoSpaceDE w:val="0"/>
        <w:autoSpaceDN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pPr>
        <w:autoSpaceDE w:val="0"/>
        <w:autoSpaceDN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pPr>
        <w:pStyle w:val="42"/>
        <w:ind w:firstLine="420" w:firstLineChars="200"/>
        <w:rPr>
          <w:rFonts w:hAnsi="宋体" w:cs="宋体"/>
          <w:color w:val="auto"/>
          <w:highlight w:val="none"/>
        </w:rPr>
      </w:pPr>
      <w:r>
        <w:rPr>
          <w:rFonts w:hint="eastAsia" w:hAnsi="宋体" w:cs="宋体"/>
          <w:color w:val="auto"/>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1.法定代表人授权委托书必须由法定代表人及委托代理人签字，并加盖投标人公章，否则作无效投标处理。</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pPr>
        <w:snapToGrid w:val="0"/>
        <w:spacing w:before="50" w:after="120" w:line="360" w:lineRule="auto"/>
        <w:jc w:val="left"/>
        <w:rPr>
          <w:rFonts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120"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8"/>
        <w:tblpPr w:leftFromText="180" w:rightFromText="180" w:vertAnchor="text" w:horzAnchor="margin" w:tblpXSpec="center" w:tblpY="2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0" w:hRule="atLeast"/>
          <w:jc w:val="center"/>
        </w:trPr>
        <w:tc>
          <w:tcPr>
            <w:tcW w:w="7985" w:type="dxa"/>
          </w:tcPr>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全权代表身份证复印件粘帖处（正、反面）</w:t>
            </w:r>
          </w:p>
        </w:tc>
      </w:tr>
    </w:tbl>
    <w:p>
      <w:pPr>
        <w:snapToGrid w:val="0"/>
        <w:spacing w:before="50" w:after="120" w:line="360" w:lineRule="auto"/>
        <w:jc w:val="left"/>
        <w:rPr>
          <w:rFonts w:ascii="宋体" w:hAnsi="宋体" w:cs="宋体"/>
          <w:color w:val="auto"/>
          <w:szCs w:val="21"/>
          <w:highlight w:val="none"/>
        </w:rPr>
      </w:pPr>
    </w:p>
    <w:p>
      <w:pPr>
        <w:snapToGrid w:val="0"/>
        <w:spacing w:before="120" w:after="50"/>
        <w:ind w:firstLine="566" w:firstLineChars="236"/>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pPr>
        <w:snapToGrid w:val="0"/>
        <w:spacing w:before="50"/>
        <w:jc w:val="left"/>
        <w:rPr>
          <w:rFonts w:ascii="宋体" w:hAnsi="宋体" w:cs="宋体"/>
          <w:color w:val="auto"/>
          <w:sz w:val="24"/>
          <w:highlight w:val="none"/>
        </w:rPr>
      </w:pPr>
    </w:p>
    <w:p>
      <w:pPr>
        <w:pStyle w:val="42"/>
        <w:spacing w:line="360" w:lineRule="auto"/>
        <w:ind w:left="-424" w:leftChars="-202" w:firstLine="846"/>
        <w:rPr>
          <w:rFonts w:hAnsi="宋体" w:cs="宋体"/>
          <w:color w:val="auto"/>
          <w:highlight w:val="none"/>
        </w:rPr>
      </w:pPr>
      <w:r>
        <w:rPr>
          <w:rFonts w:hint="eastAsia" w:hAnsi="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8"/>
        <w:tblpPr w:leftFromText="180" w:rightFromText="180" w:vertAnchor="text" w:horzAnchor="margin" w:tblpXSpec="center" w:tblpY="9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691"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3589"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1274" w:type="dxa"/>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691" w:type="dxa"/>
          </w:tcPr>
          <w:p>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Pr>
          <w:p>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691" w:type="dxa"/>
          </w:tcPr>
          <w:p>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Pr>
          <w:p>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9" w:hRule="atLeast"/>
        </w:trPr>
        <w:tc>
          <w:tcPr>
            <w:tcW w:w="691" w:type="dxa"/>
          </w:tcPr>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Pr>
          <w:p>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9480" w:type="dxa"/>
            <w:gridSpan w:val="4"/>
          </w:tcPr>
          <w:p>
            <w:pPr>
              <w:spacing w:line="340" w:lineRule="exact"/>
              <w:rPr>
                <w:rFonts w:ascii="宋体" w:hAnsi="宋体" w:cs="宋体"/>
                <w:color w:val="auto"/>
                <w:szCs w:val="21"/>
                <w:highlight w:val="none"/>
                <w:u w:val="singl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pPr>
        <w:pStyle w:val="42"/>
        <w:spacing w:line="360" w:lineRule="auto"/>
        <w:ind w:left="-708" w:leftChars="-337"/>
        <w:rPr>
          <w:rFonts w:hAnsi="宋体" w:cs="宋体"/>
          <w:color w:val="auto"/>
          <w:highlight w:val="none"/>
        </w:rPr>
      </w:pPr>
    </w:p>
    <w:p>
      <w:pPr>
        <w:pStyle w:val="42"/>
        <w:spacing w:line="360" w:lineRule="auto"/>
        <w:ind w:left="-708" w:leftChars="-337"/>
        <w:rPr>
          <w:rFonts w:hAnsi="宋体" w:cs="宋体"/>
          <w:color w:val="auto"/>
          <w:highlight w:val="none"/>
        </w:rPr>
      </w:pPr>
      <w:r>
        <w:rPr>
          <w:rFonts w:hint="eastAsia" w:hAnsi="宋体" w:cs="宋体"/>
          <w:color w:val="auto"/>
          <w:highlight w:val="none"/>
        </w:rPr>
        <w:t>注：</w:t>
      </w:r>
    </w:p>
    <w:p>
      <w:pPr>
        <w:pStyle w:val="42"/>
        <w:spacing w:line="360" w:lineRule="auto"/>
        <w:ind w:left="-708" w:leftChars="-337" w:firstLine="420" w:firstLineChars="200"/>
        <w:rPr>
          <w:rFonts w:hAnsi="宋体" w:cs="宋体"/>
          <w:color w:val="auto"/>
          <w:highlight w:val="none"/>
        </w:rPr>
      </w:pPr>
      <w:r>
        <w:rPr>
          <w:rFonts w:hint="eastAsia" w:hAnsi="宋体" w:cs="宋体"/>
          <w:color w:val="auto"/>
          <w:highlight w:val="none"/>
        </w:rPr>
        <w:t>1.表格内容均需按要求填写并盖章，不得留空，否则按投标无效处理。</w:t>
      </w:r>
    </w:p>
    <w:p>
      <w:pPr>
        <w:pStyle w:val="42"/>
        <w:spacing w:line="360" w:lineRule="auto"/>
        <w:ind w:left="-603" w:leftChars="-287" w:firstLine="315" w:firstLineChars="150"/>
        <w:rPr>
          <w:rFonts w:hAnsi="宋体" w:cs="宋体"/>
          <w:color w:val="auto"/>
          <w:highlight w:val="none"/>
        </w:rPr>
      </w:pPr>
      <w:r>
        <w:rPr>
          <w:rFonts w:hint="eastAsia" w:hAnsi="宋体" w:cs="宋体"/>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p>
    <w:p>
      <w:pPr>
        <w:pStyle w:val="42"/>
        <w:spacing w:line="360" w:lineRule="auto"/>
        <w:ind w:left="-708" w:leftChars="-337" w:firstLine="420" w:firstLineChars="200"/>
        <w:rPr>
          <w:rFonts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pPr>
        <w:pStyle w:val="42"/>
        <w:spacing w:line="360" w:lineRule="auto"/>
        <w:ind w:left="-708" w:leftChars="-337" w:firstLine="420" w:firstLineChars="200"/>
        <w:rPr>
          <w:rFonts w:hAnsi="宋体" w:cs="宋体"/>
          <w:color w:val="auto"/>
          <w:szCs w:val="21"/>
          <w:highlight w:val="none"/>
        </w:rPr>
      </w:pPr>
      <w:r>
        <w:rPr>
          <w:rFonts w:hint="eastAsia" w:hAnsi="宋体" w:cs="宋体"/>
          <w:color w:val="auto"/>
          <w:szCs w:val="21"/>
          <w:highlight w:val="none"/>
        </w:rPr>
        <w:t>4.采购需求中带“▲”及“★”的条款，也要分别在本表“投标文件的商务需求”、“投标文件承诺的商务条款”中标记。</w:t>
      </w:r>
    </w:p>
    <w:p>
      <w:pPr>
        <w:snapToGrid w:val="0"/>
        <w:spacing w:before="50" w:after="50"/>
        <w:rPr>
          <w:rFonts w:ascii="宋体" w:hAnsi="宋体" w:cs="宋体"/>
          <w:color w:val="auto"/>
          <w:sz w:val="24"/>
          <w:highlight w:val="none"/>
        </w:rPr>
      </w:pPr>
    </w:p>
    <w:p>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before="120" w:after="50"/>
        <w:ind w:firstLine="3150" w:firstLineChars="1500"/>
        <w:jc w:val="left"/>
        <w:rPr>
          <w:rFonts w:ascii="宋体" w:hAnsi="宋体" w:cs="宋体"/>
          <w:color w:val="auto"/>
          <w:szCs w:val="21"/>
          <w:highlight w:val="none"/>
        </w:rPr>
        <w:sectPr>
          <w:footerReference r:id="rId13" w:type="first"/>
          <w:headerReference r:id="rId10" w:type="default"/>
          <w:footerReference r:id="rId11" w:type="default"/>
          <w:footerReference r:id="rId12" w:type="even"/>
          <w:pgSz w:w="11906" w:h="16838"/>
          <w:pgMar w:top="1440" w:right="1080" w:bottom="1440" w:left="1080" w:header="851" w:footer="992" w:gutter="0"/>
          <w:pgNumType w:fmt="decimal"/>
          <w:cols w:space="720" w:num="1"/>
          <w:docGrid w:linePitch="312" w:charSpace="0"/>
        </w:sectPr>
      </w:pPr>
    </w:p>
    <w:p>
      <w:pPr>
        <w:snapToGrid w:val="0"/>
        <w:spacing w:before="165" w:after="50"/>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pPr>
        <w:spacing w:line="360" w:lineRule="auto"/>
        <w:ind w:firstLine="4048" w:firstLineChars="1687"/>
        <w:rPr>
          <w:rFonts w:ascii="宋体" w:hAnsi="宋体" w:cs="宋体"/>
          <w:color w:val="auto"/>
          <w:sz w:val="24"/>
          <w:highlight w:val="none"/>
        </w:rPr>
      </w:pPr>
    </w:p>
    <w:p>
      <w:pPr>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ind w:firstLine="4935" w:firstLineChars="2350"/>
        <w:rPr>
          <w:rFonts w:ascii="宋体" w:hAnsi="宋体" w:cs="宋体"/>
          <w:color w:val="auto"/>
          <w:szCs w:val="21"/>
          <w:highlight w:val="none"/>
        </w:rPr>
      </w:pPr>
    </w:p>
    <w:p>
      <w:pPr>
        <w:snapToGrid w:val="0"/>
        <w:spacing w:line="360" w:lineRule="auto"/>
        <w:ind w:firstLine="4935" w:firstLineChars="2350"/>
        <w:rPr>
          <w:rFonts w:ascii="宋体" w:hAnsi="宋体" w:cs="宋体"/>
          <w:color w:val="auto"/>
          <w:szCs w:val="21"/>
          <w:highlight w:val="none"/>
        </w:rPr>
      </w:pPr>
    </w:p>
    <w:p>
      <w:pPr>
        <w:snapToGrid w:val="0"/>
        <w:spacing w:line="360" w:lineRule="auto"/>
        <w:ind w:firstLine="4935" w:firstLineChars="2350"/>
        <w:rPr>
          <w:rFonts w:ascii="宋体" w:hAnsi="宋体" w:cs="宋体"/>
          <w:color w:val="auto"/>
          <w:szCs w:val="21"/>
          <w:highlight w:val="none"/>
        </w:rPr>
      </w:pPr>
    </w:p>
    <w:p>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before="165" w:after="5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六、服务承诺方案</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pPr>
        <w:snapToGrid w:val="0"/>
        <w:spacing w:before="165" w:after="50"/>
        <w:ind w:left="142"/>
        <w:jc w:val="center"/>
        <w:rPr>
          <w:rFonts w:ascii="宋体" w:hAnsi="宋体" w:cs="宋体"/>
          <w:b/>
          <w:color w:val="auto"/>
          <w:sz w:val="32"/>
          <w:szCs w:val="32"/>
          <w:highlight w:val="none"/>
        </w:rPr>
      </w:pPr>
    </w:p>
    <w:p>
      <w:pPr>
        <w:snapToGrid w:val="0"/>
        <w:spacing w:before="165" w:line="360" w:lineRule="auto"/>
        <w:ind w:right="480" w:firstLine="3967" w:firstLineChars="1653"/>
        <w:rPr>
          <w:rFonts w:ascii="宋体" w:hAnsi="宋体" w:cs="宋体"/>
          <w:color w:val="auto"/>
          <w:sz w:val="24"/>
          <w:highlight w:val="none"/>
        </w:rPr>
      </w:pP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firstLine="4048" w:firstLineChars="1687"/>
        <w:rPr>
          <w:rFonts w:ascii="宋体" w:hAnsi="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pPr>
        <w:snapToGrid w:val="0"/>
        <w:spacing w:before="165" w:after="50"/>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七、投标人类似的业绩证明文件（如有要求）</w:t>
      </w:r>
    </w:p>
    <w:p>
      <w:pPr>
        <w:pStyle w:val="57"/>
        <w:snapToGrid w:val="0"/>
        <w:ind w:left="480" w:hanging="480"/>
        <w:rPr>
          <w:rFonts w:ascii="宋体" w:hAnsi="宋体" w:cs="宋体"/>
          <w:color w:val="auto"/>
          <w:sz w:val="24"/>
          <w:highlight w:val="none"/>
        </w:rPr>
      </w:pPr>
    </w:p>
    <w:p>
      <w:pPr>
        <w:pStyle w:val="57"/>
        <w:snapToGrid w:val="0"/>
        <w:ind w:left="480" w:hanging="480"/>
        <w:rPr>
          <w:rFonts w:ascii="宋体" w:hAnsi="宋体" w:cs="宋体"/>
          <w:color w:val="auto"/>
          <w:sz w:val="24"/>
          <w:highlight w:val="none"/>
        </w:rPr>
      </w:pPr>
    </w:p>
    <w:p>
      <w:pPr>
        <w:pStyle w:val="57"/>
        <w:snapToGrid w:val="0"/>
        <w:ind w:left="480" w:hanging="480"/>
        <w:rPr>
          <w:rFonts w:ascii="宋体" w:hAnsi="宋体" w:cs="宋体"/>
          <w:color w:val="auto"/>
          <w:sz w:val="24"/>
          <w:highlight w:val="none"/>
        </w:rPr>
      </w:pPr>
    </w:p>
    <w:p>
      <w:pPr>
        <w:autoSpaceDE w:val="0"/>
        <w:autoSpaceDN w:val="0"/>
        <w:spacing w:line="360" w:lineRule="auto"/>
        <w:ind w:firstLine="120"/>
        <w:rPr>
          <w:rFonts w:ascii="宋体" w:hAnsi="宋体" w:cs="宋体"/>
          <w:b/>
          <w:color w:val="auto"/>
          <w:sz w:val="24"/>
          <w:highlight w:val="none"/>
        </w:rPr>
      </w:pPr>
      <w:r>
        <w:rPr>
          <w:rFonts w:hint="eastAsia" w:ascii="宋体" w:hAnsi="宋体" w:cs="宋体"/>
          <w:b/>
          <w:color w:val="auto"/>
          <w:sz w:val="24"/>
          <w:highlight w:val="none"/>
        </w:rPr>
        <w:t>附表 ：相关项目业绩一览表（投标人同类项目合同复印件、用户验收报告、用户评价意见格式自拟）</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2628" w:type="dxa"/>
            <w:vMerge w:val="restart"/>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金额</w:t>
            </w:r>
          </w:p>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w:t>
            </w:r>
          </w:p>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2628" w:type="dxa"/>
            <w:vMerge w:val="continue"/>
            <w:vAlign w:val="center"/>
          </w:tcPr>
          <w:p>
            <w:pPr>
              <w:jc w:val="left"/>
              <w:rPr>
                <w:rFonts w:ascii="宋体" w:hAnsi="宋体" w:cs="宋体"/>
                <w:color w:val="auto"/>
                <w:sz w:val="24"/>
                <w:highlight w:val="none"/>
              </w:rPr>
            </w:pPr>
          </w:p>
        </w:tc>
        <w:tc>
          <w:tcPr>
            <w:tcW w:w="3420" w:type="dxa"/>
            <w:vMerge w:val="continue"/>
            <w:vAlign w:val="center"/>
          </w:tcPr>
          <w:p>
            <w:pPr>
              <w:jc w:val="left"/>
              <w:rPr>
                <w:rFonts w:ascii="宋体" w:hAnsi="宋体" w:cs="宋体"/>
                <w:color w:val="auto"/>
                <w:sz w:val="24"/>
                <w:highlight w:val="none"/>
              </w:rPr>
            </w:pPr>
          </w:p>
        </w:tc>
        <w:tc>
          <w:tcPr>
            <w:tcW w:w="1715" w:type="dxa"/>
            <w:vMerge w:val="continue"/>
            <w:vAlign w:val="center"/>
          </w:tcPr>
          <w:p>
            <w:pPr>
              <w:jc w:val="left"/>
              <w:rPr>
                <w:rFonts w:ascii="宋体" w:hAnsi="宋体" w:cs="宋体"/>
                <w:color w:val="auto"/>
                <w:sz w:val="24"/>
                <w:highlight w:val="none"/>
              </w:rPr>
            </w:pPr>
          </w:p>
        </w:tc>
        <w:tc>
          <w:tcPr>
            <w:tcW w:w="1559" w:type="dxa"/>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tc>
        <w:tc>
          <w:tcPr>
            <w:tcW w:w="1559" w:type="dxa"/>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418" w:type="dxa"/>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2268" w:type="dxa"/>
            <w:vMerge w:val="continue"/>
            <w:vAlign w:val="center"/>
          </w:tcPr>
          <w:p>
            <w:pPr>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628" w:type="dxa"/>
          </w:tcPr>
          <w:p>
            <w:pPr>
              <w:snapToGrid w:val="0"/>
              <w:spacing w:line="240" w:lineRule="exact"/>
              <w:jc w:val="left"/>
              <w:rPr>
                <w:rFonts w:ascii="宋体" w:hAnsi="宋体" w:cs="宋体"/>
                <w:color w:val="auto"/>
                <w:sz w:val="24"/>
                <w:highlight w:val="none"/>
              </w:rPr>
            </w:pPr>
          </w:p>
        </w:tc>
        <w:tc>
          <w:tcPr>
            <w:tcW w:w="3420" w:type="dxa"/>
          </w:tcPr>
          <w:p>
            <w:pPr>
              <w:snapToGrid w:val="0"/>
              <w:spacing w:line="240" w:lineRule="exact"/>
              <w:jc w:val="left"/>
              <w:rPr>
                <w:rFonts w:ascii="宋体" w:hAnsi="宋体" w:cs="宋体"/>
                <w:color w:val="auto"/>
                <w:sz w:val="24"/>
                <w:highlight w:val="none"/>
              </w:rPr>
            </w:pPr>
          </w:p>
        </w:tc>
        <w:tc>
          <w:tcPr>
            <w:tcW w:w="1715" w:type="dxa"/>
          </w:tcPr>
          <w:p>
            <w:pPr>
              <w:snapToGrid w:val="0"/>
              <w:spacing w:line="240" w:lineRule="exact"/>
              <w:jc w:val="left"/>
              <w:rPr>
                <w:rFonts w:ascii="宋体" w:hAnsi="宋体" w:cs="宋体"/>
                <w:color w:val="auto"/>
                <w:sz w:val="24"/>
                <w:highlight w:val="none"/>
              </w:rPr>
            </w:pPr>
          </w:p>
        </w:tc>
        <w:tc>
          <w:tcPr>
            <w:tcW w:w="1559" w:type="dxa"/>
          </w:tcPr>
          <w:p>
            <w:pPr>
              <w:snapToGrid w:val="0"/>
              <w:spacing w:line="240" w:lineRule="exact"/>
              <w:jc w:val="left"/>
              <w:rPr>
                <w:rFonts w:ascii="宋体" w:hAnsi="宋体" w:cs="宋体"/>
                <w:color w:val="auto"/>
                <w:sz w:val="24"/>
                <w:highlight w:val="none"/>
              </w:rPr>
            </w:pPr>
          </w:p>
        </w:tc>
        <w:tc>
          <w:tcPr>
            <w:tcW w:w="1559" w:type="dxa"/>
          </w:tcPr>
          <w:p>
            <w:pPr>
              <w:snapToGrid w:val="0"/>
              <w:spacing w:line="240" w:lineRule="exact"/>
              <w:jc w:val="left"/>
              <w:rPr>
                <w:rFonts w:ascii="宋体" w:hAnsi="宋体" w:cs="宋体"/>
                <w:color w:val="auto"/>
                <w:sz w:val="24"/>
                <w:highlight w:val="none"/>
              </w:rPr>
            </w:pPr>
          </w:p>
        </w:tc>
        <w:tc>
          <w:tcPr>
            <w:tcW w:w="1418" w:type="dxa"/>
          </w:tcPr>
          <w:p>
            <w:pPr>
              <w:snapToGrid w:val="0"/>
              <w:spacing w:line="240" w:lineRule="exact"/>
              <w:jc w:val="left"/>
              <w:rPr>
                <w:rFonts w:ascii="宋体" w:hAnsi="宋体" w:cs="宋体"/>
                <w:color w:val="auto"/>
                <w:sz w:val="24"/>
                <w:highlight w:val="none"/>
              </w:rPr>
            </w:pPr>
          </w:p>
        </w:tc>
        <w:tc>
          <w:tcPr>
            <w:tcW w:w="2268" w:type="dxa"/>
          </w:tcPr>
          <w:p>
            <w:pPr>
              <w:snapToGrid w:val="0"/>
              <w:spacing w:line="24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65" w:line="400" w:lineRule="exact"/>
              <w:jc w:val="left"/>
              <w:rPr>
                <w:rFonts w:ascii="宋体" w:hAnsi="宋体" w:cs="宋体"/>
                <w:color w:val="auto"/>
                <w:sz w:val="24"/>
                <w:highlight w:val="none"/>
              </w:rPr>
            </w:pPr>
          </w:p>
        </w:tc>
        <w:tc>
          <w:tcPr>
            <w:tcW w:w="3420" w:type="dxa"/>
          </w:tcPr>
          <w:p>
            <w:pPr>
              <w:snapToGrid w:val="0"/>
              <w:spacing w:before="50" w:after="165" w:line="400" w:lineRule="exact"/>
              <w:jc w:val="left"/>
              <w:rPr>
                <w:rFonts w:ascii="宋体" w:hAnsi="宋体" w:cs="宋体"/>
                <w:color w:val="auto"/>
                <w:sz w:val="24"/>
                <w:highlight w:val="none"/>
              </w:rPr>
            </w:pPr>
          </w:p>
        </w:tc>
        <w:tc>
          <w:tcPr>
            <w:tcW w:w="1715" w:type="dxa"/>
          </w:tcPr>
          <w:p>
            <w:pPr>
              <w:snapToGrid w:val="0"/>
              <w:spacing w:before="50" w:after="165" w:line="400" w:lineRule="exact"/>
              <w:jc w:val="left"/>
              <w:rPr>
                <w:rFonts w:ascii="宋体" w:hAnsi="宋体" w:cs="宋体"/>
                <w:color w:val="auto"/>
                <w:sz w:val="24"/>
                <w:highlight w:val="none"/>
              </w:rPr>
            </w:pPr>
          </w:p>
        </w:tc>
        <w:tc>
          <w:tcPr>
            <w:tcW w:w="1559" w:type="dxa"/>
          </w:tcPr>
          <w:p>
            <w:pPr>
              <w:snapToGrid w:val="0"/>
              <w:spacing w:before="50" w:after="165" w:line="400" w:lineRule="exact"/>
              <w:jc w:val="left"/>
              <w:rPr>
                <w:rFonts w:ascii="宋体" w:hAnsi="宋体" w:cs="宋体"/>
                <w:color w:val="auto"/>
                <w:sz w:val="24"/>
                <w:highlight w:val="none"/>
              </w:rPr>
            </w:pPr>
          </w:p>
        </w:tc>
        <w:tc>
          <w:tcPr>
            <w:tcW w:w="1559" w:type="dxa"/>
          </w:tcPr>
          <w:p>
            <w:pPr>
              <w:snapToGrid w:val="0"/>
              <w:spacing w:before="50" w:after="165" w:line="400" w:lineRule="exact"/>
              <w:jc w:val="left"/>
              <w:rPr>
                <w:rFonts w:ascii="宋体" w:hAnsi="宋体" w:cs="宋体"/>
                <w:color w:val="auto"/>
                <w:sz w:val="24"/>
                <w:highlight w:val="none"/>
              </w:rPr>
            </w:pPr>
          </w:p>
        </w:tc>
        <w:tc>
          <w:tcPr>
            <w:tcW w:w="1418" w:type="dxa"/>
          </w:tcPr>
          <w:p>
            <w:pPr>
              <w:snapToGrid w:val="0"/>
              <w:spacing w:before="50" w:after="165" w:line="400" w:lineRule="exact"/>
              <w:jc w:val="left"/>
              <w:rPr>
                <w:rFonts w:ascii="宋体" w:hAnsi="宋体" w:cs="宋体"/>
                <w:color w:val="auto"/>
                <w:sz w:val="24"/>
                <w:highlight w:val="none"/>
              </w:rPr>
            </w:pPr>
          </w:p>
        </w:tc>
        <w:tc>
          <w:tcPr>
            <w:tcW w:w="2268" w:type="dxa"/>
          </w:tcPr>
          <w:p>
            <w:pPr>
              <w:snapToGrid w:val="0"/>
              <w:spacing w:before="50" w:after="165" w:line="40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28" w:type="dxa"/>
          </w:tcPr>
          <w:p>
            <w:pPr>
              <w:snapToGrid w:val="0"/>
              <w:spacing w:before="50" w:after="165" w:line="400" w:lineRule="exact"/>
              <w:jc w:val="left"/>
              <w:rPr>
                <w:rFonts w:ascii="宋体" w:hAnsi="宋体" w:cs="宋体"/>
                <w:color w:val="auto"/>
                <w:sz w:val="24"/>
                <w:highlight w:val="none"/>
              </w:rPr>
            </w:pPr>
          </w:p>
        </w:tc>
        <w:tc>
          <w:tcPr>
            <w:tcW w:w="3420" w:type="dxa"/>
          </w:tcPr>
          <w:p>
            <w:pPr>
              <w:snapToGrid w:val="0"/>
              <w:spacing w:before="50" w:after="165" w:line="400" w:lineRule="exact"/>
              <w:jc w:val="left"/>
              <w:rPr>
                <w:rFonts w:ascii="宋体" w:hAnsi="宋体" w:cs="宋体"/>
                <w:color w:val="auto"/>
                <w:sz w:val="24"/>
                <w:highlight w:val="none"/>
              </w:rPr>
            </w:pPr>
          </w:p>
        </w:tc>
        <w:tc>
          <w:tcPr>
            <w:tcW w:w="1715" w:type="dxa"/>
          </w:tcPr>
          <w:p>
            <w:pPr>
              <w:snapToGrid w:val="0"/>
              <w:spacing w:before="50" w:after="165" w:line="400" w:lineRule="exact"/>
              <w:jc w:val="left"/>
              <w:rPr>
                <w:rFonts w:ascii="宋体" w:hAnsi="宋体" w:cs="宋体"/>
                <w:color w:val="auto"/>
                <w:sz w:val="24"/>
                <w:highlight w:val="none"/>
              </w:rPr>
            </w:pPr>
          </w:p>
        </w:tc>
        <w:tc>
          <w:tcPr>
            <w:tcW w:w="1559" w:type="dxa"/>
          </w:tcPr>
          <w:p>
            <w:pPr>
              <w:snapToGrid w:val="0"/>
              <w:spacing w:before="50" w:after="165" w:line="400" w:lineRule="exact"/>
              <w:jc w:val="left"/>
              <w:rPr>
                <w:rFonts w:ascii="宋体" w:hAnsi="宋体" w:cs="宋体"/>
                <w:color w:val="auto"/>
                <w:sz w:val="24"/>
                <w:highlight w:val="none"/>
              </w:rPr>
            </w:pPr>
          </w:p>
        </w:tc>
        <w:tc>
          <w:tcPr>
            <w:tcW w:w="1559" w:type="dxa"/>
          </w:tcPr>
          <w:p>
            <w:pPr>
              <w:snapToGrid w:val="0"/>
              <w:spacing w:before="50" w:after="165" w:line="400" w:lineRule="exact"/>
              <w:jc w:val="left"/>
              <w:rPr>
                <w:rFonts w:ascii="宋体" w:hAnsi="宋体" w:cs="宋体"/>
                <w:color w:val="auto"/>
                <w:sz w:val="24"/>
                <w:highlight w:val="none"/>
              </w:rPr>
            </w:pPr>
          </w:p>
        </w:tc>
        <w:tc>
          <w:tcPr>
            <w:tcW w:w="1418" w:type="dxa"/>
          </w:tcPr>
          <w:p>
            <w:pPr>
              <w:snapToGrid w:val="0"/>
              <w:spacing w:before="50" w:after="165" w:line="400" w:lineRule="exact"/>
              <w:jc w:val="left"/>
              <w:rPr>
                <w:rFonts w:ascii="宋体" w:hAnsi="宋体" w:cs="宋体"/>
                <w:color w:val="auto"/>
                <w:sz w:val="24"/>
                <w:highlight w:val="none"/>
              </w:rPr>
            </w:pPr>
          </w:p>
        </w:tc>
        <w:tc>
          <w:tcPr>
            <w:tcW w:w="2268" w:type="dxa"/>
          </w:tcPr>
          <w:p>
            <w:pPr>
              <w:snapToGrid w:val="0"/>
              <w:spacing w:before="50" w:after="165" w:line="40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65" w:line="400" w:lineRule="exact"/>
              <w:jc w:val="left"/>
              <w:rPr>
                <w:rFonts w:ascii="宋体" w:hAnsi="宋体" w:cs="宋体"/>
                <w:color w:val="auto"/>
                <w:sz w:val="24"/>
                <w:highlight w:val="none"/>
              </w:rPr>
            </w:pPr>
          </w:p>
        </w:tc>
        <w:tc>
          <w:tcPr>
            <w:tcW w:w="3420" w:type="dxa"/>
          </w:tcPr>
          <w:p>
            <w:pPr>
              <w:snapToGrid w:val="0"/>
              <w:spacing w:before="50" w:after="165" w:line="400" w:lineRule="exact"/>
              <w:jc w:val="left"/>
              <w:rPr>
                <w:rFonts w:ascii="宋体" w:hAnsi="宋体" w:cs="宋体"/>
                <w:color w:val="auto"/>
                <w:sz w:val="24"/>
                <w:highlight w:val="none"/>
              </w:rPr>
            </w:pPr>
          </w:p>
        </w:tc>
        <w:tc>
          <w:tcPr>
            <w:tcW w:w="1715" w:type="dxa"/>
          </w:tcPr>
          <w:p>
            <w:pPr>
              <w:snapToGrid w:val="0"/>
              <w:spacing w:before="50" w:after="165" w:line="400" w:lineRule="exact"/>
              <w:jc w:val="left"/>
              <w:rPr>
                <w:rFonts w:ascii="宋体" w:hAnsi="宋体" w:cs="宋体"/>
                <w:color w:val="auto"/>
                <w:sz w:val="24"/>
                <w:highlight w:val="none"/>
              </w:rPr>
            </w:pPr>
          </w:p>
        </w:tc>
        <w:tc>
          <w:tcPr>
            <w:tcW w:w="1559" w:type="dxa"/>
          </w:tcPr>
          <w:p>
            <w:pPr>
              <w:snapToGrid w:val="0"/>
              <w:spacing w:before="50" w:after="165" w:line="400" w:lineRule="exact"/>
              <w:jc w:val="left"/>
              <w:rPr>
                <w:rFonts w:ascii="宋体" w:hAnsi="宋体" w:cs="宋体"/>
                <w:color w:val="auto"/>
                <w:sz w:val="24"/>
                <w:highlight w:val="none"/>
              </w:rPr>
            </w:pPr>
          </w:p>
        </w:tc>
        <w:tc>
          <w:tcPr>
            <w:tcW w:w="1559" w:type="dxa"/>
          </w:tcPr>
          <w:p>
            <w:pPr>
              <w:snapToGrid w:val="0"/>
              <w:spacing w:before="50" w:after="165" w:line="400" w:lineRule="exact"/>
              <w:jc w:val="left"/>
              <w:rPr>
                <w:rFonts w:ascii="宋体" w:hAnsi="宋体" w:cs="宋体"/>
                <w:color w:val="auto"/>
                <w:sz w:val="24"/>
                <w:highlight w:val="none"/>
              </w:rPr>
            </w:pPr>
          </w:p>
        </w:tc>
        <w:tc>
          <w:tcPr>
            <w:tcW w:w="1418" w:type="dxa"/>
          </w:tcPr>
          <w:p>
            <w:pPr>
              <w:snapToGrid w:val="0"/>
              <w:spacing w:before="50" w:after="165" w:line="400" w:lineRule="exact"/>
              <w:jc w:val="left"/>
              <w:rPr>
                <w:rFonts w:ascii="宋体" w:hAnsi="宋体" w:cs="宋体"/>
                <w:color w:val="auto"/>
                <w:sz w:val="24"/>
                <w:highlight w:val="none"/>
              </w:rPr>
            </w:pPr>
          </w:p>
        </w:tc>
        <w:tc>
          <w:tcPr>
            <w:tcW w:w="2268" w:type="dxa"/>
          </w:tcPr>
          <w:p>
            <w:pPr>
              <w:snapToGrid w:val="0"/>
              <w:spacing w:before="50" w:after="165" w:line="40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napToGrid w:val="0"/>
              <w:spacing w:before="50" w:after="165" w:line="400" w:lineRule="exact"/>
              <w:jc w:val="left"/>
              <w:rPr>
                <w:rFonts w:ascii="宋体" w:hAnsi="宋体" w:cs="宋体"/>
                <w:color w:val="auto"/>
                <w:sz w:val="24"/>
                <w:highlight w:val="none"/>
              </w:rPr>
            </w:pPr>
          </w:p>
        </w:tc>
        <w:tc>
          <w:tcPr>
            <w:tcW w:w="3420" w:type="dxa"/>
          </w:tcPr>
          <w:p>
            <w:pPr>
              <w:snapToGrid w:val="0"/>
              <w:spacing w:before="50" w:after="165" w:line="400" w:lineRule="exact"/>
              <w:jc w:val="left"/>
              <w:rPr>
                <w:rFonts w:ascii="宋体" w:hAnsi="宋体" w:cs="宋体"/>
                <w:color w:val="auto"/>
                <w:sz w:val="24"/>
                <w:highlight w:val="none"/>
              </w:rPr>
            </w:pPr>
          </w:p>
        </w:tc>
        <w:tc>
          <w:tcPr>
            <w:tcW w:w="1715" w:type="dxa"/>
          </w:tcPr>
          <w:p>
            <w:pPr>
              <w:snapToGrid w:val="0"/>
              <w:spacing w:before="50" w:after="165" w:line="400" w:lineRule="exact"/>
              <w:jc w:val="left"/>
              <w:rPr>
                <w:rFonts w:ascii="宋体" w:hAnsi="宋体" w:cs="宋体"/>
                <w:color w:val="auto"/>
                <w:sz w:val="24"/>
                <w:highlight w:val="none"/>
              </w:rPr>
            </w:pPr>
          </w:p>
        </w:tc>
        <w:tc>
          <w:tcPr>
            <w:tcW w:w="1559" w:type="dxa"/>
          </w:tcPr>
          <w:p>
            <w:pPr>
              <w:snapToGrid w:val="0"/>
              <w:spacing w:before="50" w:after="165" w:line="400" w:lineRule="exact"/>
              <w:jc w:val="left"/>
              <w:rPr>
                <w:rFonts w:ascii="宋体" w:hAnsi="宋体" w:cs="宋体"/>
                <w:color w:val="auto"/>
                <w:sz w:val="24"/>
                <w:highlight w:val="none"/>
              </w:rPr>
            </w:pPr>
          </w:p>
        </w:tc>
        <w:tc>
          <w:tcPr>
            <w:tcW w:w="1559" w:type="dxa"/>
          </w:tcPr>
          <w:p>
            <w:pPr>
              <w:snapToGrid w:val="0"/>
              <w:spacing w:before="50" w:after="165" w:line="400" w:lineRule="exact"/>
              <w:jc w:val="left"/>
              <w:rPr>
                <w:rFonts w:ascii="宋体" w:hAnsi="宋体" w:cs="宋体"/>
                <w:color w:val="auto"/>
                <w:sz w:val="24"/>
                <w:highlight w:val="none"/>
              </w:rPr>
            </w:pPr>
          </w:p>
        </w:tc>
        <w:tc>
          <w:tcPr>
            <w:tcW w:w="1418" w:type="dxa"/>
          </w:tcPr>
          <w:p>
            <w:pPr>
              <w:snapToGrid w:val="0"/>
              <w:spacing w:before="50" w:after="165" w:line="400" w:lineRule="exact"/>
              <w:jc w:val="left"/>
              <w:rPr>
                <w:rFonts w:ascii="宋体" w:hAnsi="宋体" w:cs="宋体"/>
                <w:color w:val="auto"/>
                <w:sz w:val="24"/>
                <w:highlight w:val="none"/>
              </w:rPr>
            </w:pPr>
          </w:p>
        </w:tc>
        <w:tc>
          <w:tcPr>
            <w:tcW w:w="2268" w:type="dxa"/>
          </w:tcPr>
          <w:p>
            <w:pPr>
              <w:snapToGrid w:val="0"/>
              <w:spacing w:before="50" w:after="165" w:line="400" w:lineRule="exact"/>
              <w:jc w:val="left"/>
              <w:rPr>
                <w:rFonts w:ascii="宋体" w:hAnsi="宋体" w:cs="宋体"/>
                <w:color w:val="auto"/>
                <w:sz w:val="24"/>
                <w:highlight w:val="none"/>
              </w:rPr>
            </w:pPr>
          </w:p>
        </w:tc>
      </w:tr>
    </w:tbl>
    <w:p>
      <w:pPr>
        <w:pStyle w:val="42"/>
        <w:spacing w:line="360" w:lineRule="auto"/>
        <w:ind w:left="72"/>
        <w:rPr>
          <w:rFonts w:hAnsi="宋体" w:cs="宋体"/>
          <w:color w:val="auto"/>
          <w:highlight w:val="none"/>
        </w:rPr>
      </w:pPr>
      <w:r>
        <w:rPr>
          <w:rFonts w:hint="eastAsia" w:hAnsi="宋体" w:cs="宋体"/>
          <w:color w:val="auto"/>
          <w:highlight w:val="none"/>
        </w:rPr>
        <w:t>注：投标人可按上述的格式自行编制，可随表提交相应的合同复印件</w:t>
      </w:r>
      <w:r>
        <w:rPr>
          <w:rFonts w:hint="eastAsia" w:hAnsi="宋体" w:cs="宋体"/>
          <w:color w:val="auto"/>
          <w:highlight w:val="none"/>
          <w:lang w:val="en-US" w:eastAsia="zh-CN"/>
        </w:rPr>
        <w:t>或</w:t>
      </w:r>
      <w:r>
        <w:rPr>
          <w:rFonts w:hint="eastAsia" w:hAnsi="宋体" w:cs="宋体"/>
          <w:color w:val="auto"/>
          <w:highlight w:val="none"/>
        </w:rPr>
        <w:t>用户单位验收证明。</w:t>
      </w:r>
    </w:p>
    <w:p>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ind w:firstLine="4935" w:firstLineChars="2350"/>
        <w:rPr>
          <w:rFonts w:ascii="宋体" w:hAnsi="宋体" w:cs="宋体"/>
          <w:color w:val="auto"/>
          <w:szCs w:val="21"/>
          <w:highlight w:val="none"/>
        </w:rPr>
      </w:pPr>
    </w:p>
    <w:p>
      <w:pPr>
        <w:snapToGrid w:val="0"/>
        <w:spacing w:line="360" w:lineRule="auto"/>
        <w:ind w:firstLine="10080" w:firstLineChars="48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pPr>
        <w:snapToGrid w:val="0"/>
        <w:spacing w:line="360" w:lineRule="auto"/>
        <w:ind w:firstLine="10080" w:firstLineChars="4200"/>
        <w:rPr>
          <w:rFonts w:ascii="宋体" w:hAnsi="宋体" w:cs="宋体"/>
          <w:color w:val="auto"/>
          <w:kern w:val="0"/>
          <w:sz w:val="24"/>
          <w:highlight w:val="none"/>
          <w:lang w:val="zh-CN"/>
        </w:rPr>
        <w:sectPr>
          <w:headerReference r:id="rId14" w:type="default"/>
          <w:footerReference r:id="rId15" w:type="default"/>
          <w:pgSz w:w="16838" w:h="11906" w:orient="landscape"/>
          <w:pgMar w:top="1440" w:right="1080" w:bottom="1440" w:left="1080" w:header="720" w:footer="720" w:gutter="0"/>
          <w:pgNumType w:fmt="decimal"/>
          <w:cols w:space="720" w:num="1"/>
          <w:docGrid w:type="lines" w:linePitch="331"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before="165" w:after="50"/>
        <w:ind w:firstLine="602" w:firstLineChars="200"/>
        <w:jc w:val="center"/>
        <w:rPr>
          <w:rFonts w:ascii="宋体" w:hAnsi="宋体" w:cs="宋体"/>
          <w:b/>
          <w:bCs/>
          <w:color w:val="auto"/>
          <w:sz w:val="30"/>
          <w:szCs w:val="30"/>
          <w:highlight w:val="none"/>
          <w:lang w:val="zh-CN"/>
        </w:rPr>
      </w:pPr>
      <w:r>
        <w:rPr>
          <w:rFonts w:hint="eastAsia" w:ascii="宋体" w:hAnsi="宋体" w:cs="宋体"/>
          <w:b/>
          <w:bCs/>
          <w:color w:val="auto"/>
          <w:sz w:val="30"/>
          <w:szCs w:val="30"/>
          <w:highlight w:val="none"/>
          <w:lang w:val="zh-CN"/>
        </w:rPr>
        <w:t>八、其他商务文件或说明</w:t>
      </w:r>
    </w:p>
    <w:p>
      <w:pPr>
        <w:snapToGrid w:val="0"/>
        <w:spacing w:before="165" w:after="50"/>
        <w:ind w:firstLine="420" w:firstLineChars="200"/>
        <w:jc w:val="center"/>
        <w:rPr>
          <w:rFonts w:ascii="宋体" w:hAnsi="宋体" w:cs="宋体"/>
          <w:color w:val="auto"/>
          <w:highlight w:val="none"/>
          <w:lang w:val="zh-CN"/>
        </w:rPr>
      </w:pPr>
    </w:p>
    <w:p>
      <w:pPr>
        <w:pStyle w:val="17"/>
        <w:tabs>
          <w:tab w:val="clear" w:pos="2155"/>
        </w:tabs>
        <w:rPr>
          <w:rFonts w:ascii="宋体" w:hAnsi="宋体" w:eastAsia="宋体" w:cs="宋体"/>
          <w:color w:val="auto"/>
          <w:highlight w:val="none"/>
          <w:lang w:val="zh-CN"/>
        </w:rPr>
      </w:pPr>
    </w:p>
    <w:p>
      <w:pPr>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ind w:firstLine="4935" w:firstLineChars="2350"/>
        <w:rPr>
          <w:rFonts w:ascii="宋体" w:hAnsi="宋体" w:cs="宋体"/>
          <w:color w:val="auto"/>
          <w:szCs w:val="21"/>
          <w:highlight w:val="none"/>
        </w:rPr>
      </w:pPr>
    </w:p>
    <w:p>
      <w:pPr>
        <w:snapToGrid w:val="0"/>
        <w:spacing w:line="360" w:lineRule="auto"/>
        <w:ind w:firstLine="4935" w:firstLineChars="2350"/>
        <w:rPr>
          <w:rFonts w:ascii="宋体" w:hAnsi="宋体" w:cs="宋体"/>
          <w:color w:val="auto"/>
          <w:szCs w:val="21"/>
          <w:highlight w:val="none"/>
        </w:rPr>
      </w:pPr>
    </w:p>
    <w:p>
      <w:pPr>
        <w:snapToGrid w:val="0"/>
        <w:spacing w:line="360" w:lineRule="auto"/>
        <w:ind w:firstLine="4935" w:firstLineChars="2350"/>
        <w:rPr>
          <w:rFonts w:ascii="宋体" w:hAnsi="宋体" w:cs="宋体"/>
          <w:color w:val="auto"/>
          <w:szCs w:val="21"/>
          <w:highlight w:val="none"/>
        </w:rPr>
      </w:pPr>
    </w:p>
    <w:p>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rPr>
          <w:rFonts w:ascii="宋体" w:hAnsi="宋体" w:cs="宋体"/>
          <w:color w:val="auto"/>
          <w:highlight w:val="none"/>
          <w:lang w:val="zh-CN"/>
        </w:rPr>
        <w:sectPr>
          <w:pgSz w:w="11906" w:h="16838"/>
          <w:pgMar w:top="1440" w:right="1080" w:bottom="1440" w:left="1080" w:header="720" w:footer="720" w:gutter="0"/>
          <w:pgNumType w:fmt="decimal"/>
          <w:cols w:space="720" w:num="1"/>
          <w:docGrid w:type="lines" w:linePitch="331" w:charSpace="0"/>
        </w:sectPr>
      </w:pPr>
    </w:p>
    <w:p>
      <w:pPr>
        <w:pStyle w:val="42"/>
        <w:jc w:val="center"/>
        <w:outlineLvl w:val="1"/>
        <w:rPr>
          <w:rFonts w:hAnsi="宋体" w:cs="宋体"/>
          <w:b/>
          <w:bCs/>
          <w:color w:val="auto"/>
          <w:sz w:val="28"/>
          <w:szCs w:val="28"/>
          <w:highlight w:val="none"/>
        </w:rPr>
      </w:pPr>
      <w:bookmarkStart w:id="309" w:name="_Toc19686839"/>
      <w:bookmarkEnd w:id="309"/>
      <w:bookmarkStart w:id="310" w:name="_Toc80093014"/>
      <w:bookmarkEnd w:id="310"/>
      <w:r>
        <w:rPr>
          <w:rFonts w:hint="eastAsia" w:hAnsi="宋体" w:cs="宋体"/>
          <w:b/>
          <w:bCs/>
          <w:color w:val="auto"/>
          <w:sz w:val="28"/>
          <w:szCs w:val="28"/>
          <w:highlight w:val="none"/>
        </w:rPr>
        <w:t>第四节 技术文件格式</w:t>
      </w:r>
    </w:p>
    <w:p>
      <w:pPr>
        <w:snapToGrid w:val="0"/>
        <w:spacing w:before="165" w:after="5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pPr>
        <w:snapToGrid w:val="0"/>
        <w:spacing w:before="165" w:after="50"/>
        <w:rPr>
          <w:rFonts w:ascii="宋体" w:hAnsi="宋体" w:cs="宋体"/>
          <w:color w:val="auto"/>
          <w:sz w:val="24"/>
          <w:szCs w:val="20"/>
          <w:highlight w:val="none"/>
        </w:rPr>
      </w:pPr>
    </w:p>
    <w:p>
      <w:pPr>
        <w:snapToGrid w:val="0"/>
        <w:spacing w:before="165" w:after="50"/>
        <w:jc w:val="center"/>
        <w:rPr>
          <w:rFonts w:ascii="宋体" w:hAnsi="宋体" w:cs="宋体"/>
          <w:b/>
          <w:bCs/>
          <w:color w:val="auto"/>
          <w:sz w:val="32"/>
          <w:szCs w:val="32"/>
          <w:highlight w:val="none"/>
        </w:rPr>
      </w:pPr>
    </w:p>
    <w:p>
      <w:pPr>
        <w:snapToGrid w:val="0"/>
        <w:spacing w:before="165" w:after="50"/>
        <w:jc w:val="center"/>
        <w:rPr>
          <w:rFonts w:ascii="宋体" w:hAnsi="宋体" w:cs="宋体"/>
          <w:b/>
          <w:bCs/>
          <w:color w:val="auto"/>
          <w:sz w:val="32"/>
          <w:szCs w:val="32"/>
          <w:highlight w:val="none"/>
        </w:rPr>
      </w:pPr>
    </w:p>
    <w:p>
      <w:pPr>
        <w:snapToGrid w:val="0"/>
        <w:spacing w:before="165" w:after="50"/>
        <w:jc w:val="center"/>
        <w:rPr>
          <w:rFonts w:ascii="宋体" w:hAnsi="宋体" w:cs="宋体"/>
          <w:b/>
          <w:bCs/>
          <w:color w:val="auto"/>
          <w:sz w:val="32"/>
          <w:szCs w:val="32"/>
          <w:highlight w:val="none"/>
        </w:rPr>
      </w:pPr>
    </w:p>
    <w:p>
      <w:pPr>
        <w:snapToGrid w:val="0"/>
        <w:spacing w:before="165"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pPr>
        <w:snapToGrid w:val="0"/>
        <w:spacing w:before="165" w:after="50"/>
        <w:rPr>
          <w:rFonts w:ascii="宋体" w:hAnsi="宋体" w:cs="宋体"/>
          <w:bCs/>
          <w:color w:val="auto"/>
          <w:sz w:val="24"/>
          <w:szCs w:val="20"/>
          <w:highlight w:val="none"/>
        </w:rPr>
      </w:pPr>
    </w:p>
    <w:p>
      <w:pPr>
        <w:snapToGrid w:val="0"/>
        <w:spacing w:before="165" w:after="50" w:line="400" w:lineRule="exact"/>
        <w:ind w:firstLine="360" w:firstLineChars="15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 xml:space="preserve">项目名称： </w:t>
      </w:r>
      <w:r>
        <w:rPr>
          <w:rFonts w:hint="eastAsia" w:ascii="宋体" w:hAnsi="宋体" w:cs="宋体"/>
          <w:bCs/>
          <w:color w:val="auto"/>
          <w:sz w:val="24"/>
          <w:highlight w:val="none"/>
          <w:lang w:eastAsia="zh-CN"/>
        </w:rPr>
        <w:t>青秀区73套农村生活污水处理设施第三方运维服务</w:t>
      </w:r>
    </w:p>
    <w:p>
      <w:pPr>
        <w:snapToGrid w:val="0"/>
        <w:spacing w:before="165"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项目编号：</w:t>
      </w:r>
    </w:p>
    <w:p>
      <w:pPr>
        <w:snapToGrid w:val="0"/>
        <w:spacing w:before="165"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pPr>
        <w:snapToGrid w:val="0"/>
        <w:spacing w:before="165"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pPr>
        <w:snapToGrid w:val="0"/>
        <w:spacing w:before="165"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pPr>
        <w:snapToGrid w:val="0"/>
        <w:spacing w:before="165"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pPr>
        <w:snapToGrid w:val="0"/>
        <w:spacing w:before="165" w:after="50"/>
        <w:ind w:firstLine="645"/>
        <w:jc w:val="center"/>
        <w:rPr>
          <w:rFonts w:ascii="宋体" w:hAnsi="宋体" w:cs="宋体"/>
          <w:color w:val="auto"/>
          <w:sz w:val="24"/>
          <w:szCs w:val="20"/>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pPr>
        <w:pStyle w:val="133"/>
        <w:spacing w:line="360" w:lineRule="auto"/>
        <w:rPr>
          <w:rFonts w:ascii="宋体" w:hAnsi="宋体" w:eastAsia="宋体" w:cs="宋体"/>
          <w:color w:val="auto"/>
          <w:highlight w:val="none"/>
        </w:rPr>
      </w:pPr>
      <w:r>
        <w:rPr>
          <w:rFonts w:hint="eastAsia" w:ascii="宋体" w:hAnsi="宋体" w:eastAsia="宋体" w:cs="宋体"/>
          <w:color w:val="auto"/>
          <w:highlight w:val="none"/>
        </w:rPr>
        <w:t>一、投标服务需求、技术需求偏离表……………………………………………（页码）</w:t>
      </w:r>
    </w:p>
    <w:p>
      <w:pPr>
        <w:pStyle w:val="133"/>
        <w:spacing w:line="360" w:lineRule="auto"/>
        <w:rPr>
          <w:rFonts w:ascii="宋体" w:hAnsi="宋体" w:eastAsia="宋体" w:cs="宋体"/>
          <w:color w:val="auto"/>
          <w:highlight w:val="none"/>
        </w:rPr>
      </w:pPr>
      <w:r>
        <w:rPr>
          <w:rFonts w:hint="eastAsia" w:ascii="宋体" w:hAnsi="宋体" w:eastAsia="宋体" w:cs="宋体"/>
          <w:color w:val="auto"/>
          <w:highlight w:val="none"/>
        </w:rPr>
        <w:t>二、对本项目的常见问题分析及对应合理化措施方案…………………………（页码）</w:t>
      </w:r>
    </w:p>
    <w:p>
      <w:pPr>
        <w:pStyle w:val="133"/>
        <w:spacing w:line="360" w:lineRule="auto"/>
        <w:rPr>
          <w:rFonts w:ascii="宋体" w:hAnsi="宋体" w:eastAsia="宋体" w:cs="宋体"/>
          <w:color w:val="auto"/>
          <w:highlight w:val="none"/>
        </w:rPr>
      </w:pPr>
      <w:r>
        <w:rPr>
          <w:rFonts w:hint="eastAsia" w:ascii="宋体" w:hAnsi="宋体" w:eastAsia="宋体" w:cs="宋体"/>
          <w:color w:val="auto"/>
          <w:highlight w:val="none"/>
        </w:rPr>
        <w:t>三、组织实施方案…………………………………………………………………（页码）</w:t>
      </w:r>
    </w:p>
    <w:p>
      <w:pPr>
        <w:pStyle w:val="133"/>
        <w:spacing w:line="360" w:lineRule="auto"/>
        <w:rPr>
          <w:rFonts w:ascii="宋体" w:hAnsi="宋体" w:eastAsia="宋体" w:cs="宋体"/>
          <w:color w:val="auto"/>
          <w:highlight w:val="none"/>
        </w:rPr>
      </w:pPr>
      <w:r>
        <w:rPr>
          <w:rFonts w:hint="eastAsia" w:ascii="宋体" w:hAnsi="宋体" w:eastAsia="宋体" w:cs="宋体"/>
          <w:color w:val="auto"/>
          <w:highlight w:val="none"/>
        </w:rPr>
        <w:t>四、拟投入人员配备</w:t>
      </w: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……………………………（页码）</w:t>
      </w:r>
    </w:p>
    <w:p>
      <w:pPr>
        <w:pStyle w:val="133"/>
        <w:spacing w:line="360" w:lineRule="auto"/>
        <w:rPr>
          <w:rFonts w:ascii="宋体" w:hAnsi="宋体" w:eastAsia="宋体" w:cs="宋体"/>
          <w:color w:val="auto"/>
          <w:highlight w:val="none"/>
        </w:rPr>
      </w:pPr>
      <w:r>
        <w:rPr>
          <w:rFonts w:hint="eastAsia" w:ascii="宋体" w:hAnsi="宋体" w:eastAsia="宋体" w:cs="宋体"/>
          <w:color w:val="auto"/>
          <w:highlight w:val="none"/>
        </w:rPr>
        <w:t>五、除招标文件规定必须提供以外，投标人需要说明的其他文件和说明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pPr>
        <w:snapToGrid w:val="0"/>
        <w:spacing w:before="165" w:after="50"/>
        <w:ind w:left="143" w:leftChars="68" w:firstLine="472" w:firstLineChars="196"/>
        <w:jc w:val="left"/>
        <w:rPr>
          <w:rFonts w:ascii="宋体" w:hAnsi="宋体" w:cs="宋体"/>
          <w:b/>
          <w:color w:val="auto"/>
          <w:sz w:val="24"/>
          <w:highlight w:val="none"/>
        </w:rPr>
      </w:pPr>
    </w:p>
    <w:p>
      <w:pPr>
        <w:snapToGrid w:val="0"/>
        <w:spacing w:before="165" w:after="50"/>
        <w:ind w:left="143" w:leftChars="68" w:firstLine="472" w:firstLineChars="196"/>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pPr>
        <w:pStyle w:val="42"/>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一、投标服务技术需求偏离表</w:t>
      </w:r>
    </w:p>
    <w:p>
      <w:pPr>
        <w:pStyle w:val="42"/>
        <w:spacing w:line="440" w:lineRule="exact"/>
        <w:ind w:firstLine="420" w:firstLineChars="200"/>
        <w:rPr>
          <w:rFonts w:hAnsi="宋体" w:cs="宋体"/>
          <w:color w:val="auto"/>
          <w:highlight w:val="none"/>
        </w:rPr>
      </w:pPr>
    </w:p>
    <w:p>
      <w:pPr>
        <w:pStyle w:val="42"/>
        <w:spacing w:line="6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4"/>
        <w:gridCol w:w="774"/>
        <w:gridCol w:w="1276"/>
        <w:gridCol w:w="1520"/>
        <w:gridCol w:w="1516"/>
        <w:gridCol w:w="3297"/>
        <w:gridCol w:w="1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7" w:hRule="atLeast"/>
          <w:jc w:val="center"/>
        </w:trPr>
        <w:tc>
          <w:tcPr>
            <w:tcW w:w="634" w:type="dxa"/>
            <w:vMerge w:val="restart"/>
            <w:vAlign w:val="center"/>
          </w:tcPr>
          <w:p>
            <w:pPr>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3"/>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vAlign w:val="center"/>
          </w:tcPr>
          <w:p>
            <w:pP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5" w:hRule="atLeast"/>
          <w:jc w:val="center"/>
        </w:trPr>
        <w:tc>
          <w:tcPr>
            <w:tcW w:w="634" w:type="dxa"/>
            <w:vMerge w:val="continue"/>
            <w:vAlign w:val="center"/>
          </w:tcPr>
          <w:p>
            <w:pPr>
              <w:widowControl/>
              <w:jc w:val="left"/>
              <w:rPr>
                <w:rFonts w:ascii="宋体" w:hAnsi="宋体" w:cs="宋体"/>
                <w:color w:val="auto"/>
                <w:szCs w:val="21"/>
                <w:highlight w:val="none"/>
              </w:rPr>
            </w:pPr>
          </w:p>
        </w:tc>
        <w:tc>
          <w:tcPr>
            <w:tcW w:w="77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127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分项内容</w:t>
            </w:r>
          </w:p>
        </w:tc>
        <w:tc>
          <w:tcPr>
            <w:tcW w:w="152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51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vAlign w:val="center"/>
          </w:tcPr>
          <w:p>
            <w:pPr>
              <w:widowControl/>
              <w:jc w:val="left"/>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4" w:type="dxa"/>
            <w:vMerge w:val="restart"/>
            <w:vAlign w:val="center"/>
          </w:tcPr>
          <w:p>
            <w:pPr>
              <w:rPr>
                <w:rFonts w:ascii="宋体" w:hAnsi="宋体" w:cs="宋体"/>
                <w:color w:val="auto"/>
                <w:szCs w:val="22"/>
                <w:highlight w:val="none"/>
              </w:rPr>
            </w:pPr>
            <w:r>
              <w:rPr>
                <w:rFonts w:hint="eastAsia" w:ascii="宋体" w:hAnsi="宋体" w:cs="宋体"/>
                <w:color w:val="auto"/>
                <w:szCs w:val="22"/>
                <w:highlight w:val="none"/>
              </w:rPr>
              <w:t>1</w:t>
            </w:r>
          </w:p>
        </w:tc>
        <w:tc>
          <w:tcPr>
            <w:tcW w:w="774" w:type="dxa"/>
            <w:vMerge w:val="restart"/>
            <w:vAlign w:val="center"/>
          </w:tcPr>
          <w:p>
            <w:pPr>
              <w:snapToGrid w:val="0"/>
              <w:spacing w:line="360" w:lineRule="auto"/>
              <w:rPr>
                <w:rFonts w:ascii="宋体" w:hAnsi="宋体" w:cs="宋体"/>
                <w:color w:val="auto"/>
                <w:szCs w:val="21"/>
                <w:highlight w:val="none"/>
              </w:rPr>
            </w:pPr>
          </w:p>
        </w:tc>
        <w:tc>
          <w:tcPr>
            <w:tcW w:w="1276" w:type="dxa"/>
            <w:vAlign w:val="center"/>
          </w:tcPr>
          <w:p>
            <w:pPr>
              <w:pStyle w:val="42"/>
              <w:snapToGrid w:val="0"/>
              <w:spacing w:line="360" w:lineRule="exact"/>
              <w:jc w:val="center"/>
              <w:rPr>
                <w:rFonts w:hAnsi="宋体" w:cs="宋体"/>
                <w:b/>
                <w:color w:val="auto"/>
                <w:szCs w:val="21"/>
                <w:highlight w:val="none"/>
              </w:rPr>
            </w:pPr>
          </w:p>
        </w:tc>
        <w:tc>
          <w:tcPr>
            <w:tcW w:w="1520" w:type="dxa"/>
            <w:vAlign w:val="center"/>
          </w:tcPr>
          <w:p>
            <w:pPr>
              <w:rPr>
                <w:rFonts w:ascii="宋体" w:hAnsi="宋体" w:cs="宋体"/>
                <w:color w:val="auto"/>
                <w:szCs w:val="21"/>
                <w:highlight w:val="none"/>
              </w:rPr>
            </w:pPr>
            <w:r>
              <w:rPr>
                <w:rFonts w:hint="eastAsia" w:ascii="宋体" w:hAnsi="宋体" w:cs="宋体"/>
                <w:color w:val="auto"/>
                <w:szCs w:val="21"/>
                <w:highlight w:val="none"/>
              </w:rPr>
              <w:t>1  ……</w:t>
            </w:r>
          </w:p>
          <w:p>
            <w:pPr>
              <w:rPr>
                <w:rFonts w:ascii="宋体" w:hAnsi="宋体" w:cs="宋体"/>
                <w:color w:val="auto"/>
                <w:szCs w:val="21"/>
                <w:highlight w:val="none"/>
              </w:rPr>
            </w:pPr>
            <w:r>
              <w:rPr>
                <w:rFonts w:hint="eastAsia" w:ascii="宋体" w:hAnsi="宋体" w:cs="宋体"/>
                <w:color w:val="auto"/>
                <w:szCs w:val="21"/>
                <w:highlight w:val="none"/>
              </w:rPr>
              <w:t>2  ……</w:t>
            </w:r>
          </w:p>
          <w:p>
            <w:pPr>
              <w:rPr>
                <w:rFonts w:ascii="宋体" w:hAnsi="宋体" w:cs="宋体"/>
                <w:color w:val="auto"/>
                <w:szCs w:val="21"/>
                <w:highlight w:val="none"/>
              </w:rPr>
            </w:pPr>
            <w:r>
              <w:rPr>
                <w:rFonts w:hint="eastAsia" w:ascii="宋体" w:hAnsi="宋体" w:cs="宋体"/>
                <w:color w:val="auto"/>
                <w:szCs w:val="21"/>
                <w:highlight w:val="none"/>
              </w:rPr>
              <w:t>3  ……</w:t>
            </w:r>
          </w:p>
          <w:p>
            <w:pPr>
              <w:rPr>
                <w:rFonts w:ascii="宋体" w:hAnsi="宋体" w:cs="宋体"/>
                <w:color w:val="auto"/>
                <w:szCs w:val="21"/>
                <w:highlight w:val="none"/>
              </w:rPr>
            </w:pPr>
            <w:r>
              <w:rPr>
                <w:rFonts w:hint="eastAsia" w:ascii="宋体" w:hAnsi="宋体" w:cs="宋体"/>
                <w:color w:val="auto"/>
                <w:szCs w:val="21"/>
                <w:highlight w:val="none"/>
              </w:rPr>
              <w:t>……</w:t>
            </w:r>
          </w:p>
        </w:tc>
        <w:tc>
          <w:tcPr>
            <w:tcW w:w="1516" w:type="dxa"/>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3297" w:type="dxa"/>
            <w:vAlign w:val="center"/>
          </w:tcPr>
          <w:p>
            <w:pPr>
              <w:rPr>
                <w:rFonts w:ascii="宋体" w:hAnsi="宋体" w:cs="宋体"/>
                <w:color w:val="auto"/>
                <w:szCs w:val="21"/>
                <w:highlight w:val="none"/>
              </w:rPr>
            </w:pPr>
            <w:r>
              <w:rPr>
                <w:rFonts w:hint="eastAsia" w:ascii="宋体" w:hAnsi="宋体" w:cs="宋体"/>
                <w:color w:val="auto"/>
                <w:szCs w:val="21"/>
                <w:highlight w:val="none"/>
              </w:rPr>
              <w:t>1  ……</w:t>
            </w:r>
          </w:p>
          <w:p>
            <w:pPr>
              <w:rPr>
                <w:rFonts w:ascii="宋体" w:hAnsi="宋体" w:cs="宋体"/>
                <w:color w:val="auto"/>
                <w:szCs w:val="21"/>
                <w:highlight w:val="none"/>
              </w:rPr>
            </w:pPr>
            <w:r>
              <w:rPr>
                <w:rFonts w:hint="eastAsia" w:ascii="宋体" w:hAnsi="宋体" w:cs="宋体"/>
                <w:color w:val="auto"/>
                <w:szCs w:val="21"/>
                <w:highlight w:val="none"/>
              </w:rPr>
              <w:t>2  ……</w:t>
            </w:r>
          </w:p>
          <w:p>
            <w:pPr>
              <w:rPr>
                <w:rFonts w:ascii="宋体" w:hAnsi="宋体" w:cs="宋体"/>
                <w:color w:val="auto"/>
                <w:szCs w:val="21"/>
                <w:highlight w:val="none"/>
              </w:rPr>
            </w:pPr>
            <w:r>
              <w:rPr>
                <w:rFonts w:hint="eastAsia" w:ascii="宋体" w:hAnsi="宋体" w:cs="宋体"/>
                <w:color w:val="auto"/>
                <w:szCs w:val="21"/>
                <w:highlight w:val="none"/>
              </w:rPr>
              <w:t>3  ……</w:t>
            </w:r>
          </w:p>
          <w:p>
            <w:pPr>
              <w:rPr>
                <w:rFonts w:ascii="宋体" w:hAnsi="宋体" w:cs="宋体"/>
                <w:color w:val="auto"/>
                <w:szCs w:val="21"/>
                <w:highlight w:val="none"/>
              </w:rPr>
            </w:pPr>
            <w:r>
              <w:rPr>
                <w:rFonts w:hint="eastAsia" w:ascii="宋体" w:hAnsi="宋体" w:cs="宋体"/>
                <w:color w:val="auto"/>
                <w:szCs w:val="21"/>
                <w:highlight w:val="none"/>
              </w:rPr>
              <w:t>……</w:t>
            </w:r>
          </w:p>
        </w:tc>
        <w:tc>
          <w:tcPr>
            <w:tcW w:w="1168" w:type="dxa"/>
            <w:vAlign w:val="center"/>
          </w:tcPr>
          <w:p>
            <w:pPr>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4" w:type="dxa"/>
            <w:vMerge w:val="continue"/>
            <w:vAlign w:val="center"/>
          </w:tcPr>
          <w:p>
            <w:pPr>
              <w:rPr>
                <w:rFonts w:ascii="宋体" w:hAnsi="宋体" w:cs="宋体"/>
                <w:color w:val="auto"/>
                <w:szCs w:val="21"/>
                <w:highlight w:val="none"/>
              </w:rPr>
            </w:pPr>
          </w:p>
        </w:tc>
        <w:tc>
          <w:tcPr>
            <w:tcW w:w="774" w:type="dxa"/>
            <w:vMerge w:val="continue"/>
            <w:vAlign w:val="center"/>
          </w:tcPr>
          <w:p>
            <w:pPr>
              <w:rPr>
                <w:rFonts w:ascii="宋体" w:hAnsi="宋体" w:cs="宋体"/>
                <w:color w:val="auto"/>
                <w:szCs w:val="21"/>
                <w:highlight w:val="none"/>
              </w:rPr>
            </w:pPr>
          </w:p>
        </w:tc>
        <w:tc>
          <w:tcPr>
            <w:tcW w:w="1276" w:type="dxa"/>
            <w:vAlign w:val="center"/>
          </w:tcPr>
          <w:p>
            <w:pPr>
              <w:pStyle w:val="42"/>
              <w:snapToGrid w:val="0"/>
              <w:spacing w:line="360" w:lineRule="exact"/>
              <w:jc w:val="center"/>
              <w:rPr>
                <w:rFonts w:hAnsi="宋体" w:cs="宋体"/>
                <w:b/>
                <w:color w:val="auto"/>
                <w:szCs w:val="21"/>
                <w:highlight w:val="none"/>
              </w:rPr>
            </w:pPr>
          </w:p>
        </w:tc>
        <w:tc>
          <w:tcPr>
            <w:tcW w:w="1520" w:type="dxa"/>
            <w:vAlign w:val="center"/>
          </w:tcPr>
          <w:p>
            <w:pPr>
              <w:rPr>
                <w:rFonts w:ascii="宋体" w:hAnsi="宋体" w:cs="宋体"/>
                <w:color w:val="auto"/>
                <w:szCs w:val="21"/>
                <w:highlight w:val="none"/>
              </w:rPr>
            </w:pPr>
            <w:r>
              <w:rPr>
                <w:rFonts w:hint="eastAsia" w:ascii="宋体" w:hAnsi="宋体" w:cs="宋体"/>
                <w:color w:val="auto"/>
                <w:szCs w:val="21"/>
                <w:highlight w:val="none"/>
              </w:rPr>
              <w:t>1  ……</w:t>
            </w:r>
          </w:p>
          <w:p>
            <w:pPr>
              <w:rPr>
                <w:rFonts w:ascii="宋体" w:hAnsi="宋体" w:cs="宋体"/>
                <w:color w:val="auto"/>
                <w:szCs w:val="21"/>
                <w:highlight w:val="none"/>
              </w:rPr>
            </w:pPr>
            <w:r>
              <w:rPr>
                <w:rFonts w:hint="eastAsia" w:ascii="宋体" w:hAnsi="宋体" w:cs="宋体"/>
                <w:color w:val="auto"/>
                <w:szCs w:val="21"/>
                <w:highlight w:val="none"/>
              </w:rPr>
              <w:t>2  ……</w:t>
            </w:r>
          </w:p>
          <w:p>
            <w:pPr>
              <w:rPr>
                <w:rFonts w:ascii="宋体" w:hAnsi="宋体" w:cs="宋体"/>
                <w:color w:val="auto"/>
                <w:szCs w:val="21"/>
                <w:highlight w:val="none"/>
              </w:rPr>
            </w:pPr>
            <w:r>
              <w:rPr>
                <w:rFonts w:hint="eastAsia" w:ascii="宋体" w:hAnsi="宋体" w:cs="宋体"/>
                <w:color w:val="auto"/>
                <w:szCs w:val="21"/>
                <w:highlight w:val="none"/>
              </w:rPr>
              <w:t>3  ……</w:t>
            </w:r>
          </w:p>
          <w:p>
            <w:pPr>
              <w:rPr>
                <w:rFonts w:ascii="宋体" w:hAnsi="宋体" w:cs="宋体"/>
                <w:color w:val="auto"/>
                <w:szCs w:val="21"/>
                <w:highlight w:val="none"/>
              </w:rPr>
            </w:pPr>
            <w:r>
              <w:rPr>
                <w:rFonts w:hint="eastAsia" w:ascii="宋体" w:hAnsi="宋体" w:cs="宋体"/>
                <w:color w:val="auto"/>
                <w:szCs w:val="21"/>
                <w:highlight w:val="none"/>
              </w:rPr>
              <w:t>……</w:t>
            </w:r>
          </w:p>
        </w:tc>
        <w:tc>
          <w:tcPr>
            <w:tcW w:w="1516" w:type="dxa"/>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3297" w:type="dxa"/>
            <w:vAlign w:val="center"/>
          </w:tcPr>
          <w:p>
            <w:pPr>
              <w:rPr>
                <w:rFonts w:ascii="宋体" w:hAnsi="宋体" w:cs="宋体"/>
                <w:color w:val="auto"/>
                <w:szCs w:val="21"/>
                <w:highlight w:val="none"/>
              </w:rPr>
            </w:pPr>
            <w:r>
              <w:rPr>
                <w:rFonts w:hint="eastAsia" w:ascii="宋体" w:hAnsi="宋体" w:cs="宋体"/>
                <w:color w:val="auto"/>
                <w:szCs w:val="21"/>
                <w:highlight w:val="none"/>
              </w:rPr>
              <w:t>1  ……</w:t>
            </w:r>
          </w:p>
          <w:p>
            <w:pPr>
              <w:rPr>
                <w:rFonts w:ascii="宋体" w:hAnsi="宋体" w:cs="宋体"/>
                <w:color w:val="auto"/>
                <w:szCs w:val="21"/>
                <w:highlight w:val="none"/>
              </w:rPr>
            </w:pPr>
            <w:r>
              <w:rPr>
                <w:rFonts w:hint="eastAsia" w:ascii="宋体" w:hAnsi="宋体" w:cs="宋体"/>
                <w:color w:val="auto"/>
                <w:szCs w:val="21"/>
                <w:highlight w:val="none"/>
              </w:rPr>
              <w:t>2  ……</w:t>
            </w:r>
          </w:p>
          <w:p>
            <w:pPr>
              <w:rPr>
                <w:rFonts w:ascii="宋体" w:hAnsi="宋体" w:cs="宋体"/>
                <w:color w:val="auto"/>
                <w:szCs w:val="21"/>
                <w:highlight w:val="none"/>
              </w:rPr>
            </w:pPr>
            <w:r>
              <w:rPr>
                <w:rFonts w:hint="eastAsia" w:ascii="宋体" w:hAnsi="宋体" w:cs="宋体"/>
                <w:color w:val="auto"/>
                <w:szCs w:val="21"/>
                <w:highlight w:val="none"/>
              </w:rPr>
              <w:t>3  ……</w:t>
            </w:r>
          </w:p>
          <w:p>
            <w:pPr>
              <w:rPr>
                <w:rFonts w:ascii="宋体" w:hAnsi="宋体" w:cs="宋体"/>
                <w:color w:val="auto"/>
                <w:szCs w:val="21"/>
                <w:highlight w:val="none"/>
              </w:rPr>
            </w:pPr>
            <w:r>
              <w:rPr>
                <w:rFonts w:hint="eastAsia" w:ascii="宋体" w:hAnsi="宋体" w:cs="宋体"/>
                <w:color w:val="auto"/>
                <w:szCs w:val="21"/>
                <w:highlight w:val="none"/>
              </w:rPr>
              <w:t>……</w:t>
            </w:r>
          </w:p>
        </w:tc>
        <w:tc>
          <w:tcPr>
            <w:tcW w:w="1168" w:type="dxa"/>
            <w:vAlign w:val="center"/>
          </w:tcPr>
          <w:p>
            <w:pPr>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4" w:type="dxa"/>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2050" w:type="dxa"/>
            <w:gridSpan w:val="2"/>
            <w:vAlign w:val="center"/>
          </w:tcPr>
          <w:p>
            <w:pPr>
              <w:rPr>
                <w:rFonts w:ascii="宋体" w:hAnsi="宋体" w:cs="宋体"/>
                <w:color w:val="auto"/>
                <w:szCs w:val="21"/>
                <w:highlight w:val="none"/>
              </w:rPr>
            </w:pPr>
          </w:p>
        </w:tc>
        <w:tc>
          <w:tcPr>
            <w:tcW w:w="1520" w:type="dxa"/>
            <w:vAlign w:val="center"/>
          </w:tcPr>
          <w:p>
            <w:pPr>
              <w:rPr>
                <w:rFonts w:ascii="宋体" w:hAnsi="宋体" w:cs="宋体"/>
                <w:color w:val="auto"/>
                <w:szCs w:val="21"/>
                <w:highlight w:val="none"/>
              </w:rPr>
            </w:pPr>
          </w:p>
        </w:tc>
        <w:tc>
          <w:tcPr>
            <w:tcW w:w="1516" w:type="dxa"/>
            <w:vAlign w:val="center"/>
          </w:tcPr>
          <w:p>
            <w:pPr>
              <w:rPr>
                <w:rFonts w:ascii="宋体" w:hAnsi="宋体" w:cs="宋体"/>
                <w:color w:val="auto"/>
                <w:szCs w:val="21"/>
                <w:highlight w:val="none"/>
              </w:rPr>
            </w:pPr>
          </w:p>
        </w:tc>
        <w:tc>
          <w:tcPr>
            <w:tcW w:w="3297" w:type="dxa"/>
            <w:vAlign w:val="center"/>
          </w:tcPr>
          <w:p>
            <w:pPr>
              <w:rPr>
                <w:rFonts w:ascii="宋体" w:hAnsi="宋体" w:cs="宋体"/>
                <w:color w:val="auto"/>
                <w:szCs w:val="21"/>
                <w:highlight w:val="none"/>
              </w:rPr>
            </w:pPr>
          </w:p>
        </w:tc>
        <w:tc>
          <w:tcPr>
            <w:tcW w:w="1168" w:type="dxa"/>
            <w:vAlign w:val="center"/>
          </w:tcPr>
          <w:p>
            <w:pPr>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10185" w:type="dxa"/>
            <w:gridSpan w:val="7"/>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pPr>
        <w:pStyle w:val="42"/>
        <w:spacing w:line="360" w:lineRule="auto"/>
        <w:rPr>
          <w:rFonts w:hAnsi="宋体" w:cs="宋体"/>
          <w:color w:val="auto"/>
          <w:szCs w:val="21"/>
          <w:highlight w:val="none"/>
        </w:rPr>
      </w:pPr>
      <w:r>
        <w:rPr>
          <w:rFonts w:hint="eastAsia" w:hAnsi="宋体" w:cs="宋体"/>
          <w:color w:val="auto"/>
          <w:szCs w:val="21"/>
          <w:highlight w:val="none"/>
        </w:rPr>
        <w:t>注：</w:t>
      </w:r>
    </w:p>
    <w:p>
      <w:pPr>
        <w:pStyle w:val="42"/>
        <w:spacing w:line="360" w:lineRule="auto"/>
        <w:rPr>
          <w:rFonts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否则按投标无效处理</w:t>
      </w:r>
      <w:r>
        <w:rPr>
          <w:rFonts w:hint="eastAsia" w:hAnsi="宋体" w:cs="宋体"/>
          <w:color w:val="auto"/>
          <w:szCs w:val="21"/>
          <w:highlight w:val="none"/>
        </w:rPr>
        <w:t>。</w:t>
      </w:r>
    </w:p>
    <w:p>
      <w:pPr>
        <w:pStyle w:val="42"/>
        <w:spacing w:line="360" w:lineRule="auto"/>
        <w:rPr>
          <w:rFonts w:hAnsi="宋体" w:cs="宋体"/>
          <w:bCs/>
          <w:color w:val="auto"/>
          <w:szCs w:val="21"/>
          <w:highlight w:val="none"/>
        </w:rPr>
      </w:pPr>
      <w:r>
        <w:rPr>
          <w:rFonts w:hint="eastAsia" w:hAnsi="宋体" w:cs="宋体"/>
          <w:bCs/>
          <w:color w:val="auto"/>
          <w:szCs w:val="21"/>
          <w:highlight w:val="none"/>
        </w:rPr>
        <w:t>2.当投标文件的服务内容低于招标文件要求时，投标人应当如实写明“负偏离”，否则视为虚假应标。</w:t>
      </w:r>
    </w:p>
    <w:p>
      <w:pPr>
        <w:pStyle w:val="42"/>
        <w:spacing w:line="360" w:lineRule="auto"/>
        <w:rPr>
          <w:rFonts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pPr>
        <w:snapToGrid w:val="0"/>
        <w:spacing w:line="360" w:lineRule="auto"/>
        <w:ind w:firstLine="5640" w:firstLineChars="2350"/>
        <w:rPr>
          <w:rFonts w:ascii="宋体" w:hAnsi="宋体" w:cs="宋体"/>
          <w:color w:val="auto"/>
          <w:kern w:val="0"/>
          <w:sz w:val="24"/>
          <w:highlight w:val="none"/>
          <w:lang w:val="zh-CN"/>
        </w:rPr>
      </w:pP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before="165" w:after="50"/>
        <w:ind w:left="143" w:leftChars="68" w:firstLine="600" w:firstLineChars="200"/>
        <w:jc w:val="left"/>
        <w:rPr>
          <w:rFonts w:ascii="宋体" w:hAnsi="宋体" w:cs="宋体"/>
          <w:color w:val="auto"/>
          <w:sz w:val="30"/>
          <w:szCs w:val="20"/>
          <w:highlight w:val="none"/>
        </w:rPr>
        <w:sectPr>
          <w:footerReference r:id="rId19" w:type="first"/>
          <w:headerReference r:id="rId16" w:type="default"/>
          <w:footerReference r:id="rId17" w:type="default"/>
          <w:footerReference r:id="rId18" w:type="even"/>
          <w:pgSz w:w="11906" w:h="16838"/>
          <w:pgMar w:top="1440" w:right="1080" w:bottom="1440" w:left="1080" w:header="720" w:footer="720" w:gutter="0"/>
          <w:pgNumType w:fmt="decimal"/>
          <w:cols w:space="720" w:num="1"/>
          <w:docGrid w:type="lines" w:linePitch="331" w:charSpace="0"/>
        </w:sectPr>
      </w:pPr>
    </w:p>
    <w:p>
      <w:pPr>
        <w:numPr>
          <w:ilvl w:val="0"/>
          <w:numId w:val="6"/>
        </w:numPr>
        <w:snapToGrid w:val="0"/>
        <w:spacing w:before="165" w:after="5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对本项目的常见问题分析及对应合理化措施方案</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pPr>
        <w:autoSpaceDE w:val="0"/>
        <w:autoSpaceDN w:val="0"/>
        <w:spacing w:line="360" w:lineRule="auto"/>
        <w:ind w:firstLine="4440" w:firstLineChars="1850"/>
        <w:rPr>
          <w:rFonts w:ascii="宋体" w:hAnsi="宋体" w:cs="宋体"/>
          <w:color w:val="auto"/>
          <w:kern w:val="0"/>
          <w:sz w:val="24"/>
          <w:highlight w:val="none"/>
        </w:rPr>
      </w:pPr>
    </w:p>
    <w:p>
      <w:pPr>
        <w:autoSpaceDE w:val="0"/>
        <w:autoSpaceDN w:val="0"/>
        <w:spacing w:line="360" w:lineRule="auto"/>
        <w:ind w:firstLine="4440" w:firstLineChars="1850"/>
        <w:rPr>
          <w:rFonts w:ascii="宋体" w:hAnsi="宋体" w:cs="宋体"/>
          <w:color w:val="auto"/>
          <w:kern w:val="0"/>
          <w:sz w:val="24"/>
          <w:highlight w:val="none"/>
        </w:rPr>
      </w:pPr>
    </w:p>
    <w:p>
      <w:pPr>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pPr>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pPr>
        <w:snapToGrid w:val="0"/>
        <w:spacing w:before="165" w:after="5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r>
        <w:rPr>
          <w:rFonts w:hint="eastAsia" w:ascii="宋体" w:hAnsi="宋体" w:cs="宋体"/>
          <w:b/>
          <w:bCs/>
          <w:color w:val="auto"/>
          <w:sz w:val="30"/>
          <w:szCs w:val="30"/>
          <w:highlight w:val="none"/>
        </w:rPr>
        <w:t>三、组织实施方案</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pPr>
        <w:rPr>
          <w:rFonts w:ascii="宋体" w:hAnsi="宋体" w:cs="宋体"/>
          <w:b/>
          <w:bCs/>
          <w:color w:val="auto"/>
          <w:kern w:val="0"/>
          <w:sz w:val="24"/>
          <w:highlight w:val="none"/>
          <w:lang w:val="zh-CN"/>
        </w:rPr>
      </w:pPr>
    </w:p>
    <w:p>
      <w:pPr>
        <w:autoSpaceDE w:val="0"/>
        <w:autoSpaceDN w:val="0"/>
        <w:spacing w:line="360" w:lineRule="auto"/>
        <w:rPr>
          <w:rFonts w:ascii="宋体" w:hAnsi="宋体" w:cs="宋体"/>
          <w:color w:val="auto"/>
          <w:kern w:val="0"/>
          <w:sz w:val="24"/>
          <w:highlight w:val="none"/>
        </w:rPr>
      </w:pPr>
    </w:p>
    <w:p>
      <w:pPr>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pPr>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before="165" w:after="50"/>
        <w:jc w:val="center"/>
        <w:rPr>
          <w:rFonts w:ascii="宋体" w:hAnsi="宋体" w:cs="宋体"/>
          <w:b/>
          <w:bCs/>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pPr>
        <w:snapToGrid w:val="0"/>
        <w:spacing w:before="165"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四、拟投入人员配备</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w:t>
      </w:r>
      <w:r>
        <w:rPr>
          <w:rFonts w:hint="eastAsia" w:ascii="宋体" w:hAnsi="宋体" w:cs="宋体"/>
          <w:color w:val="auto"/>
          <w:sz w:val="24"/>
          <w:highlight w:val="none"/>
          <w:lang w:val="en-US" w:eastAsia="zh-CN"/>
        </w:rPr>
        <w:t>自行</w:t>
      </w:r>
      <w:r>
        <w:rPr>
          <w:rFonts w:hint="eastAsia" w:ascii="宋体" w:hAnsi="宋体" w:cs="宋体"/>
          <w:color w:val="auto"/>
          <w:sz w:val="24"/>
          <w:highlight w:val="none"/>
        </w:rPr>
        <w:t>编制）</w:t>
      </w:r>
    </w:p>
    <w:p>
      <w:pPr>
        <w:pStyle w:val="42"/>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pPr>
        <w:keepNext/>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8"/>
        <w:tblW w:w="0" w:type="auto"/>
        <w:jc w:val="center"/>
        <w:tblLayout w:type="fixed"/>
        <w:tblCellMar>
          <w:top w:w="0" w:type="dxa"/>
          <w:left w:w="108" w:type="dxa"/>
          <w:bottom w:w="0" w:type="dxa"/>
          <w:right w:w="108" w:type="dxa"/>
        </w:tblCellMar>
      </w:tblPr>
      <w:tblGrid>
        <w:gridCol w:w="2061"/>
        <w:gridCol w:w="1916"/>
        <w:gridCol w:w="4704"/>
      </w:tblGrid>
      <w:tr>
        <w:tblPrEx>
          <w:tblCellMar>
            <w:top w:w="0" w:type="dxa"/>
            <w:left w:w="108" w:type="dxa"/>
            <w:bottom w:w="0" w:type="dxa"/>
            <w:right w:w="108" w:type="dxa"/>
          </w:tblCellMar>
        </w:tblPrEx>
        <w:trPr>
          <w:trHeight w:val="604" w:hRule="atLeast"/>
          <w:jc w:val="center"/>
        </w:trPr>
        <w:tc>
          <w:tcPr>
            <w:tcW w:w="20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916" w:type="dxa"/>
            <w:tcBorders>
              <w:top w:val="single" w:color="000000" w:sz="6" w:space="0"/>
              <w:left w:val="single" w:color="000000" w:sz="6" w:space="0"/>
              <w:bottom w:val="single" w:color="000000" w:sz="6" w:space="0"/>
              <w:right w:val="single" w:color="000000" w:sz="4" w:space="0"/>
            </w:tcBorders>
            <w:shd w:val="clear" w:color="auto" w:fill="B3B3B3"/>
            <w:vAlign w:val="center"/>
          </w:tcPr>
          <w:p>
            <w:pPr>
              <w:autoSpaceDE w:val="0"/>
              <w:autoSpaceDN w:val="0"/>
              <w:spacing w:line="360" w:lineRule="auto"/>
              <w:jc w:val="center"/>
              <w:rPr>
                <w:rFonts w:ascii="宋体" w:hAnsi="宋体" w:cs="宋体"/>
                <w:color w:val="auto"/>
                <w:sz w:val="24"/>
                <w:highlight w:val="none"/>
              </w:rPr>
            </w:pPr>
          </w:p>
        </w:tc>
        <w:tc>
          <w:tcPr>
            <w:tcW w:w="470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tblPrEx>
          <w:tblCellMar>
            <w:top w:w="0" w:type="dxa"/>
            <w:left w:w="108" w:type="dxa"/>
            <w:bottom w:w="0" w:type="dxa"/>
            <w:right w:w="108" w:type="dxa"/>
          </w:tblCellMar>
        </w:tblPrEx>
        <w:trPr>
          <w:cantSplit/>
          <w:trHeight w:val="340" w:hRule="atLeast"/>
          <w:jc w:val="center"/>
        </w:trPr>
        <w:tc>
          <w:tcPr>
            <w:tcW w:w="20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916"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60" w:lineRule="auto"/>
              <w:jc w:val="center"/>
              <w:rPr>
                <w:rFonts w:ascii="宋体" w:hAnsi="宋体" w:cs="宋体"/>
                <w:color w:val="auto"/>
                <w:sz w:val="24"/>
                <w:highlight w:val="none"/>
              </w:rPr>
            </w:pPr>
          </w:p>
        </w:tc>
        <w:tc>
          <w:tcPr>
            <w:tcW w:w="4704" w:type="dxa"/>
            <w:vMerge w:val="restart"/>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0" w:hRule="atLeast"/>
          <w:jc w:val="center"/>
        </w:trPr>
        <w:tc>
          <w:tcPr>
            <w:tcW w:w="2061" w:type="dxa"/>
            <w:tcBorders>
              <w:top w:val="single" w:color="000000" w:sz="6" w:space="0"/>
              <w:left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916" w:type="dxa"/>
            <w:tcBorders>
              <w:top w:val="single" w:color="000000" w:sz="6" w:space="0"/>
              <w:left w:val="single" w:color="000000" w:sz="6" w:space="0"/>
              <w:right w:val="single" w:color="000000" w:sz="4" w:space="0"/>
            </w:tcBorders>
            <w:vAlign w:val="center"/>
          </w:tcPr>
          <w:p>
            <w:pPr>
              <w:autoSpaceDE w:val="0"/>
              <w:autoSpaceDN w:val="0"/>
              <w:spacing w:line="360" w:lineRule="auto"/>
              <w:jc w:val="center"/>
              <w:rPr>
                <w:rFonts w:ascii="宋体" w:hAnsi="宋体" w:cs="宋体"/>
                <w:color w:val="auto"/>
                <w:sz w:val="24"/>
                <w:highlight w:val="none"/>
              </w:rPr>
            </w:pPr>
          </w:p>
        </w:tc>
        <w:tc>
          <w:tcPr>
            <w:tcW w:w="4704" w:type="dxa"/>
            <w:vMerge w:val="continue"/>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0" w:hRule="atLeast"/>
          <w:jc w:val="center"/>
        </w:trPr>
        <w:tc>
          <w:tcPr>
            <w:tcW w:w="20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916"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60" w:lineRule="auto"/>
              <w:jc w:val="center"/>
              <w:rPr>
                <w:rFonts w:ascii="宋体" w:hAnsi="宋体" w:cs="宋体"/>
                <w:color w:val="auto"/>
                <w:sz w:val="24"/>
                <w:highlight w:val="none"/>
              </w:rPr>
            </w:pPr>
          </w:p>
        </w:tc>
        <w:tc>
          <w:tcPr>
            <w:tcW w:w="4704" w:type="dxa"/>
            <w:vMerge w:val="continue"/>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0" w:hRule="atLeast"/>
          <w:jc w:val="center"/>
        </w:trPr>
        <w:tc>
          <w:tcPr>
            <w:tcW w:w="20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916"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60" w:lineRule="auto"/>
              <w:jc w:val="center"/>
              <w:rPr>
                <w:rFonts w:ascii="宋体" w:hAnsi="宋体" w:cs="宋体"/>
                <w:color w:val="auto"/>
                <w:sz w:val="24"/>
                <w:highlight w:val="none"/>
              </w:rPr>
            </w:pPr>
          </w:p>
        </w:tc>
        <w:tc>
          <w:tcPr>
            <w:tcW w:w="4704" w:type="dxa"/>
            <w:vMerge w:val="continue"/>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0" w:hRule="atLeast"/>
          <w:jc w:val="center"/>
        </w:trPr>
        <w:tc>
          <w:tcPr>
            <w:tcW w:w="20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916"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60" w:lineRule="auto"/>
              <w:jc w:val="center"/>
              <w:rPr>
                <w:rFonts w:ascii="宋体" w:hAnsi="宋体" w:cs="宋体"/>
                <w:color w:val="auto"/>
                <w:sz w:val="24"/>
                <w:highlight w:val="none"/>
              </w:rPr>
            </w:pPr>
          </w:p>
        </w:tc>
        <w:tc>
          <w:tcPr>
            <w:tcW w:w="4704" w:type="dxa"/>
            <w:vMerge w:val="continue"/>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0" w:hRule="atLeast"/>
          <w:jc w:val="center"/>
        </w:trPr>
        <w:tc>
          <w:tcPr>
            <w:tcW w:w="20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916"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60" w:lineRule="auto"/>
              <w:jc w:val="center"/>
              <w:rPr>
                <w:rFonts w:ascii="宋体" w:hAnsi="宋体" w:cs="宋体"/>
                <w:color w:val="auto"/>
                <w:sz w:val="24"/>
                <w:highlight w:val="none"/>
              </w:rPr>
            </w:pPr>
          </w:p>
        </w:tc>
        <w:tc>
          <w:tcPr>
            <w:tcW w:w="4704" w:type="dxa"/>
            <w:vMerge w:val="continue"/>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0" w:hRule="atLeast"/>
          <w:jc w:val="center"/>
        </w:trPr>
        <w:tc>
          <w:tcPr>
            <w:tcW w:w="20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916"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60" w:lineRule="auto"/>
              <w:jc w:val="center"/>
              <w:rPr>
                <w:rFonts w:ascii="宋体" w:hAnsi="宋体" w:cs="宋体"/>
                <w:color w:val="auto"/>
                <w:sz w:val="24"/>
                <w:highlight w:val="none"/>
              </w:rPr>
            </w:pPr>
          </w:p>
        </w:tc>
        <w:tc>
          <w:tcPr>
            <w:tcW w:w="4704" w:type="dxa"/>
            <w:vMerge w:val="continue"/>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0" w:hRule="atLeast"/>
          <w:jc w:val="center"/>
        </w:trPr>
        <w:tc>
          <w:tcPr>
            <w:tcW w:w="20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916"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60" w:lineRule="auto"/>
              <w:jc w:val="center"/>
              <w:rPr>
                <w:rFonts w:ascii="宋体" w:hAnsi="宋体" w:cs="宋体"/>
                <w:color w:val="auto"/>
                <w:sz w:val="24"/>
                <w:highlight w:val="none"/>
              </w:rPr>
            </w:pPr>
          </w:p>
        </w:tc>
        <w:tc>
          <w:tcPr>
            <w:tcW w:w="4704" w:type="dxa"/>
            <w:vMerge w:val="continue"/>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p>
        </w:tc>
      </w:tr>
    </w:tbl>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w:t>
      </w:r>
      <w:r>
        <w:rPr>
          <w:rFonts w:hint="eastAsia" w:ascii="宋体" w:hAnsi="宋体" w:cs="宋体"/>
          <w:b/>
          <w:bCs/>
          <w:color w:val="auto"/>
          <w:sz w:val="24"/>
          <w:highlight w:val="none"/>
        </w:rPr>
        <w:t>可</w:t>
      </w:r>
      <w:r>
        <w:rPr>
          <w:rFonts w:hint="eastAsia" w:ascii="宋体" w:hAnsi="宋体" w:cs="宋体"/>
          <w:b/>
          <w:color w:val="auto"/>
          <w:sz w:val="24"/>
          <w:highlight w:val="none"/>
        </w:rPr>
        <w:t>随表提交相应的证书复印件。</w:t>
      </w:r>
    </w:p>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（可按此格式自制）</w:t>
      </w:r>
    </w:p>
    <w:tbl>
      <w:tblPr>
        <w:tblStyle w:val="8"/>
        <w:tblW w:w="0" w:type="auto"/>
        <w:jc w:val="center"/>
        <w:tblLayout w:type="fixed"/>
        <w:tblCellMar>
          <w:top w:w="0" w:type="dxa"/>
          <w:left w:w="108" w:type="dxa"/>
          <w:bottom w:w="0" w:type="dxa"/>
          <w:right w:w="108" w:type="dxa"/>
        </w:tblCellMar>
      </w:tblPr>
      <w:tblGrid>
        <w:gridCol w:w="420"/>
        <w:gridCol w:w="787"/>
        <w:gridCol w:w="412"/>
        <w:gridCol w:w="586"/>
        <w:gridCol w:w="1035"/>
        <w:gridCol w:w="1080"/>
        <w:gridCol w:w="1594"/>
        <w:gridCol w:w="1037"/>
        <w:gridCol w:w="1636"/>
      </w:tblGrid>
      <w:tr>
        <w:tblPrEx>
          <w:tblCellMar>
            <w:top w:w="0" w:type="dxa"/>
            <w:left w:w="108" w:type="dxa"/>
            <w:bottom w:w="0" w:type="dxa"/>
            <w:right w:w="108" w:type="dxa"/>
          </w:tblCellMar>
        </w:tblPrEx>
        <w:trPr>
          <w:jc w:val="center"/>
        </w:trPr>
        <w:tc>
          <w:tcPr>
            <w:tcW w:w="4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59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103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6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tblPrEx>
          <w:tblCellMar>
            <w:top w:w="0" w:type="dxa"/>
            <w:left w:w="108" w:type="dxa"/>
            <w:bottom w:w="0" w:type="dxa"/>
            <w:right w:w="108" w:type="dxa"/>
          </w:tblCellMar>
        </w:tblPrEx>
        <w:trPr>
          <w:trHeight w:val="479" w:hRule="atLeast"/>
          <w:jc w:val="center"/>
        </w:trPr>
        <w:tc>
          <w:tcPr>
            <w:tcW w:w="420"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jc w:val="center"/>
              <w:rPr>
                <w:rFonts w:ascii="宋体" w:hAnsi="宋体" w:cs="宋体"/>
                <w:color w:val="auto"/>
                <w:sz w:val="24"/>
                <w:highlight w:val="none"/>
              </w:rPr>
            </w:pPr>
          </w:p>
        </w:tc>
        <w:tc>
          <w:tcPr>
            <w:tcW w:w="78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rPr>
                <w:rFonts w:ascii="宋体" w:hAnsi="宋体" w:cs="宋体"/>
                <w:color w:val="auto"/>
                <w:sz w:val="24"/>
                <w:highlight w:val="none"/>
              </w:rPr>
            </w:pPr>
          </w:p>
        </w:tc>
        <w:tc>
          <w:tcPr>
            <w:tcW w:w="41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rPr>
                <w:rFonts w:ascii="宋体" w:hAnsi="宋体" w:cs="宋体"/>
                <w:color w:val="auto"/>
                <w:sz w:val="24"/>
                <w:highlight w:val="none"/>
              </w:rPr>
            </w:pPr>
          </w:p>
        </w:tc>
        <w:tc>
          <w:tcPr>
            <w:tcW w:w="586"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rPr>
                <w:rFonts w:ascii="宋体" w:hAnsi="宋体" w:cs="宋体"/>
                <w:color w:val="auto"/>
                <w:sz w:val="24"/>
                <w:highlight w:val="none"/>
              </w:rPr>
            </w:pPr>
          </w:p>
        </w:tc>
        <w:tc>
          <w:tcPr>
            <w:tcW w:w="1035"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rPr>
                <w:rFonts w:ascii="宋体" w:hAnsi="宋体" w:cs="宋体"/>
                <w:color w:val="auto"/>
                <w:sz w:val="24"/>
                <w:highlight w:val="none"/>
              </w:rPr>
            </w:pPr>
          </w:p>
        </w:tc>
        <w:tc>
          <w:tcPr>
            <w:tcW w:w="1594"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rPr>
                <w:rFonts w:ascii="宋体" w:hAnsi="宋体" w:cs="宋体"/>
                <w:color w:val="auto"/>
                <w:sz w:val="24"/>
                <w:highlight w:val="none"/>
              </w:rPr>
            </w:pPr>
          </w:p>
        </w:tc>
        <w:tc>
          <w:tcPr>
            <w:tcW w:w="103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rPr>
                <w:rFonts w:ascii="宋体" w:hAnsi="宋体" w:cs="宋体"/>
                <w:color w:val="auto"/>
                <w:sz w:val="24"/>
                <w:highlight w:val="none"/>
              </w:rPr>
            </w:pPr>
          </w:p>
        </w:tc>
        <w:tc>
          <w:tcPr>
            <w:tcW w:w="1636"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473" w:hRule="atLeast"/>
          <w:jc w:val="center"/>
        </w:trPr>
        <w:tc>
          <w:tcPr>
            <w:tcW w:w="420"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jc w:val="center"/>
              <w:rPr>
                <w:rFonts w:ascii="宋体" w:hAnsi="宋体" w:cs="宋体"/>
                <w:color w:val="auto"/>
                <w:sz w:val="24"/>
                <w:highlight w:val="none"/>
              </w:rPr>
            </w:pPr>
          </w:p>
        </w:tc>
        <w:tc>
          <w:tcPr>
            <w:tcW w:w="78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rPr>
                <w:rFonts w:ascii="宋体" w:hAnsi="宋体" w:cs="宋体"/>
                <w:color w:val="auto"/>
                <w:sz w:val="24"/>
                <w:highlight w:val="none"/>
              </w:rPr>
            </w:pPr>
          </w:p>
        </w:tc>
        <w:tc>
          <w:tcPr>
            <w:tcW w:w="41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rPr>
                <w:rFonts w:ascii="宋体" w:hAnsi="宋体" w:cs="宋体"/>
                <w:color w:val="auto"/>
                <w:sz w:val="24"/>
                <w:highlight w:val="none"/>
              </w:rPr>
            </w:pPr>
          </w:p>
        </w:tc>
        <w:tc>
          <w:tcPr>
            <w:tcW w:w="586"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rPr>
                <w:rFonts w:ascii="宋体" w:hAnsi="宋体" w:cs="宋体"/>
                <w:color w:val="auto"/>
                <w:sz w:val="24"/>
                <w:highlight w:val="none"/>
              </w:rPr>
            </w:pPr>
          </w:p>
        </w:tc>
        <w:tc>
          <w:tcPr>
            <w:tcW w:w="1035"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rPr>
                <w:rFonts w:ascii="宋体" w:hAnsi="宋体" w:cs="宋体"/>
                <w:color w:val="auto"/>
                <w:sz w:val="24"/>
                <w:highlight w:val="none"/>
              </w:rPr>
            </w:pPr>
          </w:p>
        </w:tc>
        <w:tc>
          <w:tcPr>
            <w:tcW w:w="1594"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rPr>
                <w:rFonts w:ascii="宋体" w:hAnsi="宋体" w:cs="宋体"/>
                <w:color w:val="auto"/>
                <w:sz w:val="24"/>
                <w:highlight w:val="none"/>
              </w:rPr>
            </w:pPr>
          </w:p>
        </w:tc>
        <w:tc>
          <w:tcPr>
            <w:tcW w:w="1037"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rPr>
                <w:rFonts w:ascii="宋体" w:hAnsi="宋体" w:cs="宋体"/>
                <w:color w:val="auto"/>
                <w:sz w:val="24"/>
                <w:highlight w:val="none"/>
              </w:rPr>
            </w:pPr>
          </w:p>
        </w:tc>
        <w:tc>
          <w:tcPr>
            <w:tcW w:w="1636"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rPr>
                <w:rFonts w:ascii="宋体" w:hAnsi="宋体" w:cs="宋体"/>
                <w:color w:val="auto"/>
                <w:sz w:val="24"/>
                <w:highlight w:val="none"/>
              </w:rPr>
            </w:pPr>
          </w:p>
        </w:tc>
      </w:tr>
    </w:tbl>
    <w:p>
      <w:pPr>
        <w:spacing w:line="360" w:lineRule="auto"/>
        <w:rPr>
          <w:rFonts w:ascii="宋体" w:hAnsi="宋体" w:cs="宋体"/>
          <w:b/>
          <w:color w:val="auto"/>
          <w:sz w:val="24"/>
          <w:highlight w:val="none"/>
        </w:rPr>
      </w:pPr>
      <w:r>
        <w:rPr>
          <w:rFonts w:hint="eastAsia" w:ascii="宋体" w:hAnsi="宋体" w:cs="宋体"/>
          <w:b/>
          <w:color w:val="auto"/>
          <w:sz w:val="24"/>
          <w:highlight w:val="none"/>
        </w:rPr>
        <w:t>注：投标人可按上述的格式自行编制，</w:t>
      </w:r>
      <w:r>
        <w:rPr>
          <w:rFonts w:hint="eastAsia" w:ascii="宋体" w:hAnsi="宋体" w:cs="宋体"/>
          <w:b/>
          <w:bCs/>
          <w:color w:val="auto"/>
          <w:sz w:val="24"/>
          <w:highlight w:val="none"/>
        </w:rPr>
        <w:t>可</w:t>
      </w:r>
      <w:r>
        <w:rPr>
          <w:rFonts w:hint="eastAsia" w:ascii="宋体" w:hAnsi="宋体" w:cs="宋体"/>
          <w:b/>
          <w:color w:val="auto"/>
          <w:sz w:val="24"/>
          <w:highlight w:val="none"/>
        </w:rPr>
        <w:t>随表提交相应的证书复印件。</w:t>
      </w:r>
    </w:p>
    <w:p>
      <w:pPr>
        <w:tabs>
          <w:tab w:val="left" w:pos="4210"/>
        </w:tabs>
        <w:snapToGrid w:val="0"/>
        <w:spacing w:line="360" w:lineRule="auto"/>
        <w:ind w:firstLine="4320" w:firstLineChars="1800"/>
        <w:rPr>
          <w:rFonts w:hint="eastAsia" w:ascii="宋体" w:hAnsi="宋体" w:cs="宋体"/>
          <w:color w:val="auto"/>
          <w:kern w:val="0"/>
          <w:sz w:val="24"/>
          <w:highlight w:val="none"/>
          <w:lang w:val="zh-CN"/>
        </w:rPr>
      </w:pPr>
    </w:p>
    <w:p>
      <w:pPr>
        <w:tabs>
          <w:tab w:val="left" w:pos="4210"/>
        </w:tabs>
        <w:snapToGrid w:val="0"/>
        <w:spacing w:line="360" w:lineRule="auto"/>
        <w:ind w:firstLine="4320" w:firstLineChars="18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投标人名称（电子签章）：</w:t>
      </w:r>
    </w:p>
    <w:p>
      <w:pPr>
        <w:autoSpaceDE w:val="0"/>
        <w:autoSpaceDN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日期：  年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月   日</w:t>
      </w:r>
    </w:p>
    <w:p>
      <w:pPr>
        <w:snapToGrid w:val="0"/>
        <w:spacing w:before="165" w:after="50"/>
        <w:jc w:val="left"/>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五、除招标文件规定必须提供以外，投标人需要说明的其他文件和说明</w:t>
      </w: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pPr>
        <w:spacing w:line="360" w:lineRule="auto"/>
        <w:jc w:val="center"/>
        <w:rPr>
          <w:rFonts w:ascii="宋体" w:hAnsi="宋体" w:cs="宋体"/>
          <w:color w:val="auto"/>
          <w:sz w:val="24"/>
          <w:highlight w:val="none"/>
        </w:rPr>
      </w:pPr>
    </w:p>
    <w:p>
      <w:pPr>
        <w:autoSpaceDE w:val="0"/>
        <w:autoSpaceDN w:val="0"/>
        <w:spacing w:line="360" w:lineRule="auto"/>
        <w:ind w:firstLine="4800" w:firstLineChars="2000"/>
        <w:rPr>
          <w:rFonts w:ascii="宋体" w:hAnsi="宋体" w:cs="宋体"/>
          <w:color w:val="auto"/>
          <w:kern w:val="0"/>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pPr>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pPr>
        <w:snapToGrid w:val="0"/>
        <w:spacing w:before="165" w:after="50"/>
        <w:jc w:val="center"/>
        <w:outlineLvl w:val="1"/>
        <w:rPr>
          <w:rFonts w:ascii="宋体" w:hAnsi="宋体" w:cs="宋体"/>
          <w:b/>
          <w:bCs/>
          <w:color w:val="auto"/>
          <w:sz w:val="24"/>
          <w:highlight w:val="none"/>
        </w:rPr>
        <w:sectPr>
          <w:pgSz w:w="11906" w:h="16838"/>
          <w:pgMar w:top="1440" w:right="1080" w:bottom="1440" w:left="1080" w:header="720" w:footer="720" w:gutter="0"/>
          <w:pgNumType w:fmt="decimal"/>
          <w:cols w:space="720" w:num="1"/>
          <w:docGrid w:type="lines" w:linePitch="331" w:charSpace="0"/>
        </w:sectPr>
      </w:pPr>
    </w:p>
    <w:p>
      <w:pPr>
        <w:pStyle w:val="42"/>
        <w:jc w:val="center"/>
        <w:outlineLvl w:val="1"/>
        <w:rPr>
          <w:rFonts w:hAnsi="宋体" w:cs="宋体"/>
          <w:b/>
          <w:bCs/>
          <w:color w:val="auto"/>
          <w:sz w:val="28"/>
          <w:szCs w:val="28"/>
          <w:highlight w:val="none"/>
        </w:rPr>
      </w:pPr>
      <w:bookmarkStart w:id="311" w:name="_Toc80093015"/>
      <w:bookmarkEnd w:id="311"/>
      <w:r>
        <w:rPr>
          <w:rFonts w:hint="eastAsia" w:hAnsi="宋体" w:cs="宋体"/>
          <w:b/>
          <w:bCs/>
          <w:color w:val="auto"/>
          <w:sz w:val="28"/>
          <w:szCs w:val="28"/>
          <w:highlight w:val="none"/>
        </w:rPr>
        <w:t>第五节 报价文件格式</w:t>
      </w:r>
    </w:p>
    <w:p>
      <w:pPr>
        <w:snapToGrid w:val="0"/>
        <w:spacing w:before="165" w:after="50" w:line="400" w:lineRule="exac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pPr>
        <w:snapToGrid w:val="0"/>
        <w:spacing w:before="165" w:after="50" w:line="400" w:lineRule="exact"/>
        <w:jc w:val="center"/>
        <w:rPr>
          <w:rFonts w:ascii="宋体" w:hAnsi="宋体" w:cs="宋体"/>
          <w:bCs/>
          <w:color w:val="auto"/>
          <w:sz w:val="24"/>
          <w:szCs w:val="20"/>
          <w:highlight w:val="none"/>
        </w:rPr>
      </w:pPr>
    </w:p>
    <w:p>
      <w:pPr>
        <w:snapToGrid w:val="0"/>
        <w:spacing w:before="165"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pPr>
        <w:snapToGrid w:val="0"/>
        <w:spacing w:before="165" w:after="50" w:line="400" w:lineRule="exact"/>
        <w:rPr>
          <w:rFonts w:ascii="宋体" w:hAnsi="宋体" w:cs="宋体"/>
          <w:bCs/>
          <w:color w:val="auto"/>
          <w:sz w:val="24"/>
          <w:szCs w:val="20"/>
          <w:highlight w:val="none"/>
        </w:rPr>
      </w:pPr>
    </w:p>
    <w:p>
      <w:pPr>
        <w:snapToGrid w:val="0"/>
        <w:spacing w:before="165" w:after="50" w:line="400" w:lineRule="exact"/>
        <w:rPr>
          <w:rFonts w:ascii="宋体" w:hAnsi="宋体" w:cs="宋体"/>
          <w:bCs/>
          <w:color w:val="auto"/>
          <w:sz w:val="24"/>
          <w:szCs w:val="20"/>
          <w:highlight w:val="none"/>
        </w:rPr>
      </w:pPr>
    </w:p>
    <w:p>
      <w:pPr>
        <w:snapToGrid w:val="0"/>
        <w:spacing w:before="165" w:after="50" w:line="400" w:lineRule="exact"/>
        <w:rPr>
          <w:rFonts w:ascii="宋体" w:hAnsi="宋体" w:cs="宋体"/>
          <w:bCs/>
          <w:color w:val="auto"/>
          <w:sz w:val="24"/>
          <w:szCs w:val="20"/>
          <w:highlight w:val="none"/>
        </w:rPr>
      </w:pPr>
    </w:p>
    <w:p>
      <w:pPr>
        <w:snapToGrid w:val="0"/>
        <w:spacing w:before="165" w:after="50" w:line="400" w:lineRule="exact"/>
        <w:rPr>
          <w:rFonts w:ascii="宋体" w:hAnsi="宋体" w:cs="宋体"/>
          <w:bCs/>
          <w:color w:val="auto"/>
          <w:sz w:val="24"/>
          <w:szCs w:val="20"/>
          <w:highlight w:val="none"/>
        </w:rPr>
      </w:pPr>
    </w:p>
    <w:p>
      <w:pPr>
        <w:snapToGrid w:val="0"/>
        <w:spacing w:before="165" w:after="50" w:line="400" w:lineRule="exact"/>
        <w:ind w:firstLine="360" w:firstLineChars="15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 xml:space="preserve">项目名称： </w:t>
      </w:r>
      <w:r>
        <w:rPr>
          <w:rFonts w:hint="eastAsia" w:ascii="宋体" w:hAnsi="宋体" w:cs="宋体"/>
          <w:bCs/>
          <w:color w:val="auto"/>
          <w:sz w:val="24"/>
          <w:highlight w:val="none"/>
          <w:lang w:eastAsia="zh-CN"/>
        </w:rPr>
        <w:t>青秀区73套农村生活污水处理设施第三方运维服务</w:t>
      </w:r>
    </w:p>
    <w:p>
      <w:pPr>
        <w:snapToGrid w:val="0"/>
        <w:spacing w:before="165" w:after="50" w:line="400" w:lineRule="exact"/>
        <w:ind w:firstLine="360" w:firstLineChars="150"/>
        <w:rPr>
          <w:rFonts w:ascii="宋体" w:hAnsi="宋体" w:cs="宋体"/>
          <w:bCs/>
          <w:color w:val="auto"/>
          <w:sz w:val="24"/>
          <w:highlight w:val="none"/>
        </w:rPr>
      </w:pPr>
    </w:p>
    <w:p>
      <w:pPr>
        <w:snapToGrid w:val="0"/>
        <w:spacing w:before="165"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pPr>
        <w:snapToGrid w:val="0"/>
        <w:spacing w:before="165" w:after="50" w:line="400" w:lineRule="exact"/>
        <w:ind w:firstLine="360" w:firstLineChars="150"/>
        <w:rPr>
          <w:rFonts w:ascii="宋体" w:hAnsi="宋体" w:cs="宋体"/>
          <w:bCs/>
          <w:color w:val="auto"/>
          <w:sz w:val="24"/>
          <w:highlight w:val="none"/>
        </w:rPr>
      </w:pPr>
    </w:p>
    <w:p>
      <w:pPr>
        <w:snapToGrid w:val="0"/>
        <w:spacing w:before="165"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pPr>
        <w:snapToGrid w:val="0"/>
        <w:spacing w:before="165" w:after="50" w:line="400" w:lineRule="exact"/>
        <w:ind w:firstLine="360" w:firstLineChars="150"/>
        <w:rPr>
          <w:rFonts w:ascii="宋体" w:hAnsi="宋体" w:cs="宋体"/>
          <w:bCs/>
          <w:color w:val="auto"/>
          <w:sz w:val="24"/>
          <w:highlight w:val="none"/>
        </w:rPr>
      </w:pPr>
    </w:p>
    <w:p>
      <w:pPr>
        <w:snapToGrid w:val="0"/>
        <w:spacing w:before="165"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pPr>
        <w:snapToGrid w:val="0"/>
        <w:spacing w:before="165" w:after="50" w:line="400" w:lineRule="exact"/>
        <w:ind w:firstLine="360" w:firstLineChars="150"/>
        <w:rPr>
          <w:rFonts w:ascii="宋体" w:hAnsi="宋体" w:cs="宋体"/>
          <w:bCs/>
          <w:color w:val="auto"/>
          <w:sz w:val="24"/>
          <w:highlight w:val="none"/>
        </w:rPr>
      </w:pPr>
    </w:p>
    <w:p>
      <w:pPr>
        <w:snapToGrid w:val="0"/>
        <w:spacing w:before="165"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pPr>
        <w:pStyle w:val="28"/>
        <w:snapToGrid w:val="0"/>
        <w:spacing w:before="50" w:after="50" w:line="400" w:lineRule="exact"/>
        <w:ind w:firstLine="960" w:firstLineChars="400"/>
        <w:rPr>
          <w:rFonts w:ascii="宋体" w:hAnsi="宋体" w:cs="宋体"/>
          <w:bCs/>
          <w:color w:val="auto"/>
          <w:sz w:val="24"/>
          <w:szCs w:val="24"/>
          <w:highlight w:val="none"/>
        </w:rPr>
      </w:pPr>
    </w:p>
    <w:p>
      <w:pPr>
        <w:snapToGrid w:val="0"/>
        <w:spacing w:before="165" w:after="50" w:line="400" w:lineRule="exact"/>
        <w:rPr>
          <w:rFonts w:ascii="宋体" w:hAnsi="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r>
        <w:rPr>
          <w:rFonts w:hint="eastAsia" w:ascii="宋体" w:hAnsi="宋体" w:cs="宋体"/>
          <w:color w:val="auto"/>
          <w:sz w:val="24"/>
          <w:highlight w:val="none"/>
        </w:rPr>
        <w:t xml:space="preserve">                                                       年  月  日</w:t>
      </w:r>
    </w:p>
    <w:p>
      <w:pPr>
        <w:rPr>
          <w:rFonts w:ascii="宋体" w:hAnsi="宋体" w:cs="宋体"/>
          <w:color w:val="auto"/>
          <w:highlight w:val="none"/>
        </w:rPr>
      </w:pPr>
    </w:p>
    <w:p>
      <w:pPr>
        <w:snapToGrid w:val="0"/>
        <w:spacing w:before="165"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pPr>
        <w:rPr>
          <w:rFonts w:ascii="宋体" w:hAnsi="宋体" w:cs="宋体"/>
          <w:color w:val="auto"/>
          <w:highlight w:val="none"/>
        </w:rPr>
      </w:pPr>
    </w:p>
    <w:p>
      <w:pPr>
        <w:rPr>
          <w:rFonts w:ascii="宋体" w:hAnsi="宋体" w:cs="宋体"/>
          <w:color w:val="auto"/>
          <w:kern w:val="0"/>
          <w:sz w:val="24"/>
          <w:highlight w:val="none"/>
        </w:rPr>
      </w:pPr>
      <w:r>
        <w:rPr>
          <w:rFonts w:hint="eastAsia" w:ascii="宋体" w:hAnsi="宋体" w:cs="宋体"/>
          <w:color w:val="auto"/>
          <w:kern w:val="0"/>
          <w:sz w:val="24"/>
          <w:highlight w:val="none"/>
        </w:rPr>
        <w:t>一、投标函………………………………………………………（页码）</w:t>
      </w:r>
    </w:p>
    <w:p>
      <w:pPr>
        <w:rPr>
          <w:rFonts w:ascii="宋体" w:hAnsi="宋体" w:cs="宋体"/>
          <w:color w:val="auto"/>
          <w:kern w:val="0"/>
          <w:sz w:val="24"/>
          <w:highlight w:val="none"/>
        </w:rPr>
      </w:pPr>
      <w:r>
        <w:rPr>
          <w:rFonts w:hint="eastAsia" w:ascii="宋体" w:hAnsi="宋体" w:cs="宋体"/>
          <w:color w:val="auto"/>
          <w:kern w:val="0"/>
          <w:sz w:val="24"/>
          <w:highlight w:val="none"/>
        </w:rPr>
        <w:t>二、开标一览表…………………………………………………（页码）</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三、投标人针对报价需要说明的其他文件和说明……………（页码）</w:t>
      </w:r>
    </w:p>
    <w:p>
      <w:pPr>
        <w:snapToGrid w:val="0"/>
        <w:spacing w:before="165" w:after="50" w:line="400" w:lineRule="exact"/>
        <w:ind w:firstLine="300" w:firstLineChars="100"/>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pPr>
        <w:pStyle w:val="42"/>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一、投标函</w:t>
      </w:r>
    </w:p>
    <w:p>
      <w:pPr>
        <w:pStyle w:val="42"/>
        <w:spacing w:line="440" w:lineRule="exact"/>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pPr>
        <w:pStyle w:val="42"/>
        <w:spacing w:line="440" w:lineRule="exact"/>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 xml:space="preserve"> ）的招标文件的全部内容，授权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pPr>
        <w:pStyle w:val="42"/>
        <w:spacing w:line="440" w:lineRule="exact"/>
        <w:ind w:firstLine="482"/>
        <w:rPr>
          <w:rFonts w:hAnsi="宋体" w:cs="宋体"/>
          <w:color w:val="auto"/>
          <w:highlight w:val="none"/>
        </w:rPr>
      </w:pPr>
      <w:r>
        <w:rPr>
          <w:rFonts w:hint="eastAsia" w:hAnsi="宋体" w:cs="宋体"/>
          <w:color w:val="auto"/>
          <w:highlight w:val="none"/>
        </w:rPr>
        <w:t>一、资格文件电子版一份（包含按投标人须知前附表要求提交的全部文件）；</w:t>
      </w:r>
    </w:p>
    <w:p>
      <w:pPr>
        <w:pStyle w:val="42"/>
        <w:spacing w:line="440" w:lineRule="exact"/>
        <w:ind w:firstLine="482"/>
        <w:rPr>
          <w:rFonts w:hAnsi="宋体" w:cs="宋体"/>
          <w:color w:val="auto"/>
          <w:highlight w:val="none"/>
        </w:rPr>
      </w:pPr>
      <w:r>
        <w:rPr>
          <w:rFonts w:hint="eastAsia" w:hAnsi="宋体" w:cs="宋体"/>
          <w:color w:val="auto"/>
          <w:highlight w:val="none"/>
        </w:rPr>
        <w:t>二、商务文件电子版一份（包含按投标人须知前附表要求提交的全部文件）；</w:t>
      </w:r>
    </w:p>
    <w:p>
      <w:pPr>
        <w:pStyle w:val="42"/>
        <w:spacing w:line="440" w:lineRule="exact"/>
        <w:ind w:firstLine="482"/>
        <w:rPr>
          <w:rFonts w:hAnsi="宋体" w:cs="宋体"/>
          <w:color w:val="auto"/>
          <w:highlight w:val="none"/>
        </w:rPr>
      </w:pPr>
      <w:r>
        <w:rPr>
          <w:rFonts w:hint="eastAsia" w:hAnsi="宋体" w:cs="宋体"/>
          <w:color w:val="auto"/>
          <w:highlight w:val="none"/>
        </w:rPr>
        <w:t>三、技术文件电子版一份（包含按投标人须知前附表要求提交的全部文件）；</w:t>
      </w:r>
    </w:p>
    <w:p>
      <w:pPr>
        <w:pStyle w:val="42"/>
        <w:spacing w:line="440" w:lineRule="exact"/>
        <w:ind w:firstLine="482"/>
        <w:rPr>
          <w:rFonts w:hAnsi="宋体" w:cs="宋体"/>
          <w:color w:val="auto"/>
          <w:highlight w:val="none"/>
        </w:rPr>
      </w:pPr>
      <w:r>
        <w:rPr>
          <w:rFonts w:hint="eastAsia" w:hAnsi="宋体" w:cs="宋体"/>
          <w:color w:val="auto"/>
          <w:highlight w:val="none"/>
        </w:rPr>
        <w:t>四、报价文件电子版一份（包含按投标人须知前附表要求提交的全部文件）；</w:t>
      </w:r>
    </w:p>
    <w:p>
      <w:pPr>
        <w:pStyle w:val="42"/>
        <w:spacing w:line="440" w:lineRule="exact"/>
        <w:ind w:firstLine="482"/>
        <w:rPr>
          <w:rFonts w:hAnsi="宋体" w:cs="宋体"/>
          <w:color w:val="auto"/>
          <w:highlight w:val="none"/>
        </w:rPr>
      </w:pPr>
      <w:r>
        <w:rPr>
          <w:rFonts w:hint="eastAsia" w:hAnsi="宋体" w:cs="宋体"/>
          <w:color w:val="auto"/>
          <w:highlight w:val="none"/>
        </w:rPr>
        <w:t>据此函，签字人兹宣布：</w:t>
      </w:r>
    </w:p>
    <w:p>
      <w:pPr>
        <w:pStyle w:val="42"/>
        <w:spacing w:line="440" w:lineRule="exact"/>
        <w:ind w:firstLine="420" w:firstLineChars="200"/>
        <w:rPr>
          <w:rFonts w:hAnsi="宋体" w:cs="宋体"/>
          <w:color w:val="auto"/>
          <w:highlight w:val="none"/>
        </w:rPr>
      </w:pPr>
      <w:r>
        <w:rPr>
          <w:rFonts w:hint="eastAsia" w:hAnsi="宋体" w:cs="宋体"/>
          <w:color w:val="auto"/>
          <w:highlight w:val="none"/>
        </w:rPr>
        <w:t>1、我方愿意以（大写）人民币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元)的投标总报价，</w:t>
      </w:r>
      <w:r>
        <w:rPr>
          <w:rFonts w:hint="eastAsia" w:hAnsi="宋体" w:cs="宋体"/>
          <w:color w:val="auto"/>
          <w:highlight w:val="none"/>
          <w:lang w:val="en-US" w:eastAsia="zh-CN"/>
        </w:rPr>
        <w:t>服务</w:t>
      </w:r>
      <w:r>
        <w:rPr>
          <w:rFonts w:hint="eastAsia" w:hAnsi="宋体" w:cs="宋体"/>
          <w:color w:val="auto"/>
          <w:highlight w:val="none"/>
          <w:lang w:eastAsia="zh-CN"/>
        </w:rPr>
        <w:t>期限</w:t>
      </w:r>
      <w:r>
        <w:rPr>
          <w:rFonts w:hint="eastAsia" w:hAnsi="宋体" w:cs="宋体"/>
          <w:color w:val="auto"/>
          <w:highlight w:val="none"/>
        </w:rPr>
        <w:t>（无分标时填写）</w:t>
      </w:r>
      <w:r>
        <w:rPr>
          <w:rFonts w:hint="eastAsia" w:hAnsi="宋体" w:cs="宋体"/>
          <w:color w:val="auto"/>
          <w:highlight w:val="none"/>
          <w:u w:val="single"/>
        </w:rPr>
        <w:t xml:space="preserve">              </w:t>
      </w:r>
      <w:r>
        <w:rPr>
          <w:rFonts w:hint="eastAsia" w:hAnsi="宋体" w:cs="宋体"/>
          <w:color w:val="auto"/>
          <w:highlight w:val="none"/>
        </w:rPr>
        <w:t>，提供本项目招标文件第二章“服务需求”中的相应的采购内容。</w:t>
      </w:r>
    </w:p>
    <w:p>
      <w:pPr>
        <w:pStyle w:val="42"/>
        <w:spacing w:line="440" w:lineRule="exact"/>
        <w:ind w:firstLine="420" w:firstLineChars="200"/>
        <w:rPr>
          <w:rFonts w:hAnsi="宋体" w:cs="宋体"/>
          <w:color w:val="auto"/>
          <w:highlight w:val="none"/>
        </w:rPr>
      </w:pPr>
      <w:r>
        <w:rPr>
          <w:rFonts w:hint="eastAsia" w:hAnsi="宋体" w:cs="宋体"/>
          <w:color w:val="auto"/>
          <w:highlight w:val="none"/>
        </w:rPr>
        <w:t>其中（有分标时填写）：</w:t>
      </w:r>
    </w:p>
    <w:p>
      <w:pPr>
        <w:pStyle w:val="42"/>
        <w:spacing w:line="360" w:lineRule="exact"/>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w:t>
      </w:r>
      <w:r>
        <w:rPr>
          <w:rFonts w:hint="eastAsia" w:hAnsi="宋体" w:cs="宋体"/>
          <w:color w:val="auto"/>
          <w:highlight w:val="none"/>
          <w:lang w:eastAsia="zh-CN"/>
        </w:rPr>
        <w:t>服务期限</w:t>
      </w:r>
      <w:r>
        <w:rPr>
          <w:rFonts w:hint="eastAsia" w:hAnsi="宋体" w:cs="宋体"/>
          <w:color w:val="auto"/>
          <w:highlight w:val="none"/>
        </w:rPr>
        <w:t>：</w:t>
      </w:r>
      <w:r>
        <w:rPr>
          <w:rFonts w:hint="eastAsia" w:hAnsi="宋体" w:cs="宋体"/>
          <w:color w:val="auto"/>
          <w:highlight w:val="none"/>
          <w:u w:val="single"/>
        </w:rPr>
        <w:t xml:space="preserve">          </w:t>
      </w:r>
      <w:r>
        <w:rPr>
          <w:rFonts w:hint="eastAsia" w:hAnsi="宋体" w:cs="宋体"/>
          <w:color w:val="auto"/>
          <w:highlight w:val="none"/>
        </w:rPr>
        <w:t>；</w:t>
      </w:r>
    </w:p>
    <w:p>
      <w:pPr>
        <w:pStyle w:val="42"/>
        <w:spacing w:line="360" w:lineRule="exact"/>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w:t>
      </w:r>
      <w:r>
        <w:rPr>
          <w:rFonts w:hint="eastAsia" w:hAnsi="宋体" w:cs="宋体"/>
          <w:color w:val="auto"/>
          <w:highlight w:val="none"/>
          <w:lang w:eastAsia="zh-CN"/>
        </w:rPr>
        <w:t>服务期限</w:t>
      </w:r>
      <w:r>
        <w:rPr>
          <w:rFonts w:hint="eastAsia" w:hAnsi="宋体" w:cs="宋体"/>
          <w:color w:val="auto"/>
          <w:highlight w:val="none"/>
        </w:rPr>
        <w:t>：</w:t>
      </w:r>
      <w:r>
        <w:rPr>
          <w:rFonts w:hint="eastAsia" w:hAnsi="宋体" w:cs="宋体"/>
          <w:color w:val="auto"/>
          <w:highlight w:val="none"/>
          <w:u w:val="single"/>
        </w:rPr>
        <w:t xml:space="preserve">          </w:t>
      </w:r>
      <w:r>
        <w:rPr>
          <w:rFonts w:hint="eastAsia" w:hAnsi="宋体" w:cs="宋体"/>
          <w:color w:val="auto"/>
          <w:highlight w:val="none"/>
        </w:rPr>
        <w:t>；</w:t>
      </w:r>
    </w:p>
    <w:p>
      <w:pPr>
        <w:pStyle w:val="42"/>
        <w:spacing w:line="360" w:lineRule="exact"/>
        <w:ind w:firstLine="420" w:firstLineChars="200"/>
        <w:rPr>
          <w:rFonts w:hAnsi="宋体" w:cs="宋体"/>
          <w:color w:val="auto"/>
          <w:highlight w:val="none"/>
        </w:rPr>
      </w:pPr>
      <w:r>
        <w:rPr>
          <w:rFonts w:hint="eastAsia" w:hAnsi="宋体" w:cs="宋体"/>
          <w:color w:val="auto"/>
          <w:highlight w:val="none"/>
        </w:rPr>
        <w:t>2、我方同意自本项目招标文件“第三章 投标人须知”第一节 投标人须知前附表 第21.1项规定的投标截止时间（开标时间）起遵循本投标函，并承诺在“投标人须知前附表”第17.2项规定的投标有效期内不修改、撤销投标文件。</w:t>
      </w:r>
    </w:p>
    <w:p>
      <w:pPr>
        <w:pStyle w:val="42"/>
        <w:spacing w:line="360" w:lineRule="exact"/>
        <w:ind w:firstLine="420" w:firstLineChars="200"/>
        <w:rPr>
          <w:rFonts w:hAnsi="宋体" w:cs="宋体"/>
          <w:color w:val="auto"/>
          <w:highlight w:val="none"/>
        </w:rPr>
      </w:pPr>
      <w:r>
        <w:rPr>
          <w:rFonts w:hint="eastAsia" w:hAnsi="宋体" w:cs="宋体"/>
          <w:color w:val="auto"/>
          <w:highlight w:val="none"/>
        </w:rPr>
        <w:t>3、我方所递交的投标文件及有关资料都是内容完整、真实和准确的。</w:t>
      </w:r>
    </w:p>
    <w:p>
      <w:pPr>
        <w:pStyle w:val="42"/>
        <w:spacing w:line="440" w:lineRule="exact"/>
        <w:ind w:firstLine="482"/>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pPr>
        <w:pStyle w:val="42"/>
        <w:spacing w:line="440" w:lineRule="exact"/>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pPr>
        <w:pStyle w:val="42"/>
        <w:spacing w:line="440" w:lineRule="exact"/>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pPr>
        <w:pStyle w:val="42"/>
        <w:spacing w:line="440" w:lineRule="exact"/>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pPr>
        <w:pStyle w:val="42"/>
        <w:spacing w:line="440" w:lineRule="exact"/>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w:t>
      </w:r>
      <w:r>
        <w:rPr>
          <w:rFonts w:hint="eastAsia" w:hAnsi="宋体" w:cs="宋体"/>
          <w:color w:val="auto"/>
          <w:highlight w:val="none"/>
          <w:lang w:eastAsia="zh-CN"/>
        </w:rPr>
        <w:t>中标人</w:t>
      </w:r>
      <w:r>
        <w:rPr>
          <w:rFonts w:hint="eastAsia" w:hAnsi="宋体" w:cs="宋体"/>
          <w:color w:val="auto"/>
          <w:highlight w:val="none"/>
        </w:rPr>
        <w:t>的行为。</w:t>
      </w:r>
    </w:p>
    <w:p>
      <w:pPr>
        <w:pStyle w:val="42"/>
        <w:spacing w:line="440" w:lineRule="exact"/>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42"/>
        <w:numPr>
          <w:ilvl w:val="0"/>
          <w:numId w:val="7"/>
        </w:numPr>
        <w:tabs>
          <w:tab w:val="clear" w:pos="1140"/>
        </w:tabs>
        <w:spacing w:line="440" w:lineRule="exact"/>
        <w:rPr>
          <w:rFonts w:hAnsi="宋体" w:cs="宋体"/>
          <w:color w:val="auto"/>
          <w:highlight w:val="none"/>
        </w:rPr>
      </w:pPr>
      <w:r>
        <w:rPr>
          <w:rFonts w:hint="eastAsia" w:hAnsi="宋体" w:cs="宋体"/>
          <w:color w:val="auto"/>
          <w:highlight w:val="none"/>
        </w:rPr>
        <w:t>提供虚假材料谋取中标、成交的；</w:t>
      </w:r>
    </w:p>
    <w:p>
      <w:pPr>
        <w:pStyle w:val="42"/>
        <w:numPr>
          <w:ilvl w:val="0"/>
          <w:numId w:val="7"/>
        </w:numPr>
        <w:tabs>
          <w:tab w:val="clear" w:pos="1140"/>
        </w:tabs>
        <w:spacing w:line="440" w:lineRule="exact"/>
        <w:rPr>
          <w:rFonts w:hAnsi="宋体" w:cs="宋体"/>
          <w:color w:val="auto"/>
          <w:highlight w:val="none"/>
        </w:rPr>
      </w:pPr>
      <w:r>
        <w:rPr>
          <w:rFonts w:hint="eastAsia" w:hAnsi="宋体" w:cs="宋体"/>
          <w:color w:val="auto"/>
          <w:highlight w:val="none"/>
        </w:rPr>
        <w:t>采取不正当手段诋毁、排挤其他供应商的；</w:t>
      </w:r>
    </w:p>
    <w:p>
      <w:pPr>
        <w:pStyle w:val="42"/>
        <w:numPr>
          <w:ilvl w:val="0"/>
          <w:numId w:val="7"/>
        </w:numPr>
        <w:tabs>
          <w:tab w:val="clear" w:pos="1140"/>
        </w:tabs>
        <w:spacing w:line="440" w:lineRule="exact"/>
        <w:rPr>
          <w:rFonts w:hAnsi="宋体" w:cs="宋体"/>
          <w:color w:val="auto"/>
          <w:highlight w:val="none"/>
        </w:rPr>
      </w:pPr>
      <w:r>
        <w:rPr>
          <w:rFonts w:hint="eastAsia" w:hAnsi="宋体" w:cs="宋体"/>
          <w:color w:val="auto"/>
          <w:highlight w:val="none"/>
        </w:rPr>
        <w:t>与采购人、其他供应商或者采购代理机构恶意串通的；</w:t>
      </w:r>
    </w:p>
    <w:p>
      <w:pPr>
        <w:pStyle w:val="42"/>
        <w:numPr>
          <w:ilvl w:val="0"/>
          <w:numId w:val="7"/>
        </w:numPr>
        <w:tabs>
          <w:tab w:val="clear" w:pos="1140"/>
        </w:tabs>
        <w:spacing w:line="440" w:lineRule="exact"/>
        <w:rPr>
          <w:rFonts w:hAnsi="宋体" w:cs="宋体"/>
          <w:color w:val="auto"/>
          <w:highlight w:val="none"/>
        </w:rPr>
      </w:pPr>
      <w:r>
        <w:rPr>
          <w:rFonts w:hint="eastAsia" w:hAnsi="宋体" w:cs="宋体"/>
          <w:color w:val="auto"/>
          <w:highlight w:val="none"/>
        </w:rPr>
        <w:t>向采购人、采购代理机构行贿或者提供其他不正当利益的；</w:t>
      </w:r>
    </w:p>
    <w:p>
      <w:pPr>
        <w:pStyle w:val="42"/>
        <w:numPr>
          <w:ilvl w:val="0"/>
          <w:numId w:val="7"/>
        </w:numPr>
        <w:tabs>
          <w:tab w:val="clear" w:pos="1140"/>
        </w:tabs>
        <w:spacing w:line="440" w:lineRule="exact"/>
        <w:rPr>
          <w:rFonts w:hAnsi="宋体" w:cs="宋体"/>
          <w:color w:val="auto"/>
          <w:highlight w:val="none"/>
        </w:rPr>
      </w:pPr>
      <w:r>
        <w:rPr>
          <w:rFonts w:hint="eastAsia" w:hAnsi="宋体" w:cs="宋体"/>
          <w:color w:val="auto"/>
          <w:highlight w:val="none"/>
        </w:rPr>
        <w:t>在招标采购过程中与采购人进行协商谈判的；</w:t>
      </w:r>
    </w:p>
    <w:p>
      <w:pPr>
        <w:pStyle w:val="42"/>
        <w:numPr>
          <w:ilvl w:val="0"/>
          <w:numId w:val="7"/>
        </w:numPr>
        <w:tabs>
          <w:tab w:val="clear" w:pos="1140"/>
        </w:tabs>
        <w:spacing w:line="440" w:lineRule="exact"/>
        <w:rPr>
          <w:rFonts w:hAnsi="宋体" w:cs="宋体"/>
          <w:color w:val="auto"/>
          <w:highlight w:val="none"/>
        </w:rPr>
      </w:pPr>
      <w:r>
        <w:rPr>
          <w:rFonts w:hint="eastAsia" w:hAnsi="宋体" w:cs="宋体"/>
          <w:color w:val="auto"/>
          <w:highlight w:val="none"/>
        </w:rPr>
        <w:t>拒绝有关部门监督检查或提供虚假情况的。</w:t>
      </w:r>
    </w:p>
    <w:p>
      <w:pPr>
        <w:pStyle w:val="42"/>
        <w:spacing w:line="440" w:lineRule="exact"/>
        <w:ind w:left="420"/>
        <w:rPr>
          <w:rFonts w:hAnsi="宋体" w:cs="宋体"/>
          <w:color w:val="auto"/>
          <w:highlight w:val="none"/>
        </w:rPr>
      </w:pPr>
      <w:r>
        <w:rPr>
          <w:rFonts w:hint="eastAsia" w:hAnsi="宋体" w:cs="宋体"/>
          <w:color w:val="auto"/>
          <w:highlight w:val="none"/>
        </w:rPr>
        <w:t>10、我方及由本人担任法定代表人的其他机构最近三年内被处罚的违法行为有：</w:t>
      </w:r>
      <w:r>
        <w:rPr>
          <w:rFonts w:hint="eastAsia" w:hAnsi="宋体" w:cs="宋体"/>
          <w:color w:val="auto"/>
          <w:highlight w:val="none"/>
          <w:u w:val="single"/>
        </w:rPr>
        <w:t xml:space="preserve">                                        </w:t>
      </w:r>
    </w:p>
    <w:p>
      <w:pPr>
        <w:pStyle w:val="42"/>
        <w:spacing w:line="440" w:lineRule="exact"/>
        <w:ind w:left="420"/>
        <w:rPr>
          <w:rFonts w:hAnsi="宋体" w:cs="宋体"/>
          <w:color w:val="auto"/>
          <w:highlight w:val="none"/>
          <w:u w:val="single"/>
        </w:rPr>
      </w:pPr>
      <w:r>
        <w:rPr>
          <w:rFonts w:hint="eastAsia" w:hAnsi="宋体" w:cs="宋体"/>
          <w:color w:val="auto"/>
          <w:highlight w:val="none"/>
          <w:u w:val="single"/>
        </w:rPr>
        <w:t xml:space="preserve">                                                                                                                        </w:t>
      </w:r>
    </w:p>
    <w:p>
      <w:pPr>
        <w:pStyle w:val="42"/>
        <w:spacing w:line="360" w:lineRule="auto"/>
        <w:ind w:firstLine="420"/>
        <w:rPr>
          <w:rFonts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pPr>
        <w:pStyle w:val="42"/>
        <w:spacing w:line="360" w:lineRule="auto"/>
        <w:ind w:firstLine="420"/>
        <w:rPr>
          <w:rFonts w:hAnsi="宋体" w:cs="宋体"/>
          <w:color w:val="auto"/>
          <w:highlight w:val="none"/>
        </w:rPr>
      </w:pPr>
      <w:r>
        <w:rPr>
          <w:rFonts w:hint="eastAsia" w:hAnsi="宋体" w:cs="宋体"/>
          <w:color w:val="auto"/>
          <w:highlight w:val="none"/>
        </w:rPr>
        <w:t>12、与本投标有关的一切正式往来信函请寄：</w:t>
      </w:r>
    </w:p>
    <w:p>
      <w:pPr>
        <w:pStyle w:val="42"/>
        <w:spacing w:line="360" w:lineRule="auto"/>
        <w:ind w:firstLine="42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pPr>
        <w:pStyle w:val="42"/>
        <w:spacing w:line="360" w:lineRule="auto"/>
        <w:ind w:firstLine="420"/>
        <w:rPr>
          <w:rFonts w:hAnsi="宋体" w:cs="宋体"/>
          <w:color w:val="auto"/>
          <w:highlight w:val="none"/>
        </w:rPr>
      </w:pPr>
      <w:r>
        <w:rPr>
          <w:rFonts w:hint="eastAsia" w:hAnsi="宋体" w:cs="宋体"/>
          <w:color w:val="auto"/>
          <w:highlight w:val="none"/>
        </w:rPr>
        <w:t>电话：</w:t>
      </w:r>
      <w:r>
        <w:rPr>
          <w:rFonts w:hint="eastAsia" w:hAnsi="宋体" w:cs="宋体"/>
          <w:color w:val="auto"/>
          <w:highlight w:val="none"/>
          <w:u w:val="single"/>
        </w:rPr>
        <w:t xml:space="preserve">                                      　　　　　　　　　</w:t>
      </w:r>
    </w:p>
    <w:p>
      <w:pPr>
        <w:pStyle w:val="42"/>
        <w:spacing w:line="360" w:lineRule="auto"/>
        <w:ind w:firstLine="420"/>
        <w:rPr>
          <w:rFonts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pPr>
        <w:pStyle w:val="42"/>
        <w:spacing w:line="360" w:lineRule="auto"/>
        <w:ind w:firstLine="420"/>
        <w:rPr>
          <w:rFonts w:hAnsi="宋体" w:cs="宋体"/>
          <w:color w:val="auto"/>
          <w:highlight w:val="none"/>
        </w:rPr>
      </w:pPr>
      <w:r>
        <w:rPr>
          <w:rFonts w:hint="eastAsia" w:hAnsi="宋体" w:cs="宋体"/>
          <w:color w:val="auto"/>
          <w:highlight w:val="none"/>
        </w:rPr>
        <w:t>邮政编码：</w:t>
      </w:r>
      <w:r>
        <w:rPr>
          <w:rFonts w:hint="eastAsia" w:hAnsi="宋体" w:cs="宋体"/>
          <w:color w:val="auto"/>
          <w:highlight w:val="none"/>
          <w:u w:val="single"/>
        </w:rPr>
        <w:t xml:space="preserve">                                                    </w:t>
      </w:r>
    </w:p>
    <w:p>
      <w:pPr>
        <w:pStyle w:val="42"/>
        <w:spacing w:line="360" w:lineRule="auto"/>
        <w:ind w:firstLine="420"/>
        <w:rPr>
          <w:rFonts w:hAnsi="宋体" w:cs="宋体"/>
          <w:color w:val="auto"/>
          <w:highlight w:val="none"/>
        </w:rPr>
      </w:pPr>
      <w:r>
        <w:rPr>
          <w:rFonts w:hint="eastAsia" w:hAnsi="宋体" w:cs="宋体"/>
          <w:color w:val="auto"/>
          <w:highlight w:val="none"/>
        </w:rPr>
        <w:t>开户名称：</w:t>
      </w:r>
      <w:r>
        <w:rPr>
          <w:rFonts w:hint="eastAsia" w:hAnsi="宋体" w:cs="宋体"/>
          <w:color w:val="auto"/>
          <w:highlight w:val="none"/>
          <w:u w:val="single"/>
        </w:rPr>
        <w:t xml:space="preserve">                                                    </w:t>
      </w:r>
    </w:p>
    <w:p>
      <w:pPr>
        <w:pStyle w:val="42"/>
        <w:spacing w:line="360" w:lineRule="auto"/>
        <w:ind w:firstLine="420"/>
        <w:rPr>
          <w:rFonts w:hAnsi="宋体" w:cs="宋体"/>
          <w:color w:val="auto"/>
          <w:highlight w:val="none"/>
        </w:rPr>
      </w:pPr>
      <w:r>
        <w:rPr>
          <w:rFonts w:hint="eastAsia" w:hAnsi="宋体" w:cs="宋体"/>
          <w:color w:val="auto"/>
          <w:highlight w:val="none"/>
        </w:rPr>
        <w:t>开户银行：</w:t>
      </w:r>
      <w:r>
        <w:rPr>
          <w:rFonts w:hint="eastAsia" w:hAnsi="宋体" w:cs="宋体"/>
          <w:color w:val="auto"/>
          <w:highlight w:val="none"/>
          <w:u w:val="single"/>
        </w:rPr>
        <w:t xml:space="preserve">                                                    </w:t>
      </w:r>
    </w:p>
    <w:p>
      <w:pPr>
        <w:pStyle w:val="42"/>
        <w:spacing w:line="360" w:lineRule="auto"/>
        <w:ind w:firstLine="420"/>
        <w:rPr>
          <w:rFonts w:hAnsi="宋体" w:cs="宋体"/>
          <w:color w:val="auto"/>
          <w:highlight w:val="none"/>
        </w:rPr>
      </w:pPr>
      <w:r>
        <w:rPr>
          <w:rFonts w:hint="eastAsia" w:hAnsi="宋体" w:cs="宋体"/>
          <w:color w:val="auto"/>
          <w:highlight w:val="none"/>
        </w:rPr>
        <w:t>银行账号：</w:t>
      </w:r>
      <w:r>
        <w:rPr>
          <w:rFonts w:hint="eastAsia" w:hAnsi="宋体" w:cs="宋体"/>
          <w:color w:val="auto"/>
          <w:highlight w:val="none"/>
          <w:u w:val="single"/>
        </w:rPr>
        <w:t xml:space="preserve">                                                    </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firstLine="5160" w:firstLineChars="2150"/>
        <w:rPr>
          <w:rFonts w:ascii="宋体" w:hAnsi="宋体" w:cs="宋体"/>
          <w:color w:val="auto"/>
          <w:kern w:val="0"/>
          <w:sz w:val="24"/>
          <w:highlight w:val="none"/>
          <w:lang w:val="zh-CN"/>
        </w:rPr>
        <w:sectPr>
          <w:pgSz w:w="11906" w:h="16838"/>
          <w:pgMar w:top="1440" w:right="1080" w:bottom="1440" w:left="1080" w:header="720" w:footer="720" w:gutter="0"/>
          <w:pgNumType w:fmt="decimal"/>
          <w:cols w:space="720" w:num="1"/>
          <w:docGrid w:type="lines" w:linePitch="331" w:charSpace="0"/>
        </w:sectPr>
      </w:pPr>
    </w:p>
    <w:p>
      <w:pPr>
        <w:pStyle w:val="42"/>
        <w:spacing w:line="360" w:lineRule="auto"/>
        <w:jc w:val="center"/>
        <w:rPr>
          <w:rFonts w:hAnsi="宋体" w:cs="宋体"/>
          <w:color w:val="auto"/>
          <w:sz w:val="30"/>
          <w:highlight w:val="none"/>
        </w:rPr>
      </w:pPr>
      <w:r>
        <w:rPr>
          <w:rFonts w:hint="eastAsia" w:hAnsi="宋体" w:cs="宋体"/>
          <w:color w:val="auto"/>
          <w:sz w:val="30"/>
          <w:highlight w:val="none"/>
        </w:rPr>
        <w:t>二、</w:t>
      </w: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青秀区73套农村生活污水处理设施第三方运维服务</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lang w:eastAsia="zh-CN"/>
        </w:rPr>
        <w:t>NNZC2024-G3-030263-GXHJ</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pPr>
        <w:pStyle w:val="42"/>
        <w:spacing w:line="360" w:lineRule="auto"/>
        <w:rPr>
          <w:rFonts w:hAnsi="宋体" w:cs="宋体"/>
          <w:color w:val="auto"/>
          <w:sz w:val="24"/>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tbl>
      <w:tblPr>
        <w:tblStyle w:val="8"/>
        <w:tblW w:w="10461" w:type="dxa"/>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4"/>
        <w:gridCol w:w="1382"/>
        <w:gridCol w:w="2100"/>
        <w:gridCol w:w="1213"/>
        <w:gridCol w:w="1305"/>
        <w:gridCol w:w="1252"/>
        <w:gridCol w:w="1252"/>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3" w:hRule="atLeast"/>
        </w:trPr>
        <w:tc>
          <w:tcPr>
            <w:tcW w:w="574" w:type="dxa"/>
            <w:vAlign w:val="center"/>
          </w:tcPr>
          <w:p>
            <w:pPr>
              <w:rPr>
                <w:rFonts w:ascii="宋体" w:hAnsi="宋体" w:cs="宋体"/>
                <w:color w:val="auto"/>
                <w:szCs w:val="22"/>
                <w:highlight w:val="none"/>
              </w:rPr>
            </w:pPr>
            <w:r>
              <w:rPr>
                <w:rFonts w:hint="eastAsia" w:ascii="宋体" w:hAnsi="宋体" w:cs="宋体"/>
                <w:color w:val="auto"/>
                <w:szCs w:val="22"/>
                <w:highlight w:val="none"/>
              </w:rPr>
              <w:t>序号</w:t>
            </w:r>
          </w:p>
        </w:tc>
        <w:tc>
          <w:tcPr>
            <w:tcW w:w="1382" w:type="dxa"/>
            <w:vAlign w:val="center"/>
          </w:tcPr>
          <w:p>
            <w:pPr>
              <w:rPr>
                <w:rFonts w:ascii="宋体" w:hAnsi="宋体" w:cs="宋体"/>
                <w:color w:val="auto"/>
                <w:szCs w:val="22"/>
                <w:highlight w:val="none"/>
              </w:rPr>
            </w:pPr>
            <w:r>
              <w:rPr>
                <w:rFonts w:hint="eastAsia" w:ascii="宋体" w:hAnsi="宋体" w:cs="宋体"/>
                <w:color w:val="auto"/>
                <w:szCs w:val="22"/>
                <w:highlight w:val="none"/>
              </w:rPr>
              <w:t>服务名称</w:t>
            </w:r>
          </w:p>
        </w:tc>
        <w:tc>
          <w:tcPr>
            <w:tcW w:w="2100" w:type="dxa"/>
            <w:vAlign w:val="center"/>
          </w:tcPr>
          <w:p>
            <w:pPr>
              <w:jc w:val="center"/>
              <w:rPr>
                <w:rFonts w:ascii="宋体" w:hAnsi="宋体" w:cs="宋体"/>
                <w:color w:val="auto"/>
                <w:szCs w:val="22"/>
                <w:highlight w:val="none"/>
              </w:rPr>
            </w:pPr>
            <w:r>
              <w:rPr>
                <w:rFonts w:hint="eastAsia" w:ascii="宋体" w:hAnsi="宋体" w:cs="宋体"/>
                <w:color w:val="auto"/>
                <w:szCs w:val="22"/>
                <w:highlight w:val="none"/>
              </w:rPr>
              <w:t>具体服务内容（含具体服务范围、服务标准等内容）</w:t>
            </w:r>
          </w:p>
        </w:tc>
        <w:tc>
          <w:tcPr>
            <w:tcW w:w="1213" w:type="dxa"/>
            <w:vAlign w:val="center"/>
          </w:tcPr>
          <w:p>
            <w:pPr>
              <w:jc w:val="center"/>
              <w:rPr>
                <w:rFonts w:ascii="宋体" w:hAnsi="宋体" w:cs="宋体"/>
                <w:color w:val="auto"/>
                <w:szCs w:val="22"/>
                <w:highlight w:val="none"/>
              </w:rPr>
            </w:pPr>
            <w:r>
              <w:rPr>
                <w:rFonts w:hint="eastAsia" w:ascii="宋体" w:hAnsi="宋体" w:cs="宋体"/>
                <w:color w:val="auto"/>
                <w:szCs w:val="22"/>
                <w:highlight w:val="none"/>
              </w:rPr>
              <w:t>数量①</w:t>
            </w:r>
          </w:p>
        </w:tc>
        <w:tc>
          <w:tcPr>
            <w:tcW w:w="1305" w:type="dxa"/>
            <w:vAlign w:val="center"/>
          </w:tcPr>
          <w:p>
            <w:pPr>
              <w:rPr>
                <w:rFonts w:ascii="宋体" w:hAnsi="宋体" w:cs="宋体"/>
                <w:color w:val="auto"/>
                <w:szCs w:val="22"/>
                <w:highlight w:val="none"/>
              </w:rPr>
            </w:pPr>
            <w:r>
              <w:rPr>
                <w:rFonts w:hint="eastAsia" w:ascii="宋体" w:hAnsi="宋体" w:cs="宋体"/>
                <w:color w:val="auto"/>
                <w:szCs w:val="22"/>
                <w:highlight w:val="none"/>
              </w:rPr>
              <w:t>单价(元)②</w:t>
            </w:r>
          </w:p>
        </w:tc>
        <w:tc>
          <w:tcPr>
            <w:tcW w:w="1252" w:type="dxa"/>
            <w:vAlign w:val="center"/>
          </w:tcPr>
          <w:p>
            <w:pPr>
              <w:rPr>
                <w:rFonts w:ascii="宋体" w:hAnsi="宋体" w:cs="宋体"/>
                <w:color w:val="auto"/>
                <w:szCs w:val="22"/>
                <w:highlight w:val="none"/>
              </w:rPr>
            </w:pPr>
            <w:r>
              <w:rPr>
                <w:rFonts w:hint="eastAsia" w:ascii="宋体" w:hAnsi="宋体" w:cs="宋体"/>
                <w:color w:val="auto"/>
                <w:szCs w:val="22"/>
                <w:highlight w:val="none"/>
              </w:rPr>
              <w:t>单项合价（元）</w:t>
            </w:r>
          </w:p>
          <w:p>
            <w:pPr>
              <w:rPr>
                <w:rFonts w:ascii="宋体" w:hAnsi="宋体" w:cs="宋体"/>
                <w:color w:val="auto"/>
                <w:szCs w:val="22"/>
                <w:highlight w:val="none"/>
              </w:rPr>
            </w:pPr>
            <w:r>
              <w:rPr>
                <w:rFonts w:hint="eastAsia" w:ascii="宋体" w:hAnsi="宋体" w:cs="宋体"/>
                <w:color w:val="auto"/>
                <w:szCs w:val="22"/>
                <w:highlight w:val="none"/>
              </w:rPr>
              <w:t>③＝①×②</w:t>
            </w:r>
          </w:p>
        </w:tc>
        <w:tc>
          <w:tcPr>
            <w:tcW w:w="1252" w:type="dxa"/>
            <w:vAlign w:val="center"/>
          </w:tcPr>
          <w:p>
            <w:pPr>
              <w:spacing w:line="360" w:lineRule="auto"/>
              <w:jc w:val="center"/>
              <w:rPr>
                <w:rFonts w:hint="eastAsia" w:ascii="宋体" w:hAnsi="宋体" w:eastAsia="宋体" w:cs="宋体"/>
                <w:color w:val="auto"/>
                <w:szCs w:val="22"/>
                <w:highlight w:val="none"/>
                <w:lang w:eastAsia="zh-CN"/>
              </w:rPr>
            </w:pPr>
            <w:r>
              <w:rPr>
                <w:rFonts w:hint="eastAsia" w:ascii="宋体" w:hAnsi="宋体" w:cs="宋体"/>
                <w:color w:val="auto"/>
                <w:szCs w:val="22"/>
                <w:highlight w:val="none"/>
                <w:lang w:eastAsia="zh-CN"/>
              </w:rPr>
              <w:t>服务期限</w:t>
            </w:r>
          </w:p>
        </w:tc>
        <w:tc>
          <w:tcPr>
            <w:tcW w:w="1383" w:type="dxa"/>
            <w:vAlign w:val="center"/>
          </w:tcPr>
          <w:p>
            <w:pPr>
              <w:jc w:val="center"/>
              <w:rPr>
                <w:rFonts w:ascii="宋体" w:hAnsi="宋体" w:cs="宋体"/>
                <w:color w:val="auto"/>
                <w:szCs w:val="22"/>
                <w:highlight w:val="none"/>
              </w:rPr>
            </w:pPr>
            <w:r>
              <w:rPr>
                <w:rFonts w:hint="eastAsia" w:ascii="宋体" w:hAnsi="宋体" w:cs="宋体"/>
                <w:color w:val="auto"/>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5" w:hRule="atLeast"/>
        </w:trPr>
        <w:tc>
          <w:tcPr>
            <w:tcW w:w="574" w:type="dxa"/>
            <w:vAlign w:val="center"/>
          </w:tcPr>
          <w:p>
            <w:pPr>
              <w:jc w:val="center"/>
              <w:rPr>
                <w:rFonts w:ascii="宋体" w:hAnsi="宋体" w:cs="宋体"/>
                <w:color w:val="auto"/>
                <w:szCs w:val="22"/>
                <w:highlight w:val="none"/>
              </w:rPr>
            </w:pPr>
            <w:r>
              <w:rPr>
                <w:rFonts w:hint="eastAsia" w:ascii="宋体" w:hAnsi="宋体" w:cs="宋体"/>
                <w:color w:val="auto"/>
                <w:szCs w:val="22"/>
                <w:highlight w:val="none"/>
              </w:rPr>
              <w:t>1</w:t>
            </w:r>
          </w:p>
        </w:tc>
        <w:tc>
          <w:tcPr>
            <w:tcW w:w="1382" w:type="dxa"/>
            <w:vAlign w:val="center"/>
          </w:tcPr>
          <w:p>
            <w:pPr>
              <w:rPr>
                <w:rFonts w:ascii="宋体" w:hAnsi="宋体" w:cs="宋体"/>
                <w:color w:val="auto"/>
                <w:szCs w:val="22"/>
                <w:highlight w:val="none"/>
              </w:rPr>
            </w:pPr>
          </w:p>
        </w:tc>
        <w:tc>
          <w:tcPr>
            <w:tcW w:w="2100" w:type="dxa"/>
            <w:vAlign w:val="center"/>
          </w:tcPr>
          <w:p>
            <w:pPr>
              <w:rPr>
                <w:rFonts w:ascii="宋体" w:hAnsi="宋体" w:cs="宋体"/>
                <w:color w:val="auto"/>
                <w:szCs w:val="22"/>
                <w:highlight w:val="none"/>
              </w:rPr>
            </w:pPr>
          </w:p>
        </w:tc>
        <w:tc>
          <w:tcPr>
            <w:tcW w:w="1213" w:type="dxa"/>
            <w:vAlign w:val="center"/>
          </w:tcPr>
          <w:p>
            <w:pPr>
              <w:rPr>
                <w:rFonts w:ascii="宋体" w:hAnsi="宋体" w:cs="宋体"/>
                <w:color w:val="auto"/>
                <w:szCs w:val="22"/>
                <w:highlight w:val="none"/>
              </w:rPr>
            </w:pPr>
          </w:p>
        </w:tc>
        <w:tc>
          <w:tcPr>
            <w:tcW w:w="1305" w:type="dxa"/>
            <w:vAlign w:val="center"/>
          </w:tcPr>
          <w:p>
            <w:pPr>
              <w:rPr>
                <w:rFonts w:ascii="宋体" w:hAnsi="宋体" w:cs="宋体"/>
                <w:color w:val="auto"/>
                <w:szCs w:val="22"/>
                <w:highlight w:val="none"/>
              </w:rPr>
            </w:pPr>
          </w:p>
        </w:tc>
        <w:tc>
          <w:tcPr>
            <w:tcW w:w="1252" w:type="dxa"/>
            <w:vAlign w:val="center"/>
          </w:tcPr>
          <w:p>
            <w:pPr>
              <w:rPr>
                <w:rFonts w:ascii="宋体" w:hAnsi="宋体" w:cs="宋体"/>
                <w:color w:val="auto"/>
                <w:szCs w:val="22"/>
                <w:highlight w:val="none"/>
              </w:rPr>
            </w:pPr>
          </w:p>
        </w:tc>
        <w:tc>
          <w:tcPr>
            <w:tcW w:w="1252" w:type="dxa"/>
          </w:tcPr>
          <w:p>
            <w:pPr>
              <w:rPr>
                <w:rFonts w:ascii="宋体" w:hAnsi="宋体" w:cs="宋体"/>
                <w:color w:val="auto"/>
                <w:szCs w:val="22"/>
                <w:highlight w:val="none"/>
              </w:rPr>
            </w:pPr>
          </w:p>
        </w:tc>
        <w:tc>
          <w:tcPr>
            <w:tcW w:w="1383" w:type="dxa"/>
            <w:vAlign w:val="center"/>
          </w:tcPr>
          <w:p>
            <w:pPr>
              <w:jc w:val="left"/>
              <w:rPr>
                <w:rFonts w:ascii="宋体" w:hAnsi="宋体" w:cs="宋体"/>
                <w:color w:val="auto"/>
                <w:szCs w:val="22"/>
                <w:highlight w:val="none"/>
              </w:rPr>
            </w:pPr>
            <w:r>
              <w:rPr>
                <w:rFonts w:hint="eastAsia" w:ascii="宋体" w:hAnsi="宋体" w:cs="宋体"/>
                <w:color w:val="auto"/>
                <w:szCs w:val="22"/>
                <w:highlight w:val="none"/>
                <w:lang w:val="en-US" w:eastAsia="zh-CN"/>
              </w:rPr>
              <w:t>农村生活污水处理设施共73套，日处理污水量共2645吨，运维费用总投资不超过182.5万元/年，3年总价不超过547.5万元。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10461" w:type="dxa"/>
            <w:gridSpan w:val="8"/>
          </w:tcPr>
          <w:p>
            <w:pPr>
              <w:jc w:val="left"/>
              <w:rPr>
                <w:rFonts w:ascii="宋体" w:hAnsi="宋体" w:cs="宋体"/>
                <w:color w:val="auto"/>
                <w:szCs w:val="21"/>
                <w:highlight w:val="none"/>
              </w:rPr>
            </w:pPr>
            <w:r>
              <w:rPr>
                <w:rFonts w:hint="eastAsia" w:ascii="宋体" w:hAnsi="宋体" w:cs="宋体"/>
                <w:color w:val="auto"/>
                <w:szCs w:val="21"/>
                <w:highlight w:val="none"/>
              </w:rPr>
              <w:t>报价合计（包含税费等所有费用）：（大写）人民币  （￥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10461" w:type="dxa"/>
            <w:gridSpan w:val="8"/>
          </w:tcPr>
          <w:p>
            <w:pPr>
              <w:rPr>
                <w:rFonts w:ascii="宋体" w:hAnsi="宋体" w:cs="宋体"/>
                <w:color w:val="auto"/>
                <w:szCs w:val="21"/>
                <w:highlight w:val="none"/>
                <w:u w:val="singl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10461" w:type="dxa"/>
            <w:gridSpan w:val="8"/>
          </w:tcPr>
          <w:p>
            <w:pPr>
              <w:rPr>
                <w:rFonts w:ascii="宋体" w:hAnsi="宋体" w:cs="宋体"/>
                <w:color w:val="auto"/>
                <w:szCs w:val="22"/>
                <w:highlight w:val="none"/>
              </w:rPr>
            </w:pPr>
            <w:r>
              <w:rPr>
                <w:rFonts w:hint="eastAsia" w:ascii="宋体" w:hAnsi="宋体" w:cs="宋体"/>
                <w:color w:val="auto"/>
                <w:szCs w:val="22"/>
                <w:highlight w:val="none"/>
              </w:rPr>
              <w:t>验收标准：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10461" w:type="dxa"/>
            <w:gridSpan w:val="8"/>
          </w:tcPr>
          <w:p>
            <w:pPr>
              <w:rPr>
                <w:rFonts w:ascii="宋体" w:hAnsi="宋体" w:cs="宋体"/>
                <w:color w:val="auto"/>
                <w:szCs w:val="22"/>
                <w:highlight w:val="none"/>
              </w:rPr>
            </w:pPr>
            <w:r>
              <w:rPr>
                <w:rFonts w:hint="eastAsia" w:ascii="宋体" w:hAnsi="宋体" w:cs="宋体"/>
                <w:color w:val="auto"/>
                <w:szCs w:val="22"/>
                <w:highlight w:val="none"/>
              </w:rPr>
              <w:t>优惠及其它：</w:t>
            </w:r>
          </w:p>
        </w:tc>
      </w:tr>
    </w:tbl>
    <w:p>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r>
        <w:rPr>
          <w:rFonts w:hint="eastAsia" w:ascii="宋体" w:hAnsi="宋体" w:cs="宋体"/>
          <w:color w:val="auto"/>
          <w:kern w:val="0"/>
          <w:sz w:val="24"/>
          <w:highlight w:val="none"/>
          <w:lang w:val="zh-CN"/>
        </w:rPr>
        <w:t>。</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5、特别提示：采购机构将对项目名称和项目编号，中标人名称、地址和中标金额，主要中标标的的名称、服务范围、服务要求、服务时间、服务标准等予以公示。</w:t>
      </w:r>
    </w:p>
    <w:p>
      <w:pPr>
        <w:snapToGrid w:val="0"/>
        <w:spacing w:line="360" w:lineRule="auto"/>
        <w:ind w:firstLine="480" w:firstLineChars="200"/>
        <w:jc w:val="left"/>
        <w:rPr>
          <w:rFonts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widowControl/>
        <w:jc w:val="left"/>
        <w:rPr>
          <w:rFonts w:ascii="宋体" w:hAnsi="宋体" w:cs="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pPr>
        <w:pStyle w:val="42"/>
        <w:spacing w:line="500" w:lineRule="exact"/>
        <w:ind w:firstLine="602" w:firstLineChars="200"/>
        <w:rPr>
          <w:rFonts w:hAnsi="宋体" w:cs="宋体"/>
          <w:b/>
          <w:color w:val="auto"/>
          <w:sz w:val="30"/>
          <w:szCs w:val="30"/>
          <w:highlight w:val="none"/>
        </w:rPr>
      </w:pPr>
      <w:r>
        <w:rPr>
          <w:rFonts w:hint="eastAsia" w:hAnsi="宋体" w:cs="宋体"/>
          <w:b/>
          <w:color w:val="auto"/>
          <w:sz w:val="30"/>
          <w:szCs w:val="30"/>
          <w:highlight w:val="none"/>
        </w:rPr>
        <w:t>三、投标人针对报价需要说明的其他文件和说明</w:t>
      </w:r>
    </w:p>
    <w:p>
      <w:pPr>
        <w:spacing w:line="300" w:lineRule="auto"/>
        <w:ind w:firstLine="1506" w:firstLineChars="500"/>
        <w:rPr>
          <w:rFonts w:ascii="宋体" w:hAnsi="宋体" w:cs="宋体"/>
          <w:b/>
          <w:color w:val="auto"/>
          <w:sz w:val="30"/>
          <w:szCs w:val="30"/>
          <w:highlight w:val="none"/>
        </w:rPr>
      </w:pPr>
    </w:p>
    <w:p>
      <w:pPr>
        <w:snapToGrid w:val="0"/>
        <w:spacing w:line="360" w:lineRule="auto"/>
        <w:ind w:firstLine="5040" w:firstLineChars="2100"/>
        <w:rPr>
          <w:rFonts w:ascii="宋体" w:hAnsi="宋体" w:cs="宋体"/>
          <w:color w:val="auto"/>
          <w:kern w:val="0"/>
          <w:sz w:val="24"/>
          <w:highlight w:val="none"/>
          <w:lang w:val="zh-CN"/>
        </w:rPr>
      </w:pPr>
      <w:bookmarkStart w:id="312" w:name="_Toc19686840"/>
      <w:bookmarkStart w:id="313" w:name="_Toc80093016"/>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before="165" w:after="50"/>
        <w:jc w:val="center"/>
        <w:outlineLvl w:val="1"/>
        <w:rPr>
          <w:rFonts w:ascii="宋体" w:hAnsi="宋体" w:cs="宋体"/>
          <w:b/>
          <w:bCs/>
          <w:color w:val="auto"/>
          <w:sz w:val="28"/>
          <w:szCs w:val="28"/>
          <w:highlight w:val="none"/>
        </w:rPr>
        <w:sectPr>
          <w:pgSz w:w="11906" w:h="16838"/>
          <w:pgMar w:top="1440" w:right="1080" w:bottom="1440" w:left="1080" w:header="720" w:footer="720" w:gutter="0"/>
          <w:pgNumType w:fmt="decimal"/>
          <w:cols w:space="720" w:num="1"/>
          <w:docGrid w:type="lines" w:linePitch="331" w:charSpace="0"/>
        </w:sectPr>
      </w:pPr>
    </w:p>
    <w:bookmarkEnd w:id="312"/>
    <w:bookmarkEnd w:id="313"/>
    <w:p>
      <w:pPr>
        <w:snapToGrid w:val="0"/>
        <w:spacing w:before="165" w:after="50"/>
        <w:jc w:val="center"/>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第六节 其他文书、文件格式</w:t>
      </w:r>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知识产权合规性声明</w:t>
      </w:r>
    </w:p>
    <w:p>
      <w:pPr>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pPr>
        <w:rPr>
          <w:rFonts w:ascii="宋体" w:hAnsi="宋体" w:cs="宋体"/>
          <w:color w:val="auto"/>
          <w:sz w:val="30"/>
          <w:szCs w:val="30"/>
          <w:highlight w:val="none"/>
        </w:rPr>
      </w:pPr>
      <w:r>
        <w:rPr>
          <w:rFonts w:hint="eastAsia" w:ascii="宋体" w:hAnsi="宋体" w:cs="宋体"/>
          <w:color w:val="auto"/>
          <w:sz w:val="30"/>
          <w:szCs w:val="30"/>
          <w:highlight w:val="none"/>
        </w:rPr>
        <w:t xml:space="preserve">    本企业自愿参与政府投资政府采购的</w:t>
      </w:r>
      <w:r>
        <w:rPr>
          <w:rFonts w:hint="eastAsia" w:ascii="宋体" w:hAnsi="宋体" w:cs="宋体"/>
          <w:color w:val="auto"/>
          <w:sz w:val="30"/>
          <w:szCs w:val="30"/>
          <w:highlight w:val="none"/>
          <w:u w:val="single"/>
        </w:rPr>
        <w:t xml:space="preserve">    项目名称    </w:t>
      </w:r>
      <w:r>
        <w:rPr>
          <w:rFonts w:hint="eastAsia" w:ascii="宋体" w:hAnsi="宋体" w:cs="宋体"/>
          <w:color w:val="auto"/>
          <w:sz w:val="30"/>
          <w:szCs w:val="30"/>
          <w:highlight w:val="none"/>
        </w:rPr>
        <w:t>项目，在此郑重承诺：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firstLine="480" w:firstLineChars="200"/>
        <w:rPr>
          <w:rFonts w:ascii="宋体" w:hAnsi="宋体" w:cs="宋体"/>
          <w:color w:val="auto"/>
          <w:sz w:val="24"/>
          <w:highlight w:val="none"/>
        </w:rPr>
      </w:pPr>
    </w:p>
    <w:p>
      <w:pPr>
        <w:snapToGrid w:val="0"/>
        <w:spacing w:before="50" w:after="165" w:line="360" w:lineRule="auto"/>
        <w:jc w:val="left"/>
        <w:rPr>
          <w:rFonts w:ascii="宋体" w:hAnsi="宋体" w:cs="宋体"/>
          <w:color w:val="auto"/>
          <w:sz w:val="20"/>
          <w:highlight w:val="none"/>
        </w:rPr>
        <w:sectPr>
          <w:pgSz w:w="11906" w:h="16838"/>
          <w:pgMar w:top="1440" w:right="1080" w:bottom="1440" w:left="1080" w:header="720" w:footer="720" w:gutter="0"/>
          <w:pgNumType w:fmt="decimal"/>
          <w:cols w:space="720" w:num="1"/>
          <w:docGrid w:type="lines" w:linePitch="331" w:charSpace="0"/>
        </w:sectPr>
      </w:pPr>
    </w:p>
    <w:p>
      <w:pPr>
        <w:snapToGrid w:val="0"/>
        <w:spacing w:before="50" w:after="165" w:line="360" w:lineRule="auto"/>
        <w:jc w:val="left"/>
        <w:rPr>
          <w:rFonts w:ascii="宋体" w:hAnsi="宋体" w:cs="宋体"/>
          <w:color w:val="auto"/>
          <w:sz w:val="20"/>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rPr>
          <w:rFonts w:hAnsi="宋体" w:cs="宋体"/>
          <w:b/>
          <w:color w:val="auto"/>
          <w:sz w:val="36"/>
          <w:highlight w:val="none"/>
        </w:rPr>
      </w:pPr>
    </w:p>
    <w:p>
      <w:pPr>
        <w:pStyle w:val="42"/>
        <w:tabs>
          <w:tab w:val="left" w:pos="2472"/>
        </w:tabs>
        <w:spacing w:line="460" w:lineRule="exact"/>
        <w:jc w:val="center"/>
        <w:outlineLvl w:val="0"/>
        <w:rPr>
          <w:rFonts w:hAnsi="宋体" w:cs="宋体"/>
          <w:b/>
          <w:color w:val="auto"/>
          <w:sz w:val="36"/>
          <w:highlight w:val="none"/>
        </w:rPr>
      </w:pPr>
      <w:bookmarkStart w:id="314" w:name="_Toc80093017"/>
      <w:bookmarkEnd w:id="314"/>
      <w:r>
        <w:rPr>
          <w:rFonts w:hint="eastAsia" w:hAnsi="宋体" w:cs="宋体"/>
          <w:b/>
          <w:color w:val="auto"/>
          <w:sz w:val="36"/>
          <w:highlight w:val="none"/>
        </w:rPr>
        <w:t>第七章 质疑、投诉证明材料格式</w:t>
      </w:r>
    </w:p>
    <w:p>
      <w:pPr>
        <w:snapToGrid w:val="0"/>
        <w:spacing w:before="50" w:after="165" w:line="360" w:lineRule="auto"/>
        <w:ind w:firstLine="300" w:firstLineChars="150"/>
        <w:jc w:val="left"/>
        <w:rPr>
          <w:rFonts w:ascii="宋体" w:hAnsi="宋体" w:cs="宋体"/>
          <w:color w:val="auto"/>
          <w:sz w:val="20"/>
          <w:highlight w:val="none"/>
        </w:rPr>
        <w:sectPr>
          <w:pgSz w:w="11906" w:h="16838"/>
          <w:pgMar w:top="1440" w:right="1080" w:bottom="1440" w:left="1080" w:header="720" w:footer="720" w:gutter="0"/>
          <w:pgNumType w:fmt="decimal"/>
          <w:cols w:space="720" w:num="1"/>
          <w:docGrid w:type="lines" w:linePitch="331" w:charSpace="0"/>
        </w:sectPr>
      </w:pPr>
    </w:p>
    <w:p>
      <w:pPr>
        <w:widowControl/>
        <w:shd w:val="clear" w:color="auto" w:fill="FFFFFF"/>
        <w:spacing w:line="260" w:lineRule="exact"/>
        <w:jc w:val="left"/>
        <w:rPr>
          <w:rFonts w:ascii="宋体" w:hAnsi="宋体" w:cs="宋体"/>
          <w:b/>
          <w:bCs/>
          <w:color w:val="auto"/>
          <w:sz w:val="28"/>
          <w:szCs w:val="28"/>
          <w:highlight w:val="none"/>
        </w:rPr>
      </w:pPr>
    </w:p>
    <w:p>
      <w:pPr>
        <w:pStyle w:val="15"/>
        <w:jc w:val="center"/>
        <w:rPr>
          <w:rFonts w:ascii="宋体" w:hAnsi="宋体" w:eastAsia="宋体" w:cs="宋体"/>
          <w:b w:val="0"/>
          <w:bCs w:val="0"/>
          <w:color w:val="auto"/>
          <w:highlight w:val="none"/>
        </w:rPr>
      </w:pPr>
      <w:bookmarkStart w:id="315" w:name="_Toc80093018"/>
      <w:bookmarkEnd w:id="315"/>
      <w:r>
        <w:rPr>
          <w:rFonts w:hint="eastAsia" w:ascii="宋体" w:hAnsi="宋体" w:eastAsia="宋体" w:cs="宋体"/>
          <w:b w:val="0"/>
          <w:bCs w:val="0"/>
          <w:color w:val="auto"/>
          <w:highlight w:val="none"/>
        </w:rPr>
        <w:t>第一节 质疑函（格式）</w:t>
      </w: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pPr>
        <w:snapToGrid w:val="0"/>
        <w:spacing w:before="331"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pPr>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p>
    <w:p>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p>
    <w:p>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pPr>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pPr>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pPr>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质疑事项2</w:t>
      </w:r>
    </w:p>
    <w:p>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w:t>
      </w:r>
    </w:p>
    <w:p>
      <w:pPr>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pPr>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pPr>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pPr>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宋体" w:hAnsi="宋体" w:cs="宋体"/>
          <w:color w:val="auto"/>
          <w:sz w:val="30"/>
          <w:szCs w:val="30"/>
          <w:highlight w:val="none"/>
        </w:rPr>
      </w:pPr>
    </w:p>
    <w:p>
      <w:pPr>
        <w:snapToGrid w:val="0"/>
        <w:spacing w:before="50" w:after="165" w:line="360" w:lineRule="auto"/>
        <w:ind w:firstLine="480" w:firstLineChars="200"/>
        <w:jc w:val="left"/>
        <w:rPr>
          <w:rFonts w:ascii="宋体" w:hAnsi="宋体" w:cs="宋体"/>
          <w:color w:val="auto"/>
          <w:kern w:val="0"/>
          <w:sz w:val="24"/>
          <w:highlight w:val="none"/>
        </w:rPr>
        <w:sectPr>
          <w:pgSz w:w="11906" w:h="16838"/>
          <w:pgMar w:top="1440" w:right="1080" w:bottom="1440" w:left="1080" w:header="720" w:footer="720" w:gutter="0"/>
          <w:pgNumType w:fmt="decimal"/>
          <w:cols w:space="720" w:num="1"/>
          <w:docGrid w:type="lines" w:linePitch="331" w:charSpace="0"/>
        </w:sectPr>
      </w:pPr>
    </w:p>
    <w:p>
      <w:pPr>
        <w:pStyle w:val="15"/>
        <w:jc w:val="center"/>
        <w:rPr>
          <w:rFonts w:ascii="宋体" w:hAnsi="宋体" w:eastAsia="宋体" w:cs="宋体"/>
          <w:b w:val="0"/>
          <w:bCs w:val="0"/>
          <w:color w:val="auto"/>
          <w:highlight w:val="none"/>
        </w:rPr>
      </w:pPr>
      <w:bookmarkStart w:id="316" w:name="_Toc80093019"/>
      <w:bookmarkEnd w:id="316"/>
      <w:r>
        <w:rPr>
          <w:rFonts w:hint="eastAsia" w:ascii="宋体" w:hAnsi="宋体" w:eastAsia="宋体" w:cs="宋体"/>
          <w:b w:val="0"/>
          <w:bCs w:val="0"/>
          <w:color w:val="auto"/>
          <w:highlight w:val="none"/>
        </w:rPr>
        <w:t>第二节 投诉书（格式）</w:t>
      </w:r>
    </w:p>
    <w:p>
      <w:pPr>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pPr>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pPr>
        <w:rPr>
          <w:rFonts w:ascii="宋体" w:hAnsi="宋体" w:cs="宋体"/>
          <w:color w:val="auto"/>
          <w:sz w:val="32"/>
          <w:szCs w:val="32"/>
          <w:highlight w:val="none"/>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pPr>
        <w:rPr>
          <w:rFonts w:ascii="宋体" w:hAnsi="宋体" w:cs="宋体"/>
          <w:color w:val="auto"/>
          <w:sz w:val="32"/>
          <w:szCs w:val="32"/>
          <w:highlight w:val="non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pPr>
        <w:tabs>
          <w:tab w:val="left" w:pos="6510"/>
        </w:tabs>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pPr>
        <w:tabs>
          <w:tab w:val="left" w:pos="6510"/>
        </w:tabs>
        <w:rPr>
          <w:rFonts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pPr>
        <w:rPr>
          <w:rFonts w:ascii="宋体" w:hAnsi="宋体" w:cs="宋体"/>
          <w:color w:val="auto"/>
          <w:sz w:val="32"/>
          <w:szCs w:val="32"/>
          <w:highlight w:val="none"/>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pPr>
        <w:rPr>
          <w:rFonts w:ascii="宋体" w:hAnsi="宋体" w:cs="宋体"/>
          <w:color w:val="auto"/>
          <w:sz w:val="32"/>
          <w:szCs w:val="32"/>
          <w:highlight w:val="non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pPr>
        <w:rPr>
          <w:rFonts w:ascii="宋体" w:hAnsi="宋体" w:cs="宋体"/>
          <w:color w:val="auto"/>
          <w:sz w:val="32"/>
          <w:szCs w:val="32"/>
          <w:highlight w:val="non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pPr>
        <w:rPr>
          <w:rFonts w:ascii="宋体" w:hAnsi="宋体" w:cs="宋体"/>
          <w:color w:val="auto"/>
          <w:sz w:val="32"/>
          <w:szCs w:val="32"/>
          <w:highlight w:val="non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pPr>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pPr>
        <w:rPr>
          <w:rFonts w:ascii="宋体" w:hAnsi="宋体" w:cs="宋体"/>
          <w:color w:val="auto"/>
          <w:sz w:val="32"/>
          <w:szCs w:val="32"/>
          <w:highlight w:val="none"/>
        </w:rPr>
      </w:pPr>
      <w:r>
        <w:rPr>
          <w:rFonts w:hint="eastAsia" w:ascii="宋体" w:hAnsi="宋体" w:cs="宋体"/>
          <w:color w:val="auto"/>
          <w:sz w:val="32"/>
          <w:szCs w:val="32"/>
          <w:highlight w:val="none"/>
        </w:rPr>
        <w:t>被投诉人2</w:t>
      </w:r>
    </w:p>
    <w:p>
      <w:pPr>
        <w:rPr>
          <w:rFonts w:ascii="宋体" w:hAnsi="宋体" w:cs="宋体"/>
          <w:color w:val="auto"/>
          <w:sz w:val="32"/>
          <w:szCs w:val="32"/>
          <w:highlight w:val="none"/>
        </w:rPr>
      </w:pPr>
      <w:r>
        <w:rPr>
          <w:rFonts w:hint="eastAsia" w:ascii="宋体" w:hAnsi="宋体" w:cs="宋体"/>
          <w:color w:val="auto"/>
          <w:sz w:val="32"/>
          <w:szCs w:val="32"/>
          <w:highlight w:val="none"/>
        </w:rPr>
        <w:t>……</w:t>
      </w:r>
    </w:p>
    <w:p>
      <w:pPr>
        <w:rPr>
          <w:rFonts w:ascii="宋体" w:hAnsi="宋体" w:cs="宋体"/>
          <w:color w:val="auto"/>
          <w:sz w:val="32"/>
          <w:szCs w:val="32"/>
          <w:highlight w:val="non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pPr>
        <w:rPr>
          <w:rFonts w:ascii="宋体" w:hAnsi="宋体" w:cs="宋体"/>
          <w:color w:val="auto"/>
          <w:sz w:val="32"/>
          <w:szCs w:val="32"/>
          <w:highlight w:val="non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pPr>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pPr>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pPr>
        <w:rPr>
          <w:rFonts w:ascii="宋体" w:hAnsi="宋体" w:cs="宋体"/>
          <w:color w:val="auto"/>
          <w:sz w:val="32"/>
          <w:szCs w:val="32"/>
          <w:highlight w:val="none"/>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p>
    <w:p>
      <w:pPr>
        <w:rPr>
          <w:rFonts w:ascii="宋体" w:hAnsi="宋体" w:cs="宋体"/>
          <w:color w:val="auto"/>
          <w:sz w:val="32"/>
          <w:szCs w:val="32"/>
          <w:highlight w:val="non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pPr>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pPr>
        <w:rPr>
          <w:rFonts w:ascii="宋体" w:hAnsi="宋体" w:cs="宋体"/>
          <w:color w:val="auto"/>
          <w:sz w:val="32"/>
          <w:szCs w:val="32"/>
          <w:highlight w:val="non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pPr>
        <w:rPr>
          <w:rFonts w:ascii="宋体" w:hAnsi="宋体" w:cs="宋体"/>
          <w:color w:val="auto"/>
          <w:sz w:val="32"/>
          <w:szCs w:val="32"/>
          <w:highlight w:val="none"/>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pPr>
        <w:rPr>
          <w:rFonts w:ascii="宋体" w:hAnsi="宋体" w:cs="宋体"/>
          <w:color w:val="auto"/>
          <w:sz w:val="32"/>
          <w:szCs w:val="32"/>
          <w:highlight w:val="non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pPr>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pPr>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pPr>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pPr>
        <w:ind w:firstLine="480" w:firstLineChars="150"/>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pPr>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pPr>
        <w:rPr>
          <w:rFonts w:ascii="宋体" w:hAnsi="宋体" w:cs="宋体"/>
          <w:color w:val="auto"/>
          <w:sz w:val="32"/>
          <w:szCs w:val="32"/>
          <w:highlight w:val="non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pPr>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pPr>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pPr>
        <w:rPr>
          <w:rFonts w:ascii="宋体" w:hAnsi="宋体" w:cs="宋体"/>
          <w:color w:val="auto"/>
          <w:sz w:val="32"/>
          <w:szCs w:val="32"/>
          <w:highlight w:val="non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pPr>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pPr>
        <w:rPr>
          <w:rFonts w:ascii="宋体" w:hAnsi="宋体" w:cs="宋体"/>
          <w:color w:val="auto"/>
          <w:sz w:val="32"/>
          <w:szCs w:val="32"/>
          <w:highlight w:val="none"/>
        </w:rPr>
      </w:pPr>
      <w:r>
        <w:rPr>
          <w:rFonts w:hint="eastAsia" w:ascii="宋体" w:hAnsi="宋体" w:cs="宋体"/>
          <w:color w:val="auto"/>
          <w:sz w:val="32"/>
          <w:szCs w:val="32"/>
          <w:highlight w:val="none"/>
        </w:rPr>
        <w:t>投诉事项2</w:t>
      </w:r>
    </w:p>
    <w:p>
      <w:pPr>
        <w:rPr>
          <w:rFonts w:ascii="宋体" w:hAnsi="宋体" w:cs="宋体"/>
          <w:color w:val="auto"/>
          <w:sz w:val="32"/>
          <w:szCs w:val="32"/>
          <w:highlight w:val="none"/>
        </w:rPr>
      </w:pPr>
      <w:r>
        <w:rPr>
          <w:rFonts w:hint="eastAsia" w:ascii="宋体" w:hAnsi="宋体" w:cs="宋体"/>
          <w:color w:val="auto"/>
          <w:sz w:val="32"/>
          <w:szCs w:val="32"/>
          <w:highlight w:val="none"/>
        </w:rPr>
        <w:t>……</w:t>
      </w:r>
    </w:p>
    <w:p>
      <w:pPr>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pPr>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pPr>
        <w:rPr>
          <w:rFonts w:ascii="宋体" w:hAnsi="宋体" w:cs="宋体"/>
          <w:color w:val="auto"/>
          <w:sz w:val="32"/>
          <w:szCs w:val="32"/>
          <w:highlight w:val="none"/>
        </w:rPr>
      </w:pPr>
      <w:r>
        <w:rPr>
          <w:rFonts w:hint="eastAsia" w:ascii="宋体" w:hAnsi="宋体" w:cs="宋体"/>
          <w:color w:val="auto"/>
          <w:sz w:val="32"/>
          <w:szCs w:val="32"/>
          <w:highlight w:val="none"/>
        </w:rPr>
        <w:t xml:space="preserve">                                                                                                    </w:t>
      </w:r>
    </w:p>
    <w:p>
      <w:pPr>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pPr>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pPr>
        <w:rPr>
          <w:rFonts w:ascii="宋体" w:hAnsi="宋体" w:cs="宋体"/>
          <w:b/>
          <w:color w:val="auto"/>
          <w:sz w:val="32"/>
          <w:szCs w:val="32"/>
          <w:highlight w:val="none"/>
        </w:rPr>
      </w:pPr>
    </w:p>
    <w:p>
      <w:pPr>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pPr>
        <w:widowControl/>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pPr>
        <w:snapToGrid w:val="0"/>
        <w:spacing w:before="50" w:after="165" w:line="360" w:lineRule="auto"/>
        <w:ind w:firstLine="480" w:firstLineChars="200"/>
        <w:jc w:val="left"/>
        <w:rPr>
          <w:rFonts w:ascii="宋体" w:hAnsi="宋体" w:cs="宋体"/>
          <w:color w:val="auto"/>
          <w:sz w:val="24"/>
          <w:highlight w:val="none"/>
        </w:rPr>
      </w:pPr>
    </w:p>
    <w:sectPr>
      <w:footerReference r:id="rId23" w:type="first"/>
      <w:headerReference r:id="rId20" w:type="default"/>
      <w:footerReference r:id="rId21" w:type="default"/>
      <w:footerReference r:id="rId22"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Microsoft JhengHei"/>
    <w:panose1 w:val="02010609000101010101"/>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altName w:val="黑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Helvetica Neue">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tabs>
        <w:tab w:val="clear" w:pos="4153"/>
        <w:tab w:val="clear" w:pos="8306"/>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tabs>
        <w:tab w:val="clear" w:pos="4153"/>
        <w:tab w:val="clear" w:pos="8306"/>
      </w:tabs>
      <w:rPr>
        <w:rFonts w:hint="default"/>
        <w:lang w:val="en-US"/>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2054"/>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51"/>
                            <w:tabs>
                              <w:tab w:val="clear" w:pos="4153"/>
                              <w:tab w:val="clear" w:pos="8306"/>
                            </w:tabs>
                            <w:ind w:firstLine="1260" w:firstLineChars="700"/>
                          </w:pPr>
                          <w:r>
                            <w:fldChar w:fldCharType="begin"/>
                          </w:r>
                          <w:r>
                            <w:instrText xml:space="preserve"> PAGE  \* MERGEFORMAT </w:instrText>
                          </w:r>
                          <w:r>
                            <w:fldChar w:fldCharType="separate"/>
                          </w:r>
                          <w:r>
                            <w:t>99</w:t>
                          </w:r>
                          <w:r>
                            <w:fldChar w:fldCharType="end"/>
                          </w:r>
                        </w:p>
                        <w:p/>
                      </w:txbxContent>
                    </wps:txbx>
                    <wps:bodyPr rot="0" vert="horz" wrap="square" lIns="0" tIns="0" rIns="0" bIns="0" anchor="t" anchorCtr="0"/>
                  </wps:wsp>
                </a:graphicData>
              </a:graphic>
            </wp:anchor>
          </w:drawing>
        </mc:Choice>
        <mc:Fallback>
          <w:pict>
            <v:rect id="_x0000_s2054" o:spid="_x0000_s1026" o:spt="1" style="position:absolute;left:0pt;margin-top:0pt;height:144pt;width:144pt;mso-position-horizontal:center;mso-position-horizontal-relative:margin;z-index:25166438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mtmPLTAAAABQEAAA8AAAAAAAAAAQAgAAAAIgAAAGRycy9k&#10;b3ducmV2LnhtbFBLAQIUABQAAAAIAIdO4kB3Eb/4lQEAACgDAAAOAAAAAAAAAAEAIAAAACIBAABk&#10;cnMvZTJvRG9jLnhtbFBLBQYAAAAABgAGAFkBAAApBQAAAAA=&#10;">
              <v:fill on="f" focussize="0,0"/>
              <v:stroke on="f"/>
              <v:imagedata o:title=""/>
              <o:lock v:ext="edit" aspectratio="f"/>
              <v:textbox inset="0mm,0mm,0mm,0mm">
                <w:txbxContent>
                  <w:p>
                    <w:pPr>
                      <w:pStyle w:val="51"/>
                      <w:tabs>
                        <w:tab w:val="clear" w:pos="4153"/>
                        <w:tab w:val="clear" w:pos="8306"/>
                      </w:tabs>
                      <w:ind w:firstLine="1260" w:firstLineChars="700"/>
                    </w:pPr>
                    <w:r>
                      <w:fldChar w:fldCharType="begin"/>
                    </w:r>
                    <w:r>
                      <w:instrText xml:space="preserve"> PAGE  \* MERGEFORMAT </w:instrText>
                    </w:r>
                    <w:r>
                      <w:fldChar w:fldCharType="separate"/>
                    </w:r>
                    <w:r>
                      <w:t>99</w:t>
                    </w:r>
                    <w:r>
                      <w:fldChar w:fldCharType="end"/>
                    </w:r>
                  </w:p>
                  <w:p/>
                </w:txbxContent>
              </v:textbox>
            </v:rect>
          </w:pict>
        </mc:Fallback>
      </mc:AlternateContent>
    </w:r>
    <w:r>
      <w:rPr>
        <w:rFonts w:hint="eastAsia"/>
        <w:lang w:val="en-US" w:eastAsia="zh-CN"/>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center" w:y="1"/>
      <w:tabs>
        <w:tab w:val="clear" w:pos="4153"/>
        <w:tab w:val="clear" w:pos="8306"/>
      </w:tabs>
    </w:pPr>
    <w:r>
      <w:fldChar w:fldCharType="begin"/>
    </w:r>
    <w:r>
      <w:rPr>
        <w:rStyle w:val="67"/>
      </w:rPr>
      <w:instrText xml:space="preserve">PAGE  </w:instrText>
    </w:r>
    <w:r>
      <w:fldChar w:fldCharType="end"/>
    </w:r>
  </w:p>
  <w:p>
    <w:pPr>
      <w:pStyle w:val="51"/>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right" w:y="1"/>
      <w:tabs>
        <w:tab w:val="clear" w:pos="4153"/>
        <w:tab w:val="clear" w:pos="8306"/>
      </w:tabs>
    </w:pPr>
    <w:r>
      <w:fldChar w:fldCharType="begin"/>
    </w:r>
    <w:r>
      <w:rPr>
        <w:rStyle w:val="67"/>
      </w:rPr>
      <w:instrText xml:space="preserve">PAGE  </w:instrText>
    </w:r>
    <w:r>
      <w:fldChar w:fldCharType="separate"/>
    </w:r>
    <w:r>
      <w:rPr>
        <w:rStyle w:val="67"/>
      </w:rPr>
      <w:t>122</w:t>
    </w:r>
    <w:r>
      <w:fldChar w:fldCharType="end"/>
    </w:r>
  </w:p>
  <w:p>
    <w:pPr>
      <w:pStyle w:val="51"/>
      <w:tabs>
        <w:tab w:val="clear" w:pos="4153"/>
        <w:tab w:val="clear" w:pos="8306"/>
      </w:tabs>
      <w:ind w:right="360"/>
      <w:jc w:val="both"/>
    </w:pPr>
    <w:r>
      <w:rPr>
        <w:rFonts w:hint="eastAsia"/>
      </w:rPr>
      <w:t>121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tabs>
        <w:tab w:val="clear" w:pos="4153"/>
        <w:tab w:val="clear" w:pos="8306"/>
      </w:tabs>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1"/>
                            <w:tabs>
                              <w:tab w:val="clear" w:pos="4153"/>
                              <w:tab w:val="clear" w:pos="8306"/>
                            </w:tabs>
                            <w:jc w:val="center"/>
                          </w:pPr>
                          <w:r>
                            <w:fldChar w:fldCharType="begin"/>
                          </w:r>
                          <w:r>
                            <w:instrText xml:space="preserve"> PAGE   \* MERGEFORMAT </w:instrText>
                          </w:r>
                          <w:r>
                            <w:fldChar w:fldCharType="separate"/>
                          </w:r>
                          <w:r>
                            <w:rPr>
                              <w:lang w:val="zh-CN"/>
                            </w:rP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1"/>
                      <w:tabs>
                        <w:tab w:val="clear" w:pos="4153"/>
                        <w:tab w:val="clear" w:pos="8306"/>
                      </w:tabs>
                      <w:jc w:val="center"/>
                    </w:pPr>
                    <w:r>
                      <w:fldChar w:fldCharType="begin"/>
                    </w:r>
                    <w:r>
                      <w:instrText xml:space="preserve"> PAGE   \* MERGEFORMAT </w:instrText>
                    </w:r>
                    <w:r>
                      <w:fldChar w:fldCharType="separate"/>
                    </w:r>
                    <w:r>
                      <w:rPr>
                        <w:lang w:val="zh-CN"/>
                      </w:rPr>
                      <w:t>102</w:t>
                    </w:r>
                    <w:r>
                      <w:fldChar w:fldCharType="end"/>
                    </w:r>
                  </w:p>
                </w:txbxContent>
              </v:textbox>
            </v:shape>
          </w:pict>
        </mc:Fallback>
      </mc:AlternateContent>
    </w:r>
  </w:p>
  <w:p>
    <w:pPr>
      <w:pStyle w:val="51"/>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center" w:y="1"/>
      <w:tabs>
        <w:tab w:val="clear" w:pos="4153"/>
        <w:tab w:val="clear" w:pos="8306"/>
      </w:tabs>
    </w:pPr>
    <w:r>
      <w:fldChar w:fldCharType="begin"/>
    </w:r>
    <w:r>
      <w:rPr>
        <w:rStyle w:val="67"/>
      </w:rPr>
      <w:instrText xml:space="preserve">PAGE  </w:instrText>
    </w:r>
    <w:r>
      <w:fldChar w:fldCharType="end"/>
    </w:r>
  </w:p>
  <w:p>
    <w:pPr>
      <w:pStyle w:val="51"/>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right" w:y="1"/>
      <w:tabs>
        <w:tab w:val="clear" w:pos="4153"/>
        <w:tab w:val="clear" w:pos="8306"/>
      </w:tabs>
    </w:pPr>
    <w:r>
      <w:fldChar w:fldCharType="begin"/>
    </w:r>
    <w:r>
      <w:rPr>
        <w:rStyle w:val="67"/>
      </w:rPr>
      <w:instrText xml:space="preserve">PAGE  </w:instrText>
    </w:r>
    <w:r>
      <w:fldChar w:fldCharType="separate"/>
    </w:r>
    <w:r>
      <w:rPr>
        <w:rStyle w:val="67"/>
      </w:rPr>
      <w:t>122</w:t>
    </w:r>
    <w:r>
      <w:fldChar w:fldCharType="end"/>
    </w:r>
  </w:p>
  <w:p>
    <w:pPr>
      <w:pStyle w:val="51"/>
      <w:tabs>
        <w:tab w:val="clear" w:pos="4153"/>
        <w:tab w:val="clear" w:pos="8306"/>
      </w:tabs>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center" w:y="1"/>
      <w:tabs>
        <w:tab w:val="clear" w:pos="4153"/>
        <w:tab w:val="clear" w:pos="8306"/>
      </w:tabs>
      <w:rPr>
        <w:sz w:val="21"/>
      </w:rPr>
    </w:pPr>
    <w:r>
      <w:rPr>
        <w:sz w:val="21"/>
      </w:rPr>
      <w:fldChar w:fldCharType="begin"/>
    </w:r>
    <w:r>
      <w:rPr>
        <w:rStyle w:val="67"/>
        <w:sz w:val="21"/>
      </w:rPr>
      <w:instrText xml:space="preserve">PAGE  </w:instrText>
    </w:r>
    <w:r>
      <w:rPr>
        <w:sz w:val="21"/>
      </w:rPr>
      <w:fldChar w:fldCharType="separate"/>
    </w:r>
    <w:r>
      <w:rPr>
        <w:rStyle w:val="67"/>
        <w:sz w:val="21"/>
      </w:rPr>
      <w:t>0</w:t>
    </w:r>
    <w:r>
      <w:rPr>
        <w:sz w:val="21"/>
      </w:rPr>
      <w:fldChar w:fldCharType="end"/>
    </w:r>
  </w:p>
  <w:p>
    <w:pPr>
      <w:pStyle w:val="51"/>
      <w:tabs>
        <w:tab w:val="clear" w:pos="4153"/>
        <w:tab w:val="clear" w:pos="8306"/>
      </w:tabs>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posOffset>3084830</wp:posOffset>
              </wp:positionH>
              <wp:positionV relativeFrom="paragraph">
                <wp:posOffset>-57150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51"/>
                            <w:tabs>
                              <w:tab w:val="clear" w:pos="4153"/>
                              <w:tab w:val="clear" w:pos="8306"/>
                            </w:tabs>
                          </w:pPr>
                          <w:r>
                            <w:fldChar w:fldCharType="begin"/>
                          </w:r>
                          <w:r>
                            <w:instrText xml:space="preserve"> PAGE  \* MERGEFORMAT </w:instrText>
                          </w:r>
                          <w:r>
                            <w:fldChar w:fldCharType="separate"/>
                          </w:r>
                          <w:r>
                            <w:t>4</w:t>
                          </w:r>
                          <w:r>
                            <w:fldChar w:fldCharType="end"/>
                          </w:r>
                        </w:p>
                        <w:p/>
                      </w:txbxContent>
                    </wps:txbx>
                    <wps:bodyPr rot="0" vert="horz" wrap="square" lIns="0" tIns="0" rIns="0" bIns="0" anchor="t" anchorCtr="0"/>
                  </wps:wsp>
                </a:graphicData>
              </a:graphic>
            </wp:anchor>
          </w:drawing>
        </mc:Choice>
        <mc:Fallback>
          <w:pict>
            <v:rect id="_x0000_s2049" o:spid="_x0000_s1026" o:spt="1" style="position:absolute;left:0pt;margin-left:242.9pt;margin-top:-4.5pt;height:144pt;width:144pt;mso-position-horizontal-relative:margin;z-index:251659264;mso-width-relative:page;mso-height-relative:page;" filled="f" stroked="f" coordsize="21600,21600" o:gfxdata="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cbp5F2gAAAAoBAAAPAAAAAAAAAAEAIAAAACIA&#10;AABkcnMvZG93bnJldi54bWxQSwECFAAUAAAACACHTuJAZpnuf5UBAAAoAwAADgAAAAAAAAABACAA&#10;AAApAQAAZHJzL2Uyb0RvYy54bWxQSwUGAAAAAAYABgBZAQAAMAUAAAAA&#10;">
              <v:fill on="f" focussize="0,0"/>
              <v:stroke on="f"/>
              <v:imagedata o:title=""/>
              <o:lock v:ext="edit" aspectratio="f"/>
              <v:textbox inset="0mm,0mm,0mm,0mm">
                <w:txbxContent>
                  <w:p>
                    <w:pPr>
                      <w:pStyle w:val="51"/>
                      <w:tabs>
                        <w:tab w:val="clear" w:pos="4153"/>
                        <w:tab w:val="clear" w:pos="8306"/>
                      </w:tabs>
                    </w:pPr>
                    <w:r>
                      <w:fldChar w:fldCharType="begin"/>
                    </w:r>
                    <w:r>
                      <w:instrText xml:space="preserve"> PAGE  \* MERGEFORMAT </w:instrText>
                    </w:r>
                    <w:r>
                      <w:fldChar w:fldCharType="separate"/>
                    </w:r>
                    <w:r>
                      <w:t>4</w:t>
                    </w:r>
                    <w:r>
                      <w:fldChar w:fldCharType="end"/>
                    </w:r>
                  </w:p>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tabs>
        <w:tab w:val="clear" w:pos="4153"/>
        <w:tab w:val="clear" w:pos="8306"/>
      </w:tabs>
      <w:jc w:val="center"/>
    </w:pPr>
    <w:r>
      <mc:AlternateContent>
        <mc:Choice Requires="wps">
          <w:drawing>
            <wp:anchor distT="0" distB="0" distL="0" distR="0" simplePos="0" relativeHeight="251660288" behindDoc="0" locked="0" layoutInCell="1" allowOverlap="1">
              <wp:simplePos x="0" y="0"/>
              <wp:positionH relativeFrom="margin">
                <wp:posOffset>2932430</wp:posOffset>
              </wp:positionH>
              <wp:positionV relativeFrom="paragraph">
                <wp:posOffset>0</wp:posOffset>
              </wp:positionV>
              <wp:extent cx="1828800" cy="1828800"/>
              <wp:effectExtent l="0" t="0" r="0" b="0"/>
              <wp:wrapNone/>
              <wp:docPr id="2"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51"/>
                            <w:tabs>
                              <w:tab w:val="clear" w:pos="4153"/>
                              <w:tab w:val="clear" w:pos="8306"/>
                            </w:tabs>
                          </w:pPr>
                          <w:r>
                            <w:fldChar w:fldCharType="begin"/>
                          </w:r>
                          <w:r>
                            <w:instrText xml:space="preserve"> PAGE  \* MERGEFORMAT </w:instrText>
                          </w:r>
                          <w:r>
                            <w:fldChar w:fldCharType="separate"/>
                          </w:r>
                          <w:r>
                            <w:t>9</w:t>
                          </w:r>
                          <w:r>
                            <w:fldChar w:fldCharType="end"/>
                          </w:r>
                        </w:p>
                        <w:p/>
                      </w:txbxContent>
                    </wps:txbx>
                    <wps:bodyPr rot="0" vert="horz" wrap="square" lIns="0" tIns="0" rIns="0" bIns="0" anchor="t" anchorCtr="0"/>
                  </wps:wsp>
                </a:graphicData>
              </a:graphic>
            </wp:anchor>
          </w:drawing>
        </mc:Choice>
        <mc:Fallback>
          <w:pict>
            <v:rect id="_x0000_s2050" o:spid="_x0000_s1026" o:spt="1" style="position:absolute;left:0pt;margin-left:230.9pt;margin-top:0pt;height:144pt;width:144pt;mso-position-horizontal-relative:margin;z-index:251660288;mso-width-relative:page;mso-height-relative:page;" filled="f" stroked="f" coordsize="21600,21600" o:gfxdata="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&#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OmUFVPYAAAACAEAAA8AAAAAAAAAAQAgAAAAIgAAAGRy&#10;cy9kb3ducmV2LnhtbFBLAQIUABQAAAAIAIdO4kCZJ4oYkwEAACgDAAAOAAAAAAAAAAEAIAAAACcB&#10;AABkcnMvZTJvRG9jLnhtbFBLBQYAAAAABgAGAFkBAAAsBQAAAAA=&#10;">
              <v:fill on="f" focussize="0,0"/>
              <v:stroke on="f"/>
              <v:imagedata o:title=""/>
              <o:lock v:ext="edit" aspectratio="f"/>
              <v:textbox inset="0mm,0mm,0mm,0mm">
                <w:txbxContent>
                  <w:p>
                    <w:pPr>
                      <w:pStyle w:val="51"/>
                      <w:tabs>
                        <w:tab w:val="clear" w:pos="4153"/>
                        <w:tab w:val="clear" w:pos="8306"/>
                      </w:tabs>
                    </w:pPr>
                    <w:r>
                      <w:fldChar w:fldCharType="begin"/>
                    </w:r>
                    <w:r>
                      <w:instrText xml:space="preserve"> PAGE  \* MERGEFORMAT </w:instrText>
                    </w:r>
                    <w:r>
                      <w:fldChar w:fldCharType="separate"/>
                    </w:r>
                    <w:r>
                      <w:t>9</w:t>
                    </w:r>
                    <w:r>
                      <w:fldChar w:fldCharType="end"/>
                    </w:r>
                  </w:p>
                  <w:p/>
                </w:txbxContent>
              </v:textbox>
            </v:rect>
          </w:pict>
        </mc:Fallback>
      </mc:AlternateContent>
    </w:r>
  </w:p>
  <w:p>
    <w:pPr>
      <w:pStyle w:val="51"/>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tabs>
        <w:tab w:val="clear" w:pos="4153"/>
        <w:tab w:val="clear" w:pos="8306"/>
      </w:tabs>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51"/>
                            <w:tabs>
                              <w:tab w:val="clear" w:pos="4153"/>
                              <w:tab w:val="clear" w:pos="8306"/>
                            </w:tabs>
                            <w:ind w:firstLine="1260" w:firstLineChars="700"/>
                          </w:pPr>
                          <w:r>
                            <w:fldChar w:fldCharType="begin"/>
                          </w:r>
                          <w:r>
                            <w:instrText xml:space="preserve"> PAGE  \* MERGEFORMAT </w:instrText>
                          </w:r>
                          <w:r>
                            <w:fldChar w:fldCharType="separate"/>
                          </w:r>
                          <w:r>
                            <w:t>73</w:t>
                          </w:r>
                          <w:r>
                            <w:fldChar w:fldCharType="end"/>
                          </w:r>
                        </w:p>
                        <w:p/>
                      </w:txbxContent>
                    </wps:txbx>
                    <wps:bodyPr rot="0" vert="horz" wrap="square" lIns="0" tIns="0" rIns="0" bIns="0" anchor="t" anchorCtr="0"/>
                  </wps:wsp>
                </a:graphicData>
              </a:graphic>
            </wp:anchor>
          </w:drawing>
        </mc:Choice>
        <mc:Fallback>
          <w:pict>
            <v:rect id="_x0000_s2051" o:spid="_x0000_s1026" o:spt="1"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mtmPLTAAAABQEAAA8AAAAAAAAAAQAgAAAAIgAAAGRycy9k&#10;b3ducmV2LnhtbFBLAQIUABQAAAAIAIdO4kAC6T/NlQEAACgDAAAOAAAAAAAAAAEAIAAAACIBAABk&#10;cnMvZTJvRG9jLnhtbFBLBQYAAAAABgAGAFkBAAApBQAAAAA=&#10;">
              <v:fill on="f" focussize="0,0"/>
              <v:stroke on="f"/>
              <v:imagedata o:title=""/>
              <o:lock v:ext="edit" aspectratio="f"/>
              <v:textbox inset="0mm,0mm,0mm,0mm">
                <w:txbxContent>
                  <w:p>
                    <w:pPr>
                      <w:pStyle w:val="51"/>
                      <w:tabs>
                        <w:tab w:val="clear" w:pos="4153"/>
                        <w:tab w:val="clear" w:pos="8306"/>
                      </w:tabs>
                      <w:ind w:firstLine="1260" w:firstLineChars="700"/>
                    </w:pPr>
                    <w:r>
                      <w:fldChar w:fldCharType="begin"/>
                    </w:r>
                    <w:r>
                      <w:instrText xml:space="preserve"> PAGE  \* MERGEFORMAT </w:instrText>
                    </w:r>
                    <w:r>
                      <w:fldChar w:fldCharType="separate"/>
                    </w:r>
                    <w:r>
                      <w:t>73</w:t>
                    </w:r>
                    <w:r>
                      <w:fldChar w:fldCharType="end"/>
                    </w:r>
                  </w:p>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tabs>
        <w:tab w:val="clear" w:pos="4153"/>
        <w:tab w:val="clear" w:pos="8306"/>
      </w:tabs>
    </w:pPr>
    <w:r>
      <mc:AlternateContent>
        <mc:Choice Requires="wps">
          <w:drawing>
            <wp:anchor distT="0" distB="0" distL="0" distR="0" simplePos="0" relativeHeight="251662336" behindDoc="0" locked="0" layoutInCell="1" allowOverlap="1">
              <wp:simplePos x="0" y="0"/>
              <wp:positionH relativeFrom="margin">
                <wp:posOffset>2854960</wp:posOffset>
              </wp:positionH>
              <wp:positionV relativeFrom="paragraph">
                <wp:posOffset>17145</wp:posOffset>
              </wp:positionV>
              <wp:extent cx="1153795" cy="1811655"/>
              <wp:effectExtent l="0" t="0" r="0" b="0"/>
              <wp:wrapNone/>
              <wp:docPr id="4" name="_x0000_s2052"/>
              <wp:cNvGraphicFramePr/>
              <a:graphic xmlns:a="http://schemas.openxmlformats.org/drawingml/2006/main">
                <a:graphicData uri="http://schemas.microsoft.com/office/word/2010/wordprocessingShape">
                  <wps:wsp>
                    <wps:cNvSpPr/>
                    <wps:spPr>
                      <a:xfrm>
                        <a:off x="0" y="0"/>
                        <a:ext cx="1153795" cy="1811655"/>
                      </a:xfrm>
                      <a:prstGeom prst="rect">
                        <a:avLst/>
                      </a:prstGeom>
                    </wps:spPr>
                    <wps:txbx>
                      <w:txbxContent>
                        <w:p>
                          <w:pPr>
                            <w:pStyle w:val="51"/>
                            <w:tabs>
                              <w:tab w:val="clear" w:pos="4153"/>
                              <w:tab w:val="clear" w:pos="8306"/>
                            </w:tabs>
                          </w:pPr>
                          <w:r>
                            <w:fldChar w:fldCharType="begin"/>
                          </w:r>
                          <w:r>
                            <w:instrText xml:space="preserve"> PAGE  \* MERGEFORMAT </w:instrText>
                          </w:r>
                          <w:r>
                            <w:fldChar w:fldCharType="separate"/>
                          </w:r>
                          <w:r>
                            <w:t>80</w:t>
                          </w:r>
                          <w:r>
                            <w:fldChar w:fldCharType="end"/>
                          </w:r>
                        </w:p>
                        <w:p/>
                      </w:txbxContent>
                    </wps:txbx>
                    <wps:bodyPr rot="0" vert="horz" wrap="square" lIns="0" tIns="0" rIns="0" bIns="0" anchor="t" anchorCtr="0"/>
                  </wps:wsp>
                </a:graphicData>
              </a:graphic>
            </wp:anchor>
          </w:drawing>
        </mc:Choice>
        <mc:Fallback>
          <w:pict>
            <v:rect id="_x0000_s2052" o:spid="_x0000_s1026" o:spt="1" style="position:absolute;left:0pt;margin-left:224.8pt;margin-top:1.35pt;height:142.65pt;width:90.85pt;mso-position-horizontal-relative:margin;z-index:251662336;mso-width-relative:page;mso-height-relative:page;" filled="f" stroked="f" coordsize="21600,21600" o:gfxdata="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LehSjZAAAACQEAAA8AAAAAAAAAAQAg&#10;AAAAIgAAAGRycy9kb3ducmV2LnhtbFBLAQIUABQAAAAIAIdO4kDTtHn5mwEAACgDAAAOAAAAAAAA&#10;AAEAIAAAACgBAABkcnMvZTJvRG9jLnhtbFBLBQYAAAAABgAGAFkBAAA1BQAAAAA=&#10;">
              <v:fill on="f" focussize="0,0"/>
              <v:stroke on="f"/>
              <v:imagedata o:title=""/>
              <o:lock v:ext="edit" aspectratio="f"/>
              <v:textbox inset="0mm,0mm,0mm,0mm">
                <w:txbxContent>
                  <w:p>
                    <w:pPr>
                      <w:pStyle w:val="51"/>
                      <w:tabs>
                        <w:tab w:val="clear" w:pos="4153"/>
                        <w:tab w:val="clear" w:pos="8306"/>
                      </w:tabs>
                    </w:pPr>
                    <w:r>
                      <w:fldChar w:fldCharType="begin"/>
                    </w:r>
                    <w:r>
                      <w:instrText xml:space="preserve"> PAGE  \* MERGEFORMAT </w:instrText>
                    </w:r>
                    <w:r>
                      <w:fldChar w:fldCharType="separate"/>
                    </w:r>
                    <w:r>
                      <w:t>80</w:t>
                    </w:r>
                    <w:r>
                      <w:fldChar w:fldCharType="end"/>
                    </w:r>
                  </w:p>
                  <w:p/>
                </w:txbxContent>
              </v:textbox>
            </v:rect>
          </w:pict>
        </mc:Fallback>
      </mc:AlternateContent>
    </w:r>
    <w:r>
      <w:rPr>
        <w:rFonts w:hint="eastAsia"/>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center" w:y="1"/>
      <w:tabs>
        <w:tab w:val="clear" w:pos="4153"/>
        <w:tab w:val="clear" w:pos="8306"/>
      </w:tabs>
    </w:pPr>
    <w:r>
      <w:fldChar w:fldCharType="begin"/>
    </w:r>
    <w:r>
      <w:rPr>
        <w:rStyle w:val="67"/>
      </w:rPr>
      <w:instrText xml:space="preserve">PAGE  </w:instrText>
    </w:r>
    <w:r>
      <w:fldChar w:fldCharType="end"/>
    </w:r>
  </w:p>
  <w:p>
    <w:pPr>
      <w:pStyle w:val="51"/>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right" w:y="1"/>
      <w:tabs>
        <w:tab w:val="clear" w:pos="4153"/>
        <w:tab w:val="clear" w:pos="8306"/>
      </w:tabs>
    </w:pPr>
    <w:r>
      <w:fldChar w:fldCharType="begin"/>
    </w:r>
    <w:r>
      <w:rPr>
        <w:rStyle w:val="67"/>
      </w:rPr>
      <w:instrText xml:space="preserve">PAGE  </w:instrText>
    </w:r>
    <w:r>
      <w:fldChar w:fldCharType="separate"/>
    </w:r>
    <w:r>
      <w:rPr>
        <w:rStyle w:val="67"/>
      </w:rPr>
      <w:t>122</w:t>
    </w:r>
    <w:r>
      <w:fldChar w:fldCharType="end"/>
    </w:r>
  </w:p>
  <w:p>
    <w:pPr>
      <w:pStyle w:val="51"/>
      <w:tabs>
        <w:tab w:val="clear" w:pos="4153"/>
        <w:tab w:val="clear" w:pos="8306"/>
      </w:tabs>
      <w:ind w:right="3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tabs>
        <w:tab w:val="clear" w:pos="4153"/>
        <w:tab w:val="clear" w:pos="8306"/>
      </w:tabs>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2053"/>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51"/>
                            <w:tabs>
                              <w:tab w:val="clear" w:pos="4153"/>
                              <w:tab w:val="clear" w:pos="8306"/>
                            </w:tabs>
                            <w:ind w:firstLine="1440" w:firstLineChars="800"/>
                          </w:pPr>
                          <w:r>
                            <w:fldChar w:fldCharType="begin"/>
                          </w:r>
                          <w:r>
                            <w:instrText xml:space="preserve"> PAGE  \* MERGEFORMAT </w:instrText>
                          </w:r>
                          <w:r>
                            <w:fldChar w:fldCharType="separate"/>
                          </w:r>
                          <w:r>
                            <w:t>82</w:t>
                          </w:r>
                          <w:r>
                            <w:fldChar w:fldCharType="end"/>
                          </w:r>
                        </w:p>
                        <w:p/>
                      </w:txbxContent>
                    </wps:txbx>
                    <wps:bodyPr rot="0" vert="horz" wrap="square" lIns="0" tIns="0" rIns="0" bIns="0" anchor="t" anchorCtr="0"/>
                  </wps:wsp>
                </a:graphicData>
              </a:graphic>
            </wp:anchor>
          </w:drawing>
        </mc:Choice>
        <mc:Fallback>
          <w:pict>
            <v:rect id="_x0000_s2053" o:spid="_x0000_s1026" o:spt="1" style="position:absolute;left:0pt;margin-top:0pt;height:144pt;width:144pt;mso-position-horizontal:center;mso-position-horizontal-relative:margin;z-index:251663360;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mtmPLTAAAABQEAAA8AAAAAAAAAAQAgAAAAIgAAAGRycy9k&#10;b3ducmV2LnhtbFBLAQIUABQAAAAIAIdO4kBRZt30lQEAACgDAAAOAAAAAAAAAAEAIAAAACIBAABk&#10;cnMvZTJvRG9jLnhtbFBLBQYAAAAABgAGAFkBAAApBQAAAAA=&#10;">
              <v:fill on="f" focussize="0,0"/>
              <v:stroke on="f"/>
              <v:imagedata o:title=""/>
              <o:lock v:ext="edit" aspectratio="f"/>
              <v:textbox inset="0mm,0mm,0mm,0mm">
                <w:txbxContent>
                  <w:p>
                    <w:pPr>
                      <w:pStyle w:val="51"/>
                      <w:tabs>
                        <w:tab w:val="clear" w:pos="4153"/>
                        <w:tab w:val="clear" w:pos="8306"/>
                      </w:tabs>
                      <w:ind w:firstLine="1440" w:firstLineChars="800"/>
                    </w:pPr>
                    <w:r>
                      <w:fldChar w:fldCharType="begin"/>
                    </w:r>
                    <w:r>
                      <w:instrText xml:space="preserve"> PAGE  \* MERGEFORMAT </w:instrText>
                    </w:r>
                    <w:r>
                      <w:fldChar w:fldCharType="separate"/>
                    </w:r>
                    <w:r>
                      <w:t>82</w:t>
                    </w:r>
                    <w:r>
                      <w:fldChar w:fldCharType="end"/>
                    </w:r>
                  </w:p>
                  <w:p/>
                </w:txbxContent>
              </v:textbox>
            </v:rect>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tabs>
        <w:tab w:val="clear" w:pos="4153"/>
        <w:tab w:val="clear" w:pos="8306"/>
      </w:tabs>
      <w:jc w:val="right"/>
    </w:pPr>
    <w:r>
      <w:rPr>
        <w:rFonts w:hint="eastAsia"/>
        <w:lang w:eastAsia="zh-CN"/>
      </w:rPr>
      <w:t>青秀区73套农村生活污水处理设施第三方运维服务</w:t>
    </w:r>
    <w:r>
      <w:rPr>
        <w:rFonts w:hint="eastAsia"/>
      </w:rPr>
      <w:t>（项目编号：</w:t>
    </w:r>
    <w:r>
      <w:rPr>
        <w:rFonts w:hint="eastAsia"/>
        <w:lang w:val="en-US" w:eastAsia="zh-CN"/>
      </w:rPr>
      <w:t>NNZC2024-G3-030263-GXHJ）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Bdr>
        <w:bottom w:val="none" w:color="000000" w:sz="0" w:space="1"/>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tabs>
        <w:tab w:val="clear" w:pos="4153"/>
        <w:tab w:val="clear" w:pos="8306"/>
      </w:tabs>
      <w:jc w:val="right"/>
      <w:rPr>
        <w:rFonts w:hint="eastAsia"/>
      </w:rPr>
    </w:pPr>
  </w:p>
  <w:p>
    <w:pPr>
      <w:pStyle w:val="53"/>
      <w:tabs>
        <w:tab w:val="clear" w:pos="4153"/>
        <w:tab w:val="clear" w:pos="8306"/>
      </w:tabs>
      <w:jc w:val="center"/>
      <w:rPr>
        <w:rFonts w:hint="eastAsia" w:eastAsia="宋体"/>
        <w:lang w:eastAsia="zh-CN"/>
      </w:rPr>
    </w:pPr>
    <w:r>
      <w:rPr>
        <w:rFonts w:hint="eastAsia"/>
        <w:lang w:eastAsia="zh-CN"/>
      </w:rPr>
      <w:t>青秀区73套农村生活污水处理设施第三方运维服务</w:t>
    </w:r>
    <w:r>
      <w:rPr>
        <w:rFonts w:hint="eastAsia"/>
      </w:rPr>
      <w:t>（项目编号：</w:t>
    </w:r>
    <w:r>
      <w:rPr>
        <w:rFonts w:hint="eastAsia"/>
        <w:lang w:eastAsia="zh-CN"/>
      </w:rPr>
      <w:t>NNZC2024-G3-030263-GXHJ）</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tabs>
        <w:tab w:val="clear" w:pos="4153"/>
        <w:tab w:val="clear" w:pos="8306"/>
      </w:tabs>
      <w:jc w:val="right"/>
      <w:rPr>
        <w:rFonts w:hint="eastAsia" w:eastAsia="宋体"/>
        <w:lang w:eastAsia="zh-CN"/>
      </w:rPr>
    </w:pPr>
    <w:r>
      <w:rPr>
        <w:rFonts w:hint="eastAsia"/>
        <w:lang w:eastAsia="zh-CN"/>
      </w:rPr>
      <w:t>青秀区73套农村生活污水处理设施第三方运维服务</w:t>
    </w:r>
    <w:r>
      <w:rPr>
        <w:rFonts w:hint="eastAsia"/>
      </w:rPr>
      <w:t>（项目编号：</w:t>
    </w:r>
    <w:r>
      <w:rPr>
        <w:rFonts w:hint="eastAsia"/>
        <w:lang w:eastAsia="zh-CN"/>
      </w:rPr>
      <w:t>NNZC2024-G3-030263-GXHJ</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tabs>
        <w:tab w:val="clear" w:pos="4153"/>
        <w:tab w:val="clear" w:pos="8306"/>
      </w:tabs>
      <w:jc w:val="center"/>
      <w:rPr>
        <w:rFonts w:hint="eastAsia" w:eastAsia="宋体"/>
        <w:lang w:eastAsia="zh-CN"/>
      </w:rPr>
    </w:pPr>
    <w:r>
      <w:rPr>
        <w:rFonts w:hint="eastAsia"/>
        <w:lang w:eastAsia="zh-CN"/>
      </w:rPr>
      <w:t>青秀区73套农村生活污水处理设施第三方运维服务</w:t>
    </w:r>
    <w:r>
      <w:rPr>
        <w:rFonts w:hint="eastAsia"/>
      </w:rPr>
      <w:t>（项目编号：</w:t>
    </w:r>
    <w:r>
      <w:rPr>
        <w:rFonts w:hint="eastAsia"/>
        <w:lang w:eastAsia="zh-CN"/>
      </w:rPr>
      <w:t>NNZC2024-G3-030263-GXHJ）</w:t>
    </w: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tabs>
        <w:tab w:val="clear" w:pos="4153"/>
        <w:tab w:val="clear" w:pos="8306"/>
      </w:tabs>
      <w:jc w:val="right"/>
      <w:rPr>
        <w:rFonts w:hint="eastAsia" w:eastAsia="宋体"/>
        <w:lang w:eastAsia="zh-CN"/>
      </w:rPr>
    </w:pPr>
    <w:r>
      <w:rPr>
        <w:rFonts w:hint="eastAsia"/>
        <w:lang w:eastAsia="zh-CN"/>
      </w:rPr>
      <w:t>青秀区73套农村生活污水处理设施第三方运维服务</w:t>
    </w:r>
    <w:r>
      <w:rPr>
        <w:rFonts w:hint="eastAsia"/>
      </w:rPr>
      <w:t>（项目编号：</w:t>
    </w:r>
    <w:r>
      <w:rPr>
        <w:rFonts w:hint="eastAsia"/>
        <w:lang w:eastAsia="zh-CN"/>
      </w:rPr>
      <w:t>NNZC2024-G3-030263-GXHJ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A"/>
    <w:multiLevelType w:val="multilevel"/>
    <w:tmpl w:val="0000000A"/>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pStyle w:val="2"/>
      <w:suff w:val="nothing"/>
      <w:lvlText w:val=""/>
      <w:lvlJc w:val="left"/>
      <w:rPr>
        <w:rFonts w:hint="eastAsia" w:cs="Times New Roman"/>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decimal"/>
      <w:suff w:val="nothing"/>
      <w:lvlText w:val=""/>
      <w:lvlJc w:val="left"/>
      <w:pPr>
        <w:ind w:left="0" w:firstLine="0"/>
      </w:pPr>
      <w:rPr>
        <w:rFonts w:hint="eastAsia"/>
      </w:rPr>
    </w:lvl>
    <w:lvl w:ilvl="2" w:tentative="0">
      <w:start w:val="1"/>
      <w:numFmt w:val="decimal"/>
      <w:suff w:val="nothing"/>
      <w:lvlText w:val=""/>
      <w:lvlJc w:val="left"/>
      <w:pPr>
        <w:ind w:left="0" w:firstLine="0"/>
      </w:pPr>
      <w:rPr>
        <w:rFonts w:hint="eastAsia"/>
      </w:rPr>
    </w:lvl>
    <w:lvl w:ilvl="3" w:tentative="0">
      <w:start w:val="1"/>
      <w:numFmt w:val="decimal"/>
      <w:suff w:val="nothing"/>
      <w:lvlText w:val=""/>
      <w:lvlJc w:val="left"/>
      <w:pPr>
        <w:ind w:left="0" w:firstLine="0"/>
      </w:pPr>
      <w:rPr>
        <w:rFonts w:hint="eastAsia"/>
      </w:rPr>
    </w:lvl>
    <w:lvl w:ilvl="4" w:tentative="0">
      <w:start w:val="1"/>
      <w:numFmt w:val="decimal"/>
      <w:suff w:val="nothing"/>
      <w:lvlText w:val=""/>
      <w:lvlJc w:val="left"/>
      <w:pPr>
        <w:ind w:left="0" w:firstLine="0"/>
      </w:pPr>
      <w:rPr>
        <w:rFonts w:hint="eastAsia"/>
      </w:rPr>
    </w:lvl>
    <w:lvl w:ilvl="5" w:tentative="0">
      <w:start w:val="1"/>
      <w:numFmt w:val="decimal"/>
      <w:pStyle w:val="19"/>
      <w:suff w:val="nothing"/>
      <w:lvlText w:val=""/>
      <w:lvlJc w:val="left"/>
      <w:pPr>
        <w:ind w:left="0" w:firstLine="0"/>
      </w:pPr>
      <w:rPr>
        <w:rFonts w:hint="eastAsia"/>
      </w:rPr>
    </w:lvl>
    <w:lvl w:ilvl="6" w:tentative="0">
      <w:start w:val="1"/>
      <w:numFmt w:val="decimal"/>
      <w:suff w:val="nothing"/>
      <w:lvlText w:val=""/>
      <w:lvlJc w:val="left"/>
      <w:pPr>
        <w:ind w:left="0" w:firstLine="0"/>
      </w:pPr>
      <w:rPr>
        <w:rFonts w:hint="eastAsia"/>
      </w:rPr>
    </w:lvl>
    <w:lvl w:ilvl="7" w:tentative="0">
      <w:start w:val="1"/>
      <w:numFmt w:val="decimal"/>
      <w:suff w:val="nothing"/>
      <w:lvlText w:val=""/>
      <w:lvlJc w:val="left"/>
      <w:pPr>
        <w:ind w:left="0" w:firstLine="0"/>
      </w:pPr>
      <w:rPr>
        <w:rFonts w:hint="eastAsia"/>
      </w:rPr>
    </w:lvl>
    <w:lvl w:ilvl="8" w:tentative="0">
      <w:start w:val="1"/>
      <w:numFmt w:val="decimal"/>
      <w:suff w:val="nothing"/>
      <w:lvlText w:val=""/>
      <w:lvlJc w:val="left"/>
      <w:pPr>
        <w:ind w:left="0" w:firstLine="0"/>
      </w:pPr>
      <w:rPr>
        <w:rFonts w:hint="eastAsia"/>
      </w:rPr>
    </w:lvl>
  </w:abstractNum>
  <w:abstractNum w:abstractNumId="3">
    <w:nsid w:val="34444808"/>
    <w:multiLevelType w:val="multilevel"/>
    <w:tmpl w:val="34444808"/>
    <w:lvl w:ilvl="0" w:tentative="0">
      <w:start w:val="1"/>
      <w:numFmt w:val="decimal"/>
      <w:lvlText w:val="%1、"/>
      <w:lvlJc w:val="left"/>
      <w:pPr>
        <w:ind w:left="660" w:hanging="360"/>
      </w:p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45CE213A"/>
    <w:multiLevelType w:val="singleLevel"/>
    <w:tmpl w:val="45CE213A"/>
    <w:lvl w:ilvl="0" w:tentative="0">
      <w:start w:val="2"/>
      <w:numFmt w:val="chineseCounting"/>
      <w:suff w:val="nothing"/>
      <w:lvlText w:val="%1、"/>
      <w:lvlJc w:val="left"/>
      <w:rPr>
        <w:rFonts w:hint="eastAsia"/>
      </w:rPr>
    </w:lvl>
  </w:abstractNum>
  <w:abstractNum w:abstractNumId="5">
    <w:nsid w:val="51536378"/>
    <w:multiLevelType w:val="singleLevel"/>
    <w:tmpl w:val="51536378"/>
    <w:lvl w:ilvl="0" w:tentative="0">
      <w:start w:val="1"/>
      <w:numFmt w:val="decimal"/>
      <w:suff w:val="nothing"/>
      <w:lvlText w:val="（%1）"/>
      <w:lvlJc w:val="left"/>
      <w:pPr>
        <w:ind w:left="0" w:firstLine="0"/>
      </w:pPr>
    </w:lvl>
  </w:abstractNum>
  <w:abstractNum w:abstractNumId="6">
    <w:nsid w:val="72962756"/>
    <w:multiLevelType w:val="multilevel"/>
    <w:tmpl w:val="72962756"/>
    <w:lvl w:ilvl="0" w:tentative="0">
      <w:start w:val="1"/>
      <w:numFmt w:val="japaneseCounting"/>
      <w:lvlText w:val="（%1）"/>
      <w:lvlJc w:val="left"/>
      <w:pPr>
        <w:ind w:left="1237" w:hanging="765"/>
      </w:p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jg3M2Q4NzllZmQ1MTMyZmY5ZjA2MGQxYjBkYWUifQ=="/>
  </w:docVars>
  <w:rsids>
    <w:rsidRoot w:val="0002765F"/>
    <w:rsid w:val="0002765F"/>
    <w:rsid w:val="001A0E98"/>
    <w:rsid w:val="00303F39"/>
    <w:rsid w:val="005444B1"/>
    <w:rsid w:val="00594D3E"/>
    <w:rsid w:val="00BE5F0F"/>
    <w:rsid w:val="00FD38A4"/>
    <w:rsid w:val="01042C19"/>
    <w:rsid w:val="0149726B"/>
    <w:rsid w:val="018443D0"/>
    <w:rsid w:val="01C81424"/>
    <w:rsid w:val="021D229B"/>
    <w:rsid w:val="024535A0"/>
    <w:rsid w:val="02493090"/>
    <w:rsid w:val="029C3B08"/>
    <w:rsid w:val="03002655"/>
    <w:rsid w:val="03247659"/>
    <w:rsid w:val="036F2FCB"/>
    <w:rsid w:val="037979A5"/>
    <w:rsid w:val="03B83858"/>
    <w:rsid w:val="03C8610F"/>
    <w:rsid w:val="03DD11D8"/>
    <w:rsid w:val="03F90AE6"/>
    <w:rsid w:val="041C009B"/>
    <w:rsid w:val="048D195A"/>
    <w:rsid w:val="04AB6C71"/>
    <w:rsid w:val="04DA06EF"/>
    <w:rsid w:val="05195862"/>
    <w:rsid w:val="05361B6C"/>
    <w:rsid w:val="053A2647"/>
    <w:rsid w:val="053C6EDC"/>
    <w:rsid w:val="05A52CD4"/>
    <w:rsid w:val="060D2627"/>
    <w:rsid w:val="06417592"/>
    <w:rsid w:val="06471FDD"/>
    <w:rsid w:val="06781F50"/>
    <w:rsid w:val="06CC4290"/>
    <w:rsid w:val="06EE4206"/>
    <w:rsid w:val="078B5EF9"/>
    <w:rsid w:val="07A80859"/>
    <w:rsid w:val="07C84A57"/>
    <w:rsid w:val="07D4733A"/>
    <w:rsid w:val="086504F8"/>
    <w:rsid w:val="08AC6BF6"/>
    <w:rsid w:val="08EE49CF"/>
    <w:rsid w:val="093D3B2C"/>
    <w:rsid w:val="09A17C56"/>
    <w:rsid w:val="0A0F49FB"/>
    <w:rsid w:val="0A6776F8"/>
    <w:rsid w:val="0A780FD3"/>
    <w:rsid w:val="0AB614DF"/>
    <w:rsid w:val="0AD11E75"/>
    <w:rsid w:val="0AF7055A"/>
    <w:rsid w:val="0B2428ED"/>
    <w:rsid w:val="0B64718D"/>
    <w:rsid w:val="0B8656C5"/>
    <w:rsid w:val="0BE1433A"/>
    <w:rsid w:val="0C236700"/>
    <w:rsid w:val="0C281F69"/>
    <w:rsid w:val="0C3923C8"/>
    <w:rsid w:val="0C4B5C57"/>
    <w:rsid w:val="0C50326D"/>
    <w:rsid w:val="0C692CAD"/>
    <w:rsid w:val="0C6A432F"/>
    <w:rsid w:val="0C9969FF"/>
    <w:rsid w:val="0CC27359"/>
    <w:rsid w:val="0CD83521"/>
    <w:rsid w:val="0CDD5D99"/>
    <w:rsid w:val="0D2C2A43"/>
    <w:rsid w:val="0D344B0D"/>
    <w:rsid w:val="0D5C2BF7"/>
    <w:rsid w:val="0DBF68FD"/>
    <w:rsid w:val="0DC61A39"/>
    <w:rsid w:val="0DDE4FD5"/>
    <w:rsid w:val="0DFC36AD"/>
    <w:rsid w:val="0E0802A4"/>
    <w:rsid w:val="0E63197E"/>
    <w:rsid w:val="0F103979"/>
    <w:rsid w:val="0F135152"/>
    <w:rsid w:val="0F3A26DF"/>
    <w:rsid w:val="0F5A68DD"/>
    <w:rsid w:val="0F9242C9"/>
    <w:rsid w:val="0FAC2EB1"/>
    <w:rsid w:val="0FC32205"/>
    <w:rsid w:val="0FF26361"/>
    <w:rsid w:val="0FFA1E6E"/>
    <w:rsid w:val="101A0094"/>
    <w:rsid w:val="103517FC"/>
    <w:rsid w:val="105F677D"/>
    <w:rsid w:val="105F7F23"/>
    <w:rsid w:val="10710382"/>
    <w:rsid w:val="10DB57FB"/>
    <w:rsid w:val="10E70644"/>
    <w:rsid w:val="118269A2"/>
    <w:rsid w:val="12524563"/>
    <w:rsid w:val="1255782F"/>
    <w:rsid w:val="12A54313"/>
    <w:rsid w:val="12B26A30"/>
    <w:rsid w:val="12CC60B3"/>
    <w:rsid w:val="12D248DF"/>
    <w:rsid w:val="12DE15D3"/>
    <w:rsid w:val="1315735E"/>
    <w:rsid w:val="135447D6"/>
    <w:rsid w:val="13A22600"/>
    <w:rsid w:val="13DA4490"/>
    <w:rsid w:val="14155A1E"/>
    <w:rsid w:val="141A663B"/>
    <w:rsid w:val="144B2C98"/>
    <w:rsid w:val="148937C0"/>
    <w:rsid w:val="15E05662"/>
    <w:rsid w:val="15E92769"/>
    <w:rsid w:val="15EC2259"/>
    <w:rsid w:val="15FF01DE"/>
    <w:rsid w:val="165C73DE"/>
    <w:rsid w:val="16AF39B2"/>
    <w:rsid w:val="16C11691"/>
    <w:rsid w:val="16E3365C"/>
    <w:rsid w:val="16FB6BF7"/>
    <w:rsid w:val="17266148"/>
    <w:rsid w:val="17495F24"/>
    <w:rsid w:val="17854713"/>
    <w:rsid w:val="184E6C23"/>
    <w:rsid w:val="18626802"/>
    <w:rsid w:val="18786026"/>
    <w:rsid w:val="18DE2C99"/>
    <w:rsid w:val="18EE0096"/>
    <w:rsid w:val="19017DC9"/>
    <w:rsid w:val="196C293E"/>
    <w:rsid w:val="199B021E"/>
    <w:rsid w:val="1A127F88"/>
    <w:rsid w:val="1A2975D8"/>
    <w:rsid w:val="1A472B8C"/>
    <w:rsid w:val="1AC217DA"/>
    <w:rsid w:val="1ACD2659"/>
    <w:rsid w:val="1AD311E6"/>
    <w:rsid w:val="1AE86119"/>
    <w:rsid w:val="1AE92047"/>
    <w:rsid w:val="1AEB0D31"/>
    <w:rsid w:val="1B487F31"/>
    <w:rsid w:val="1B4A3CA9"/>
    <w:rsid w:val="1B4E0330"/>
    <w:rsid w:val="1BC03F6C"/>
    <w:rsid w:val="1BCE7E5F"/>
    <w:rsid w:val="1C006A5E"/>
    <w:rsid w:val="1C3D29C2"/>
    <w:rsid w:val="1C883E54"/>
    <w:rsid w:val="1C8E5E18"/>
    <w:rsid w:val="1CAE2016"/>
    <w:rsid w:val="1CB33AD0"/>
    <w:rsid w:val="1CBF76DB"/>
    <w:rsid w:val="1CCA4C9C"/>
    <w:rsid w:val="1D4E55A7"/>
    <w:rsid w:val="1D570900"/>
    <w:rsid w:val="1D632E00"/>
    <w:rsid w:val="1DB4365C"/>
    <w:rsid w:val="1DB775F0"/>
    <w:rsid w:val="1DBE44DB"/>
    <w:rsid w:val="1E4C1AE7"/>
    <w:rsid w:val="1E845724"/>
    <w:rsid w:val="1EBD4792"/>
    <w:rsid w:val="1ED61CF8"/>
    <w:rsid w:val="1F7C1DF0"/>
    <w:rsid w:val="1FC40F27"/>
    <w:rsid w:val="200C6AA4"/>
    <w:rsid w:val="202E7D97"/>
    <w:rsid w:val="20573E30"/>
    <w:rsid w:val="207D242B"/>
    <w:rsid w:val="20831A0C"/>
    <w:rsid w:val="20BD4F1E"/>
    <w:rsid w:val="20FF5536"/>
    <w:rsid w:val="2136082C"/>
    <w:rsid w:val="215A6C10"/>
    <w:rsid w:val="21753704"/>
    <w:rsid w:val="222114DC"/>
    <w:rsid w:val="22905BDB"/>
    <w:rsid w:val="22AA7723"/>
    <w:rsid w:val="22E15A48"/>
    <w:rsid w:val="22F22C45"/>
    <w:rsid w:val="22F3307C"/>
    <w:rsid w:val="23264FFC"/>
    <w:rsid w:val="23341641"/>
    <w:rsid w:val="236732A7"/>
    <w:rsid w:val="237B69CA"/>
    <w:rsid w:val="23B720F8"/>
    <w:rsid w:val="23D420E0"/>
    <w:rsid w:val="24FB512B"/>
    <w:rsid w:val="250A1F3C"/>
    <w:rsid w:val="2564005E"/>
    <w:rsid w:val="25AB4F81"/>
    <w:rsid w:val="260239D6"/>
    <w:rsid w:val="262C35EF"/>
    <w:rsid w:val="265C0D35"/>
    <w:rsid w:val="2668592C"/>
    <w:rsid w:val="26BB3CAD"/>
    <w:rsid w:val="271E248E"/>
    <w:rsid w:val="27475541"/>
    <w:rsid w:val="27541A0C"/>
    <w:rsid w:val="275454EF"/>
    <w:rsid w:val="276B56D3"/>
    <w:rsid w:val="27871DE1"/>
    <w:rsid w:val="278D28C2"/>
    <w:rsid w:val="27962024"/>
    <w:rsid w:val="27AB1CB6"/>
    <w:rsid w:val="27BA3129"/>
    <w:rsid w:val="27F31225"/>
    <w:rsid w:val="282615FA"/>
    <w:rsid w:val="28A075FF"/>
    <w:rsid w:val="28EF40E2"/>
    <w:rsid w:val="29296634"/>
    <w:rsid w:val="296E3ECC"/>
    <w:rsid w:val="29AC7351"/>
    <w:rsid w:val="2A8D3BB3"/>
    <w:rsid w:val="2AA25C95"/>
    <w:rsid w:val="2AC4100A"/>
    <w:rsid w:val="2B004385"/>
    <w:rsid w:val="2B0B4AD7"/>
    <w:rsid w:val="2B2F0455"/>
    <w:rsid w:val="2B514BE0"/>
    <w:rsid w:val="2B5B5A5F"/>
    <w:rsid w:val="2B824D9A"/>
    <w:rsid w:val="2B97636B"/>
    <w:rsid w:val="2BBB02AC"/>
    <w:rsid w:val="2BCB4D02"/>
    <w:rsid w:val="2BE47802"/>
    <w:rsid w:val="2C666469"/>
    <w:rsid w:val="2CFB12A7"/>
    <w:rsid w:val="2D053ED4"/>
    <w:rsid w:val="2D0A5EBE"/>
    <w:rsid w:val="2D2A393B"/>
    <w:rsid w:val="2D2C76B3"/>
    <w:rsid w:val="2D332404"/>
    <w:rsid w:val="2D5F35F7"/>
    <w:rsid w:val="2D7626DC"/>
    <w:rsid w:val="2D7E5A35"/>
    <w:rsid w:val="2DB027A4"/>
    <w:rsid w:val="2DD138B2"/>
    <w:rsid w:val="2E156399"/>
    <w:rsid w:val="2E1819E5"/>
    <w:rsid w:val="2E402CEA"/>
    <w:rsid w:val="2E424CB4"/>
    <w:rsid w:val="2E5D389C"/>
    <w:rsid w:val="2E865F7F"/>
    <w:rsid w:val="2EA21AF6"/>
    <w:rsid w:val="2ED2428A"/>
    <w:rsid w:val="2F000DF7"/>
    <w:rsid w:val="2F9D3013"/>
    <w:rsid w:val="2FE51D9B"/>
    <w:rsid w:val="304D1595"/>
    <w:rsid w:val="30A11F65"/>
    <w:rsid w:val="30A34515"/>
    <w:rsid w:val="30AE4883"/>
    <w:rsid w:val="30E12562"/>
    <w:rsid w:val="30E17FC2"/>
    <w:rsid w:val="30F027A5"/>
    <w:rsid w:val="31083F93"/>
    <w:rsid w:val="31554CFE"/>
    <w:rsid w:val="316513E5"/>
    <w:rsid w:val="31BD2FCF"/>
    <w:rsid w:val="31C53C32"/>
    <w:rsid w:val="32144BB9"/>
    <w:rsid w:val="321E3342"/>
    <w:rsid w:val="322E5C7B"/>
    <w:rsid w:val="325F4087"/>
    <w:rsid w:val="329C2FBD"/>
    <w:rsid w:val="32C4038E"/>
    <w:rsid w:val="32DC3D0E"/>
    <w:rsid w:val="33301B53"/>
    <w:rsid w:val="33323549"/>
    <w:rsid w:val="334D3EDF"/>
    <w:rsid w:val="3417273F"/>
    <w:rsid w:val="34384B8F"/>
    <w:rsid w:val="347201F6"/>
    <w:rsid w:val="348F0527"/>
    <w:rsid w:val="34951FE2"/>
    <w:rsid w:val="34995678"/>
    <w:rsid w:val="34FA1E45"/>
    <w:rsid w:val="350607E9"/>
    <w:rsid w:val="35090256"/>
    <w:rsid w:val="350F054B"/>
    <w:rsid w:val="359A7184"/>
    <w:rsid w:val="3600792F"/>
    <w:rsid w:val="361433DA"/>
    <w:rsid w:val="36B44275"/>
    <w:rsid w:val="3719504D"/>
    <w:rsid w:val="375B2943"/>
    <w:rsid w:val="37C36E66"/>
    <w:rsid w:val="37E172EC"/>
    <w:rsid w:val="37F94635"/>
    <w:rsid w:val="37F963E3"/>
    <w:rsid w:val="380D0904"/>
    <w:rsid w:val="381B5FE4"/>
    <w:rsid w:val="385555E4"/>
    <w:rsid w:val="385775AE"/>
    <w:rsid w:val="387E2D8D"/>
    <w:rsid w:val="38D36A1B"/>
    <w:rsid w:val="391A2320"/>
    <w:rsid w:val="3944674A"/>
    <w:rsid w:val="398937F5"/>
    <w:rsid w:val="3A2E29DA"/>
    <w:rsid w:val="3A5E391E"/>
    <w:rsid w:val="3B392F9B"/>
    <w:rsid w:val="3B4958D4"/>
    <w:rsid w:val="3B710BF6"/>
    <w:rsid w:val="3BE949C1"/>
    <w:rsid w:val="3C1B6FEC"/>
    <w:rsid w:val="3C3176E4"/>
    <w:rsid w:val="3CA674B4"/>
    <w:rsid w:val="3CB72D11"/>
    <w:rsid w:val="3D7604D6"/>
    <w:rsid w:val="3D8A3F82"/>
    <w:rsid w:val="3D8B080B"/>
    <w:rsid w:val="3DC52138"/>
    <w:rsid w:val="3DD57D5C"/>
    <w:rsid w:val="3DD75419"/>
    <w:rsid w:val="3DD83719"/>
    <w:rsid w:val="3E535D22"/>
    <w:rsid w:val="3E864749"/>
    <w:rsid w:val="3E9C3B2A"/>
    <w:rsid w:val="3F1542D0"/>
    <w:rsid w:val="3F373C95"/>
    <w:rsid w:val="3F380543"/>
    <w:rsid w:val="3F4A39C9"/>
    <w:rsid w:val="3F64129E"/>
    <w:rsid w:val="3FBF43B6"/>
    <w:rsid w:val="3FE47979"/>
    <w:rsid w:val="400E49F6"/>
    <w:rsid w:val="402341AB"/>
    <w:rsid w:val="406A7F60"/>
    <w:rsid w:val="407C4056"/>
    <w:rsid w:val="407F76A2"/>
    <w:rsid w:val="409F1AF2"/>
    <w:rsid w:val="40D07EFD"/>
    <w:rsid w:val="40DF0D69"/>
    <w:rsid w:val="410302D3"/>
    <w:rsid w:val="41266A0F"/>
    <w:rsid w:val="42E3216A"/>
    <w:rsid w:val="43544FFA"/>
    <w:rsid w:val="435A22AD"/>
    <w:rsid w:val="43961F10"/>
    <w:rsid w:val="439D2116"/>
    <w:rsid w:val="43AE36B3"/>
    <w:rsid w:val="446B68BB"/>
    <w:rsid w:val="447D4B48"/>
    <w:rsid w:val="448F085F"/>
    <w:rsid w:val="44C94CDE"/>
    <w:rsid w:val="4504286C"/>
    <w:rsid w:val="450665E4"/>
    <w:rsid w:val="4508410A"/>
    <w:rsid w:val="4513234C"/>
    <w:rsid w:val="4545122F"/>
    <w:rsid w:val="457A48DC"/>
    <w:rsid w:val="45912351"/>
    <w:rsid w:val="459D644F"/>
    <w:rsid w:val="45B918A8"/>
    <w:rsid w:val="465A22BC"/>
    <w:rsid w:val="46804174"/>
    <w:rsid w:val="46B04A59"/>
    <w:rsid w:val="46E41355"/>
    <w:rsid w:val="46E6047B"/>
    <w:rsid w:val="46F25071"/>
    <w:rsid w:val="470D1EAB"/>
    <w:rsid w:val="47155F64"/>
    <w:rsid w:val="47240CC7"/>
    <w:rsid w:val="475C698F"/>
    <w:rsid w:val="477E02BE"/>
    <w:rsid w:val="47A619B8"/>
    <w:rsid w:val="47AA499E"/>
    <w:rsid w:val="47B42327"/>
    <w:rsid w:val="47BA5463"/>
    <w:rsid w:val="48376AB4"/>
    <w:rsid w:val="48693111"/>
    <w:rsid w:val="48845C8A"/>
    <w:rsid w:val="4901159C"/>
    <w:rsid w:val="49267254"/>
    <w:rsid w:val="49630473"/>
    <w:rsid w:val="499C7517"/>
    <w:rsid w:val="49CA0402"/>
    <w:rsid w:val="49D7054F"/>
    <w:rsid w:val="4A0D70B2"/>
    <w:rsid w:val="4A484FA8"/>
    <w:rsid w:val="4A8C305D"/>
    <w:rsid w:val="4ADF76BB"/>
    <w:rsid w:val="4AEF3676"/>
    <w:rsid w:val="4B296B88"/>
    <w:rsid w:val="4B8D35BB"/>
    <w:rsid w:val="4BB52B12"/>
    <w:rsid w:val="4CE10C5C"/>
    <w:rsid w:val="4D862070"/>
    <w:rsid w:val="4DE17BEE"/>
    <w:rsid w:val="4E3441C2"/>
    <w:rsid w:val="4E5140D3"/>
    <w:rsid w:val="4EEC4074"/>
    <w:rsid w:val="4F161B19"/>
    <w:rsid w:val="4F2A06BF"/>
    <w:rsid w:val="4F350502"/>
    <w:rsid w:val="4F38383D"/>
    <w:rsid w:val="4F59151E"/>
    <w:rsid w:val="4F8B6063"/>
    <w:rsid w:val="4FD01CC8"/>
    <w:rsid w:val="5055041F"/>
    <w:rsid w:val="50C57353"/>
    <w:rsid w:val="50C80BF1"/>
    <w:rsid w:val="50CD6207"/>
    <w:rsid w:val="51624BA2"/>
    <w:rsid w:val="519C4558"/>
    <w:rsid w:val="52271947"/>
    <w:rsid w:val="525A3ACB"/>
    <w:rsid w:val="52E55A8A"/>
    <w:rsid w:val="531E2D4A"/>
    <w:rsid w:val="53424C8B"/>
    <w:rsid w:val="53446C55"/>
    <w:rsid w:val="53513120"/>
    <w:rsid w:val="53755060"/>
    <w:rsid w:val="53824463"/>
    <w:rsid w:val="53F046E7"/>
    <w:rsid w:val="540939FA"/>
    <w:rsid w:val="541A2DB7"/>
    <w:rsid w:val="542A0713"/>
    <w:rsid w:val="544607AB"/>
    <w:rsid w:val="54843081"/>
    <w:rsid w:val="548F2CA6"/>
    <w:rsid w:val="55050666"/>
    <w:rsid w:val="550D12C8"/>
    <w:rsid w:val="55132319"/>
    <w:rsid w:val="55352AE2"/>
    <w:rsid w:val="55627866"/>
    <w:rsid w:val="56A65531"/>
    <w:rsid w:val="56F978F7"/>
    <w:rsid w:val="577962B5"/>
    <w:rsid w:val="578507C0"/>
    <w:rsid w:val="57AE6D93"/>
    <w:rsid w:val="57C73F75"/>
    <w:rsid w:val="581F3214"/>
    <w:rsid w:val="582F00B5"/>
    <w:rsid w:val="58943211"/>
    <w:rsid w:val="58AD6553"/>
    <w:rsid w:val="58BA40CD"/>
    <w:rsid w:val="58BC06AB"/>
    <w:rsid w:val="58C16652"/>
    <w:rsid w:val="593A6404"/>
    <w:rsid w:val="59B9557B"/>
    <w:rsid w:val="5A312B5A"/>
    <w:rsid w:val="5A3A490E"/>
    <w:rsid w:val="5A744342"/>
    <w:rsid w:val="5AA63D51"/>
    <w:rsid w:val="5B505E97"/>
    <w:rsid w:val="5B894184"/>
    <w:rsid w:val="5B920779"/>
    <w:rsid w:val="5BD57A5E"/>
    <w:rsid w:val="5BDE5985"/>
    <w:rsid w:val="5BE92E75"/>
    <w:rsid w:val="5C6E4D42"/>
    <w:rsid w:val="5C700ABB"/>
    <w:rsid w:val="5CC6692D"/>
    <w:rsid w:val="5D292001"/>
    <w:rsid w:val="5D2D2508"/>
    <w:rsid w:val="5D513096"/>
    <w:rsid w:val="5D5932FD"/>
    <w:rsid w:val="5D69550A"/>
    <w:rsid w:val="5D7D7BFC"/>
    <w:rsid w:val="5DCB3ACF"/>
    <w:rsid w:val="5DE4797B"/>
    <w:rsid w:val="5E40270F"/>
    <w:rsid w:val="5EEE216B"/>
    <w:rsid w:val="5F117C07"/>
    <w:rsid w:val="5F1D65AC"/>
    <w:rsid w:val="5F3D27AA"/>
    <w:rsid w:val="5F5C0E82"/>
    <w:rsid w:val="5F760A58"/>
    <w:rsid w:val="5F824661"/>
    <w:rsid w:val="5F9958C6"/>
    <w:rsid w:val="5FB5188F"/>
    <w:rsid w:val="5FD924D3"/>
    <w:rsid w:val="5FEB66AA"/>
    <w:rsid w:val="60583D40"/>
    <w:rsid w:val="6065020A"/>
    <w:rsid w:val="6080767A"/>
    <w:rsid w:val="608A5EC3"/>
    <w:rsid w:val="60932FCA"/>
    <w:rsid w:val="610F0176"/>
    <w:rsid w:val="612B4E7F"/>
    <w:rsid w:val="616218C1"/>
    <w:rsid w:val="61677E64"/>
    <w:rsid w:val="61941E9B"/>
    <w:rsid w:val="61E15E5A"/>
    <w:rsid w:val="620D46B6"/>
    <w:rsid w:val="625642AF"/>
    <w:rsid w:val="627961EF"/>
    <w:rsid w:val="62C41857"/>
    <w:rsid w:val="63352116"/>
    <w:rsid w:val="63D3192F"/>
    <w:rsid w:val="648A0240"/>
    <w:rsid w:val="64A87BFB"/>
    <w:rsid w:val="64AD03D2"/>
    <w:rsid w:val="65420B1A"/>
    <w:rsid w:val="65436640"/>
    <w:rsid w:val="658835A0"/>
    <w:rsid w:val="66415276"/>
    <w:rsid w:val="667411B4"/>
    <w:rsid w:val="66B61DAE"/>
    <w:rsid w:val="66C537B1"/>
    <w:rsid w:val="671B7875"/>
    <w:rsid w:val="676E5BF7"/>
    <w:rsid w:val="68907DEF"/>
    <w:rsid w:val="689E69AF"/>
    <w:rsid w:val="68D128E1"/>
    <w:rsid w:val="68D953DF"/>
    <w:rsid w:val="690023B5"/>
    <w:rsid w:val="697B284D"/>
    <w:rsid w:val="699343AA"/>
    <w:rsid w:val="69961435"/>
    <w:rsid w:val="69CA3FC5"/>
    <w:rsid w:val="69D72179"/>
    <w:rsid w:val="69FF522C"/>
    <w:rsid w:val="6A5A06B4"/>
    <w:rsid w:val="6AC07667"/>
    <w:rsid w:val="6AC73132"/>
    <w:rsid w:val="6AC87D14"/>
    <w:rsid w:val="6ACD532A"/>
    <w:rsid w:val="6B87197D"/>
    <w:rsid w:val="6C3E4691"/>
    <w:rsid w:val="6C3F4006"/>
    <w:rsid w:val="6C4D2D9A"/>
    <w:rsid w:val="6C4E2B2A"/>
    <w:rsid w:val="6C7041BF"/>
    <w:rsid w:val="6D2F5E28"/>
    <w:rsid w:val="6D413DAD"/>
    <w:rsid w:val="6DB602F7"/>
    <w:rsid w:val="6DD61CB6"/>
    <w:rsid w:val="6E6C605B"/>
    <w:rsid w:val="6E7B6E4B"/>
    <w:rsid w:val="6E843F52"/>
    <w:rsid w:val="6E934195"/>
    <w:rsid w:val="6F751AEC"/>
    <w:rsid w:val="6F775864"/>
    <w:rsid w:val="6FCA3890"/>
    <w:rsid w:val="7055204A"/>
    <w:rsid w:val="705D0EFE"/>
    <w:rsid w:val="707572CE"/>
    <w:rsid w:val="70A703CB"/>
    <w:rsid w:val="70BD199D"/>
    <w:rsid w:val="70E1634E"/>
    <w:rsid w:val="717B543B"/>
    <w:rsid w:val="717B788E"/>
    <w:rsid w:val="718C4CB8"/>
    <w:rsid w:val="719D604D"/>
    <w:rsid w:val="721B697B"/>
    <w:rsid w:val="72253C9E"/>
    <w:rsid w:val="726C71D7"/>
    <w:rsid w:val="726F6CC7"/>
    <w:rsid w:val="728A3ABA"/>
    <w:rsid w:val="736F3422"/>
    <w:rsid w:val="7403410E"/>
    <w:rsid w:val="746A1E3C"/>
    <w:rsid w:val="748C0004"/>
    <w:rsid w:val="74F51DA9"/>
    <w:rsid w:val="75587EE6"/>
    <w:rsid w:val="75F06371"/>
    <w:rsid w:val="76277FE4"/>
    <w:rsid w:val="762878B8"/>
    <w:rsid w:val="76A33F0E"/>
    <w:rsid w:val="76CF41D8"/>
    <w:rsid w:val="76E7567C"/>
    <w:rsid w:val="76F3060A"/>
    <w:rsid w:val="77B26A4A"/>
    <w:rsid w:val="77B43734"/>
    <w:rsid w:val="78CC7296"/>
    <w:rsid w:val="78DE7160"/>
    <w:rsid w:val="78E421BD"/>
    <w:rsid w:val="790113A6"/>
    <w:rsid w:val="79142376"/>
    <w:rsid w:val="79461F0D"/>
    <w:rsid w:val="795C1925"/>
    <w:rsid w:val="7961360D"/>
    <w:rsid w:val="7A1268B5"/>
    <w:rsid w:val="7A7F6DA3"/>
    <w:rsid w:val="7A9279F6"/>
    <w:rsid w:val="7AC302D8"/>
    <w:rsid w:val="7AFA6FBB"/>
    <w:rsid w:val="7B156FAF"/>
    <w:rsid w:val="7B752E6E"/>
    <w:rsid w:val="7C183F2B"/>
    <w:rsid w:val="7C480CB4"/>
    <w:rsid w:val="7C5D4A80"/>
    <w:rsid w:val="7D366D5F"/>
    <w:rsid w:val="7D4A0A5C"/>
    <w:rsid w:val="7D652812"/>
    <w:rsid w:val="7D853842"/>
    <w:rsid w:val="7DA66144"/>
    <w:rsid w:val="7DED1B13"/>
    <w:rsid w:val="7E425367"/>
    <w:rsid w:val="7E6671D0"/>
    <w:rsid w:val="7E88183C"/>
    <w:rsid w:val="7EAC39A4"/>
    <w:rsid w:val="7EB77A2B"/>
    <w:rsid w:val="7EDB78BB"/>
    <w:rsid w:val="7F236328"/>
    <w:rsid w:val="7F370F1E"/>
    <w:rsid w:val="7F4B27AB"/>
    <w:rsid w:val="7F530481"/>
    <w:rsid w:val="7F5931D8"/>
    <w:rsid w:val="7F6E3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spacing w:before="280" w:after="290" w:line="372" w:lineRule="auto"/>
      <w:outlineLvl w:val="3"/>
    </w:pPr>
    <w:rPr>
      <w:rFonts w:ascii="宋体" w:hAnsi="Arial" w:eastAsia="黑体"/>
      <w:b/>
      <w:sz w:val="24"/>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5">
    <w:name w:val="Body Text"/>
    <w:basedOn w:val="1"/>
    <w:qFormat/>
    <w:uiPriority w:val="99"/>
    <w:pPr>
      <w:spacing w:line="380" w:lineRule="exact"/>
    </w:pPr>
    <w:rPr>
      <w:kern w:val="0"/>
      <w:sz w:val="24"/>
    </w:rPr>
  </w:style>
  <w:style w:type="paragraph" w:styleId="6">
    <w:name w:val="Plain Text"/>
    <w:basedOn w:val="1"/>
    <w:next w:val="1"/>
    <w:qFormat/>
    <w:uiPriority w:val="0"/>
    <w:rPr>
      <w:rFonts w:ascii="宋体" w:hAnsi="Courier New"/>
      <w:kern w:val="0"/>
      <w:sz w:val="20"/>
      <w:szCs w:val="21"/>
    </w:rPr>
  </w:style>
  <w:style w:type="paragraph" w:styleId="7">
    <w:name w:val="footer"/>
    <w:basedOn w:val="1"/>
    <w:next w:val="1"/>
    <w:qFormat/>
    <w:uiPriority w:val="0"/>
    <w:pPr>
      <w:tabs>
        <w:tab w:val="center" w:pos="4153"/>
        <w:tab w:val="right" w:pos="8306"/>
      </w:tabs>
      <w:snapToGrid w:val="0"/>
      <w:jc w:val="left"/>
    </w:pPr>
    <w:rPr>
      <w:sz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标题 11"/>
    <w:basedOn w:val="1"/>
    <w:link w:val="22"/>
    <w:qFormat/>
    <w:uiPriority w:val="0"/>
    <w:pPr>
      <w:keepNext/>
      <w:keepLines/>
      <w:spacing w:before="340" w:after="330" w:line="576" w:lineRule="auto"/>
      <w:outlineLvl w:val="0"/>
    </w:pPr>
    <w:rPr>
      <w:b/>
      <w:bCs/>
      <w:kern w:val="44"/>
      <w:sz w:val="44"/>
      <w:szCs w:val="44"/>
    </w:rPr>
  </w:style>
  <w:style w:type="paragraph" w:customStyle="1" w:styleId="15">
    <w:name w:val="标题 21"/>
    <w:basedOn w:val="1"/>
    <w:link w:val="23"/>
    <w:qFormat/>
    <w:uiPriority w:val="0"/>
    <w:pPr>
      <w:keepNext/>
      <w:keepLines/>
      <w:spacing w:before="260" w:after="260" w:line="413" w:lineRule="auto"/>
      <w:outlineLvl w:val="1"/>
    </w:pPr>
    <w:rPr>
      <w:rFonts w:ascii="Arial" w:hAnsi="Arial" w:eastAsia="黑体"/>
      <w:b/>
      <w:bCs/>
      <w:sz w:val="32"/>
      <w:szCs w:val="32"/>
    </w:rPr>
  </w:style>
  <w:style w:type="paragraph" w:customStyle="1" w:styleId="16">
    <w:name w:val="标题 31"/>
    <w:basedOn w:val="1"/>
    <w:link w:val="24"/>
    <w:qFormat/>
    <w:uiPriority w:val="0"/>
    <w:pPr>
      <w:keepNext/>
      <w:keepLines/>
      <w:spacing w:line="600" w:lineRule="exact"/>
      <w:ind w:firstLine="643" w:firstLineChars="200"/>
      <w:outlineLvl w:val="2"/>
    </w:pPr>
    <w:rPr>
      <w:b/>
      <w:bCs/>
      <w:sz w:val="32"/>
      <w:szCs w:val="32"/>
    </w:rPr>
  </w:style>
  <w:style w:type="paragraph" w:customStyle="1" w:styleId="17">
    <w:name w:val="标题 41"/>
    <w:basedOn w:val="1"/>
    <w:link w:val="25"/>
    <w:qFormat/>
    <w:uiPriority w:val="0"/>
    <w:pPr>
      <w:tabs>
        <w:tab w:val="left" w:pos="2155"/>
      </w:tabs>
      <w:spacing w:before="120" w:line="360" w:lineRule="auto"/>
      <w:ind w:left="2155" w:hanging="1078"/>
      <w:outlineLvl w:val="3"/>
    </w:pPr>
    <w:rPr>
      <w:rFonts w:ascii="Arial" w:eastAsia="黑体"/>
      <w:kern w:val="0"/>
      <w:sz w:val="28"/>
      <w:szCs w:val="20"/>
    </w:rPr>
  </w:style>
  <w:style w:type="paragraph" w:customStyle="1" w:styleId="18">
    <w:name w:val="标题 51"/>
    <w:basedOn w:val="1"/>
    <w:link w:val="26"/>
    <w:qFormat/>
    <w:uiPriority w:val="0"/>
    <w:pPr>
      <w:keepNext/>
      <w:keepLines/>
      <w:spacing w:before="280" w:after="290" w:line="376" w:lineRule="auto"/>
      <w:outlineLvl w:val="4"/>
    </w:pPr>
    <w:rPr>
      <w:b/>
      <w:bCs/>
      <w:sz w:val="28"/>
      <w:szCs w:val="28"/>
    </w:rPr>
  </w:style>
  <w:style w:type="paragraph" w:customStyle="1" w:styleId="19">
    <w:name w:val="标题 61"/>
    <w:basedOn w:val="1"/>
    <w:qFormat/>
    <w:uiPriority w:val="0"/>
    <w:pPr>
      <w:keepNext/>
      <w:keepLines/>
      <w:numPr>
        <w:ilvl w:val="5"/>
        <w:numId w:val="2"/>
      </w:numPr>
      <w:spacing w:before="240" w:after="64" w:line="320" w:lineRule="auto"/>
      <w:outlineLvl w:val="5"/>
    </w:pPr>
    <w:rPr>
      <w:rFonts w:ascii="Arial" w:hAnsi="Arial" w:eastAsia="黑体"/>
      <w:b/>
      <w:sz w:val="24"/>
    </w:rPr>
  </w:style>
  <w:style w:type="character" w:customStyle="1" w:styleId="20">
    <w:name w:val="默认段落字体1"/>
    <w:semiHidden/>
    <w:qFormat/>
    <w:uiPriority w:val="0"/>
  </w:style>
  <w:style w:type="table" w:customStyle="1" w:styleId="21">
    <w:name w:val="普通表格1"/>
    <w:semiHidden/>
    <w:qFormat/>
    <w:uiPriority w:val="0"/>
    <w:tblPr>
      <w:tblCellMar>
        <w:top w:w="0" w:type="dxa"/>
        <w:left w:w="0" w:type="dxa"/>
        <w:bottom w:w="0" w:type="dxa"/>
        <w:right w:w="0" w:type="dxa"/>
      </w:tblCellMar>
    </w:tblPr>
  </w:style>
  <w:style w:type="character" w:customStyle="1" w:styleId="22">
    <w:name w:val="标题 1 字符1"/>
    <w:link w:val="14"/>
    <w:qFormat/>
    <w:uiPriority w:val="0"/>
    <w:rPr>
      <w:b/>
      <w:bCs/>
      <w:kern w:val="44"/>
      <w:sz w:val="44"/>
      <w:szCs w:val="44"/>
    </w:rPr>
  </w:style>
  <w:style w:type="character" w:customStyle="1" w:styleId="23">
    <w:name w:val="标题 2 字符1"/>
    <w:link w:val="15"/>
    <w:qFormat/>
    <w:uiPriority w:val="0"/>
    <w:rPr>
      <w:rFonts w:ascii="Arial" w:hAnsi="Arial" w:eastAsia="黑体"/>
      <w:b/>
      <w:bCs/>
      <w:kern w:val="2"/>
      <w:sz w:val="32"/>
      <w:szCs w:val="32"/>
    </w:rPr>
  </w:style>
  <w:style w:type="character" w:customStyle="1" w:styleId="24">
    <w:name w:val="标题 3 字符1"/>
    <w:link w:val="16"/>
    <w:qFormat/>
    <w:uiPriority w:val="0"/>
    <w:rPr>
      <w:b/>
      <w:bCs/>
      <w:kern w:val="2"/>
      <w:sz w:val="32"/>
      <w:szCs w:val="32"/>
    </w:rPr>
  </w:style>
  <w:style w:type="character" w:customStyle="1" w:styleId="25">
    <w:name w:val="标题 4 字符1"/>
    <w:link w:val="17"/>
    <w:qFormat/>
    <w:uiPriority w:val="0"/>
    <w:rPr>
      <w:rFonts w:ascii="Arial" w:eastAsia="黑体"/>
      <w:sz w:val="28"/>
    </w:rPr>
  </w:style>
  <w:style w:type="character" w:customStyle="1" w:styleId="26">
    <w:name w:val="标题 5 字符1"/>
    <w:link w:val="18"/>
    <w:qFormat/>
    <w:uiPriority w:val="0"/>
    <w:rPr>
      <w:b/>
      <w:bCs/>
      <w:kern w:val="2"/>
      <w:sz w:val="28"/>
      <w:szCs w:val="28"/>
    </w:rPr>
  </w:style>
  <w:style w:type="paragraph" w:customStyle="1" w:styleId="27">
    <w:name w:val="目录 71"/>
    <w:basedOn w:val="1"/>
    <w:qFormat/>
    <w:uiPriority w:val="0"/>
    <w:pPr>
      <w:jc w:val="left"/>
    </w:pPr>
    <w:rPr>
      <w:rFonts w:ascii="Calibri" w:hAnsi="Calibri"/>
      <w:sz w:val="22"/>
      <w:szCs w:val="22"/>
    </w:rPr>
  </w:style>
  <w:style w:type="paragraph" w:customStyle="1" w:styleId="28">
    <w:name w:val="正文缩进11"/>
    <w:basedOn w:val="1"/>
    <w:qFormat/>
    <w:uiPriority w:val="0"/>
    <w:pPr>
      <w:ind w:firstLine="420"/>
    </w:pPr>
    <w:rPr>
      <w:szCs w:val="20"/>
    </w:rPr>
  </w:style>
  <w:style w:type="paragraph" w:customStyle="1" w:styleId="29">
    <w:name w:val="题注1"/>
    <w:basedOn w:val="1"/>
    <w:qFormat/>
    <w:uiPriority w:val="0"/>
    <w:pPr>
      <w:spacing w:before="152" w:after="160"/>
    </w:pPr>
    <w:rPr>
      <w:rFonts w:ascii="Arial" w:hAnsi="Arial" w:eastAsia="黑体"/>
      <w:sz w:val="20"/>
      <w:szCs w:val="20"/>
    </w:rPr>
  </w:style>
  <w:style w:type="paragraph" w:customStyle="1" w:styleId="30">
    <w:name w:val="文档结构图1"/>
    <w:basedOn w:val="1"/>
    <w:link w:val="31"/>
    <w:qFormat/>
    <w:uiPriority w:val="0"/>
    <w:rPr>
      <w:rFonts w:ascii="宋体"/>
      <w:sz w:val="18"/>
      <w:szCs w:val="18"/>
    </w:rPr>
  </w:style>
  <w:style w:type="character" w:customStyle="1" w:styleId="31">
    <w:name w:val="文档结构图 字符1"/>
    <w:link w:val="30"/>
    <w:qFormat/>
    <w:uiPriority w:val="0"/>
    <w:rPr>
      <w:rFonts w:ascii="宋体"/>
      <w:kern w:val="2"/>
      <w:sz w:val="18"/>
      <w:szCs w:val="18"/>
    </w:rPr>
  </w:style>
  <w:style w:type="paragraph" w:customStyle="1" w:styleId="32">
    <w:name w:val="批注文字1"/>
    <w:basedOn w:val="1"/>
    <w:link w:val="33"/>
    <w:qFormat/>
    <w:uiPriority w:val="0"/>
    <w:pPr>
      <w:jc w:val="left"/>
    </w:pPr>
  </w:style>
  <w:style w:type="character" w:customStyle="1" w:styleId="33">
    <w:name w:val="批注文字 字符2"/>
    <w:link w:val="32"/>
    <w:qFormat/>
    <w:uiPriority w:val="0"/>
    <w:rPr>
      <w:kern w:val="2"/>
      <w:sz w:val="21"/>
      <w:szCs w:val="24"/>
    </w:rPr>
  </w:style>
  <w:style w:type="paragraph" w:customStyle="1" w:styleId="34">
    <w:name w:val="正文文本 31"/>
    <w:basedOn w:val="1"/>
    <w:link w:val="35"/>
    <w:qFormat/>
    <w:uiPriority w:val="0"/>
    <w:pPr>
      <w:spacing w:after="120"/>
    </w:pPr>
    <w:rPr>
      <w:sz w:val="16"/>
      <w:szCs w:val="16"/>
    </w:rPr>
  </w:style>
  <w:style w:type="character" w:customStyle="1" w:styleId="35">
    <w:name w:val="正文文本 3 字符1"/>
    <w:link w:val="34"/>
    <w:qFormat/>
    <w:uiPriority w:val="0"/>
    <w:rPr>
      <w:kern w:val="2"/>
      <w:sz w:val="16"/>
      <w:szCs w:val="16"/>
    </w:rPr>
  </w:style>
  <w:style w:type="paragraph" w:customStyle="1" w:styleId="36">
    <w:name w:val="正文文本11"/>
    <w:basedOn w:val="1"/>
    <w:link w:val="37"/>
    <w:qFormat/>
    <w:uiPriority w:val="0"/>
    <w:pPr>
      <w:spacing w:after="120"/>
    </w:pPr>
  </w:style>
  <w:style w:type="character" w:customStyle="1" w:styleId="37">
    <w:name w:val="正文文本 字符1"/>
    <w:link w:val="36"/>
    <w:qFormat/>
    <w:uiPriority w:val="0"/>
    <w:rPr>
      <w:kern w:val="2"/>
      <w:sz w:val="21"/>
      <w:szCs w:val="24"/>
    </w:rPr>
  </w:style>
  <w:style w:type="paragraph" w:customStyle="1" w:styleId="38">
    <w:name w:val="正文文本缩进1"/>
    <w:basedOn w:val="1"/>
    <w:link w:val="39"/>
    <w:qFormat/>
    <w:uiPriority w:val="0"/>
    <w:pPr>
      <w:spacing w:line="200" w:lineRule="exact"/>
      <w:ind w:firstLine="301"/>
    </w:pPr>
    <w:rPr>
      <w:rFonts w:ascii="宋体" w:hAnsi="Courier New"/>
      <w:spacing w:val="-4"/>
      <w:sz w:val="18"/>
      <w:szCs w:val="20"/>
    </w:rPr>
  </w:style>
  <w:style w:type="character" w:customStyle="1" w:styleId="39">
    <w:name w:val="正文文本缩进 字符1"/>
    <w:link w:val="38"/>
    <w:qFormat/>
    <w:uiPriority w:val="0"/>
    <w:rPr>
      <w:rFonts w:ascii="宋体" w:hAnsi="Courier New" w:eastAsia="宋体"/>
      <w:spacing w:val="-4"/>
      <w:kern w:val="2"/>
      <w:sz w:val="18"/>
      <w:lang w:val="en-US" w:eastAsia="zh-CN" w:bidi="ar-SA"/>
    </w:rPr>
  </w:style>
  <w:style w:type="paragraph" w:customStyle="1" w:styleId="40">
    <w:name w:val="目录 51"/>
    <w:basedOn w:val="1"/>
    <w:qFormat/>
    <w:uiPriority w:val="0"/>
    <w:pPr>
      <w:jc w:val="left"/>
    </w:pPr>
    <w:rPr>
      <w:rFonts w:ascii="Calibri" w:hAnsi="Calibri"/>
      <w:sz w:val="22"/>
      <w:szCs w:val="22"/>
    </w:rPr>
  </w:style>
  <w:style w:type="paragraph" w:customStyle="1" w:styleId="41">
    <w:name w:val="目录 31"/>
    <w:basedOn w:val="1"/>
    <w:qFormat/>
    <w:uiPriority w:val="0"/>
    <w:pPr>
      <w:jc w:val="left"/>
    </w:pPr>
    <w:rPr>
      <w:rFonts w:ascii="Calibri" w:hAnsi="Calibri"/>
      <w:sz w:val="22"/>
      <w:szCs w:val="22"/>
    </w:rPr>
  </w:style>
  <w:style w:type="paragraph" w:customStyle="1" w:styleId="42">
    <w:name w:val="纯文本11"/>
    <w:basedOn w:val="1"/>
    <w:link w:val="43"/>
    <w:qFormat/>
    <w:uiPriority w:val="0"/>
    <w:rPr>
      <w:rFonts w:ascii="宋体" w:hAnsi="Courier New"/>
      <w:szCs w:val="20"/>
    </w:rPr>
  </w:style>
  <w:style w:type="character" w:customStyle="1" w:styleId="43">
    <w:name w:val="纯文本 字符3"/>
    <w:link w:val="42"/>
    <w:qFormat/>
    <w:uiPriority w:val="0"/>
    <w:rPr>
      <w:rFonts w:ascii="宋体" w:hAnsi="Courier New" w:eastAsia="宋体"/>
      <w:kern w:val="2"/>
      <w:sz w:val="21"/>
      <w:lang w:val="en-US" w:eastAsia="zh-CN" w:bidi="ar-SA"/>
    </w:rPr>
  </w:style>
  <w:style w:type="paragraph" w:customStyle="1" w:styleId="44">
    <w:name w:val="目录 81"/>
    <w:basedOn w:val="1"/>
    <w:qFormat/>
    <w:uiPriority w:val="0"/>
    <w:pPr>
      <w:jc w:val="left"/>
    </w:pPr>
    <w:rPr>
      <w:rFonts w:ascii="Calibri" w:hAnsi="Calibri"/>
      <w:sz w:val="22"/>
      <w:szCs w:val="22"/>
    </w:rPr>
  </w:style>
  <w:style w:type="paragraph" w:customStyle="1" w:styleId="45">
    <w:name w:val="日期1"/>
    <w:basedOn w:val="1"/>
    <w:link w:val="46"/>
    <w:qFormat/>
    <w:uiPriority w:val="0"/>
    <w:pPr>
      <w:ind w:left="100" w:leftChars="2500"/>
    </w:pPr>
  </w:style>
  <w:style w:type="character" w:customStyle="1" w:styleId="46">
    <w:name w:val="日期 字符1"/>
    <w:link w:val="45"/>
    <w:qFormat/>
    <w:uiPriority w:val="0"/>
    <w:rPr>
      <w:kern w:val="2"/>
      <w:sz w:val="21"/>
      <w:szCs w:val="24"/>
    </w:rPr>
  </w:style>
  <w:style w:type="paragraph" w:customStyle="1" w:styleId="47">
    <w:name w:val="正文文本缩进 21"/>
    <w:basedOn w:val="1"/>
    <w:link w:val="48"/>
    <w:qFormat/>
    <w:uiPriority w:val="0"/>
    <w:pPr>
      <w:spacing w:after="120" w:line="480" w:lineRule="auto"/>
      <w:ind w:left="420" w:leftChars="200"/>
    </w:pPr>
  </w:style>
  <w:style w:type="character" w:customStyle="1" w:styleId="48">
    <w:name w:val="正文文本缩进 2 字符1"/>
    <w:link w:val="47"/>
    <w:qFormat/>
    <w:uiPriority w:val="0"/>
    <w:rPr>
      <w:kern w:val="2"/>
      <w:sz w:val="21"/>
      <w:szCs w:val="24"/>
    </w:rPr>
  </w:style>
  <w:style w:type="paragraph" w:customStyle="1" w:styleId="49">
    <w:name w:val="批注框文本1"/>
    <w:basedOn w:val="1"/>
    <w:link w:val="50"/>
    <w:qFormat/>
    <w:uiPriority w:val="0"/>
    <w:rPr>
      <w:sz w:val="18"/>
      <w:szCs w:val="18"/>
    </w:rPr>
  </w:style>
  <w:style w:type="character" w:customStyle="1" w:styleId="50">
    <w:name w:val="批注框文本 字符1"/>
    <w:link w:val="49"/>
    <w:qFormat/>
    <w:uiPriority w:val="0"/>
    <w:rPr>
      <w:kern w:val="2"/>
      <w:sz w:val="18"/>
      <w:szCs w:val="18"/>
    </w:rPr>
  </w:style>
  <w:style w:type="paragraph" w:customStyle="1" w:styleId="51">
    <w:name w:val="页脚1"/>
    <w:basedOn w:val="1"/>
    <w:link w:val="52"/>
    <w:qFormat/>
    <w:uiPriority w:val="0"/>
    <w:pPr>
      <w:tabs>
        <w:tab w:val="center" w:pos="4153"/>
        <w:tab w:val="right" w:pos="8306"/>
      </w:tabs>
      <w:snapToGrid w:val="0"/>
      <w:jc w:val="left"/>
    </w:pPr>
    <w:rPr>
      <w:sz w:val="18"/>
      <w:szCs w:val="18"/>
    </w:rPr>
  </w:style>
  <w:style w:type="character" w:customStyle="1" w:styleId="52">
    <w:name w:val="页脚 字符2"/>
    <w:link w:val="51"/>
    <w:qFormat/>
    <w:uiPriority w:val="0"/>
    <w:rPr>
      <w:kern w:val="2"/>
      <w:sz w:val="18"/>
      <w:szCs w:val="18"/>
    </w:rPr>
  </w:style>
  <w:style w:type="paragraph" w:customStyle="1" w:styleId="53">
    <w:name w:val="页眉1"/>
    <w:basedOn w:val="1"/>
    <w:link w:val="54"/>
    <w:qFormat/>
    <w:uiPriority w:val="0"/>
    <w:pPr>
      <w:pBdr>
        <w:bottom w:val="single" w:color="000000" w:sz="6" w:space="1"/>
      </w:pBdr>
      <w:tabs>
        <w:tab w:val="center" w:pos="4153"/>
        <w:tab w:val="right" w:pos="8306"/>
      </w:tabs>
      <w:snapToGrid w:val="0"/>
      <w:jc w:val="center"/>
    </w:pPr>
    <w:rPr>
      <w:sz w:val="18"/>
      <w:szCs w:val="18"/>
    </w:rPr>
  </w:style>
  <w:style w:type="character" w:customStyle="1" w:styleId="54">
    <w:name w:val="页眉 字符2"/>
    <w:link w:val="53"/>
    <w:qFormat/>
    <w:uiPriority w:val="0"/>
    <w:rPr>
      <w:kern w:val="2"/>
      <w:sz w:val="18"/>
      <w:szCs w:val="18"/>
    </w:rPr>
  </w:style>
  <w:style w:type="paragraph" w:customStyle="1" w:styleId="55">
    <w:name w:val="目录 11"/>
    <w:basedOn w:val="1"/>
    <w:qFormat/>
    <w:uiPriority w:val="0"/>
    <w:pPr>
      <w:spacing w:before="360" w:after="360"/>
      <w:jc w:val="left"/>
    </w:pPr>
    <w:rPr>
      <w:rFonts w:ascii="Calibri" w:hAnsi="Calibri"/>
      <w:b/>
      <w:bCs/>
      <w:caps/>
      <w:sz w:val="22"/>
      <w:szCs w:val="22"/>
      <w:u w:val="single"/>
    </w:rPr>
  </w:style>
  <w:style w:type="paragraph" w:customStyle="1" w:styleId="56">
    <w:name w:val="目录 41"/>
    <w:basedOn w:val="1"/>
    <w:qFormat/>
    <w:uiPriority w:val="0"/>
    <w:pPr>
      <w:jc w:val="left"/>
    </w:pPr>
    <w:rPr>
      <w:rFonts w:ascii="Calibri" w:hAnsi="Calibri"/>
      <w:sz w:val="22"/>
      <w:szCs w:val="22"/>
    </w:rPr>
  </w:style>
  <w:style w:type="paragraph" w:customStyle="1" w:styleId="57">
    <w:name w:val="列表1"/>
    <w:basedOn w:val="1"/>
    <w:qFormat/>
    <w:uiPriority w:val="0"/>
    <w:pPr>
      <w:ind w:left="200" w:hanging="200" w:hangingChars="200"/>
    </w:pPr>
    <w:rPr>
      <w:sz w:val="28"/>
    </w:rPr>
  </w:style>
  <w:style w:type="paragraph" w:customStyle="1" w:styleId="58">
    <w:name w:val="目录 61"/>
    <w:basedOn w:val="1"/>
    <w:qFormat/>
    <w:uiPriority w:val="0"/>
    <w:pPr>
      <w:jc w:val="left"/>
    </w:pPr>
    <w:rPr>
      <w:rFonts w:ascii="Calibri" w:hAnsi="Calibri"/>
      <w:sz w:val="22"/>
      <w:szCs w:val="22"/>
    </w:rPr>
  </w:style>
  <w:style w:type="paragraph" w:customStyle="1" w:styleId="59">
    <w:name w:val="目录 21"/>
    <w:basedOn w:val="1"/>
    <w:qFormat/>
    <w:uiPriority w:val="0"/>
    <w:pPr>
      <w:jc w:val="left"/>
    </w:pPr>
    <w:rPr>
      <w:rFonts w:ascii="Calibri" w:hAnsi="Calibri"/>
      <w:b/>
      <w:bCs/>
      <w:sz w:val="22"/>
      <w:szCs w:val="22"/>
    </w:rPr>
  </w:style>
  <w:style w:type="paragraph" w:customStyle="1" w:styleId="60">
    <w:name w:val="目录 91"/>
    <w:basedOn w:val="1"/>
    <w:qFormat/>
    <w:uiPriority w:val="0"/>
    <w:pPr>
      <w:jc w:val="left"/>
    </w:pPr>
    <w:rPr>
      <w:rFonts w:ascii="Calibri" w:hAnsi="Calibri"/>
      <w:sz w:val="22"/>
      <w:szCs w:val="22"/>
    </w:rPr>
  </w:style>
  <w:style w:type="paragraph" w:customStyle="1" w:styleId="61">
    <w:name w:val="标题1"/>
    <w:basedOn w:val="1"/>
    <w:qFormat/>
    <w:uiPriority w:val="0"/>
    <w:pPr>
      <w:widowControl/>
      <w:overflowPunct w:val="0"/>
      <w:autoSpaceDE w:val="0"/>
      <w:autoSpaceDN w:val="0"/>
      <w:jc w:val="center"/>
    </w:pPr>
    <w:rPr>
      <w:rFonts w:ascii="Cambria" w:hAnsi="Cambria"/>
      <w:b/>
      <w:bCs/>
      <w:sz w:val="32"/>
      <w:szCs w:val="32"/>
    </w:rPr>
  </w:style>
  <w:style w:type="paragraph" w:customStyle="1" w:styleId="62">
    <w:name w:val="批注主题1"/>
    <w:basedOn w:val="32"/>
    <w:link w:val="63"/>
    <w:qFormat/>
    <w:uiPriority w:val="0"/>
    <w:rPr>
      <w:b/>
      <w:bCs/>
    </w:rPr>
  </w:style>
  <w:style w:type="character" w:customStyle="1" w:styleId="63">
    <w:name w:val="批注主题 字符1"/>
    <w:link w:val="62"/>
    <w:qFormat/>
    <w:uiPriority w:val="0"/>
    <w:rPr>
      <w:b/>
      <w:bCs/>
      <w:kern w:val="2"/>
      <w:sz w:val="21"/>
      <w:szCs w:val="24"/>
    </w:rPr>
  </w:style>
  <w:style w:type="paragraph" w:customStyle="1" w:styleId="64">
    <w:name w:val="正文首行缩进1"/>
    <w:basedOn w:val="1"/>
    <w:qFormat/>
    <w:uiPriority w:val="0"/>
    <w:pPr>
      <w:spacing w:after="120"/>
      <w:ind w:firstLine="420" w:firstLineChars="100"/>
    </w:pPr>
    <w:rPr>
      <w:rFonts w:ascii="宋体"/>
    </w:rPr>
  </w:style>
  <w:style w:type="paragraph" w:customStyle="1" w:styleId="65">
    <w:name w:val="正文首行缩进 21"/>
    <w:basedOn w:val="36"/>
    <w:qFormat/>
    <w:uiPriority w:val="0"/>
    <w:pPr>
      <w:ind w:firstLine="420" w:firstLineChars="200"/>
    </w:pPr>
  </w:style>
  <w:style w:type="table" w:customStyle="1" w:styleId="66">
    <w:name w:val="网格型1"/>
    <w:basedOn w:val="21"/>
    <w:qFormat/>
    <w:uiPriority w:val="0"/>
    <w:pPr>
      <w:widowControl w:val="0"/>
      <w:jc w:val="both"/>
    </w:pPr>
    <w:tblPr>
      <w:tblCellMar>
        <w:top w:w="0" w:type="dxa"/>
        <w:left w:w="0" w:type="dxa"/>
        <w:bottom w:w="0" w:type="dxa"/>
        <w:right w:w="0" w:type="dxa"/>
      </w:tblCellMar>
    </w:tblPr>
  </w:style>
  <w:style w:type="character" w:customStyle="1" w:styleId="67">
    <w:name w:val="页码1"/>
    <w:qFormat/>
    <w:uiPriority w:val="0"/>
  </w:style>
  <w:style w:type="character" w:customStyle="1" w:styleId="68">
    <w:name w:val="已访问的超链接1"/>
    <w:basedOn w:val="20"/>
    <w:qFormat/>
    <w:uiPriority w:val="0"/>
    <w:rPr>
      <w:color w:val="771CAA"/>
      <w:u w:val="none"/>
    </w:rPr>
  </w:style>
  <w:style w:type="character" w:customStyle="1" w:styleId="69">
    <w:name w:val="强调1"/>
    <w:basedOn w:val="20"/>
    <w:qFormat/>
    <w:uiPriority w:val="0"/>
    <w:rPr>
      <w:color w:val="F73131"/>
    </w:rPr>
  </w:style>
  <w:style w:type="character" w:customStyle="1" w:styleId="70">
    <w:name w:val="超链接1"/>
    <w:basedOn w:val="20"/>
    <w:qFormat/>
    <w:uiPriority w:val="0"/>
    <w:rPr>
      <w:color w:val="2440B3"/>
      <w:u w:val="none"/>
    </w:rPr>
  </w:style>
  <w:style w:type="character" w:customStyle="1" w:styleId="71">
    <w:name w:val="批注引用1"/>
    <w:qFormat/>
    <w:uiPriority w:val="0"/>
    <w:rPr>
      <w:sz w:val="21"/>
      <w:szCs w:val="21"/>
    </w:rPr>
  </w:style>
  <w:style w:type="character" w:customStyle="1" w:styleId="72">
    <w:name w:val="HTML 引文1"/>
    <w:basedOn w:val="20"/>
    <w:qFormat/>
    <w:uiPriority w:val="0"/>
    <w:rPr>
      <w:color w:val="008000"/>
    </w:rPr>
  </w:style>
  <w:style w:type="character" w:customStyle="1" w:styleId="73">
    <w:name w:val="hover31"/>
    <w:basedOn w:val="20"/>
    <w:qFormat/>
    <w:uiPriority w:val="0"/>
    <w:rPr>
      <w:color w:val="315EFB"/>
    </w:rPr>
  </w:style>
  <w:style w:type="character" w:customStyle="1" w:styleId="74">
    <w:name w:val="页眉 字符"/>
    <w:qFormat/>
    <w:uiPriority w:val="0"/>
    <w:rPr>
      <w:rFonts w:ascii="Times New Roman" w:hAnsi="Times New Roman"/>
      <w:kern w:val="2"/>
      <w:sz w:val="18"/>
      <w:szCs w:val="18"/>
    </w:rPr>
  </w:style>
  <w:style w:type="character" w:customStyle="1" w:styleId="75">
    <w:name w:val="纯文本 字符"/>
    <w:qFormat/>
    <w:uiPriority w:val="0"/>
    <w:rPr>
      <w:rFonts w:ascii="宋体" w:hAnsi="Courier New"/>
      <w:kern w:val="2"/>
      <w:sz w:val="21"/>
    </w:rPr>
  </w:style>
  <w:style w:type="character" w:customStyle="1" w:styleId="76">
    <w:name w:val="正文文本 字符"/>
    <w:qFormat/>
    <w:uiPriority w:val="0"/>
    <w:rPr>
      <w:kern w:val="2"/>
      <w:sz w:val="21"/>
      <w:szCs w:val="24"/>
    </w:rPr>
  </w:style>
  <w:style w:type="character" w:customStyle="1" w:styleId="77">
    <w:name w:val="正文文本_"/>
    <w:link w:val="78"/>
    <w:qFormat/>
    <w:uiPriority w:val="0"/>
    <w:rPr>
      <w:rFonts w:ascii="MingLiU" w:hAnsi="MingLiU" w:eastAsia="MingLiU"/>
      <w:spacing w:val="9"/>
      <w:sz w:val="19"/>
      <w:szCs w:val="19"/>
      <w:shd w:val="clear" w:color="auto" w:fill="FFFFFF"/>
    </w:rPr>
  </w:style>
  <w:style w:type="paragraph" w:customStyle="1" w:styleId="78">
    <w:name w:val="正文文本1"/>
    <w:basedOn w:val="1"/>
    <w:link w:val="77"/>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79">
    <w:name w:val="标题 1 字符"/>
    <w:qFormat/>
    <w:uiPriority w:val="0"/>
    <w:rPr>
      <w:b/>
      <w:bCs/>
      <w:kern w:val="44"/>
      <w:sz w:val="44"/>
      <w:szCs w:val="44"/>
    </w:rPr>
  </w:style>
  <w:style w:type="character" w:customStyle="1" w:styleId="80">
    <w:name w:val="纯文本 Char_0"/>
    <w:link w:val="81"/>
    <w:qFormat/>
    <w:uiPriority w:val="0"/>
    <w:rPr>
      <w:rFonts w:ascii="宋体" w:hAnsi="Courier New"/>
      <w:kern w:val="2"/>
      <w:sz w:val="21"/>
      <w:szCs w:val="21"/>
    </w:rPr>
  </w:style>
  <w:style w:type="paragraph" w:customStyle="1" w:styleId="81">
    <w:name w:val="纯文本_0_0"/>
    <w:basedOn w:val="1"/>
    <w:link w:val="80"/>
    <w:qFormat/>
    <w:uiPriority w:val="0"/>
    <w:rPr>
      <w:rFonts w:ascii="宋体" w:hAnsi="Courier New"/>
      <w:szCs w:val="21"/>
    </w:rPr>
  </w:style>
  <w:style w:type="character" w:customStyle="1" w:styleId="82">
    <w:name w:val="页脚 字符1"/>
    <w:qFormat/>
    <w:uiPriority w:val="0"/>
    <w:rPr>
      <w:kern w:val="2"/>
      <w:sz w:val="18"/>
      <w:szCs w:val="18"/>
    </w:rPr>
  </w:style>
  <w:style w:type="character" w:customStyle="1" w:styleId="83">
    <w:name w:val="批注文字 Char1"/>
    <w:qFormat/>
    <w:uiPriority w:val="0"/>
    <w:rPr>
      <w:rFonts w:ascii="Times New Roman" w:hAnsi="Times New Roman"/>
      <w:kern w:val="2"/>
      <w:sz w:val="21"/>
      <w:szCs w:val="24"/>
    </w:rPr>
  </w:style>
  <w:style w:type="character" w:customStyle="1" w:styleId="84">
    <w:name w:val="批注框文本 字符"/>
    <w:qFormat/>
    <w:uiPriority w:val="0"/>
    <w:rPr>
      <w:kern w:val="2"/>
      <w:sz w:val="18"/>
      <w:szCs w:val="18"/>
    </w:rPr>
  </w:style>
  <w:style w:type="character" w:customStyle="1" w:styleId="85">
    <w:name w:val="正文文本 (26) + 间距 0 pt"/>
    <w:qFormat/>
    <w:uiPriority w:val="0"/>
    <w:rPr>
      <w:rFonts w:ascii="宋体" w:hAnsi="宋体" w:eastAsia="宋体"/>
      <w:color w:val="000000"/>
      <w:spacing w:val="0"/>
      <w:w w:val="100"/>
      <w:sz w:val="22"/>
      <w:szCs w:val="22"/>
      <w:u w:val="none"/>
      <w:lang w:val="zh-CN" w:eastAsia="zh-CN" w:bidi="zh-CN"/>
    </w:rPr>
  </w:style>
  <w:style w:type="character" w:customStyle="1" w:styleId="86">
    <w:name w:val="hover32"/>
    <w:basedOn w:val="20"/>
    <w:qFormat/>
    <w:uiPriority w:val="0"/>
    <w:rPr>
      <w:color w:val="315EFB"/>
    </w:rPr>
  </w:style>
  <w:style w:type="character" w:customStyle="1" w:styleId="87">
    <w:name w:val="正文2 Char Char"/>
    <w:link w:val="88"/>
    <w:qFormat/>
    <w:uiPriority w:val="0"/>
    <w:rPr>
      <w:kern w:val="2"/>
      <w:sz w:val="24"/>
    </w:rPr>
  </w:style>
  <w:style w:type="paragraph" w:customStyle="1" w:styleId="88">
    <w:name w:val="正文2"/>
    <w:basedOn w:val="1"/>
    <w:link w:val="87"/>
    <w:qFormat/>
    <w:uiPriority w:val="0"/>
    <w:pPr>
      <w:spacing w:before="156" w:line="360" w:lineRule="auto"/>
      <w:ind w:firstLine="510" w:firstLineChars="200"/>
    </w:pPr>
    <w:rPr>
      <w:sz w:val="24"/>
      <w:szCs w:val="20"/>
    </w:rPr>
  </w:style>
  <w:style w:type="character" w:customStyle="1" w:styleId="89">
    <w:name w:val="纯文本 字符2"/>
    <w:qFormat/>
    <w:uiPriority w:val="0"/>
    <w:rPr>
      <w:rFonts w:ascii="宋体" w:hAnsi="Courier New" w:eastAsia="宋体"/>
      <w:szCs w:val="21"/>
    </w:rPr>
  </w:style>
  <w:style w:type="character" w:customStyle="1" w:styleId="90">
    <w:name w:val="正文文本 3 字符"/>
    <w:qFormat/>
    <w:uiPriority w:val="0"/>
    <w:rPr>
      <w:kern w:val="2"/>
      <w:sz w:val="16"/>
      <w:szCs w:val="16"/>
    </w:rPr>
  </w:style>
  <w:style w:type="character" w:customStyle="1" w:styleId="91">
    <w:name w:val="c-icon27"/>
    <w:basedOn w:val="20"/>
    <w:qFormat/>
    <w:uiPriority w:val="0"/>
  </w:style>
  <w:style w:type="character" w:customStyle="1" w:styleId="92">
    <w:name w:val="正文文本缩进 字符"/>
    <w:qFormat/>
    <w:uiPriority w:val="0"/>
    <w:rPr>
      <w:rFonts w:ascii="宋体" w:hAnsi="Courier New"/>
      <w:spacing w:val="-4"/>
      <w:kern w:val="2"/>
      <w:sz w:val="18"/>
    </w:rPr>
  </w:style>
  <w:style w:type="character" w:customStyle="1" w:styleId="93">
    <w:name w:val="批注主题 字符"/>
    <w:qFormat/>
    <w:uiPriority w:val="0"/>
    <w:rPr>
      <w:b/>
      <w:bCs/>
      <w:kern w:val="2"/>
      <w:sz w:val="21"/>
      <w:szCs w:val="24"/>
    </w:rPr>
  </w:style>
  <w:style w:type="character" w:customStyle="1" w:styleId="94">
    <w:name w:val="标题 5 字符"/>
    <w:qFormat/>
    <w:uiPriority w:val="0"/>
    <w:rPr>
      <w:b/>
      <w:bCs/>
      <w:kern w:val="2"/>
      <w:sz w:val="28"/>
      <w:szCs w:val="28"/>
    </w:rPr>
  </w:style>
  <w:style w:type="character" w:customStyle="1" w:styleId="95">
    <w:name w:val="批注文字 字符"/>
    <w:qFormat/>
    <w:uiPriority w:val="0"/>
    <w:rPr>
      <w:kern w:val="2"/>
      <w:sz w:val="21"/>
      <w:szCs w:val="24"/>
    </w:rPr>
  </w:style>
  <w:style w:type="character" w:customStyle="1" w:styleId="96">
    <w:name w:val="hover33"/>
    <w:basedOn w:val="20"/>
    <w:qFormat/>
    <w:uiPriority w:val="0"/>
    <w:rPr>
      <w:color w:val="315EFB"/>
      <w:shd w:val="clear" w:color="auto" w:fill="F0F3FD"/>
    </w:rPr>
  </w:style>
  <w:style w:type="character" w:customStyle="1" w:styleId="97">
    <w:name w:val="标题 4 字符"/>
    <w:qFormat/>
    <w:uiPriority w:val="0"/>
    <w:rPr>
      <w:rFonts w:ascii="Arial" w:eastAsia="黑体"/>
      <w:sz w:val="28"/>
    </w:rPr>
  </w:style>
  <w:style w:type="character" w:customStyle="1" w:styleId="98">
    <w:name w:val="Char Char1"/>
    <w:qFormat/>
    <w:uiPriority w:val="0"/>
    <w:rPr>
      <w:rFonts w:ascii="宋体" w:hAnsi="Courier New" w:eastAsia="宋体"/>
      <w:kern w:val="2"/>
      <w:sz w:val="21"/>
      <w:lang w:val="en-US" w:eastAsia="zh-CN" w:bidi="ar-SA"/>
    </w:rPr>
  </w:style>
  <w:style w:type="character" w:customStyle="1" w:styleId="99">
    <w:name w:val="日期 字符"/>
    <w:qFormat/>
    <w:uiPriority w:val="0"/>
    <w:rPr>
      <w:kern w:val="2"/>
      <w:sz w:val="21"/>
      <w:szCs w:val="24"/>
    </w:rPr>
  </w:style>
  <w:style w:type="character" w:customStyle="1" w:styleId="100">
    <w:name w:val="正文文本缩进 2 字符"/>
    <w:qFormat/>
    <w:uiPriority w:val="0"/>
    <w:rPr>
      <w:kern w:val="2"/>
      <w:sz w:val="21"/>
      <w:szCs w:val="24"/>
    </w:rPr>
  </w:style>
  <w:style w:type="character" w:customStyle="1" w:styleId="101">
    <w:name w:val="纯文本 Char1"/>
    <w:link w:val="102"/>
    <w:qFormat/>
    <w:uiPriority w:val="0"/>
    <w:rPr>
      <w:rFonts w:ascii="宋体" w:hAnsi="Courier New" w:eastAsia="宋体"/>
      <w:kern w:val="2"/>
      <w:sz w:val="21"/>
      <w:lang w:val="en-US" w:eastAsia="zh-CN" w:bidi="ar-SA"/>
    </w:rPr>
  </w:style>
  <w:style w:type="paragraph" w:customStyle="1" w:styleId="102">
    <w:name w:val="纯文本1"/>
    <w:basedOn w:val="1"/>
    <w:link w:val="101"/>
    <w:qFormat/>
    <w:uiPriority w:val="0"/>
    <w:rPr>
      <w:rFonts w:ascii="宋体" w:hAnsi="Courier New"/>
      <w:szCs w:val="20"/>
    </w:rPr>
  </w:style>
  <w:style w:type="character" w:customStyle="1" w:styleId="103">
    <w:name w:val="正文文本 + 10 pt"/>
    <w:qFormat/>
    <w:uiPriority w:val="0"/>
    <w:rPr>
      <w:rFonts w:ascii="MingLiU" w:hAnsi="MingLiU" w:eastAsia="MingLiU"/>
      <w:color w:val="000000"/>
      <w:spacing w:val="8"/>
      <w:w w:val="100"/>
      <w:sz w:val="20"/>
      <w:szCs w:val="20"/>
      <w:shd w:val="clear" w:color="auto" w:fill="FFFFFF"/>
      <w:lang w:val="zh-TW"/>
    </w:rPr>
  </w:style>
  <w:style w:type="character" w:customStyle="1" w:styleId="104">
    <w:name w:val="页脚 字符"/>
    <w:qFormat/>
    <w:uiPriority w:val="0"/>
    <w:rPr>
      <w:sz w:val="18"/>
      <w:szCs w:val="18"/>
    </w:rPr>
  </w:style>
  <w:style w:type="character" w:customStyle="1" w:styleId="105">
    <w:name w:val="批注文字 字符1"/>
    <w:qFormat/>
    <w:uiPriority w:val="0"/>
    <w:rPr>
      <w:rFonts w:ascii="Times New Roman" w:hAnsi="Times New Roman"/>
      <w:kern w:val="2"/>
      <w:sz w:val="21"/>
      <w:szCs w:val="24"/>
    </w:rPr>
  </w:style>
  <w:style w:type="character" w:customStyle="1" w:styleId="106">
    <w:name w:val="标题 2 字符"/>
    <w:qFormat/>
    <w:uiPriority w:val="0"/>
    <w:rPr>
      <w:rFonts w:ascii="Arial" w:hAnsi="Arial" w:eastAsia="黑体"/>
      <w:b/>
      <w:bCs/>
      <w:kern w:val="2"/>
      <w:sz w:val="32"/>
      <w:szCs w:val="32"/>
    </w:rPr>
  </w:style>
  <w:style w:type="character" w:customStyle="1" w:styleId="107">
    <w:name w:val="标题 3 字符"/>
    <w:qFormat/>
    <w:uiPriority w:val="0"/>
    <w:rPr>
      <w:b/>
      <w:bCs/>
      <w:kern w:val="2"/>
      <w:sz w:val="32"/>
      <w:szCs w:val="32"/>
    </w:rPr>
  </w:style>
  <w:style w:type="character" w:customStyle="1" w:styleId="108">
    <w:name w:val="文档结构图 字符"/>
    <w:qFormat/>
    <w:uiPriority w:val="0"/>
    <w:rPr>
      <w:rFonts w:ascii="宋体"/>
      <w:kern w:val="2"/>
      <w:sz w:val="18"/>
      <w:szCs w:val="18"/>
    </w:rPr>
  </w:style>
  <w:style w:type="character" w:customStyle="1" w:styleId="109">
    <w:name w:val="页眉 字符1"/>
    <w:qFormat/>
    <w:uiPriority w:val="0"/>
    <w:rPr>
      <w:kern w:val="2"/>
      <w:sz w:val="18"/>
      <w:szCs w:val="18"/>
    </w:rPr>
  </w:style>
  <w:style w:type="character" w:customStyle="1" w:styleId="110">
    <w:name w:val="纯文本 字符1"/>
    <w:semiHidden/>
    <w:qFormat/>
    <w:uiPriority w:val="0"/>
    <w:rPr>
      <w:rFonts w:ascii="宋体" w:hAnsi="Courier New"/>
      <w:kern w:val="2"/>
      <w:sz w:val="21"/>
    </w:rPr>
  </w:style>
  <w:style w:type="character" w:customStyle="1" w:styleId="111">
    <w:name w:val="c-icon"/>
    <w:basedOn w:val="20"/>
    <w:qFormat/>
    <w:uiPriority w:val="0"/>
  </w:style>
  <w:style w:type="character" w:customStyle="1" w:styleId="112">
    <w:name w:val="hover30"/>
    <w:basedOn w:val="20"/>
    <w:qFormat/>
    <w:uiPriority w:val="0"/>
  </w:style>
  <w:style w:type="paragraph" w:customStyle="1" w:styleId="113">
    <w:name w:val="表格文字"/>
    <w:basedOn w:val="1"/>
    <w:qFormat/>
    <w:uiPriority w:val="0"/>
    <w:pPr>
      <w:spacing w:line="420" w:lineRule="atLeast"/>
      <w:jc w:val="left"/>
    </w:pPr>
    <w:rPr>
      <w:kern w:val="0"/>
    </w:rPr>
  </w:style>
  <w:style w:type="paragraph" w:customStyle="1" w:styleId="114">
    <w:name w:val="Char Char Char Char Char Char Char Char Char Char Char Char"/>
    <w:basedOn w:val="1"/>
    <w:qFormat/>
    <w:uiPriority w:val="0"/>
    <w:pPr>
      <w:widowControl/>
      <w:spacing w:after="160" w:line="240" w:lineRule="exact"/>
      <w:jc w:val="left"/>
    </w:pPr>
  </w:style>
  <w:style w:type="paragraph" w:customStyle="1" w:styleId="115">
    <w:name w:val="p0"/>
    <w:basedOn w:val="1"/>
    <w:qFormat/>
    <w:uiPriority w:val="0"/>
    <w:pPr>
      <w:widowControl/>
    </w:pPr>
    <w:rPr>
      <w:kern w:val="0"/>
      <w:szCs w:val="21"/>
    </w:rPr>
  </w:style>
  <w:style w:type="paragraph" w:customStyle="1" w:styleId="116">
    <w:name w:val="列出段落1"/>
    <w:basedOn w:val="1"/>
    <w:qFormat/>
    <w:uiPriority w:val="0"/>
    <w:pPr>
      <w:spacing w:before="100" w:beforeAutospacing="1" w:after="100" w:afterAutospacing="1" w:line="360" w:lineRule="auto"/>
      <w:ind w:firstLine="420" w:firstLineChars="200"/>
    </w:pPr>
  </w:style>
  <w:style w:type="paragraph" w:customStyle="1" w:styleId="117">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列表段落"/>
    <w:basedOn w:val="1"/>
    <w:qFormat/>
    <w:uiPriority w:val="0"/>
    <w:pPr>
      <w:ind w:firstLine="420" w:firstLineChars="200"/>
    </w:pPr>
  </w:style>
  <w:style w:type="paragraph" w:customStyle="1" w:styleId="119">
    <w:name w:val="Char Char Char"/>
    <w:basedOn w:val="1"/>
    <w:qFormat/>
    <w:uiPriority w:val="0"/>
    <w:rPr>
      <w:szCs w:val="20"/>
    </w:rPr>
  </w:style>
  <w:style w:type="paragraph" w:customStyle="1" w:styleId="120">
    <w:name w:val="正文段"/>
    <w:basedOn w:val="1"/>
    <w:qFormat/>
    <w:uiPriority w:val="0"/>
    <w:pPr>
      <w:widowControl/>
      <w:snapToGrid w:val="0"/>
      <w:spacing w:after="156"/>
      <w:ind w:firstLine="200" w:firstLineChars="200"/>
    </w:pPr>
    <w:rPr>
      <w:kern w:val="0"/>
      <w:sz w:val="24"/>
      <w:szCs w:val="20"/>
    </w:rPr>
  </w:style>
  <w:style w:type="paragraph" w:customStyle="1" w:styleId="121">
    <w:name w:val="修订1"/>
    <w:qFormat/>
    <w:uiPriority w:val="0"/>
    <w:rPr>
      <w:rFonts w:ascii="Times New Roman" w:hAnsi="Times New Roman" w:eastAsia="宋体" w:cs="Times New Roman"/>
      <w:kern w:val="2"/>
      <w:sz w:val="21"/>
      <w:szCs w:val="24"/>
      <w:lang w:val="en-US" w:eastAsia="zh-CN" w:bidi="ar-SA"/>
    </w:rPr>
  </w:style>
  <w:style w:type="paragraph" w:customStyle="1" w:styleId="122">
    <w:name w:val="Char Char Char Char Char Char Char"/>
    <w:basedOn w:val="1"/>
    <w:qFormat/>
    <w:uiPriority w:val="0"/>
  </w:style>
  <w:style w:type="paragraph" w:customStyle="1" w:styleId="123">
    <w:name w:val="Table Paragraph"/>
    <w:basedOn w:val="1"/>
    <w:qFormat/>
    <w:uiPriority w:val="0"/>
    <w:pPr>
      <w:jc w:val="left"/>
    </w:pPr>
    <w:rPr>
      <w:rFonts w:ascii="Calibri" w:hAnsi="Calibri"/>
      <w:kern w:val="0"/>
      <w:sz w:val="22"/>
      <w:szCs w:val="22"/>
      <w:lang w:eastAsia="en-US"/>
    </w:rPr>
  </w:style>
  <w:style w:type="paragraph" w:customStyle="1" w:styleId="124">
    <w:name w:val="样式 标题 2 + 非加粗 首行缩进:  2 字符"/>
    <w:basedOn w:val="15"/>
    <w:qFormat/>
    <w:uiPriority w:val="0"/>
    <w:pPr>
      <w:spacing w:before="0" w:after="0" w:line="600" w:lineRule="exact"/>
      <w:ind w:firstLine="640" w:firstLineChars="200"/>
      <w:jc w:val="left"/>
    </w:pPr>
    <w:rPr>
      <w:b w:val="0"/>
      <w:bCs w:val="0"/>
      <w:szCs w:val="20"/>
    </w:rPr>
  </w:style>
  <w:style w:type="paragraph" w:customStyle="1" w:styleId="125">
    <w:name w:val="Char"/>
    <w:basedOn w:val="1"/>
    <w:qFormat/>
    <w:uiPriority w:val="0"/>
    <w:rPr>
      <w:szCs w:val="21"/>
    </w:rPr>
  </w:style>
  <w:style w:type="paragraph" w:customStyle="1" w:styleId="126">
    <w:name w:val="Char Char Char Char Char Char Char1"/>
    <w:basedOn w:val="1"/>
    <w:qFormat/>
    <w:uiPriority w:val="0"/>
  </w:style>
  <w:style w:type="paragraph" w:customStyle="1" w:styleId="127">
    <w:name w:val="0正文"/>
    <w:qFormat/>
    <w:uiPriority w:val="0"/>
    <w:pPr>
      <w:spacing w:line="360" w:lineRule="auto"/>
      <w:ind w:firstLine="200" w:firstLineChars="200"/>
    </w:pPr>
    <w:rPr>
      <w:rFonts w:ascii="Calibri" w:hAnsi="Calibri" w:eastAsia="宋体" w:cs="Times New Roman"/>
      <w:kern w:val="2"/>
      <w:sz w:val="28"/>
      <w:szCs w:val="24"/>
      <w:lang w:val="en-US" w:eastAsia="zh-CN" w:bidi="ar-SA"/>
    </w:rPr>
  </w:style>
  <w:style w:type="paragraph" w:customStyle="1" w:styleId="128">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29">
    <w:name w:val="Char Char Char Char Char Char Char Char Char Char Char Char1"/>
    <w:basedOn w:val="1"/>
    <w:qFormat/>
    <w:uiPriority w:val="0"/>
    <w:pPr>
      <w:widowControl/>
      <w:spacing w:after="160" w:line="240" w:lineRule="exact"/>
      <w:jc w:val="left"/>
    </w:pPr>
  </w:style>
  <w:style w:type="paragraph" w:customStyle="1" w:styleId="130">
    <w:name w:val="Char Char Char1 Char Char Char Char Char Char Char"/>
    <w:basedOn w:val="1"/>
    <w:qFormat/>
    <w:uiPriority w:val="0"/>
  </w:style>
  <w:style w:type="paragraph" w:customStyle="1" w:styleId="131">
    <w:name w:val="Char Char Char Char"/>
    <w:basedOn w:val="1"/>
    <w:qFormat/>
    <w:uiPriority w:val="0"/>
    <w:pPr>
      <w:widowControl/>
      <w:spacing w:after="160" w:line="240" w:lineRule="exact"/>
      <w:jc w:val="left"/>
    </w:pPr>
  </w:style>
  <w:style w:type="paragraph" w:customStyle="1" w:styleId="132">
    <w:name w:val="Char1"/>
    <w:basedOn w:val="1"/>
    <w:qFormat/>
    <w:uiPriority w:val="0"/>
  </w:style>
  <w:style w:type="paragraph" w:customStyle="1" w:styleId="13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34">
    <w:name w:val="Char Char Char Char1"/>
    <w:basedOn w:val="1"/>
    <w:qFormat/>
    <w:uiPriority w:val="0"/>
    <w:pPr>
      <w:widowControl/>
      <w:spacing w:after="160" w:line="240" w:lineRule="exact"/>
      <w:jc w:val="left"/>
    </w:pPr>
  </w:style>
  <w:style w:type="paragraph" w:customStyle="1" w:styleId="135">
    <w:name w:val="TOC 标题1"/>
    <w:basedOn w:val="14"/>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6">
    <w:name w:val="样式 标题 1 + 居中 段前: 0 磅 段后: 0 磅 行距: 固定值 30 磅"/>
    <w:basedOn w:val="14"/>
    <w:qFormat/>
    <w:uiPriority w:val="0"/>
    <w:pPr>
      <w:spacing w:before="0" w:after="0" w:line="600" w:lineRule="exact"/>
      <w:jc w:val="center"/>
    </w:pPr>
    <w:rPr>
      <w:szCs w:val="20"/>
    </w:rPr>
  </w:style>
  <w:style w:type="paragraph" w:customStyle="1" w:styleId="137">
    <w:name w:val="默认段落字体 Para Char Char Char Char Char Char Char Char Char1 Char Char Char Char"/>
    <w:basedOn w:val="1"/>
    <w:qFormat/>
    <w:uiPriority w:val="0"/>
    <w:rPr>
      <w:rFonts w:ascii="Tahoma" w:hAnsi="Tahoma"/>
      <w:sz w:val="24"/>
      <w:szCs w:val="20"/>
    </w:rPr>
  </w:style>
  <w:style w:type="paragraph" w:customStyle="1" w:styleId="138">
    <w:name w:val="msonormal"/>
    <w:basedOn w:val="1"/>
    <w:qFormat/>
    <w:uiPriority w:val="0"/>
    <w:pPr>
      <w:widowControl/>
      <w:spacing w:before="100" w:beforeAutospacing="1" w:after="100" w:afterAutospacing="1"/>
      <w:jc w:val="left"/>
    </w:pPr>
    <w:rPr>
      <w:rFonts w:ascii="宋体" w:hAnsi="宋体"/>
      <w:kern w:val="0"/>
      <w:sz w:val="24"/>
    </w:rPr>
  </w:style>
  <w:style w:type="paragraph" w:customStyle="1" w:styleId="139">
    <w:name w:val="Default"/>
    <w:qFormat/>
    <w:uiPriority w:val="99"/>
    <w:pPr>
      <w:widowControl w:val="0"/>
      <w:autoSpaceDE w:val="0"/>
      <w:autoSpaceDN w:val="0"/>
      <w:adjustRightInd w:val="0"/>
    </w:pPr>
    <w:rPr>
      <w:rFonts w:ascii="新宋体′...." w:hAnsi="Calibri" w:eastAsia="新宋体′...." w:cs="新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109</Pages>
  <Words>51211</Words>
  <Characters>54829</Characters>
  <Lines>460</Lines>
  <Paragraphs>129</Paragraphs>
  <TotalTime>43</TotalTime>
  <ScaleCrop>false</ScaleCrop>
  <LinksUpToDate>false</LinksUpToDate>
  <CharactersWithSpaces>61588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2024-03-22T11:33:00Z</dcterms:created>
  <dc:creator>huang</dc:creator>
  <cp:lastModifiedBy>李玲</cp:lastModifiedBy>
  <cp:lastPrinted>2024-08-12T01:06:00Z</cp:lastPrinted>
  <dcterms:modified xsi:type="dcterms:W3CDTF">2024-08-16T01:56:31Z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y fmtid="{D5CDD505-2E9C-101B-9397-08002B2CF9AE}" pid="3" name="ICV">
    <vt:lpwstr>3838D100F7394225B0890217772AE1A6_13</vt:lpwstr>
  </property>
</Properties>
</file>