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hint="eastAsia" w:ascii="宋体" w:hAnsi="宋体"/>
          <w:color w:val="auto"/>
          <w:sz w:val="36"/>
          <w:szCs w:val="36"/>
          <w:highlight w:val="none"/>
        </w:rPr>
      </w:pPr>
    </w:p>
    <w:p>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pStyle w:val="25"/>
        <w:rPr>
          <w:rFonts w:hint="eastAsia" w:ascii="宋体" w:hAnsi="宋体" w:eastAsia="宋体" w:cs="宋体"/>
          <w:b/>
          <w:color w:val="auto"/>
          <w:sz w:val="32"/>
          <w:szCs w:val="32"/>
          <w:highlight w:val="none"/>
        </w:rPr>
      </w:pPr>
    </w:p>
    <w:p>
      <w:pPr>
        <w:pStyle w:val="9"/>
        <w:rPr>
          <w:rFonts w:hint="eastAsia" w:ascii="宋体" w:hAnsi="宋体" w:eastAsia="宋体" w:cs="宋体"/>
          <w:b/>
          <w:color w:val="auto"/>
          <w:sz w:val="32"/>
          <w:szCs w:val="32"/>
          <w:highlight w:val="none"/>
        </w:rPr>
      </w:pPr>
    </w:p>
    <w:p>
      <w:pPr>
        <w:pStyle w:val="9"/>
        <w:rPr>
          <w:rFonts w:hint="eastAsia" w:ascii="宋体" w:hAnsi="宋体" w:eastAsia="宋体" w:cs="宋体"/>
          <w:b/>
          <w:color w:val="auto"/>
          <w:sz w:val="32"/>
          <w:szCs w:val="32"/>
          <w:highlight w:val="none"/>
        </w:rPr>
      </w:pPr>
    </w:p>
    <w:p>
      <w:pPr>
        <w:pStyle w:val="14"/>
        <w:rPr>
          <w:rFonts w:hint="eastAsia" w:ascii="宋体" w:hAnsi="宋体" w:eastAsia="宋体" w:cs="宋体"/>
          <w:b/>
          <w:color w:val="auto"/>
          <w:sz w:val="32"/>
          <w:szCs w:val="32"/>
          <w:highlight w:val="none"/>
        </w:rPr>
      </w:pPr>
    </w:p>
    <w:p>
      <w:pPr>
        <w:rPr>
          <w:rFonts w:hint="eastAsia"/>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2"/>
          <w:szCs w:val="32"/>
          <w:highlight w:val="none"/>
        </w:rPr>
      </w:pPr>
    </w:p>
    <w:p>
      <w:pPr>
        <w:pStyle w:val="13"/>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bookmarkStart w:id="733" w:name="_GoBack"/>
      <w:r>
        <w:rPr>
          <w:rFonts w:hint="eastAsia" w:ascii="宋体" w:hAnsi="宋体" w:eastAsia="宋体" w:cs="宋体"/>
          <w:b/>
          <w:bCs/>
          <w:color w:val="auto"/>
          <w:sz w:val="30"/>
          <w:szCs w:val="30"/>
          <w:highlight w:val="none"/>
          <w:u w:val="single"/>
          <w:lang w:eastAsia="zh-CN"/>
        </w:rPr>
        <w:t>堪圩乡明仕村基础设施提升工程</w:t>
      </w:r>
      <w:bookmarkEnd w:id="733"/>
    </w:p>
    <w:p>
      <w:pPr>
        <w:snapToGrid w:val="0"/>
        <w:spacing w:before="165"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color w:val="auto"/>
          <w:sz w:val="30"/>
          <w:szCs w:val="48"/>
          <w:highlight w:val="none"/>
          <w:u w:val="single"/>
          <w:lang w:eastAsia="zh-CN"/>
        </w:rPr>
        <w:t>CZZC2024-C2-40044-GXYR </w:t>
      </w:r>
    </w:p>
    <w:p>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崇左市大新县</w:t>
      </w:r>
    </w:p>
    <w:p>
      <w:pPr>
        <w:pStyle w:val="13"/>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ascii="宋体" w:hAnsi="宋体" w:eastAsia="宋体" w:cs="宋体"/>
          <w:b/>
          <w:bCs/>
          <w:color w:val="auto"/>
          <w:w w:val="95"/>
          <w:sz w:val="30"/>
          <w:szCs w:val="30"/>
          <w:highlight w:val="none"/>
          <w:u w:val="single"/>
          <w:lang w:eastAsia="zh-CN"/>
        </w:rPr>
        <w:t>大新县堪圩乡人民政府</w:t>
      </w:r>
    </w:p>
    <w:p>
      <w:pPr>
        <w:pStyle w:val="13"/>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eastAsia="宋体" w:cs="宋体"/>
          <w:b/>
          <w:bCs/>
          <w:color w:val="auto"/>
          <w:w w:val="95"/>
          <w:sz w:val="30"/>
          <w:szCs w:val="30"/>
          <w:highlight w:val="none"/>
          <w:u w:val="single"/>
          <w:lang w:eastAsia="zh-CN"/>
        </w:rPr>
        <w:t>广西怡瑞工程项目咨询有限公司</w:t>
      </w:r>
    </w:p>
    <w:p>
      <w:pPr>
        <w:pStyle w:val="13"/>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ascii="宋体" w:hAnsi="宋体" w:eastAsia="宋体" w:cs="宋体"/>
          <w:b/>
          <w:bCs/>
          <w:color w:val="auto"/>
          <w:w w:val="95"/>
          <w:sz w:val="30"/>
          <w:szCs w:val="30"/>
          <w:highlight w:val="none"/>
          <w:lang w:val="en-US" w:eastAsia="zh-CN"/>
        </w:rPr>
        <w:t>2024年8月2</w:t>
      </w:r>
      <w:r>
        <w:rPr>
          <w:rFonts w:hint="eastAsia" w:hAnsi="宋体" w:cs="宋体"/>
          <w:b/>
          <w:bCs/>
          <w:color w:val="auto"/>
          <w:w w:val="95"/>
          <w:sz w:val="30"/>
          <w:szCs w:val="30"/>
          <w:highlight w:val="none"/>
          <w:lang w:val="en-US" w:eastAsia="zh-CN"/>
        </w:rPr>
        <w:t>1</w:t>
      </w:r>
      <w:r>
        <w:rPr>
          <w:rFonts w:hint="eastAsia" w:ascii="宋体" w:hAnsi="宋体" w:eastAsia="宋体" w:cs="宋体"/>
          <w:b/>
          <w:bCs/>
          <w:color w:val="auto"/>
          <w:w w:val="95"/>
          <w:sz w:val="30"/>
          <w:szCs w:val="30"/>
          <w:highlight w:val="none"/>
          <w:lang w:val="en-US" w:eastAsia="zh-CN"/>
        </w:rPr>
        <w:t>日</w:t>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400" w:lineRule="exact"/>
        <w:jc w:val="center"/>
        <w:rPr>
          <w:rFonts w:hint="eastAsia" w:ascii="宋体" w:hAnsi="宋体" w:eastAsia="宋体" w:cs="宋体"/>
          <w:b/>
          <w:color w:val="auto"/>
          <w:sz w:val="44"/>
          <w:szCs w:val="44"/>
          <w:highlight w:val="none"/>
        </w:rPr>
      </w:pP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2"/>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_Toc8520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第一部分 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_Toc16594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第二部分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_Toc22418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30"/>
          <w:highlight w:val="none"/>
        </w:rPr>
        <w:t>第三部分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pPr>
        <w:spacing w:line="400" w:lineRule="exact"/>
        <w:jc w:val="left"/>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rPr>
      </w:pPr>
    </w:p>
    <w:p>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2" name="文本框 2"/>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堪圩乡明仕村基础设施提升工程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eastAsia="宋体" w:cs="宋体"/>
                                <w:bCs/>
                                <w:color w:val="000000"/>
                                <w:szCs w:val="21"/>
                                <w:highlight w:val="none"/>
                                <w:u w:val="single"/>
                                <w:lang w:eastAsia="zh-CN"/>
                              </w:rPr>
                              <w:t>2024年</w:t>
                            </w:r>
                            <w:r>
                              <w:rPr>
                                <w:rFonts w:hint="eastAsia" w:ascii="宋体" w:hAnsi="宋体" w:eastAsia="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val="en-US" w:eastAsia="zh-CN"/>
                              </w:rPr>
                              <w:t xml:space="preserve"> </w:t>
                            </w:r>
                            <w:r>
                              <w:rPr>
                                <w:rFonts w:hint="eastAsia" w:ascii="宋体" w:hAnsi="宋体" w:eastAsia="宋体" w:cs="宋体"/>
                                <w:bCs/>
                                <w:color w:val="000000"/>
                                <w:szCs w:val="21"/>
                                <w:highlight w:val="none"/>
                                <w:u w:val="single"/>
                                <w:lang w:eastAsia="zh-CN"/>
                              </w:rPr>
                              <w:t>日</w:t>
                            </w:r>
                            <w:r>
                              <w:rPr>
                                <w:rFonts w:hint="eastAsia" w:ascii="宋体" w:hAnsi="宋体" w:eastAsia="宋体" w:cs="宋体"/>
                                <w:bCs/>
                                <w:color w:val="000000"/>
                                <w:szCs w:val="21"/>
                                <w:highlight w:val="none"/>
                                <w:u w:val="single"/>
                                <w:lang w:val="en-US" w:eastAsia="zh-CN"/>
                              </w:rPr>
                              <w:t>10</w:t>
                            </w:r>
                            <w:r>
                              <w:rPr>
                                <w:rFonts w:hint="eastAsia" w:ascii="宋体" w:hAnsi="宋体" w:eastAsia="宋体" w:cs="宋体"/>
                                <w:bCs/>
                                <w:color w:val="000000"/>
                                <w:szCs w:val="21"/>
                                <w:highlight w:val="none"/>
                                <w:u w:val="single"/>
                                <w:lang w:eastAsia="zh-CN"/>
                              </w:rPr>
                              <w:t>：00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3kO8+8MBAAB4AwAADgAAAAAAAAABACAAAAAoAQAAZHJzL2Uy&#10;b0RvYy54bWxQSwUGAAAAAAYABgBZAQAAXQU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堪圩乡明仕村基础设施提升工程</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eastAsia="宋体" w:cs="宋体"/>
                          <w:bCs/>
                          <w:color w:val="000000"/>
                          <w:szCs w:val="21"/>
                          <w:highlight w:val="none"/>
                          <w:u w:val="single"/>
                          <w:lang w:eastAsia="zh-CN"/>
                        </w:rPr>
                        <w:t>2024年</w:t>
                      </w:r>
                      <w:r>
                        <w:rPr>
                          <w:rFonts w:hint="eastAsia" w:ascii="宋体" w:hAnsi="宋体" w:eastAsia="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val="en-US" w:eastAsia="zh-CN"/>
                        </w:rPr>
                        <w:t xml:space="preserve"> </w:t>
                      </w:r>
                      <w:r>
                        <w:rPr>
                          <w:rFonts w:hint="eastAsia" w:ascii="宋体" w:hAnsi="宋体" w:eastAsia="宋体" w:cs="宋体"/>
                          <w:bCs/>
                          <w:color w:val="000000"/>
                          <w:szCs w:val="21"/>
                          <w:highlight w:val="none"/>
                          <w:u w:val="single"/>
                          <w:lang w:eastAsia="zh-CN"/>
                        </w:rPr>
                        <w:t>日</w:t>
                      </w:r>
                      <w:r>
                        <w:rPr>
                          <w:rFonts w:hint="eastAsia" w:ascii="宋体" w:hAnsi="宋体" w:eastAsia="宋体" w:cs="宋体"/>
                          <w:bCs/>
                          <w:color w:val="000000"/>
                          <w:szCs w:val="21"/>
                          <w:highlight w:val="none"/>
                          <w:u w:val="single"/>
                          <w:lang w:val="en-US" w:eastAsia="zh-CN"/>
                        </w:rPr>
                        <w:t>10</w:t>
                      </w:r>
                      <w:r>
                        <w:rPr>
                          <w:rFonts w:hint="eastAsia" w:ascii="宋体" w:hAnsi="宋体" w:eastAsia="宋体" w:cs="宋体"/>
                          <w:bCs/>
                          <w:color w:val="000000"/>
                          <w:szCs w:val="21"/>
                          <w:highlight w:val="none"/>
                          <w:u w:val="single"/>
                          <w:lang w:eastAsia="zh-CN"/>
                        </w:rPr>
                        <w:t>：00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44229878"/>
      <w:bookmarkStart w:id="4" w:name="_Toc28359089"/>
      <w:bookmarkStart w:id="5" w:name="_Toc35393629"/>
      <w:bookmarkStart w:id="6" w:name="_Toc35393798"/>
      <w:bookmarkStart w:id="7" w:name="_Toc35393792"/>
      <w:bookmarkStart w:id="8" w:name="_Toc28359004"/>
      <w:bookmarkStart w:id="9" w:name="_Toc35393623"/>
      <w:bookmarkStart w:id="10" w:name="_Toc28359081"/>
    </w:p>
    <w:p>
      <w:pPr>
        <w:pStyle w:val="2"/>
        <w:spacing w:line="400" w:lineRule="exact"/>
        <w:ind w:firstLine="482" w:firstLineChars="200"/>
        <w:rPr>
          <w:rFonts w:hint="eastAsia" w:ascii="宋体" w:hAnsi="宋体" w:eastAsia="宋体" w:cs="宋体"/>
          <w:bCs w:val="0"/>
          <w:color w:val="auto"/>
          <w:sz w:val="24"/>
          <w:szCs w:val="24"/>
          <w:highlight w:val="none"/>
          <w:lang w:eastAsia="zh-CN"/>
        </w:rPr>
      </w:pPr>
    </w:p>
    <w:p>
      <w:pPr>
        <w:pStyle w:val="2"/>
        <w:spacing w:line="400" w:lineRule="exact"/>
        <w:ind w:firstLine="482" w:firstLineChars="200"/>
        <w:rPr>
          <w:rFonts w:hint="eastAsia" w:ascii="宋体" w:hAnsi="宋体" w:eastAsia="宋体" w:cs="宋体"/>
          <w:bCs w:val="0"/>
          <w:color w:val="auto"/>
          <w:sz w:val="24"/>
          <w:szCs w:val="24"/>
          <w:highlight w:val="none"/>
          <w:lang w:eastAsia="zh-CN"/>
        </w:rPr>
      </w:pPr>
    </w:p>
    <w:p>
      <w:pPr>
        <w:spacing w:line="360" w:lineRule="auto"/>
        <w:ind w:firstLine="480" w:firstLineChars="200"/>
        <w:rPr>
          <w:rFonts w:hint="eastAsia" w:ascii="宋体" w:hAnsi="宋体" w:eastAsia="宋体" w:cs="宋体"/>
          <w:bCs/>
          <w:color w:val="auto"/>
          <w:sz w:val="24"/>
          <w:highlight w:val="none"/>
        </w:rPr>
      </w:pPr>
    </w:p>
    <w:p>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项目编号：CZZC2024-C2-40044-GXYR </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项目名称：堪圩乡明仕村基础设施提升工程</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2198856.04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采购需求：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标项名称：</w:t>
      </w:r>
      <w:r>
        <w:rPr>
          <w:rFonts w:hint="eastAsia" w:ascii="宋体" w:hAnsi="宋体" w:cs="宋体"/>
          <w:color w:val="auto"/>
          <w:szCs w:val="21"/>
          <w:highlight w:val="none"/>
          <w:lang w:val="en-US" w:eastAsia="zh-CN"/>
        </w:rPr>
        <w:t>堪圩乡明仕村基础设施提升工程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预算金额（元）:2198856.04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简要规格描述或项目基本概况介绍、用途：施工图纸范围内的道路、绿化、安全防护栏、坑塘整治等工程，具体内容详见施工设计图纸及工程量清单</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最高限价（如有）：2198856.04</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合同履约期限：工期90日历天</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备注：/</w:t>
      </w:r>
    </w:p>
    <w:p>
      <w:pPr>
        <w:spacing w:line="360" w:lineRule="auto"/>
        <w:ind w:firstLine="482" w:firstLineChars="200"/>
        <w:rPr>
          <w:rFonts w:hint="eastAsia" w:ascii="宋体" w:hAnsi="宋体" w:eastAsia="宋体" w:cs="宋体"/>
          <w:bCs/>
          <w:color w:val="auto"/>
          <w:sz w:val="24"/>
          <w:highlight w:val="none"/>
        </w:rPr>
      </w:pPr>
      <w:bookmarkStart w:id="11" w:name="_Toc35393799"/>
      <w:bookmarkStart w:id="12" w:name="_Toc44229879"/>
      <w:bookmarkStart w:id="13" w:name="_Toc28359090"/>
      <w:bookmarkStart w:id="14" w:name="_Toc28359013"/>
      <w:bookmarkStart w:id="15" w:name="_Toc35393630"/>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2.落实政府采购政策需满足的资格要求：专门面向</w:t>
      </w:r>
      <w:r>
        <w:rPr>
          <w:rFonts w:hint="eastAsia" w:ascii="宋体" w:hAnsi="宋体" w:eastAsia="宋体" w:cs="宋体"/>
          <w:color w:val="auto"/>
          <w:szCs w:val="21"/>
          <w:highlight w:val="none"/>
          <w:lang w:eastAsia="zh-CN"/>
        </w:rPr>
        <w:t>中</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企业采购的项目（供应商应为</w:t>
      </w:r>
      <w:r>
        <w:rPr>
          <w:rFonts w:hint="eastAsia" w:ascii="宋体" w:hAnsi="宋体" w:cs="宋体"/>
          <w:color w:val="auto"/>
          <w:szCs w:val="21"/>
          <w:highlight w:val="none"/>
          <w:lang w:eastAsia="zh-CN"/>
        </w:rPr>
        <w:t>中</w:t>
      </w:r>
      <w:r>
        <w:rPr>
          <w:rFonts w:hint="eastAsia" w:ascii="宋体" w:hAnsi="宋体" w:eastAsia="宋体" w:cs="宋体"/>
          <w:color w:val="auto"/>
          <w:szCs w:val="21"/>
          <w:highlight w:val="none"/>
          <w:lang w:eastAsia="zh-CN"/>
        </w:rPr>
        <w:t>小微企业/监狱企业/残疾人福利性单位</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u w:val="none"/>
          <w:lang w:eastAsia="zh-CN"/>
        </w:rPr>
        <w:t>具备市政公用工程施工总承包叁级（含本级）以上资质，同时具备省级及以上建设行政主管部门颁发的企业安全生产许可证，并在人员、设备、资金等方面具备相应的施工能力。</w:t>
      </w:r>
      <w:r>
        <w:rPr>
          <w:rFonts w:hint="eastAsia" w:ascii="宋体" w:hAnsi="宋体"/>
          <w:color w:val="auto"/>
          <w:szCs w:val="21"/>
          <w:highlight w:val="none"/>
          <w:u w:val="none"/>
          <w:lang w:eastAsia="zh-CN"/>
        </w:rPr>
        <w:t>拟投入本项目的项目经理须具</w:t>
      </w:r>
      <w:r>
        <w:rPr>
          <w:rFonts w:hint="eastAsia" w:ascii="宋体" w:hAnsi="宋体"/>
          <w:color w:val="auto"/>
          <w:szCs w:val="21"/>
          <w:highlight w:val="none"/>
          <w:u w:val="none"/>
          <w:lang w:val="en-US" w:eastAsia="zh-CN"/>
        </w:rPr>
        <w:t>有</w:t>
      </w:r>
      <w:r>
        <w:rPr>
          <w:rFonts w:hint="eastAsia" w:ascii="宋体" w:hAnsi="宋体" w:eastAsia="宋体" w:cs="宋体"/>
          <w:color w:val="auto"/>
          <w:szCs w:val="21"/>
          <w:highlight w:val="none"/>
          <w:u w:val="none"/>
          <w:lang w:eastAsia="zh-CN"/>
        </w:rPr>
        <w:t>市政公用工程专业贰级（含本级）以上注册建造师执业资格</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并</w:t>
      </w:r>
      <w:r>
        <w:rPr>
          <w:rFonts w:hint="eastAsia" w:ascii="宋体" w:hAnsi="宋体"/>
          <w:color w:val="auto"/>
          <w:szCs w:val="21"/>
          <w:highlight w:val="none"/>
          <w:u w:val="none"/>
          <w:lang w:eastAsia="zh-CN"/>
        </w:rPr>
        <w:t>具备有效的安全生产考核合格证书（B类）</w:t>
      </w:r>
      <w:r>
        <w:rPr>
          <w:rFonts w:hint="eastAsia" w:ascii="宋体" w:hAnsi="宋体" w:eastAsia="宋体" w:cs="宋体"/>
          <w:color w:val="auto"/>
          <w:szCs w:val="21"/>
          <w:highlight w:val="none"/>
          <w:u w:val="none"/>
          <w:lang w:eastAsia="zh-CN"/>
        </w:rPr>
        <w:t>。</w:t>
      </w:r>
      <w:bookmarkEnd w:id="16"/>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val="en-US" w:eastAsia="zh-CN"/>
        </w:rPr>
        <w:t>无</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pPr>
        <w:spacing w:line="360" w:lineRule="auto"/>
        <w:ind w:firstLine="420" w:firstLineChars="200"/>
        <w:rPr>
          <w:rFonts w:hint="eastAsia" w:ascii="宋体" w:hAnsi="宋体" w:eastAsia="宋体" w:cs="宋体"/>
          <w:color w:val="auto"/>
          <w:szCs w:val="21"/>
          <w:highlight w:val="none"/>
        </w:rPr>
      </w:pPr>
      <w:bookmarkStart w:id="17" w:name="_Toc28359082"/>
      <w:bookmarkStart w:id="18" w:name="_Toc35393624"/>
      <w:bookmarkStart w:id="19" w:name="_Toc28359005"/>
      <w:bookmarkStart w:id="20" w:name="_Toc35393793"/>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日，每天上午00:00至12:00，下午12:00至23:59；</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2024年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（北京时间）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eastAsia="宋体" w:cs="宋体"/>
          <w:bCs/>
          <w:color w:val="auto"/>
          <w:szCs w:val="21"/>
          <w:highlight w:val="none"/>
          <w:u w:val="none"/>
          <w:lang w:eastAsia="zh-CN"/>
        </w:rPr>
        <w:t>2024年</w:t>
      </w:r>
      <w:r>
        <w:rPr>
          <w:rFonts w:hint="eastAsia" w:ascii="宋体" w:hAnsi="宋体" w:eastAsia="宋体" w:cs="宋体"/>
          <w:bCs/>
          <w:color w:val="auto"/>
          <w:szCs w:val="21"/>
          <w:highlight w:val="none"/>
          <w:u w:val="none"/>
          <w:lang w:val="en-US" w:eastAsia="zh-CN"/>
        </w:rPr>
        <w:t>9</w:t>
      </w:r>
      <w:r>
        <w:rPr>
          <w:rFonts w:hint="eastAsia" w:ascii="宋体" w:hAnsi="宋体" w:eastAsia="宋体" w:cs="宋体"/>
          <w:bCs/>
          <w:color w:val="auto"/>
          <w:szCs w:val="21"/>
          <w:highlight w:val="none"/>
          <w:u w:val="none"/>
          <w:lang w:eastAsia="zh-CN"/>
        </w:rPr>
        <w:t>月</w:t>
      </w:r>
      <w:r>
        <w:rPr>
          <w:rFonts w:hint="eastAsia" w:ascii="宋体" w:hAnsi="宋体" w:cs="宋体"/>
          <w:bCs/>
          <w:color w:val="auto"/>
          <w:szCs w:val="21"/>
          <w:highlight w:val="none"/>
          <w:u w:val="none"/>
          <w:lang w:val="en-US" w:eastAsia="zh-CN"/>
        </w:rPr>
        <w:t>3</w:t>
      </w: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bCs/>
          <w:color w:val="auto"/>
          <w:szCs w:val="21"/>
          <w:highlight w:val="none"/>
          <w:u w:val="none"/>
          <w:lang w:eastAsia="zh-CN"/>
        </w:rPr>
        <w:t>日</w:t>
      </w:r>
      <w:r>
        <w:rPr>
          <w:rFonts w:hint="eastAsia" w:ascii="宋体" w:hAnsi="宋体" w:eastAsia="宋体" w:cs="宋体"/>
          <w:bCs/>
          <w:color w:val="auto"/>
          <w:szCs w:val="21"/>
          <w:highlight w:val="none"/>
          <w:u w:val="none"/>
          <w:lang w:val="en-US" w:eastAsia="zh-CN"/>
        </w:rPr>
        <w:t>10</w:t>
      </w:r>
      <w:r>
        <w:rPr>
          <w:rFonts w:hint="eastAsia" w:ascii="宋体" w:hAnsi="宋体" w:eastAsia="宋体" w:cs="宋体"/>
          <w:bCs/>
          <w:color w:val="auto"/>
          <w:szCs w:val="21"/>
          <w:highlight w:val="none"/>
          <w:u w:val="none"/>
          <w:lang w:eastAsia="zh-CN"/>
        </w:rPr>
        <w:t>：00</w:t>
      </w:r>
      <w:r>
        <w:rPr>
          <w:rFonts w:hint="eastAsia" w:ascii="宋体" w:hAnsi="宋体" w:eastAsia="宋体" w:cs="宋体"/>
          <w:bCs/>
          <w:color w:val="auto"/>
          <w:szCs w:val="21"/>
          <w:highlight w:val="none"/>
          <w:u w:val="none"/>
        </w:rPr>
        <w:t>（北京时间）</w:t>
      </w:r>
    </w:p>
    <w:p>
      <w:pPr>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pPr>
        <w:spacing w:line="360" w:lineRule="auto"/>
        <w:ind w:firstLine="482" w:firstLineChars="200"/>
        <w:rPr>
          <w:rFonts w:hint="eastAsia" w:ascii="宋体" w:hAnsi="宋体" w:eastAsia="宋体" w:cs="宋体"/>
          <w:b/>
          <w:bCs/>
          <w:color w:val="auto"/>
          <w:sz w:val="24"/>
          <w:highlight w:val="none"/>
        </w:rPr>
      </w:pPr>
      <w:bookmarkStart w:id="21" w:name="_Toc35393794"/>
      <w:bookmarkStart w:id="22" w:name="_Toc28359007"/>
      <w:bookmarkStart w:id="23" w:name="_Toc35393625"/>
      <w:bookmarkStart w:id="24" w:name="_Toc28359084"/>
      <w:r>
        <w:rPr>
          <w:rFonts w:hint="eastAsia" w:ascii="宋体" w:hAnsi="宋体" w:eastAsia="宋体" w:cs="宋体"/>
          <w:b/>
          <w:bCs/>
          <w:color w:val="auto"/>
          <w:sz w:val="24"/>
          <w:highlight w:val="none"/>
        </w:rPr>
        <w:t>六、公告期限</w:t>
      </w:r>
      <w:bookmarkEnd w:id="21"/>
      <w:bookmarkEnd w:id="22"/>
      <w:bookmarkEnd w:id="23"/>
      <w:bookmarkEnd w:id="24"/>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pacing w:line="360" w:lineRule="auto"/>
        <w:ind w:firstLine="482" w:firstLineChars="200"/>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2.采购意向公开链接：http://zfcg.gxzf.gov.cn/site/detail?parentId=66601&amp;articleId=PdDuKotQkm8HWVxq0M0kFw==&amp;utm=web-micro-app-back-front.2abbaa88.cPlanInfo.3.7e1b66505ed311efb8db7bed55374edd。</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（4）供应商需要在具备有摄像头及语音功能且互联网网络状况良好的电脑登录广西政府采购云平台远程开标大厅参与本次磋商，否则后果自负。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pPr>
        <w:pStyle w:val="26"/>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w:t>
      </w:r>
      <w:r>
        <w:rPr>
          <w:rFonts w:hint="eastAsia" w:ascii="宋体" w:hAnsi="宋体" w:cs="宋体"/>
          <w:color w:val="auto"/>
          <w:kern w:val="0"/>
          <w:sz w:val="21"/>
          <w:szCs w:val="21"/>
          <w:highlight w:val="none"/>
          <w:lang w:val="en-US" w:eastAsia="zh-CN" w:bidi="ar-SA"/>
        </w:rPr>
        <w:t>本项目采用远程异地评标。崇左市的专家到广西怡瑞工程项目咨询有限公司崇左分公司（崇左市园区西路西侧（天琴馨苑小区）第5栋1-302号）参加评审；南宁市的专家到广西怡瑞工程项目咨询有限公司（南宁市邕宁区江湾路2号龙光·玖珑臺（三期）22#办公楼四层407号）参加评审</w:t>
      </w:r>
      <w:r>
        <w:rPr>
          <w:rFonts w:hint="eastAsia" w:ascii="宋体" w:hAnsi="宋体" w:eastAsia="宋体" w:cs="宋体"/>
          <w:color w:val="auto"/>
          <w:kern w:val="0"/>
          <w:sz w:val="21"/>
          <w:szCs w:val="21"/>
          <w:highlight w:val="none"/>
          <w:lang w:val="en-US" w:eastAsia="zh-CN" w:bidi="ar-SA"/>
        </w:rPr>
        <w:t>。</w:t>
      </w:r>
    </w:p>
    <w:p>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称：大新县堪圩乡人民政府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地址：崇左市大新县堪圩乡堪圩街6号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项目联系人：吴基久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eastAsia="宋体" w:cs="宋体"/>
          <w:color w:val="auto"/>
          <w:sz w:val="21"/>
          <w:szCs w:val="21"/>
          <w:highlight w:val="none"/>
          <w:u w:val="none"/>
          <w:lang w:val="en-US" w:eastAsia="zh-CN"/>
        </w:rPr>
        <w:t xml:space="preserve">0771-3750061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称：广西怡瑞工程项目咨询有限公司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eastAsia="宋体" w:cs="宋体"/>
          <w:color w:val="auto"/>
          <w:sz w:val="21"/>
          <w:szCs w:val="21"/>
          <w:highlight w:val="none"/>
          <w:u w:val="none"/>
          <w:lang w:val="en-US" w:eastAsia="zh-CN"/>
        </w:rPr>
        <w:t>南宁市邕宁区江湾路2号龙光·玖珑臺（三期）22#办公楼四层407号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eastAsia="宋体" w:cs="宋体"/>
          <w:color w:val="auto"/>
          <w:sz w:val="21"/>
          <w:szCs w:val="21"/>
          <w:highlight w:val="none"/>
          <w:u w:val="none"/>
          <w:lang w:val="en-US" w:eastAsia="zh-CN"/>
        </w:rPr>
        <w:t>0771-3184406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话：0771-3184406</w:t>
      </w:r>
    </w:p>
    <w:p>
      <w:pPr>
        <w:pStyle w:val="8"/>
        <w:spacing w:line="360" w:lineRule="auto"/>
        <w:ind w:firstLine="420" w:firstLineChars="200"/>
        <w:jc w:val="right"/>
        <w:rPr>
          <w:rFonts w:hint="eastAsia" w:ascii="宋体" w:hAnsi="宋体" w:eastAsia="宋体" w:cs="宋体"/>
          <w:color w:val="auto"/>
          <w:szCs w:val="21"/>
          <w:highlight w:val="none"/>
          <w:u w:val="single"/>
          <w:lang w:eastAsia="zh-CN"/>
        </w:rPr>
      </w:pPr>
      <w:bookmarkStart w:id="30" w:name="PO_3000001868_PM031_2"/>
    </w:p>
    <w:bookmarkEnd w:id="30"/>
    <w:p>
      <w:pPr>
        <w:pStyle w:val="8"/>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广西怡瑞工程项目咨询有限公司</w:t>
      </w:r>
    </w:p>
    <w:p>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eastAsia="宋体" w:cs="宋体"/>
          <w:color w:val="auto"/>
          <w:szCs w:val="21"/>
          <w:highlight w:val="none"/>
          <w:u w:val="none"/>
          <w:lang w:val="en-US" w:eastAsia="zh-CN"/>
        </w:rPr>
        <w:t>2024年8月2</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lang w:val="en-US" w:eastAsia="zh-CN"/>
        </w:rPr>
        <w:t>日</w:t>
      </w:r>
    </w:p>
    <w:p>
      <w:pPr>
        <w:pStyle w:val="2"/>
        <w:jc w:val="center"/>
        <w:rPr>
          <w:rFonts w:hint="eastAsia" w:ascii="宋体" w:hAnsi="宋体" w:eastAsia="宋体" w:cs="宋体"/>
          <w:color w:val="auto"/>
          <w:highlight w:val="none"/>
        </w:rPr>
      </w:pPr>
      <w:bookmarkStart w:id="31" w:name="_Toc11837"/>
      <w:bookmarkStart w:id="32" w:name="_Toc22168"/>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color w:val="auto"/>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堪圩乡明仕村基础设施提升工程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施工图纸范围内的道路、绿化、安全防护栏、坑塘整治等工程，具体内容详见施工设计图纸及工程量清单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2198856.04</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一、合同签订期：自成交通知书发出之日起</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rPr>
              <w:t>日内。</w:t>
            </w:r>
          </w:p>
          <w:p>
            <w:pPr>
              <w:widowControl/>
              <w:shd w:val="clear" w:color="auto" w:fill="FFFFFF"/>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合同履行期限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工期90日历天</w:t>
            </w:r>
          </w:p>
          <w:p>
            <w:pPr>
              <w:widowControl/>
              <w:shd w:val="clear" w:color="auto" w:fill="FFFFFF"/>
              <w:tabs>
                <w:tab w:val="left" w:pos="4769"/>
              </w:tabs>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三、建设地点：</w:t>
            </w:r>
            <w:r>
              <w:rPr>
                <w:rFonts w:hint="eastAsia" w:ascii="宋体" w:hAnsi="宋体" w:eastAsia="宋体" w:cs="宋体"/>
                <w:color w:val="auto"/>
                <w:szCs w:val="21"/>
                <w:highlight w:val="none"/>
                <w:lang w:eastAsia="zh-CN"/>
              </w:rPr>
              <w:t>大新县堪圩乡明仕村</w:t>
            </w:r>
            <w:r>
              <w:rPr>
                <w:rFonts w:hint="eastAsia" w:ascii="宋体" w:hAnsi="宋体" w:eastAsia="宋体" w:cs="宋体"/>
                <w:color w:val="auto"/>
                <w:sz w:val="24"/>
                <w:highlight w:val="none"/>
              </w:rPr>
              <w:t>。</w:t>
            </w:r>
          </w:p>
          <w:p>
            <w:pPr>
              <w:widowControl/>
              <w:shd w:val="clear" w:color="auto" w:fill="FFFFFF"/>
              <w:spacing w:line="360" w:lineRule="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四、</w:t>
            </w:r>
            <w:r>
              <w:rPr>
                <w:rFonts w:hint="eastAsia" w:ascii="宋体" w:hAnsi="宋体" w:eastAsia="宋体" w:cs="宋体"/>
                <w:color w:val="auto"/>
                <w:szCs w:val="21"/>
                <w:highlight w:val="none"/>
                <w:lang w:val="en-US" w:eastAsia="zh-CN"/>
              </w:rPr>
              <w:t>质量要求</w:t>
            </w:r>
            <w:r>
              <w:rPr>
                <w:rFonts w:hint="eastAsia" w:ascii="宋体" w:hAnsi="宋体" w:eastAsia="宋体" w:cs="宋体"/>
                <w:color w:val="auto"/>
                <w:szCs w:val="21"/>
                <w:highlight w:val="none"/>
              </w:rPr>
              <w:t>：达到国家施工验收规范合格标准。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、其他要求：</w:t>
            </w:r>
          </w:p>
          <w:p>
            <w:pPr>
              <w:spacing w:line="360" w:lineRule="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1、付款方式：</w:t>
            </w:r>
            <w:r>
              <w:rPr>
                <w:rFonts w:hint="eastAsia" w:ascii="宋体" w:hAnsi="宋体"/>
                <w:bCs/>
                <w:color w:val="auto"/>
                <w:szCs w:val="21"/>
                <w:highlight w:val="none"/>
                <w:lang w:eastAsia="zh-CN"/>
              </w:rPr>
              <w:t>①双方签订合同后，乙方进场施工甲方拨付工程预付款30%；②合同内进度款(含付款)支付限额为已完成工程量的80%，工程变更部分进度款支付限额为已完成工程量的80%；③工程完工验收达到质量要求，累计支付额度以不超合同总额90%为上限(不含暂列金额、专业工程暂估价)，④结算并提交完整合格的竣工备案资料给发包人后，工程款支付至结算总价的97%，剩余工程价款结算总额的3%作为工程质量保证金，待缺陷责任期满后无息返还。(待县财政拨款后划拨)付款前承包人需开具的有效普通增值税发票给发包人，发包人收到发票后30天内支付相应进度款</w:t>
            </w:r>
            <w:r>
              <w:rPr>
                <w:rFonts w:hint="eastAsia" w:ascii="宋体" w:hAnsi="宋体" w:eastAsia="宋体" w:cs="宋体"/>
                <w:color w:val="auto"/>
                <w:kern w:val="0"/>
                <w:sz w:val="21"/>
                <w:szCs w:val="21"/>
                <w:highlight w:val="none"/>
                <w:lang w:val="en-US" w:eastAsia="zh-CN" w:bidi="ar-SA"/>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t>2、支付方式：银行转账支付</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3、报价要求：最后报价与首次报价不一致的，须上传与最后报价一致的已标价工程量清单作为附件，否则报价无效，</w:t>
            </w:r>
            <w:r>
              <w:rPr>
                <w:rFonts w:hint="eastAsia" w:ascii="宋体" w:hAnsi="宋体" w:eastAsia="宋体" w:cs="宋体"/>
                <w:b/>
                <w:color w:val="auto"/>
                <w:szCs w:val="21"/>
                <w:highlight w:val="none"/>
              </w:rPr>
              <w:t>视同放弃报价权利退出</w:t>
            </w:r>
            <w:r>
              <w:rPr>
                <w:rFonts w:hint="eastAsia" w:ascii="宋体" w:hAnsi="宋体" w:eastAsia="宋体" w:cs="宋体"/>
                <w:b/>
                <w:color w:val="auto"/>
                <w:szCs w:val="21"/>
                <w:highlight w:val="none"/>
                <w:lang w:eastAsia="zh-CN"/>
              </w:rPr>
              <w:t>采购活动</w:t>
            </w:r>
            <w:r>
              <w:rPr>
                <w:rFonts w:hint="eastAsia" w:ascii="宋体" w:hAnsi="宋体" w:eastAsia="宋体" w:cs="宋体"/>
                <w:color w:val="auto"/>
                <w:szCs w:val="21"/>
                <w:highlight w:val="none"/>
              </w:rPr>
              <w:t>。</w:t>
            </w:r>
          </w:p>
        </w:tc>
      </w:tr>
    </w:tbl>
    <w:p>
      <w:pPr>
        <w:pStyle w:val="13"/>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835"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w:t>
            </w:r>
            <w:r>
              <w:rPr>
                <w:rFonts w:hint="eastAsia" w:ascii="宋体" w:hAnsi="宋体" w:cs="宋体"/>
                <w:b/>
                <w:bCs/>
                <w:color w:val="auto"/>
                <w:kern w:val="0"/>
                <w:szCs w:val="21"/>
                <w:highlight w:val="none"/>
                <w:lang w:val="en-US" w:eastAsia="zh-CN"/>
              </w:rPr>
              <w:t>中</w:t>
            </w:r>
            <w:r>
              <w:rPr>
                <w:rFonts w:hint="eastAsia" w:ascii="宋体" w:hAnsi="宋体" w:eastAsia="宋体" w:cs="宋体"/>
                <w:b/>
                <w:bCs/>
                <w:color w:val="auto"/>
                <w:kern w:val="0"/>
                <w:szCs w:val="21"/>
                <w:highlight w:val="none"/>
                <w:lang w:val="en-US" w:eastAsia="zh-CN"/>
              </w:rPr>
              <w:t>小微企业/监狱企业/残疾人福利企业。否则响应文件按无效响应处理）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供应商为其缴纳近1个月（2024年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月至响应文件提交截止时间止任意一个月社保）社会保险的证明材料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1950"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pPr>
              <w:spacing w:line="360" w:lineRule="auto"/>
              <w:jc w:val="center"/>
              <w:rPr>
                <w:rFonts w:hint="eastAsia" w:ascii="宋体" w:hAnsi="宋体" w:eastAsia="宋体" w:cs="宋体"/>
                <w:color w:val="auto"/>
                <w:szCs w:val="21"/>
                <w:highlight w:val="none"/>
              </w:rPr>
            </w:pPr>
          </w:p>
        </w:tc>
        <w:tc>
          <w:tcPr>
            <w:tcW w:w="6835" w:type="dxa"/>
            <w:noWrap w:val="0"/>
            <w:vAlign w:val="center"/>
          </w:tcPr>
          <w:p>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sym w:font="Wingdings 2" w:char="0052"/>
            </w:r>
            <w:r>
              <w:rPr>
                <w:rFonts w:hint="eastAsia" w:ascii="宋体" w:hAnsi="宋体" w:eastAsia="宋体" w:cs="宋体"/>
                <w:color w:val="auto"/>
                <w:szCs w:val="21"/>
                <w:highlight w:val="none"/>
              </w:rPr>
              <w:t>随机排序。</w:t>
            </w:r>
          </w:p>
          <w:p>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1950" w:type="dxa"/>
            <w:noWrap w:val="0"/>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eastAsia="zh-CN"/>
              </w:rPr>
              <w:t>广西怡瑞工程项目咨询有限公司</w:t>
            </w:r>
          </w:p>
          <w:p>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none"/>
                <w:lang w:eastAsia="zh-CN"/>
              </w:rPr>
              <w:t>大新县堪圩乡人民政府</w:t>
            </w:r>
          </w:p>
          <w:p>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0771-3750061</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崇左市大新县堪圩乡堪圩街6号</w:t>
            </w:r>
            <w:r>
              <w:rPr>
                <w:rFonts w:hint="eastAsia" w:ascii="宋体" w:hAnsi="宋体" w:eastAsia="宋体" w:cs="宋体"/>
                <w:color w:val="auto"/>
                <w:szCs w:val="21"/>
                <w:highlight w:val="none"/>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1950" w:type="dxa"/>
            <w:noWrap w:val="0"/>
            <w:vAlign w:val="center"/>
          </w:tcPr>
          <w:p>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名称：大新县财政局政府采购管理股 </w:t>
            </w:r>
            <w:bookmarkStart w:id="39" w:name="PO_3000001868_PM036"/>
            <w:r>
              <w:rPr>
                <w:rFonts w:hint="eastAsia" w:ascii="宋体" w:hAnsi="宋体" w:eastAsia="宋体" w:cs="宋体"/>
                <w:color w:val="auto"/>
                <w:highlight w:val="none"/>
                <w:lang w:val="en-US" w:eastAsia="zh-CN"/>
              </w:rPr>
              <w:t xml:space="preserve">  </w:t>
            </w:r>
            <w:bookmarkEnd w:id="39"/>
          </w:p>
          <w:p>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地址：崇左市大新县桃城镇安平大道160号</w:t>
            </w:r>
          </w:p>
          <w:p>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联系电话：0771-3626646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sym w:font="Wingdings 2" w:char="0052"/>
            </w:r>
            <w:r>
              <w:rPr>
                <w:rFonts w:hint="eastAsia" w:ascii="宋体" w:hAnsi="宋体" w:eastAsia="宋体" w:cs="宋体"/>
                <w:color w:val="auto"/>
                <w:sz w:val="21"/>
                <w:highlight w:val="none"/>
                <w:lang w:val="en-US" w:eastAsia="zh-CN"/>
              </w:rPr>
              <w:t>是    □ 否</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sym w:font="Wingdings 2" w:char="0052"/>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以成交金额为计费额，参照《国家发展改革委关于降低部分建设项目收费标准规范收费行为等有关问题的通知》（发改价格【2011】534号）规定按“工程类”收费标准计取。</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开户名称：广西怡瑞工程项目咨询有限公司 </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账号：4505 0160 4266 0000 0887</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开户行：中国建设银行股份有限公司南宁金湖广场支行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pPr>
              <w:pStyle w:val="13"/>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pPr>
              <w:pStyle w:val="13"/>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3"/>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pStyle w:val="13"/>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pPr>
              <w:pStyle w:val="13"/>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bl>
    <w:p>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pPr>
        <w:pStyle w:val="4"/>
        <w:spacing w:before="0" w:after="0" w:line="360" w:lineRule="auto"/>
        <w:ind w:firstLine="640" w:firstLineChars="200"/>
        <w:rPr>
          <w:rFonts w:hint="eastAsia" w:ascii="宋体" w:hAnsi="宋体" w:eastAsia="宋体" w:cs="宋体"/>
          <w:b w:val="0"/>
          <w:color w:val="auto"/>
          <w:highlight w:val="none"/>
        </w:rPr>
      </w:pPr>
      <w:bookmarkStart w:id="42" w:name="_Toc1103"/>
      <w:bookmarkStart w:id="43" w:name="_Toc13532"/>
      <w:r>
        <w:rPr>
          <w:rFonts w:hint="eastAsia" w:ascii="宋体" w:hAnsi="宋体" w:eastAsia="宋体" w:cs="宋体"/>
          <w:b w:val="0"/>
          <w:color w:val="auto"/>
          <w:highlight w:val="none"/>
        </w:rPr>
        <w:t>一、总则</w:t>
      </w:r>
      <w:bookmarkEnd w:id="42"/>
      <w:bookmarkEnd w:id="4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bookmarkStart w:id="44" w:name="_Toc254970532"/>
      <w:bookmarkStart w:id="45" w:name="_Toc254970673"/>
      <w:r>
        <w:rPr>
          <w:rFonts w:hint="eastAsia" w:ascii="宋体" w:hAnsi="宋体" w:eastAsia="宋体" w:cs="宋体"/>
          <w:b/>
          <w:bCs/>
          <w:color w:val="auto"/>
          <w:sz w:val="24"/>
          <w:highlight w:val="none"/>
        </w:rPr>
        <w:t>7.特别说明</w:t>
      </w:r>
      <w:bookmarkEnd w:id="44"/>
      <w:bookmarkEnd w:id="45"/>
    </w:p>
    <w:p>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859"/>
      <w:bookmarkStart w:id="50" w:name="_Toc254970675"/>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pPr>
        <w:pStyle w:val="4"/>
        <w:spacing w:before="0" w:after="0" w:line="360" w:lineRule="auto"/>
        <w:rPr>
          <w:rFonts w:hint="eastAsia" w:ascii="宋体" w:hAnsi="宋体" w:eastAsia="宋体" w:cs="宋体"/>
          <w:b w:val="0"/>
          <w:bCs w:val="0"/>
          <w:color w:val="auto"/>
          <w:highlight w:val="none"/>
        </w:rPr>
      </w:pPr>
      <w:bookmarkStart w:id="52" w:name="_Toc6279"/>
      <w:bookmarkStart w:id="53" w:name="_Toc8161"/>
      <w:r>
        <w:rPr>
          <w:rFonts w:hint="eastAsia" w:ascii="宋体" w:hAnsi="宋体" w:eastAsia="宋体" w:cs="宋体"/>
          <w:b w:val="0"/>
          <w:bCs w:val="0"/>
          <w:color w:val="auto"/>
          <w:highlight w:val="none"/>
        </w:rPr>
        <w:t>三、响应文件的编制</w:t>
      </w:r>
      <w:bookmarkEnd w:id="52"/>
      <w:bookmarkEnd w:id="5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54"/>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pPr>
        <w:pStyle w:val="13"/>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pPr>
        <w:pStyle w:val="13"/>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pPr>
        <w:pStyle w:val="13"/>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pPr>
        <w:pStyle w:val="13"/>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6008"/>
      <w:bookmarkStart w:id="60" w:name="_Toc15352"/>
      <w:r>
        <w:rPr>
          <w:rFonts w:hint="eastAsia" w:ascii="宋体" w:hAnsi="宋体" w:eastAsia="宋体" w:cs="宋体"/>
          <w:b w:val="0"/>
          <w:bCs w:val="0"/>
          <w:color w:val="auto"/>
          <w:highlight w:val="none"/>
        </w:rPr>
        <w:t>五、成交及合同</w:t>
      </w:r>
      <w:bookmarkEnd w:id="59"/>
      <w:bookmarkEnd w:id="60"/>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pPr>
        <w:pStyle w:val="4"/>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崇财采(2023)10号) ,供应商可凭成交通知书、政府采购合同，通过中征应收账款融资服务平台向银行在线申请“政采贷”融资。</w:t>
      </w: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rPr>
          <w:rFonts w:hint="eastAsia" w:ascii="宋体" w:hAnsi="宋体" w:eastAsia="宋体" w:cs="宋体"/>
          <w:color w:val="auto"/>
          <w:kern w:val="2"/>
          <w:sz w:val="21"/>
          <w:highlight w:val="none"/>
          <w:lang w:val="en-US" w:eastAsia="zh-CN"/>
        </w:rPr>
      </w:pPr>
    </w:p>
    <w:p>
      <w:pP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pStyle w:val="13"/>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1004741564"/>
        </w:rPr>
        <w:t>崇左市财政局文</w:t>
      </w:r>
      <w:r>
        <w:rPr>
          <w:rFonts w:hint="eastAsia" w:ascii="宋体" w:hAnsi="宋体" w:eastAsia="宋体" w:cs="宋体"/>
          <w:b/>
          <w:color w:val="auto"/>
          <w:spacing w:val="0"/>
          <w:kern w:val="0"/>
          <w:sz w:val="84"/>
          <w:szCs w:val="84"/>
          <w:highlight w:val="none"/>
          <w:fitText w:val="8009" w:id="1004741564"/>
        </w:rPr>
        <w:t>件</w:t>
      </w:r>
    </w:p>
    <w:p>
      <w:pPr>
        <w:rPr>
          <w:rFonts w:hint="eastAsia"/>
          <w:b/>
          <w:color w:val="auto"/>
          <w:kern w:val="0"/>
          <w:sz w:val="24"/>
          <w:szCs w:val="24"/>
          <w:highlight w:val="none"/>
        </w:rPr>
      </w:pPr>
    </w:p>
    <w:p>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pPr>
        <w:spacing w:line="560" w:lineRule="exact"/>
        <w:jc w:val="left"/>
        <w:rPr>
          <w:rFonts w:hint="eastAsia" w:ascii="仿宋_GB2312" w:hAnsi="仿宋_GB2312" w:eastAsia="仿宋_GB2312" w:cs="仿宋_GB2312"/>
          <w:b/>
          <w:bCs/>
          <w:color w:val="auto"/>
          <w:sz w:val="28"/>
          <w:szCs w:val="28"/>
          <w:highlight w:val="none"/>
        </w:rPr>
      </w:pPr>
    </w:p>
    <w:p>
      <w:pPr>
        <w:pStyle w:val="27"/>
        <w:rPr>
          <w:rFonts w:hint="eastAsia" w:ascii="仿宋_GB2312" w:hAnsi="仿宋_GB2312" w:eastAsia="仿宋_GB2312" w:cs="仿宋_GB2312"/>
          <w:b/>
          <w:bCs/>
          <w:color w:val="auto"/>
          <w:sz w:val="28"/>
          <w:szCs w:val="28"/>
          <w:highlight w:val="none"/>
        </w:rPr>
      </w:pPr>
    </w:p>
    <w:p>
      <w:pPr>
        <w:rPr>
          <w:rFonts w:hint="eastAsia"/>
          <w:color w:val="auto"/>
          <w:highlight w:val="none"/>
        </w:rPr>
      </w:pPr>
    </w:p>
    <w:p>
      <w:pPr>
        <w:pStyle w:val="27"/>
        <w:rPr>
          <w:rFonts w:hint="eastAsia"/>
          <w:color w:val="auto"/>
          <w:highlight w:val="none"/>
        </w:rPr>
      </w:pPr>
    </w:p>
    <w:p>
      <w:pPr>
        <w:pStyle w:val="27"/>
        <w:rPr>
          <w:rFonts w:hint="eastAsia"/>
          <w:color w:val="auto"/>
          <w:highlight w:val="none"/>
        </w:rPr>
      </w:pPr>
    </w:p>
    <w:p>
      <w:pPr>
        <w:rPr>
          <w:rFonts w:hint="eastAsia"/>
          <w:color w:val="auto"/>
          <w:highlight w:val="none"/>
        </w:rPr>
      </w:pPr>
    </w:p>
    <w:p>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pStyle w:val="27"/>
        <w:rPr>
          <w:rFonts w:hint="eastAsia"/>
          <w:color w:val="auto"/>
          <w:highlight w:val="none"/>
          <w:lang w:val="en-US" w:eastAsia="zh-CN"/>
        </w:rPr>
      </w:pPr>
    </w:p>
    <w:p>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pPr>
        <w:spacing w:line="580" w:lineRule="exact"/>
        <w:ind w:firstLine="420" w:firstLineChars="200"/>
        <w:rPr>
          <w:color w:val="auto"/>
          <w:szCs w:val="32"/>
          <w:highlight w:val="none"/>
        </w:rPr>
      </w:pPr>
    </w:p>
    <w:p>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"https://www.crcrfsp.com/" </w:instrText>
      </w:r>
      <w:r>
        <w:rPr>
          <w:rFonts w:hint="eastAsia" w:ascii="仿宋_GB2312" w:hAnsi="仿宋_GB2312" w:eastAsia="仿宋_GB2312" w:cs="仿宋_GB2312"/>
          <w:color w:val="auto"/>
          <w:sz w:val="32"/>
          <w:szCs w:val="32"/>
          <w:highlight w:val="none"/>
          <w:lang w:eastAsia="zh-CN"/>
        </w:rPr>
        <w:fldChar w:fldCharType="separate"/>
      </w:r>
      <w:r>
        <w:rPr>
          <w:rStyle w:val="23"/>
          <w:rFonts w:hint="eastAsia" w:ascii="仿宋_GB2312" w:hAnsi="仿宋_GB2312" w:eastAsia="仿宋_GB2312" w:cs="仿宋_GB2312"/>
          <w:color w:val="auto"/>
          <w:sz w:val="32"/>
          <w:szCs w:val="32"/>
          <w:highlight w:val="none"/>
          <w:lang w:eastAsia="zh-CN"/>
        </w:rPr>
        <w:t>https://www.crcrfsp.com/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pPr>
        <w:pStyle w:val="27"/>
        <w:rPr>
          <w:rFonts w:hint="eastAsia" w:ascii="仿宋_GB2312" w:hAnsi="仿宋_GB2312" w:eastAsia="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27"/>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rPr>
          <w:rFonts w:hint="eastAsia" w:ascii="仿宋_GB2312" w:hAnsi="仿宋_GB2312" w:cs="仿宋_GB2312"/>
          <w:color w:val="auto"/>
          <w:szCs w:val="32"/>
          <w:highlight w:val="none"/>
          <w:lang w:eastAsia="zh-CN"/>
        </w:rPr>
      </w:pPr>
    </w:p>
    <w:p>
      <w:pPr>
        <w:pStyle w:val="27"/>
        <w:rPr>
          <w:rFonts w:hint="eastAsia" w:ascii="仿宋_GB2312" w:hAnsi="仿宋_GB2312" w:cs="仿宋_GB2312"/>
          <w:color w:val="auto"/>
          <w:szCs w:val="32"/>
          <w:highlight w:val="none"/>
          <w:lang w:eastAsia="zh-CN"/>
        </w:rPr>
      </w:pPr>
    </w:p>
    <w:p>
      <w:pPr>
        <w:spacing w:line="540" w:lineRule="exact"/>
        <w:rPr>
          <w:rFonts w:hint="eastAsia" w:ascii="黑体" w:hAnsi="黑体" w:eastAsia="黑体" w:cs="黑体"/>
          <w:color w:val="auto"/>
          <w:szCs w:val="32"/>
          <w:highlight w:val="none"/>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pPr>
        <w:pStyle w:val="27"/>
        <w:rPr>
          <w:rFonts w:hint="default"/>
          <w:color w:val="auto"/>
          <w:highlight w:val="none"/>
          <w:lang w:val="en-US" w:eastAsia="zh-CN"/>
        </w:rPr>
      </w:pPr>
    </w:p>
    <w:p>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4"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流程图1011"/>
                    <pic:cNvPicPr>
                      <a:picLocks noChangeAspect="1"/>
                    </pic:cNvPicPr>
                  </pic:nvPicPr>
                  <pic:blipFill>
                    <a:blip r:embed="rId18"/>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pPr>
        <w:pStyle w:val="13"/>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498082646"/>
      <w:bookmarkStart w:id="67" w:name="_Toc5854"/>
      <w:bookmarkStart w:id="68" w:name="_Toc20845"/>
      <w:bookmarkStart w:id="69" w:name="_Toc181180297"/>
      <w:bookmarkStart w:id="70" w:name="_Toc183264294"/>
      <w:bookmarkStart w:id="71" w:name="_Toc346617322"/>
      <w:bookmarkStart w:id="72" w:name="_Toc18546"/>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pStyle w:val="25"/>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pPr>
        <w:pStyle w:val="13"/>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4"/>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（2）本项目为专门面向中小微企业采购的项目，参加本项目磋商的供应商必须为中</w:t>
            </w:r>
            <w:r>
              <w:rPr>
                <w:rFonts w:hint="eastAsia" w:ascii="宋体" w:hAnsi="宋体" w:eastAsia="宋体" w:cs="宋体"/>
                <w:color w:val="auto"/>
                <w:kern w:val="2"/>
                <w:sz w:val="21"/>
                <w:highlight w:val="none"/>
                <w:lang w:val="en-US" w:eastAsia="zh-CN"/>
              </w:rPr>
              <w:t>小型企业和微型企业</w:t>
            </w:r>
            <w:r>
              <w:rPr>
                <w:rFonts w:hint="eastAsia" w:ascii="宋体" w:hAnsi="宋体" w:eastAsia="宋体" w:cs="宋体"/>
                <w:bCs/>
                <w:color w:val="auto"/>
                <w:szCs w:val="21"/>
                <w:highlight w:val="none"/>
                <w:vertAlign w:val="baseline"/>
                <w:lang w:val="en-US" w:eastAsia="zh-CN"/>
              </w:rPr>
              <w:t>，或监狱企业，或残疾人福利性单位，否则竞标无效。价格评审时，参加本次项目竞标的供应商不重复享受政策，其评审价=竞标报价。</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项目经理资格：具有市政公用工程专业贰级（含本级）以上注册建造师执业资格，并具备有效的安全生产考核合格证书（B类），得6分。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现场文明施工、环境保护措施和内容与《建筑施工安全生产检查标准》、《广西壮族自治区建筑工程文明施工导则》的要求偏差大，无现场文明施工目标的承诺。</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现场文明施工、环境保护措施和内容基本达到《建筑施工安全生产检查标准》、《广西壮族自治区建筑工程文明施工导则》；有具体实现现场文明施工目标的承诺，而且各项措施基本周全、具体、有效的。</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现场文明施工、环境保护措施和内容达到《建筑施工安全生产检查标准》、《广西壮族自治区建筑工程文明施工导则》；承诺创建市级文明工地和标准化工地，而且各项措施周全、具体、有效的。</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现场文明施工、环境保护措施和内容达到《建筑施工安全生产检查标准》、《广西壮族自治区建筑工程文明施工导则》要求；承诺创建自治区级及以上文明工地和标准化工地，而且各项措施周全、具体、有效的。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未针对该项目的难点、重点进行分析，未考虑各部分施工如何相互交叉和衔接，施工质量效果和设计效果的无法统一。</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pPr>
              <w:spacing w:line="360" w:lineRule="auto"/>
              <w:rPr>
                <w:rFonts w:hint="eastAsia" w:ascii="宋体" w:hAnsi="宋体" w:eastAsia="宋体" w:cs="宋体"/>
                <w:bCs/>
                <w:color w:val="auto"/>
                <w:szCs w:val="21"/>
                <w:highlight w:val="none"/>
                <w:vertAlign w:val="baseline"/>
                <w:lang w:val="en-US" w:eastAsia="zh-CN"/>
              </w:rPr>
            </w:pPr>
          </w:p>
          <w:p>
            <w:pPr>
              <w:spacing w:line="360" w:lineRule="auto"/>
              <w:rPr>
                <w:rFonts w:hint="eastAsia" w:ascii="宋体" w:hAnsi="宋体" w:eastAsia="宋体" w:cs="宋体"/>
                <w:bCs/>
                <w:color w:val="auto"/>
                <w:szCs w:val="21"/>
                <w:highlight w:val="none"/>
                <w:vertAlign w:val="baseline"/>
                <w:lang w:val="en-US" w:eastAsia="zh-CN"/>
              </w:rPr>
            </w:pP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pPr>
              <w:spacing w:line="360" w:lineRule="auto"/>
              <w:rPr>
                <w:rFonts w:hint="eastAsia" w:ascii="宋体" w:hAnsi="宋体" w:eastAsia="宋体" w:cs="宋体"/>
                <w:bCs/>
                <w:color w:val="auto"/>
                <w:szCs w:val="21"/>
                <w:highlight w:val="none"/>
                <w:vertAlign w:val="baseline"/>
                <w:lang w:val="en-US" w:eastAsia="zh-CN"/>
              </w:rPr>
            </w:pPr>
          </w:p>
          <w:p>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2021年01月1日至响应文件提交截止时间止完成过质量合格的市政公用工程施工业绩的，每个得4分。满分8分。（需同时附以下两种材料复印件：①中标（成交）通知书或施工承包合同协议书②工程完工验收鉴定书或交（竣）工验收鉴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spacing w:line="360" w:lineRule="auto"/>
        <w:ind w:firstLine="420" w:firstLineChars="200"/>
        <w:rPr>
          <w:rFonts w:hint="eastAsia" w:ascii="宋体" w:hAnsi="宋体" w:eastAsia="宋体" w:cs="宋体"/>
          <w:bCs/>
          <w:color w:val="auto"/>
          <w:szCs w:val="21"/>
          <w:highlight w:val="none"/>
          <w:lang w:eastAsia="zh-CN"/>
        </w:rPr>
      </w:pPr>
    </w:p>
    <w:p>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7019"/>
      <w:bookmarkStart w:id="82" w:name="_Toc80205935"/>
      <w:bookmarkStart w:id="83" w:name="_Toc14457"/>
    </w:p>
    <w:p>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80205936"/>
      <w:bookmarkStart w:id="85" w:name="_Toc6990"/>
      <w:bookmarkStart w:id="86" w:name="_Toc32744"/>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pPr>
        <w:spacing w:line="400" w:lineRule="exact"/>
        <w:ind w:firstLine="420" w:firstLineChars="200"/>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pPr>
        <w:pStyle w:val="3"/>
        <w:jc w:val="center"/>
        <w:rPr>
          <w:rFonts w:hint="eastAsia" w:ascii="宋体" w:hAnsi="宋体" w:eastAsia="宋体" w:cs="宋体"/>
          <w:b w:val="0"/>
          <w:color w:val="auto"/>
          <w:highlight w:val="none"/>
          <w:lang w:val="en-US" w:eastAsia="zh-CN"/>
        </w:rPr>
      </w:pPr>
      <w:bookmarkStart w:id="89" w:name="_Toc17340"/>
      <w:bookmarkStart w:id="90" w:name="_Toc80205938"/>
      <w:bookmarkStart w:id="91" w:name="_Toc30065"/>
      <w:r>
        <w:rPr>
          <w:rFonts w:hint="eastAsia" w:ascii="宋体" w:hAnsi="宋体" w:eastAsia="宋体" w:cs="宋体"/>
          <w:b w:val="0"/>
          <w:color w:val="auto"/>
          <w:highlight w:val="none"/>
          <w:lang w:val="en-US" w:eastAsia="zh-CN"/>
        </w:rPr>
        <w:t>第一节 封面格式</w:t>
      </w:r>
      <w:bookmarkEnd w:id="89"/>
      <w:bookmarkEnd w:id="90"/>
      <w:bookmarkEnd w:id="91"/>
    </w:p>
    <w:p>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480" w:firstLineChars="1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480" w:firstLineChars="1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pPr>
        <w:pStyle w:val="3"/>
        <w:jc w:val="center"/>
        <w:rPr>
          <w:rFonts w:hint="eastAsia" w:ascii="宋体" w:hAnsi="宋体" w:eastAsia="宋体" w:cs="宋体"/>
          <w:bCs w:val="0"/>
          <w:color w:val="auto"/>
          <w:highlight w:val="none"/>
        </w:rPr>
      </w:pPr>
      <w:bookmarkStart w:id="92" w:name="_Toc80205939"/>
      <w:bookmarkStart w:id="93" w:name="_Toc3025"/>
      <w:bookmarkStart w:id="94" w:name="_Toc10308"/>
      <w:r>
        <w:rPr>
          <w:rFonts w:hint="eastAsia" w:ascii="宋体" w:hAnsi="宋体" w:eastAsia="宋体" w:cs="宋体"/>
          <w:bCs w:val="0"/>
          <w:color w:val="auto"/>
          <w:highlight w:val="none"/>
        </w:rPr>
        <w:t>第二节 资格证明文件格式</w:t>
      </w:r>
      <w:bookmarkEnd w:id="92"/>
      <w:bookmarkEnd w:id="93"/>
      <w:bookmarkEnd w:id="94"/>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pPr>
        <w:snapToGrid w:val="0"/>
        <w:spacing w:line="360" w:lineRule="auto"/>
        <w:rPr>
          <w:rFonts w:hint="eastAsia" w:ascii="宋体" w:hAnsi="宋体" w:eastAsia="宋体" w:cs="宋体"/>
          <w:color w:val="auto"/>
          <w:kern w:val="0"/>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bl>
    <w:p>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rPr>
          <w:rFonts w:hint="eastAsia" w:ascii="宋体" w:hAnsi="宋体" w:eastAsia="宋体" w:cs="宋体"/>
          <w:b/>
          <w:color w:val="auto"/>
          <w:kern w:val="0"/>
          <w:sz w:val="30"/>
          <w:szCs w:val="30"/>
          <w:highlight w:val="none"/>
        </w:rPr>
      </w:pPr>
    </w:p>
    <w:p>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bl>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pPr>
        <w:spacing w:line="360" w:lineRule="auto"/>
        <w:contextualSpacing/>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pPr>
        <w:spacing w:line="320" w:lineRule="exact"/>
        <w:jc w:val="center"/>
        <w:rPr>
          <w:rFonts w:hint="eastAsia" w:ascii="宋体" w:hAnsi="宋体" w:eastAsia="宋体" w:cs="宋体"/>
          <w:b/>
          <w:color w:val="auto"/>
          <w:sz w:val="32"/>
          <w:szCs w:val="32"/>
          <w:highlight w:val="none"/>
        </w:rPr>
      </w:pPr>
    </w:p>
    <w:p>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pPr>
        <w:spacing w:line="320" w:lineRule="exact"/>
        <w:jc w:val="center"/>
        <w:rPr>
          <w:rFonts w:hint="eastAsia" w:ascii="宋体" w:hAnsi="宋体" w:eastAsia="宋体" w:cs="宋体"/>
          <w:color w:val="auto"/>
          <w:sz w:val="24"/>
          <w:szCs w:val="20"/>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pPr>
        <w:pStyle w:val="11"/>
        <w:tabs>
          <w:tab w:val="left" w:pos="939"/>
        </w:tabs>
        <w:spacing w:line="360" w:lineRule="auto"/>
        <w:ind w:left="0" w:leftChars="0" w:firstLine="480" w:firstLineChars="200"/>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pPr>
        <w:snapToGrid w:val="0"/>
        <w:spacing w:line="360" w:lineRule="auto"/>
        <w:rPr>
          <w:rFonts w:hint="eastAsia" w:ascii="宋体" w:hAnsi="宋体" w:eastAsia="宋体" w:cs="宋体"/>
          <w:color w:val="auto"/>
          <w:sz w:val="24"/>
          <w:highlight w:val="none"/>
        </w:rPr>
      </w:pPr>
    </w:p>
    <w:p>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numPr>
          <w:ilvl w:val="0"/>
          <w:numId w:val="0"/>
        </w:num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pPr>
        <w:spacing w:line="360" w:lineRule="auto"/>
        <w:contextualSpacing/>
        <w:jc w:val="center"/>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pPr>
        <w:spacing w:line="360" w:lineRule="auto"/>
        <w:jc w:val="right"/>
        <w:rPr>
          <w:rFonts w:hint="eastAsia" w:ascii="宋体" w:hAnsi="宋体" w:eastAsia="宋体" w:cs="宋体"/>
          <w:color w:val="auto"/>
          <w:sz w:val="21"/>
          <w:szCs w:val="21"/>
          <w:highlight w:val="none"/>
        </w:rPr>
      </w:pPr>
    </w:p>
    <w:p>
      <w:pPr>
        <w:spacing w:line="360" w:lineRule="auto"/>
        <w:jc w:val="right"/>
        <w:rPr>
          <w:rFonts w:hint="eastAsia" w:ascii="宋体" w:hAnsi="宋体" w:eastAsia="宋体" w:cs="宋体"/>
          <w:color w:val="auto"/>
          <w:sz w:val="21"/>
          <w:szCs w:val="21"/>
          <w:highlight w:val="none"/>
        </w:rPr>
      </w:pPr>
    </w:p>
    <w:p>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pPr>
        <w:pStyle w:val="9"/>
        <w:rPr>
          <w:rFonts w:hint="eastAsia" w:ascii="宋体" w:hAnsi="宋体" w:eastAsia="宋体" w:cs="宋体"/>
          <w:color w:val="auto"/>
          <w:sz w:val="20"/>
          <w:highlight w:val="none"/>
        </w:rPr>
      </w:pPr>
    </w:p>
    <w:p>
      <w:pPr>
        <w:pStyle w:val="9"/>
        <w:rPr>
          <w:rFonts w:hint="eastAsia" w:ascii="宋体" w:hAnsi="宋体" w:eastAsia="宋体" w:cs="宋体"/>
          <w:color w:val="auto"/>
          <w:sz w:val="20"/>
          <w:highlight w:val="none"/>
        </w:rPr>
      </w:pPr>
    </w:p>
    <w:p>
      <w:pPr>
        <w:autoSpaceDE w:val="0"/>
        <w:autoSpaceDN w:val="0"/>
        <w:spacing w:line="360" w:lineRule="auto"/>
        <w:rPr>
          <w:rFonts w:hint="eastAsia" w:ascii="宋体" w:hAnsi="宋体" w:eastAsia="宋体" w:cs="宋体"/>
          <w:color w:val="auto"/>
          <w:kern w:val="0"/>
          <w:sz w:val="24"/>
          <w:highlight w:val="none"/>
          <w:lang w:val="zh-CN" w:eastAsia="zh-CN"/>
        </w:rPr>
      </w:pPr>
    </w:p>
    <w:p>
      <w:pPr>
        <w:autoSpaceDE w:val="0"/>
        <w:autoSpaceDN w:val="0"/>
        <w:spacing w:line="360" w:lineRule="auto"/>
        <w:rPr>
          <w:rFonts w:hint="eastAsia" w:ascii="宋体" w:hAnsi="宋体" w:eastAsia="宋体" w:cs="宋体"/>
          <w:color w:val="auto"/>
          <w:kern w:val="0"/>
          <w:sz w:val="24"/>
          <w:highlight w:val="none"/>
          <w:lang w:val="zh-CN" w:eastAsia="zh-CN"/>
        </w:rPr>
      </w:pPr>
    </w:p>
    <w:p>
      <w:pPr>
        <w:autoSpaceDE w:val="0"/>
        <w:autoSpaceDN w:val="0"/>
        <w:spacing w:line="360" w:lineRule="auto"/>
        <w:rPr>
          <w:rFonts w:hint="eastAsia" w:ascii="宋体" w:hAnsi="宋体" w:eastAsia="宋体" w:cs="宋体"/>
          <w:color w:val="auto"/>
          <w:kern w:val="0"/>
          <w:sz w:val="24"/>
          <w:highlight w:val="none"/>
          <w:lang w:val="zh-CN" w:eastAsia="zh-CN"/>
        </w:rPr>
      </w:pPr>
    </w:p>
    <w:p>
      <w:pPr>
        <w:autoSpaceDE w:val="0"/>
        <w:autoSpaceDN w:val="0"/>
        <w:spacing w:line="360" w:lineRule="auto"/>
        <w:rPr>
          <w:rFonts w:hint="eastAsia" w:ascii="宋体" w:hAnsi="宋体" w:eastAsia="宋体" w:cs="宋体"/>
          <w:color w:val="auto"/>
          <w:kern w:val="0"/>
          <w:sz w:val="24"/>
          <w:highlight w:val="none"/>
          <w:lang w:val="zh-CN" w:eastAsia="zh-CN"/>
        </w:rPr>
      </w:pPr>
    </w:p>
    <w:p>
      <w:pPr>
        <w:autoSpaceDE w:val="0"/>
        <w:autoSpaceDN w:val="0"/>
        <w:spacing w:line="360" w:lineRule="auto"/>
        <w:rPr>
          <w:rFonts w:hint="eastAsia" w:ascii="宋体" w:hAnsi="宋体" w:eastAsia="宋体" w:cs="宋体"/>
          <w:color w:val="auto"/>
          <w:kern w:val="0"/>
          <w:sz w:val="24"/>
          <w:highlight w:val="none"/>
          <w:lang w:val="zh-CN" w:eastAsia="zh-CN"/>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pPr>
        <w:spacing w:line="300" w:lineRule="auto"/>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9"/>
        <w:spacing w:after="0" w:line="360" w:lineRule="auto"/>
        <w:ind w:left="3960" w:right="1808"/>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9"/>
        <w:spacing w:after="0" w:line="360" w:lineRule="auto"/>
        <w:ind w:left="3960" w:right="1808"/>
        <w:contextualSpacing/>
        <w:rPr>
          <w:rFonts w:hint="eastAsia" w:ascii="宋体" w:hAnsi="宋体" w:eastAsia="宋体" w:cs="宋体"/>
          <w:color w:val="auto"/>
          <w:highlight w:val="none"/>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pPr>
        <w:spacing w:line="360" w:lineRule="auto"/>
        <w:jc w:val="center"/>
        <w:rPr>
          <w:rFonts w:hint="eastAsia" w:ascii="宋体" w:hAnsi="宋体" w:eastAsia="宋体" w:cs="宋体"/>
          <w:b/>
          <w:color w:val="auto"/>
          <w:sz w:val="30"/>
          <w:szCs w:val="30"/>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b/>
          <w:color w:val="auto"/>
          <w:szCs w:val="21"/>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ind w:left="5132" w:leftChars="1979" w:hanging="976" w:hangingChars="488"/>
        <w:rPr>
          <w:rFonts w:hint="eastAsia" w:ascii="宋体" w:hAnsi="宋体" w:eastAsia="宋体" w:cs="宋体"/>
          <w:color w:val="auto"/>
          <w:sz w:val="20"/>
          <w:szCs w:val="20"/>
          <w:highlight w:val="none"/>
        </w:rPr>
      </w:pP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spacing w:line="360" w:lineRule="auto"/>
        <w:ind w:right="420" w:firstLine="480" w:firstLineChars="200"/>
        <w:rPr>
          <w:rFonts w:hint="eastAsia" w:ascii="宋体" w:hAnsi="宋体" w:eastAsia="宋体" w:cs="宋体"/>
          <w:color w:val="auto"/>
          <w:sz w:val="24"/>
          <w:highlight w:val="none"/>
        </w:rPr>
      </w:pPr>
    </w:p>
    <w:p>
      <w:pPr>
        <w:pStyle w:val="25"/>
        <w:rPr>
          <w:rFonts w:hint="eastAsia" w:ascii="宋体" w:hAnsi="宋体" w:eastAsia="宋体" w:cs="宋体"/>
          <w:color w:val="auto"/>
          <w:sz w:val="24"/>
          <w:highlight w:val="none"/>
        </w:rPr>
      </w:pPr>
    </w:p>
    <w:p>
      <w:pPr>
        <w:pStyle w:val="9"/>
        <w:rPr>
          <w:rFonts w:hint="eastAsia" w:ascii="宋体" w:hAnsi="宋体" w:eastAsia="宋体" w:cs="宋体"/>
          <w:color w:val="auto"/>
          <w:sz w:val="24"/>
          <w:highlight w:val="none"/>
        </w:rPr>
      </w:pPr>
    </w:p>
    <w:p>
      <w:pPr>
        <w:pStyle w:val="9"/>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pPr>
        <w:spacing w:line="520" w:lineRule="exact"/>
        <w:ind w:firstLine="480" w:firstLineChars="200"/>
        <w:jc w:val="left"/>
        <w:rPr>
          <w:rFonts w:hint="eastAsia" w:ascii="宋体" w:hAnsi="宋体" w:eastAsia="宋体" w:cs="宋体"/>
          <w:color w:val="auto"/>
          <w:sz w:val="24"/>
          <w:highlight w:val="none"/>
        </w:rPr>
      </w:pPr>
    </w:p>
    <w:p>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pPr>
        <w:spacing w:line="520" w:lineRule="exact"/>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bCs/>
          <w:color w:val="auto"/>
          <w:sz w:val="44"/>
          <w:szCs w:val="44"/>
          <w:highlight w:val="none"/>
        </w:rPr>
      </w:pPr>
    </w:p>
    <w:p>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pPr>
        <w:snapToGrid w:val="0"/>
        <w:spacing w:line="360" w:lineRule="auto"/>
        <w:ind w:firstLine="643" w:firstLineChars="200"/>
        <w:rPr>
          <w:rFonts w:hint="eastAsia" w:ascii="宋体" w:hAnsi="宋体" w:eastAsia="宋体" w:cs="宋体"/>
          <w:b/>
          <w:color w:val="auto"/>
          <w:sz w:val="32"/>
          <w:szCs w:val="32"/>
          <w:highlight w:val="none"/>
        </w:rPr>
      </w:pPr>
    </w:p>
    <w:p>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pPr>
        <w:pStyle w:val="3"/>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30"/>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pPr>
        <w:spacing w:line="360" w:lineRule="auto"/>
        <w:contextualSpacing/>
        <w:rPr>
          <w:rFonts w:hint="eastAsia" w:ascii="宋体" w:hAnsi="宋体" w:eastAsia="宋体" w:cs="宋体"/>
          <w:color w:val="auto"/>
          <w:sz w:val="32"/>
          <w:szCs w:val="32"/>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pPr>
        <w:adjustRightInd w:val="0"/>
        <w:snapToGrid w:val="0"/>
        <w:spacing w:line="300" w:lineRule="auto"/>
        <w:jc w:val="left"/>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pPr>
        <w:spacing w:line="50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pPr>
        <w:spacing w:line="360" w:lineRule="auto"/>
        <w:jc w:val="left"/>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color w:val="auto"/>
                <w:szCs w:val="21"/>
                <w:highlight w:val="none"/>
              </w:rPr>
            </w:pPr>
          </w:p>
        </w:tc>
      </w:tr>
    </w:tbl>
    <w:p>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pPr>
        <w:pStyle w:val="13"/>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eastAsia="宋体" w:cs="宋体"/>
          <w:color w:val="auto"/>
          <w:sz w:val="24"/>
          <w:highlight w:val="none"/>
        </w:rPr>
      </w:pP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pStyle w:val="25"/>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pStyle w:val="9"/>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供应商为其缴纳近1个月（2024年4月至响应文件提交截止时间止任意一个月社保）社会保险的证明材料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pPr>
              <w:ind w:left="223" w:hanging="222" w:hangingChars="106"/>
              <w:jc w:val="center"/>
              <w:rPr>
                <w:rFonts w:hint="eastAsia" w:ascii="宋体" w:hAnsi="宋体" w:eastAsia="宋体" w:cs="宋体"/>
                <w:color w:val="auto"/>
                <w:highlight w:val="none"/>
              </w:rPr>
            </w:pPr>
          </w:p>
        </w:tc>
        <w:tc>
          <w:tcPr>
            <w:tcW w:w="1443" w:type="dxa"/>
            <w:noWrap w:val="0"/>
            <w:vAlign w:val="center"/>
          </w:tcPr>
          <w:p>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rFonts w:hint="eastAsia" w:ascii="宋体" w:hAnsi="宋体" w:eastAsia="宋体" w:cs="宋体"/>
                <w:color w:val="auto"/>
                <w:highlight w:val="none"/>
              </w:rPr>
            </w:pPr>
          </w:p>
        </w:tc>
        <w:tc>
          <w:tcPr>
            <w:tcW w:w="829" w:type="dxa"/>
            <w:noWrap w:val="0"/>
            <w:vAlign w:val="center"/>
          </w:tcPr>
          <w:p>
            <w:pPr>
              <w:ind w:left="223" w:hanging="222" w:hangingChars="106"/>
              <w:jc w:val="center"/>
              <w:rPr>
                <w:rFonts w:hint="eastAsia" w:ascii="宋体" w:hAnsi="宋体" w:eastAsia="宋体" w:cs="宋体"/>
                <w:color w:val="auto"/>
                <w:highlight w:val="none"/>
              </w:rPr>
            </w:pPr>
          </w:p>
        </w:tc>
        <w:tc>
          <w:tcPr>
            <w:tcW w:w="816" w:type="dxa"/>
            <w:noWrap w:val="0"/>
            <w:vAlign w:val="center"/>
          </w:tcPr>
          <w:p>
            <w:pPr>
              <w:ind w:left="223" w:hanging="222" w:hangingChars="106"/>
              <w:jc w:val="center"/>
              <w:rPr>
                <w:rFonts w:hint="eastAsia" w:ascii="宋体" w:hAnsi="宋体" w:eastAsia="宋体" w:cs="宋体"/>
                <w:color w:val="auto"/>
                <w:highlight w:val="none"/>
              </w:rPr>
            </w:pPr>
          </w:p>
        </w:tc>
        <w:tc>
          <w:tcPr>
            <w:tcW w:w="1443" w:type="dxa"/>
            <w:noWrap w:val="0"/>
            <w:vAlign w:val="center"/>
          </w:tcPr>
          <w:p>
            <w:pPr>
              <w:ind w:left="223" w:hanging="222" w:hangingChars="106"/>
              <w:jc w:val="center"/>
              <w:rPr>
                <w:rFonts w:hint="eastAsia" w:ascii="宋体" w:hAnsi="宋体" w:eastAsia="宋体" w:cs="宋体"/>
                <w:color w:val="auto"/>
                <w:highlight w:val="none"/>
              </w:rPr>
            </w:pPr>
          </w:p>
        </w:tc>
        <w:tc>
          <w:tcPr>
            <w:tcW w:w="1773" w:type="dxa"/>
            <w:noWrap w:val="0"/>
            <w:vAlign w:val="center"/>
          </w:tcPr>
          <w:p>
            <w:pPr>
              <w:ind w:left="223" w:hanging="222" w:hangingChars="106"/>
              <w:jc w:val="center"/>
              <w:rPr>
                <w:rFonts w:hint="eastAsia" w:ascii="宋体" w:hAnsi="宋体" w:eastAsia="宋体" w:cs="宋体"/>
                <w:color w:val="auto"/>
                <w:highlight w:val="none"/>
              </w:rPr>
            </w:pPr>
          </w:p>
        </w:tc>
        <w:tc>
          <w:tcPr>
            <w:tcW w:w="1500" w:type="dxa"/>
            <w:noWrap w:val="0"/>
            <w:vAlign w:val="center"/>
          </w:tcPr>
          <w:p>
            <w:pPr>
              <w:ind w:left="223" w:hanging="222" w:hangingChars="106"/>
              <w:jc w:val="center"/>
              <w:rPr>
                <w:rFonts w:hint="eastAsia" w:ascii="宋体" w:hAnsi="宋体" w:eastAsia="宋体" w:cs="宋体"/>
                <w:color w:val="auto"/>
                <w:highlight w:val="none"/>
              </w:rPr>
            </w:pPr>
          </w:p>
        </w:tc>
        <w:tc>
          <w:tcPr>
            <w:tcW w:w="2002" w:type="dxa"/>
            <w:noWrap w:val="0"/>
            <w:vAlign w:val="center"/>
          </w:tcPr>
          <w:p>
            <w:pPr>
              <w:ind w:left="223" w:hanging="222" w:hangingChars="10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rFonts w:hint="eastAsia" w:ascii="宋体" w:hAnsi="宋体" w:eastAsia="宋体" w:cs="宋体"/>
                <w:color w:val="auto"/>
                <w:highlight w:val="none"/>
              </w:rPr>
            </w:pPr>
          </w:p>
        </w:tc>
        <w:tc>
          <w:tcPr>
            <w:tcW w:w="829" w:type="dxa"/>
            <w:noWrap w:val="0"/>
            <w:vAlign w:val="center"/>
          </w:tcPr>
          <w:p>
            <w:pPr>
              <w:ind w:left="223" w:hanging="222" w:hangingChars="106"/>
              <w:jc w:val="center"/>
              <w:rPr>
                <w:rFonts w:hint="eastAsia" w:ascii="宋体" w:hAnsi="宋体" w:eastAsia="宋体" w:cs="宋体"/>
                <w:color w:val="auto"/>
                <w:highlight w:val="none"/>
              </w:rPr>
            </w:pPr>
          </w:p>
        </w:tc>
        <w:tc>
          <w:tcPr>
            <w:tcW w:w="816" w:type="dxa"/>
            <w:noWrap w:val="0"/>
            <w:vAlign w:val="center"/>
          </w:tcPr>
          <w:p>
            <w:pPr>
              <w:ind w:left="223" w:hanging="222" w:hangingChars="106"/>
              <w:jc w:val="center"/>
              <w:rPr>
                <w:rFonts w:hint="eastAsia" w:ascii="宋体" w:hAnsi="宋体" w:eastAsia="宋体" w:cs="宋体"/>
                <w:color w:val="auto"/>
                <w:highlight w:val="none"/>
              </w:rPr>
            </w:pPr>
          </w:p>
        </w:tc>
        <w:tc>
          <w:tcPr>
            <w:tcW w:w="1443" w:type="dxa"/>
            <w:noWrap w:val="0"/>
            <w:vAlign w:val="center"/>
          </w:tcPr>
          <w:p>
            <w:pPr>
              <w:ind w:left="223" w:hanging="222" w:hangingChars="106"/>
              <w:jc w:val="center"/>
              <w:rPr>
                <w:rFonts w:hint="eastAsia" w:ascii="宋体" w:hAnsi="宋体" w:eastAsia="宋体" w:cs="宋体"/>
                <w:color w:val="auto"/>
                <w:highlight w:val="none"/>
              </w:rPr>
            </w:pPr>
          </w:p>
        </w:tc>
        <w:tc>
          <w:tcPr>
            <w:tcW w:w="1773" w:type="dxa"/>
            <w:noWrap w:val="0"/>
            <w:vAlign w:val="center"/>
          </w:tcPr>
          <w:p>
            <w:pPr>
              <w:ind w:left="223" w:hanging="222" w:hangingChars="106"/>
              <w:jc w:val="center"/>
              <w:rPr>
                <w:rFonts w:hint="eastAsia" w:ascii="宋体" w:hAnsi="宋体" w:eastAsia="宋体" w:cs="宋体"/>
                <w:color w:val="auto"/>
                <w:highlight w:val="none"/>
              </w:rPr>
            </w:pPr>
          </w:p>
        </w:tc>
        <w:tc>
          <w:tcPr>
            <w:tcW w:w="1500" w:type="dxa"/>
            <w:noWrap w:val="0"/>
            <w:vAlign w:val="center"/>
          </w:tcPr>
          <w:p>
            <w:pPr>
              <w:ind w:left="223" w:hanging="222" w:hangingChars="106"/>
              <w:jc w:val="center"/>
              <w:rPr>
                <w:rFonts w:hint="eastAsia" w:ascii="宋体" w:hAnsi="宋体" w:eastAsia="宋体" w:cs="宋体"/>
                <w:color w:val="auto"/>
                <w:highlight w:val="none"/>
              </w:rPr>
            </w:pPr>
          </w:p>
        </w:tc>
        <w:tc>
          <w:tcPr>
            <w:tcW w:w="2002" w:type="dxa"/>
            <w:noWrap w:val="0"/>
            <w:vAlign w:val="center"/>
          </w:tcPr>
          <w:p>
            <w:pPr>
              <w:ind w:left="223" w:hanging="222" w:hangingChars="10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rFonts w:hint="eastAsia" w:ascii="宋体" w:hAnsi="宋体" w:eastAsia="宋体" w:cs="宋体"/>
                <w:color w:val="auto"/>
                <w:highlight w:val="none"/>
              </w:rPr>
            </w:pPr>
          </w:p>
        </w:tc>
        <w:tc>
          <w:tcPr>
            <w:tcW w:w="829" w:type="dxa"/>
            <w:noWrap w:val="0"/>
            <w:vAlign w:val="center"/>
          </w:tcPr>
          <w:p>
            <w:pPr>
              <w:ind w:left="223" w:hanging="222" w:hangingChars="106"/>
              <w:jc w:val="center"/>
              <w:rPr>
                <w:rFonts w:hint="eastAsia" w:ascii="宋体" w:hAnsi="宋体" w:eastAsia="宋体" w:cs="宋体"/>
                <w:color w:val="auto"/>
                <w:highlight w:val="none"/>
              </w:rPr>
            </w:pPr>
          </w:p>
        </w:tc>
        <w:tc>
          <w:tcPr>
            <w:tcW w:w="816" w:type="dxa"/>
            <w:noWrap w:val="0"/>
            <w:vAlign w:val="center"/>
          </w:tcPr>
          <w:p>
            <w:pPr>
              <w:ind w:left="223" w:hanging="222" w:hangingChars="106"/>
              <w:jc w:val="center"/>
              <w:rPr>
                <w:rFonts w:hint="eastAsia" w:ascii="宋体" w:hAnsi="宋体" w:eastAsia="宋体" w:cs="宋体"/>
                <w:color w:val="auto"/>
                <w:highlight w:val="none"/>
              </w:rPr>
            </w:pPr>
          </w:p>
        </w:tc>
        <w:tc>
          <w:tcPr>
            <w:tcW w:w="1443" w:type="dxa"/>
            <w:noWrap w:val="0"/>
            <w:vAlign w:val="center"/>
          </w:tcPr>
          <w:p>
            <w:pPr>
              <w:ind w:left="223" w:hanging="222" w:hangingChars="106"/>
              <w:jc w:val="center"/>
              <w:rPr>
                <w:rFonts w:hint="eastAsia" w:ascii="宋体" w:hAnsi="宋体" w:eastAsia="宋体" w:cs="宋体"/>
                <w:color w:val="auto"/>
                <w:highlight w:val="none"/>
              </w:rPr>
            </w:pPr>
          </w:p>
        </w:tc>
        <w:tc>
          <w:tcPr>
            <w:tcW w:w="1773" w:type="dxa"/>
            <w:noWrap w:val="0"/>
            <w:vAlign w:val="center"/>
          </w:tcPr>
          <w:p>
            <w:pPr>
              <w:ind w:left="223" w:hanging="222" w:hangingChars="106"/>
              <w:jc w:val="center"/>
              <w:rPr>
                <w:rFonts w:hint="eastAsia" w:ascii="宋体" w:hAnsi="宋体" w:eastAsia="宋体" w:cs="宋体"/>
                <w:color w:val="auto"/>
                <w:highlight w:val="none"/>
              </w:rPr>
            </w:pPr>
          </w:p>
        </w:tc>
        <w:tc>
          <w:tcPr>
            <w:tcW w:w="1500" w:type="dxa"/>
            <w:noWrap w:val="0"/>
            <w:vAlign w:val="center"/>
          </w:tcPr>
          <w:p>
            <w:pPr>
              <w:ind w:left="223" w:hanging="222" w:hangingChars="106"/>
              <w:jc w:val="center"/>
              <w:rPr>
                <w:rFonts w:hint="eastAsia" w:ascii="宋体" w:hAnsi="宋体" w:eastAsia="宋体" w:cs="宋体"/>
                <w:color w:val="auto"/>
                <w:highlight w:val="none"/>
              </w:rPr>
            </w:pPr>
          </w:p>
        </w:tc>
        <w:tc>
          <w:tcPr>
            <w:tcW w:w="2002" w:type="dxa"/>
            <w:noWrap w:val="0"/>
            <w:vAlign w:val="center"/>
          </w:tcPr>
          <w:p>
            <w:pPr>
              <w:ind w:left="223" w:hanging="222" w:hangingChars="106"/>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pPr>
        <w:rPr>
          <w:rFonts w:hint="eastAsia" w:ascii="宋体" w:hAnsi="宋体" w:eastAsia="宋体" w:cs="宋体"/>
          <w:color w:val="auto"/>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30"/>
        <w:numPr>
          <w:ilvl w:val="0"/>
          <w:numId w:val="0"/>
        </w:numPr>
        <w:spacing w:line="360" w:lineRule="auto"/>
        <w:rPr>
          <w:rFonts w:hint="eastAsia" w:ascii="宋体" w:hAnsi="宋体" w:eastAsia="宋体" w:cs="宋体"/>
          <w:b/>
          <w:color w:val="auto"/>
          <w:sz w:val="32"/>
          <w:szCs w:val="32"/>
          <w:highlight w:val="none"/>
          <w:lang w:val="en-US" w:eastAsia="zh-CN"/>
        </w:rPr>
      </w:pPr>
    </w:p>
    <w:p>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auto"/>
                <w:highlight w:val="none"/>
              </w:rPr>
            </w:pPr>
          </w:p>
        </w:tc>
        <w:tc>
          <w:tcPr>
            <w:tcW w:w="1226" w:type="dxa"/>
            <w:noWrap w:val="0"/>
            <w:vAlign w:val="top"/>
          </w:tcPr>
          <w:p>
            <w:pPr>
              <w:spacing w:line="360" w:lineRule="auto"/>
              <w:ind w:firstLine="420" w:firstLineChars="200"/>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708" w:type="dxa"/>
            <w:noWrap w:val="0"/>
            <w:vAlign w:val="top"/>
          </w:tcPr>
          <w:p>
            <w:pPr>
              <w:spacing w:line="360" w:lineRule="auto"/>
              <w:rPr>
                <w:rFonts w:hint="eastAsia" w:ascii="宋体" w:hAnsi="宋体" w:eastAsia="宋体" w:cs="宋体"/>
                <w:color w:val="auto"/>
                <w:highlight w:val="none"/>
              </w:rPr>
            </w:pPr>
          </w:p>
        </w:tc>
        <w:tc>
          <w:tcPr>
            <w:tcW w:w="709"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auto"/>
                <w:highlight w:val="none"/>
              </w:rPr>
            </w:pPr>
          </w:p>
        </w:tc>
        <w:tc>
          <w:tcPr>
            <w:tcW w:w="1226"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708" w:type="dxa"/>
            <w:noWrap w:val="0"/>
            <w:vAlign w:val="top"/>
          </w:tcPr>
          <w:p>
            <w:pPr>
              <w:spacing w:line="360" w:lineRule="auto"/>
              <w:rPr>
                <w:rFonts w:hint="eastAsia" w:ascii="宋体" w:hAnsi="宋体" w:eastAsia="宋体" w:cs="宋体"/>
                <w:color w:val="auto"/>
                <w:highlight w:val="none"/>
              </w:rPr>
            </w:pPr>
          </w:p>
        </w:tc>
        <w:tc>
          <w:tcPr>
            <w:tcW w:w="709"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auto"/>
                <w:highlight w:val="none"/>
              </w:rPr>
            </w:pPr>
          </w:p>
        </w:tc>
        <w:tc>
          <w:tcPr>
            <w:tcW w:w="1226"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708" w:type="dxa"/>
            <w:noWrap w:val="0"/>
            <w:vAlign w:val="top"/>
          </w:tcPr>
          <w:p>
            <w:pPr>
              <w:spacing w:line="360" w:lineRule="auto"/>
              <w:rPr>
                <w:rFonts w:hint="eastAsia" w:ascii="宋体" w:hAnsi="宋体" w:eastAsia="宋体" w:cs="宋体"/>
                <w:color w:val="auto"/>
                <w:highlight w:val="none"/>
              </w:rPr>
            </w:pPr>
          </w:p>
        </w:tc>
        <w:tc>
          <w:tcPr>
            <w:tcW w:w="709"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auto"/>
                <w:highlight w:val="none"/>
              </w:rPr>
            </w:pPr>
          </w:p>
        </w:tc>
        <w:tc>
          <w:tcPr>
            <w:tcW w:w="1226"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708" w:type="dxa"/>
            <w:noWrap w:val="0"/>
            <w:vAlign w:val="top"/>
          </w:tcPr>
          <w:p>
            <w:pPr>
              <w:spacing w:line="360" w:lineRule="auto"/>
              <w:rPr>
                <w:rFonts w:hint="eastAsia" w:ascii="宋体" w:hAnsi="宋体" w:eastAsia="宋体" w:cs="宋体"/>
                <w:color w:val="auto"/>
                <w:highlight w:val="none"/>
              </w:rPr>
            </w:pPr>
          </w:p>
        </w:tc>
        <w:tc>
          <w:tcPr>
            <w:tcW w:w="709"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rFonts w:hint="eastAsia" w:ascii="宋体" w:hAnsi="宋体" w:eastAsia="宋体" w:cs="宋体"/>
                <w:color w:val="auto"/>
                <w:highlight w:val="none"/>
              </w:rPr>
            </w:pPr>
          </w:p>
        </w:tc>
        <w:tc>
          <w:tcPr>
            <w:tcW w:w="1226"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708" w:type="dxa"/>
            <w:noWrap w:val="0"/>
            <w:vAlign w:val="top"/>
          </w:tcPr>
          <w:p>
            <w:pPr>
              <w:spacing w:line="360" w:lineRule="auto"/>
              <w:rPr>
                <w:rFonts w:hint="eastAsia" w:ascii="宋体" w:hAnsi="宋体" w:eastAsia="宋体" w:cs="宋体"/>
                <w:color w:val="auto"/>
                <w:highlight w:val="none"/>
              </w:rPr>
            </w:pPr>
          </w:p>
        </w:tc>
        <w:tc>
          <w:tcPr>
            <w:tcW w:w="709" w:type="dxa"/>
            <w:noWrap w:val="0"/>
            <w:vAlign w:val="top"/>
          </w:tcPr>
          <w:p>
            <w:pPr>
              <w:spacing w:line="360" w:lineRule="auto"/>
              <w:rPr>
                <w:rFonts w:hint="eastAsia" w:ascii="宋体" w:hAnsi="宋体" w:eastAsia="宋体" w:cs="宋体"/>
                <w:color w:val="auto"/>
                <w:highlight w:val="none"/>
              </w:rPr>
            </w:pPr>
          </w:p>
        </w:tc>
        <w:tc>
          <w:tcPr>
            <w:tcW w:w="851"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c>
          <w:tcPr>
            <w:tcW w:w="1134" w:type="dxa"/>
            <w:noWrap w:val="0"/>
            <w:vAlign w:val="top"/>
          </w:tcPr>
          <w:p>
            <w:pPr>
              <w:spacing w:line="360" w:lineRule="auto"/>
              <w:rPr>
                <w:rFonts w:hint="eastAsia" w:ascii="宋体" w:hAnsi="宋体" w:eastAsia="宋体" w:cs="宋体"/>
                <w:color w:val="auto"/>
                <w:highlight w:val="none"/>
              </w:rPr>
            </w:pPr>
          </w:p>
        </w:tc>
        <w:tc>
          <w:tcPr>
            <w:tcW w:w="992" w:type="dxa"/>
            <w:noWrap w:val="0"/>
            <w:vAlign w:val="top"/>
          </w:tcPr>
          <w:p>
            <w:pPr>
              <w:spacing w:line="360" w:lineRule="auto"/>
              <w:rPr>
                <w:rFonts w:hint="eastAsia" w:ascii="宋体" w:hAnsi="宋体" w:eastAsia="宋体" w:cs="宋体"/>
                <w:color w:val="auto"/>
                <w:highlight w:val="none"/>
              </w:rPr>
            </w:pPr>
          </w:p>
        </w:tc>
      </w:tr>
    </w:tbl>
    <w:p>
      <w:pPr>
        <w:rPr>
          <w:rFonts w:hint="eastAsia" w:ascii="宋体" w:hAnsi="宋体" w:eastAsia="宋体" w:cs="宋体"/>
          <w:color w:val="auto"/>
          <w:highlight w:val="none"/>
        </w:rPr>
      </w:pPr>
    </w:p>
    <w:p>
      <w:pPr>
        <w:pStyle w:val="31"/>
        <w:ind w:firstLine="480"/>
        <w:rPr>
          <w:rFonts w:hint="eastAsia" w:ascii="宋体" w:hAnsi="宋体" w:eastAsia="宋体" w:cs="宋体"/>
          <w:color w:val="auto"/>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计划开、竣工日期和施工进度网络图（格式自拟）</w:t>
      </w:r>
    </w:p>
    <w:p>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420" w:leftChars="200" w:firstLine="0" w:firstLineChars="0"/>
        <w:rPr>
          <w:rFonts w:hint="eastAsia" w:ascii="宋体" w:hAnsi="宋体" w:eastAsia="宋体" w:cs="宋体"/>
          <w:color w:val="auto"/>
          <w:highlight w:val="none"/>
        </w:rPr>
      </w:pPr>
    </w:p>
    <w:p>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3"/>
        <w:jc w:val="center"/>
        <w:rPr>
          <w:rFonts w:hint="eastAsia" w:ascii="宋体" w:hAnsi="宋体" w:eastAsia="宋体" w:cs="宋体"/>
          <w:color w:val="auto"/>
          <w:highlight w:val="none"/>
        </w:rPr>
      </w:pPr>
      <w:bookmarkStart w:id="111" w:name="_Toc12495"/>
      <w:bookmarkStart w:id="112" w:name="_Toc15522"/>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720" w:firstLineChars="225"/>
        <w:rPr>
          <w:rFonts w:hint="eastAsia" w:ascii="宋体" w:hAnsi="宋体" w:eastAsia="宋体" w:cs="宋体"/>
          <w:bCs/>
          <w:color w:val="auto"/>
          <w:sz w:val="32"/>
          <w:szCs w:val="32"/>
          <w:highlight w:val="none"/>
        </w:rPr>
      </w:pPr>
    </w:p>
    <w:p>
      <w:pPr>
        <w:pStyle w:val="7"/>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pPr>
        <w:pStyle w:val="13"/>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pPr>
        <w:pStyle w:val="13"/>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pPr>
        <w:pStyle w:val="13"/>
        <w:spacing w:line="500" w:lineRule="exact"/>
        <w:rPr>
          <w:rFonts w:hint="eastAsia" w:ascii="宋体" w:hAnsi="宋体" w:eastAsia="宋体" w:cs="宋体"/>
          <w:color w:val="auto"/>
          <w:sz w:val="32"/>
          <w:highlight w:val="none"/>
        </w:rPr>
      </w:pP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pPr>
        <w:pStyle w:val="13"/>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pPr>
        <w:pStyle w:val="13"/>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pPr>
        <w:pStyle w:val="13"/>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pPr>
        <w:pStyle w:val="13"/>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pPr>
        <w:pStyle w:val="13"/>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pPr>
        <w:pStyle w:val="13"/>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pPr>
        <w:pStyle w:val="13"/>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pPr>
        <w:pStyle w:val="13"/>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有关的任何数据或资料。若贵方需要，我方愿意提供我方作出的一切承诺的证明材料。</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pPr>
        <w:pStyle w:val="1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pPr>
        <w:pStyle w:val="13"/>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pPr>
        <w:pStyle w:val="13"/>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pPr>
        <w:pStyle w:val="13"/>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pPr>
        <w:pStyle w:val="13"/>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pPr>
        <w:pStyle w:val="13"/>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pPr>
        <w:pStyle w:val="13"/>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pPr>
        <w:pStyle w:val="11"/>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360" w:lineRule="auto"/>
        <w:contextualSpacing/>
        <w:jc w:val="left"/>
        <w:rPr>
          <w:rFonts w:hint="eastAsia" w:ascii="宋体" w:hAnsi="宋体" w:eastAsia="宋体" w:cs="宋体"/>
          <w:color w:val="auto"/>
          <w:szCs w:val="21"/>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13"/>
        <w:spacing w:line="360" w:lineRule="auto"/>
        <w:ind w:firstLine="420"/>
        <w:rPr>
          <w:rFonts w:hint="eastAsia" w:ascii="宋体" w:hAnsi="宋体" w:eastAsia="宋体" w:cs="宋体"/>
          <w:color w:val="auto"/>
          <w:highlight w:val="none"/>
        </w:rPr>
      </w:pPr>
    </w:p>
    <w:p>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pPr>
        <w:pStyle w:val="13"/>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pPr>
        <w:pStyle w:val="13"/>
        <w:spacing w:line="500" w:lineRule="exact"/>
        <w:ind w:firstLine="602" w:firstLineChars="200"/>
        <w:rPr>
          <w:rFonts w:hint="eastAsia" w:ascii="宋体" w:hAnsi="宋体" w:eastAsia="宋体" w:cs="宋体"/>
          <w:b/>
          <w:color w:val="auto"/>
          <w:kern w:val="2"/>
          <w:sz w:val="30"/>
          <w:szCs w:val="30"/>
          <w:highlight w:val="none"/>
        </w:rPr>
      </w:pPr>
    </w:p>
    <w:p>
      <w:pPr>
        <w:pStyle w:val="13"/>
        <w:spacing w:line="500" w:lineRule="exact"/>
        <w:ind w:firstLine="602" w:firstLineChars="200"/>
        <w:rPr>
          <w:rFonts w:hint="eastAsia" w:ascii="宋体" w:hAnsi="宋体" w:eastAsia="宋体" w:cs="宋体"/>
          <w:b/>
          <w:color w:val="auto"/>
          <w:kern w:val="2"/>
          <w:sz w:val="30"/>
          <w:szCs w:val="30"/>
          <w:highlight w:val="none"/>
        </w:rPr>
      </w:pPr>
    </w:p>
    <w:p>
      <w:pPr>
        <w:pStyle w:val="13"/>
        <w:spacing w:line="500" w:lineRule="exact"/>
        <w:ind w:firstLine="602" w:firstLineChars="200"/>
        <w:rPr>
          <w:rFonts w:hint="eastAsia" w:ascii="宋体" w:hAnsi="宋体" w:eastAsia="宋体" w:cs="宋体"/>
          <w:b/>
          <w:color w:val="auto"/>
          <w:kern w:val="2"/>
          <w:sz w:val="30"/>
          <w:szCs w:val="30"/>
          <w:highlight w:val="none"/>
        </w:rPr>
      </w:pPr>
    </w:p>
    <w:p>
      <w:pPr>
        <w:rPr>
          <w:rFonts w:hint="eastAsia" w:ascii="宋体" w:hAnsi="宋体" w:eastAsia="宋体" w:cs="宋体"/>
          <w:b/>
          <w:color w:val="auto"/>
          <w:kern w:val="2"/>
          <w:sz w:val="30"/>
          <w:szCs w:val="30"/>
          <w:highlight w:val="none"/>
        </w:rPr>
      </w:pPr>
    </w:p>
    <w:p>
      <w:pPr>
        <w:rPr>
          <w:rFonts w:hint="eastAsia" w:ascii="宋体" w:hAnsi="宋体" w:eastAsia="宋体" w:cs="宋体"/>
          <w:b/>
          <w:color w:val="auto"/>
          <w:kern w:val="2"/>
          <w:sz w:val="30"/>
          <w:szCs w:val="30"/>
          <w:highlight w:val="none"/>
          <w:lang w:eastAsia="zh-CN"/>
        </w:rPr>
      </w:pPr>
    </w:p>
    <w:p>
      <w:pPr>
        <w:pStyle w:val="25"/>
        <w:rPr>
          <w:rFonts w:hint="eastAsia" w:ascii="宋体" w:hAnsi="宋体" w:eastAsia="宋体" w:cs="宋体"/>
          <w:b/>
          <w:color w:val="auto"/>
          <w:kern w:val="2"/>
          <w:sz w:val="30"/>
          <w:szCs w:val="30"/>
          <w:highlight w:val="none"/>
          <w:lang w:eastAsia="zh-CN"/>
        </w:rPr>
      </w:pPr>
    </w:p>
    <w:p>
      <w:pPr>
        <w:pStyle w:val="9"/>
        <w:rPr>
          <w:rFonts w:hint="eastAsia" w:ascii="宋体" w:hAnsi="宋体" w:eastAsia="宋体" w:cs="宋体"/>
          <w:color w:val="auto"/>
          <w:highlight w:val="none"/>
          <w:lang w:eastAsia="zh-CN"/>
        </w:rPr>
      </w:pPr>
    </w:p>
    <w:p>
      <w:pPr>
        <w:rPr>
          <w:rFonts w:hint="eastAsia" w:ascii="宋体" w:hAnsi="宋体" w:eastAsia="宋体" w:cs="宋体"/>
          <w:b/>
          <w:color w:val="auto"/>
          <w:kern w:val="2"/>
          <w:sz w:val="30"/>
          <w:szCs w:val="30"/>
          <w:highlight w:val="none"/>
          <w:lang w:eastAsia="zh-CN"/>
        </w:rPr>
      </w:pPr>
    </w:p>
    <w:p>
      <w:pPr>
        <w:rPr>
          <w:rFonts w:hint="eastAsia" w:ascii="宋体" w:hAnsi="宋体" w:eastAsia="宋体" w:cs="宋体"/>
          <w:b/>
          <w:color w:val="auto"/>
          <w:kern w:val="2"/>
          <w:sz w:val="30"/>
          <w:szCs w:val="30"/>
          <w:highlight w:val="none"/>
        </w:rPr>
      </w:pPr>
    </w:p>
    <w:p>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pPr>
        <w:pStyle w:val="25"/>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pPr>
              <w:pStyle w:val="32"/>
              <w:spacing w:before="1"/>
              <w:ind w:left="160" w:right="149"/>
              <w:jc w:val="center"/>
              <w:rPr>
                <w:rFonts w:hint="eastAsia" w:ascii="仿宋" w:hAnsi="仿宋" w:eastAsia="仿宋" w:cs="仿宋"/>
                <w:color w:val="auto"/>
                <w:sz w:val="24"/>
                <w:highlight w:val="none"/>
              </w:rPr>
            </w:pPr>
          </w:p>
          <w:p>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pPr>
              <w:pStyle w:val="32"/>
              <w:spacing w:before="1"/>
              <w:ind w:left="105"/>
              <w:rPr>
                <w:rFonts w:hint="eastAsia" w:ascii="仿宋" w:hAnsi="仿宋" w:eastAsia="仿宋" w:cs="仿宋"/>
                <w:color w:val="auto"/>
                <w:sz w:val="24"/>
                <w:highlight w:val="none"/>
              </w:rPr>
            </w:pPr>
          </w:p>
          <w:p>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pPr>
              <w:pStyle w:val="32"/>
              <w:spacing w:before="1"/>
              <w:ind w:left="105"/>
              <w:rPr>
                <w:rFonts w:hint="eastAsia" w:ascii="仿宋" w:hAnsi="仿宋" w:eastAsia="仿宋" w:cs="仿宋"/>
                <w:color w:val="auto"/>
                <w:sz w:val="24"/>
                <w:highlight w:val="none"/>
              </w:rPr>
            </w:pPr>
          </w:p>
          <w:p>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pPr>
              <w:pStyle w:val="32"/>
              <w:spacing w:before="1"/>
              <w:ind w:left="105"/>
              <w:rPr>
                <w:rFonts w:hint="eastAsia" w:ascii="仿宋" w:hAnsi="仿宋" w:eastAsia="仿宋" w:cs="仿宋"/>
                <w:color w:val="auto"/>
                <w:sz w:val="24"/>
                <w:highlight w:val="none"/>
              </w:rPr>
            </w:pPr>
          </w:p>
          <w:p>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pPr>
              <w:pStyle w:val="32"/>
              <w:rPr>
                <w:rFonts w:hint="eastAsia" w:ascii="仿宋" w:hAnsi="仿宋" w:eastAsia="仿宋" w:cs="仿宋"/>
                <w:color w:val="auto"/>
                <w:highlight w:val="none"/>
              </w:rPr>
            </w:pPr>
          </w:p>
        </w:tc>
      </w:tr>
    </w:tbl>
    <w:p>
      <w:pPr>
        <w:snapToGrid w:val="0"/>
        <w:ind w:firstLine="480" w:firstLineChars="200"/>
        <w:jc w:val="left"/>
        <w:rPr>
          <w:rFonts w:hint="eastAsia" w:ascii="宋体" w:hAnsi="宋体" w:eastAsia="宋体" w:cs="宋体"/>
          <w:color w:val="auto"/>
          <w:kern w:val="0"/>
          <w:sz w:val="24"/>
          <w:highlight w:val="none"/>
          <w:lang w:val="zh-CN"/>
        </w:rPr>
      </w:pPr>
    </w:p>
    <w:p>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pPr>
        <w:pStyle w:val="25"/>
        <w:rPr>
          <w:rFonts w:hint="eastAsia" w:ascii="宋体" w:hAnsi="宋体" w:eastAsia="宋体" w:cs="宋体"/>
          <w:color w:val="auto"/>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napToGrid w:val="0"/>
        <w:spacing w:line="360" w:lineRule="auto"/>
        <w:rPr>
          <w:rFonts w:hint="eastAsia" w:ascii="宋体" w:hAnsi="宋体" w:eastAsia="宋体" w:cs="宋体"/>
          <w:b/>
          <w:color w:val="auto"/>
          <w:sz w:val="30"/>
          <w:szCs w:val="30"/>
          <w:highlight w:val="none"/>
        </w:rPr>
      </w:pPr>
    </w:p>
    <w:p>
      <w:pPr>
        <w:pStyle w:val="25"/>
        <w:rPr>
          <w:rFonts w:hint="eastAsia" w:ascii="宋体" w:hAnsi="宋体" w:eastAsia="宋体" w:cs="宋体"/>
          <w:b/>
          <w:color w:val="auto"/>
          <w:sz w:val="30"/>
          <w:szCs w:val="30"/>
          <w:highlight w:val="none"/>
        </w:rPr>
      </w:pPr>
    </w:p>
    <w:p>
      <w:pPr>
        <w:pStyle w:val="9"/>
        <w:rPr>
          <w:rFonts w:hint="eastAsia" w:ascii="宋体" w:hAnsi="宋体" w:eastAsia="宋体" w:cs="宋体"/>
          <w:b/>
          <w:color w:val="auto"/>
          <w:sz w:val="30"/>
          <w:szCs w:val="30"/>
          <w:highlight w:val="none"/>
        </w:rPr>
      </w:pPr>
    </w:p>
    <w:p>
      <w:pPr>
        <w:pStyle w:val="9"/>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p>
    <w:p>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pPr>
        <w:spacing w:line="500" w:lineRule="exact"/>
        <w:rPr>
          <w:rFonts w:hint="eastAsia" w:ascii="宋体" w:hAnsi="宋体" w:eastAsia="宋体" w:cs="宋体"/>
          <w:color w:val="auto"/>
          <w:sz w:val="32"/>
          <w:szCs w:val="32"/>
          <w:highlight w:val="none"/>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pStyle w:val="13"/>
        <w:spacing w:line="500" w:lineRule="exact"/>
        <w:rPr>
          <w:rFonts w:hint="eastAsia" w:ascii="宋体" w:hAnsi="宋体" w:eastAsia="宋体" w:cs="宋体"/>
          <w:b/>
          <w:color w:val="auto"/>
          <w:kern w:val="2"/>
          <w:sz w:val="30"/>
          <w:szCs w:val="30"/>
          <w:highlight w:val="none"/>
        </w:rPr>
      </w:pPr>
    </w:p>
    <w:p>
      <w:pPr>
        <w:pStyle w:val="13"/>
        <w:spacing w:line="500" w:lineRule="exact"/>
        <w:rPr>
          <w:rFonts w:hint="eastAsia" w:ascii="宋体" w:hAnsi="宋体" w:eastAsia="宋体" w:cs="宋体"/>
          <w:b/>
          <w:color w:val="auto"/>
          <w:kern w:val="2"/>
          <w:sz w:val="30"/>
          <w:szCs w:val="30"/>
          <w:highlight w:val="none"/>
        </w:rPr>
      </w:pPr>
    </w:p>
    <w:p>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val="0"/>
          <w:bCs w:val="0"/>
          <w:color w:val="auto"/>
          <w:sz w:val="24"/>
          <w:highlight w:val="none"/>
        </w:rPr>
        <w:br w:type="page"/>
      </w:r>
      <w:r>
        <w:rPr>
          <w:rFonts w:hint="eastAsia" w:ascii="宋体" w:hAnsi="宋体" w:eastAsia="宋体" w:cs="宋体"/>
          <w:b/>
          <w:bCs/>
          <w:color w:val="auto"/>
          <w:kern w:val="44"/>
          <w:sz w:val="44"/>
          <w:szCs w:val="44"/>
          <w:highlight w:val="none"/>
          <w:lang w:val="en-US" w:eastAsia="zh-CN" w:bidi="ar-SA"/>
        </w:rPr>
        <w:t xml:space="preserve"> 合同文本</w:t>
      </w:r>
    </w:p>
    <w:p>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spacing w:line="360" w:lineRule="auto"/>
        <w:jc w:val="center"/>
        <w:rPr>
          <w:rFonts w:hint="eastAsia" w:ascii="宋体"/>
          <w:b/>
          <w:bCs/>
          <w:color w:val="auto"/>
          <w:sz w:val="52"/>
          <w:highlight w:val="none"/>
        </w:rPr>
      </w:pPr>
      <w:r>
        <w:rPr>
          <w:rFonts w:hint="eastAsia" w:ascii="宋体"/>
          <w:b/>
          <w:bCs/>
          <w:color w:val="auto"/>
          <w:sz w:val="52"/>
          <w:highlight w:val="none"/>
        </w:rPr>
        <w:t>政 府 采 购</w:t>
      </w:r>
    </w:p>
    <w:p>
      <w:pPr>
        <w:spacing w:line="360" w:lineRule="auto"/>
        <w:ind w:firstLine="420" w:firstLineChars="200"/>
        <w:rPr>
          <w:rFonts w:hint="eastAsia" w:ascii="宋体"/>
          <w:color w:val="auto"/>
          <w:highlight w:val="none"/>
        </w:rPr>
      </w:pPr>
    </w:p>
    <w:p>
      <w:pPr>
        <w:spacing w:line="360" w:lineRule="auto"/>
        <w:ind w:firstLine="420" w:firstLineChars="200"/>
        <w:rPr>
          <w:rFonts w:hint="eastAsia" w:ascii="宋体"/>
          <w:color w:val="auto"/>
          <w:highlight w:val="none"/>
        </w:rPr>
      </w:pPr>
      <w:r>
        <w:rPr>
          <w:rFonts w:hint="eastAsia" w:ascii="宋体"/>
          <w:color w:val="auto"/>
          <w:highlight w:val="none"/>
        </w:rPr>
        <w:t xml:space="preserve">                                                 </w:t>
      </w:r>
    </w:p>
    <w:p>
      <w:pPr>
        <w:spacing w:line="360" w:lineRule="auto"/>
        <w:jc w:val="center"/>
        <w:rPr>
          <w:rFonts w:hint="eastAsia"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pPr>
        <w:spacing w:line="360" w:lineRule="auto"/>
        <w:jc w:val="center"/>
        <w:rPr>
          <w:rFonts w:hint="eastAsia" w:ascii="宋体"/>
          <w:b/>
          <w:bCs/>
          <w:color w:val="auto"/>
          <w:sz w:val="44"/>
          <w:highlight w:val="none"/>
        </w:rPr>
      </w:pPr>
    </w:p>
    <w:p>
      <w:pPr>
        <w:spacing w:line="360" w:lineRule="auto"/>
        <w:jc w:val="center"/>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spacing w:line="360" w:lineRule="auto"/>
        <w:ind w:firstLine="3507" w:firstLineChars="794"/>
        <w:rPr>
          <w:rFonts w:hint="eastAsia" w:ascii="宋体"/>
          <w:b/>
          <w:bCs/>
          <w:color w:val="auto"/>
          <w:sz w:val="44"/>
          <w:highlight w:val="none"/>
        </w:rPr>
      </w:pPr>
    </w:p>
    <w:p>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pPr>
        <w:ind w:firstLine="1970" w:firstLineChars="545"/>
        <w:rPr>
          <w:rFonts w:hint="eastAsia" w:ascii="宋体" w:hAnsi="宋体"/>
          <w:b/>
          <w:color w:val="auto"/>
          <w:sz w:val="36"/>
          <w:szCs w:val="36"/>
          <w:highlight w:val="none"/>
          <w:u w:val="single"/>
        </w:rPr>
      </w:pPr>
    </w:p>
    <w:p>
      <w:pPr>
        <w:pStyle w:val="25"/>
        <w:rPr>
          <w:rFonts w:hint="eastAsia" w:ascii="宋体" w:hAnsi="宋体"/>
          <w:b/>
          <w:color w:val="auto"/>
          <w:sz w:val="36"/>
          <w:szCs w:val="36"/>
          <w:highlight w:val="none"/>
          <w:u w:val="single"/>
        </w:rPr>
      </w:pPr>
    </w:p>
    <w:p>
      <w:pPr>
        <w:pStyle w:val="9"/>
        <w:rPr>
          <w:rFonts w:hint="eastAsia"/>
          <w:color w:val="auto"/>
          <w:highlight w:val="none"/>
        </w:rPr>
      </w:pPr>
    </w:p>
    <w:p>
      <w:pPr>
        <w:ind w:firstLine="1995" w:firstLineChars="552"/>
        <w:rPr>
          <w:rFonts w:hint="eastAsia" w:ascii="宋体" w:hAnsi="宋体"/>
          <w:b/>
          <w:color w:val="auto"/>
          <w:sz w:val="36"/>
          <w:szCs w:val="36"/>
          <w:highlight w:val="none"/>
          <w:u w:val="single"/>
        </w:rPr>
      </w:pPr>
    </w:p>
    <w:p>
      <w:pPr>
        <w:ind w:firstLine="1995" w:firstLineChars="552"/>
        <w:rPr>
          <w:rFonts w:hint="eastAsia" w:ascii="宋体" w:hAnsi="宋体"/>
          <w:b/>
          <w:color w:val="auto"/>
          <w:sz w:val="36"/>
          <w:szCs w:val="36"/>
          <w:highlight w:val="none"/>
          <w:u w:val="single"/>
        </w:rPr>
      </w:pPr>
    </w:p>
    <w:p>
      <w:pPr>
        <w:pStyle w:val="25"/>
        <w:rPr>
          <w:rFonts w:hint="eastAsia" w:ascii="宋体" w:hAnsi="宋体"/>
          <w:b/>
          <w:color w:val="auto"/>
          <w:sz w:val="36"/>
          <w:szCs w:val="36"/>
          <w:highlight w:val="none"/>
          <w:u w:val="single"/>
        </w:rPr>
      </w:pPr>
    </w:p>
    <w:p>
      <w:pPr>
        <w:pStyle w:val="9"/>
        <w:rPr>
          <w:rFonts w:hint="eastAsia"/>
          <w:color w:val="auto"/>
          <w:highlight w:val="none"/>
        </w:rPr>
      </w:pPr>
    </w:p>
    <w:p>
      <w:pPr>
        <w:pStyle w:val="9"/>
        <w:rPr>
          <w:rFonts w:hint="eastAsia"/>
          <w:color w:val="auto"/>
          <w:highlight w:val="none"/>
        </w:rPr>
      </w:pPr>
    </w:p>
    <w:p>
      <w:pPr>
        <w:keepNext w:val="0"/>
        <w:keepLines w:val="0"/>
        <w:pageBreakBefore w:val="0"/>
        <w:widowControl w:val="0"/>
        <w:tabs>
          <w:tab w:val="left" w:pos="7200"/>
        </w:tabs>
        <w:kinsoku/>
        <w:wordWrap/>
        <w:overflowPunct/>
        <w:topLinePunct w:val="0"/>
        <w:autoSpaceDE/>
        <w:autoSpaceDN/>
        <w:bidi w:val="0"/>
        <w:adjustRightInd/>
        <w:snapToGrid/>
        <w:spacing w:line="480" w:lineRule="auto"/>
        <w:ind w:firstLine="1995" w:firstLineChars="552"/>
        <w:textAlignment w:val="auto"/>
        <w:rPr>
          <w:rFonts w:hint="eastAsia" w:ascii="宋体" w:hAnsi="宋体"/>
          <w:b/>
          <w:bCs w:val="0"/>
          <w:color w:val="auto"/>
          <w:sz w:val="36"/>
          <w:szCs w:val="36"/>
          <w:highlight w:val="none"/>
          <w:u w:val="single"/>
        </w:rPr>
      </w:pPr>
      <w:r>
        <w:rPr>
          <w:rFonts w:hint="eastAsia" w:ascii="宋体" w:hAnsi="宋体"/>
          <w:b/>
          <w:bCs w:val="0"/>
          <w:color w:val="auto"/>
          <w:sz w:val="36"/>
          <w:szCs w:val="36"/>
          <w:highlight w:val="none"/>
        </w:rPr>
        <w:t>采购人：</w:t>
      </w:r>
      <w:r>
        <w:rPr>
          <w:rFonts w:hint="eastAsia" w:ascii="宋体" w:hAnsi="宋体"/>
          <w:b/>
          <w:bCs w:val="0"/>
          <w:color w:val="auto"/>
          <w:sz w:val="36"/>
          <w:szCs w:val="36"/>
          <w:highlight w:val="none"/>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480" w:lineRule="auto"/>
        <w:ind w:firstLine="1995" w:firstLineChars="552"/>
        <w:textAlignment w:val="auto"/>
        <w:rPr>
          <w:rFonts w:hint="eastAsia" w:ascii="宋体"/>
          <w:b/>
          <w:bCs w:val="0"/>
          <w:color w:val="auto"/>
          <w:sz w:val="44"/>
          <w:highlight w:val="none"/>
        </w:rPr>
      </w:pPr>
      <w:r>
        <w:rPr>
          <w:rFonts w:hint="eastAsia" w:ascii="宋体" w:hAnsi="宋体"/>
          <w:b/>
          <w:bCs w:val="0"/>
          <w:color w:val="auto"/>
          <w:sz w:val="36"/>
          <w:szCs w:val="36"/>
          <w:highlight w:val="none"/>
          <w:lang w:val="en-US" w:eastAsia="zh-CN"/>
        </w:rPr>
        <w:t>成交</w:t>
      </w:r>
      <w:r>
        <w:rPr>
          <w:rFonts w:hint="eastAsia" w:ascii="宋体" w:hAnsi="宋体"/>
          <w:b/>
          <w:bCs w:val="0"/>
          <w:color w:val="auto"/>
          <w:sz w:val="36"/>
          <w:szCs w:val="36"/>
          <w:highlight w:val="none"/>
        </w:rPr>
        <w:t>供应商：</w:t>
      </w:r>
      <w:r>
        <w:rPr>
          <w:rFonts w:hint="eastAsia" w:ascii="宋体" w:hAnsi="宋体"/>
          <w:b/>
          <w:bCs w:val="0"/>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20" w:line="480" w:lineRule="auto"/>
        <w:jc w:val="center"/>
        <w:textAlignment w:val="auto"/>
        <w:rPr>
          <w:rFonts w:hint="eastAsia" w:ascii="宋体" w:hAnsi="宋体" w:eastAsia="宋体" w:cs="宋体"/>
          <w:b/>
          <w:bCs w:val="0"/>
          <w:color w:val="auto"/>
          <w:sz w:val="36"/>
          <w:szCs w:val="36"/>
          <w:highlight w:val="none"/>
          <w:u w:val="single"/>
        </w:rPr>
      </w:pPr>
      <w:r>
        <w:rPr>
          <w:rFonts w:hint="eastAsia" w:ascii="宋体" w:hAnsi="宋体" w:eastAsia="宋体" w:cs="宋体"/>
          <w:b/>
          <w:bCs w:val="0"/>
          <w:color w:val="auto"/>
          <w:sz w:val="36"/>
          <w:szCs w:val="36"/>
          <w:highlight w:val="none"/>
        </w:rPr>
        <w:t>签订日期：</w:t>
      </w: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rPr>
        <w:t>年</w:t>
      </w: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rPr>
        <w:t>月</w:t>
      </w:r>
      <w:r>
        <w:rPr>
          <w:rFonts w:hint="eastAsia" w:ascii="宋体" w:hAnsi="宋体" w:eastAsia="宋体" w:cs="宋体"/>
          <w:b/>
          <w:bCs w:val="0"/>
          <w:color w:val="auto"/>
          <w:sz w:val="36"/>
          <w:szCs w:val="36"/>
          <w:highlight w:val="none"/>
          <w:u w:val="single"/>
        </w:rPr>
        <w:t xml:space="preserve">     </w:t>
      </w:r>
      <w:r>
        <w:rPr>
          <w:rFonts w:hint="eastAsia" w:ascii="宋体" w:hAnsi="宋体" w:eastAsia="宋体" w:cs="宋体"/>
          <w:b/>
          <w:bCs w:val="0"/>
          <w:color w:val="auto"/>
          <w:sz w:val="36"/>
          <w:szCs w:val="36"/>
          <w:highlight w:val="none"/>
        </w:rPr>
        <w:t>日</w:t>
      </w:r>
    </w:p>
    <w:p>
      <w:pPr>
        <w:pStyle w:val="33"/>
        <w:ind w:firstLine="883"/>
        <w:jc w:val="center"/>
        <w:rPr>
          <w:rFonts w:hint="eastAsia" w:ascii="宋体"/>
          <w:b/>
          <w:bCs/>
          <w:color w:val="auto"/>
          <w:sz w:val="44"/>
          <w:highlight w:val="none"/>
        </w:rPr>
      </w:pPr>
    </w:p>
    <w:p>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pPr>
        <w:snapToGrid w:val="0"/>
        <w:spacing w:line="360" w:lineRule="auto"/>
        <w:jc w:val="center"/>
        <w:rPr>
          <w:rFonts w:hint="eastAsia" w:ascii="宋体"/>
          <w:b/>
          <w:bCs/>
          <w:color w:val="auto"/>
          <w:sz w:val="44"/>
          <w:highlight w:val="none"/>
        </w:rPr>
      </w:pP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合同通用</w:t>
      </w:r>
      <w:r>
        <w:rPr>
          <w:rFonts w:ascii="仿宋_GB2312" w:hAnsi="仿宋" w:eastAsia="仿宋_GB2312" w:cs="仿宋_GB2312"/>
          <w:color w:val="auto"/>
          <w:kern w:val="0"/>
          <w:sz w:val="24"/>
          <w:highlight w:val="none"/>
        </w:rPr>
        <w:t>条款</w:t>
      </w:r>
      <w:r>
        <w:rPr>
          <w:rFonts w:hint="eastAsia" w:ascii="仿宋_GB2312" w:hAnsi="仿宋" w:eastAsia="仿宋_GB2312" w:cs="仿宋_GB2312"/>
          <w:color w:val="auto"/>
          <w:kern w:val="0"/>
          <w:sz w:val="24"/>
          <w:highlight w:val="none"/>
        </w:rPr>
        <w:t>……………………………………………………（页码）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w:t>
      </w:r>
      <w:r>
        <w:rPr>
          <w:rFonts w:hint="eastAsia" w:ascii="仿宋_GB2312" w:hAnsi="仿宋" w:eastAsia="仿宋_GB2312" w:cs="仿宋_GB2312"/>
          <w:color w:val="auto"/>
          <w:kern w:val="0"/>
          <w:sz w:val="24"/>
          <w:highlight w:val="none"/>
          <w:lang w:val="en-US" w:eastAsia="zh-CN"/>
        </w:rPr>
        <w:t>成交</w:t>
      </w:r>
      <w:r>
        <w:rPr>
          <w:rFonts w:hint="eastAsia" w:ascii="仿宋_GB2312" w:hAnsi="仿宋" w:eastAsia="仿宋_GB2312" w:cs="仿宋_GB2312"/>
          <w:color w:val="auto"/>
          <w:kern w:val="0"/>
          <w:sz w:val="24"/>
          <w:highlight w:val="none"/>
        </w:rPr>
        <w:t>通知书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w:t>
      </w:r>
      <w:r>
        <w:rPr>
          <w:rFonts w:hint="eastAsia" w:ascii="仿宋_GB2312" w:hAnsi="仿宋" w:eastAsia="仿宋_GB2312" w:cs="仿宋_GB2312"/>
          <w:color w:val="auto"/>
          <w:kern w:val="0"/>
          <w:sz w:val="24"/>
          <w:highlight w:val="none"/>
          <w:lang w:val="en-US" w:eastAsia="zh-CN"/>
        </w:rPr>
        <w:t>采购</w:t>
      </w:r>
      <w:r>
        <w:rPr>
          <w:rFonts w:hint="eastAsia" w:ascii="仿宋_GB2312" w:hAnsi="仿宋" w:eastAsia="仿宋_GB2312" w:cs="仿宋_GB2312"/>
          <w:color w:val="auto"/>
          <w:kern w:val="0"/>
          <w:sz w:val="24"/>
          <w:highlight w:val="none"/>
        </w:rPr>
        <w:t>需求一览表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4.3更改通知（如有）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w:t>
      </w:r>
      <w:r>
        <w:rPr>
          <w:rFonts w:hint="eastAsia" w:ascii="仿宋_GB2312" w:hAnsi="仿宋" w:eastAsia="仿宋_GB2312" w:cs="仿宋_GB2312"/>
          <w:color w:val="auto"/>
          <w:kern w:val="0"/>
          <w:sz w:val="24"/>
          <w:highlight w:val="none"/>
          <w:lang w:eastAsia="zh-CN"/>
        </w:rPr>
        <w:t>响应函</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w:t>
      </w:r>
      <w:r>
        <w:rPr>
          <w:rFonts w:hint="eastAsia" w:ascii="仿宋_GB2312" w:hAnsi="仿宋" w:eastAsia="仿宋_GB2312" w:cs="仿宋_GB2312"/>
          <w:color w:val="auto"/>
          <w:kern w:val="0"/>
          <w:sz w:val="24"/>
          <w:highlight w:val="none"/>
          <w:lang w:val="en-US" w:eastAsia="zh-CN"/>
        </w:rPr>
        <w:t>及已标价工程量清单</w:t>
      </w:r>
      <w:r>
        <w:rPr>
          <w:rFonts w:hint="eastAsia" w:ascii="仿宋_GB2312" w:hAnsi="仿宋" w:eastAsia="仿宋_GB2312" w:cs="仿宋_GB2312"/>
          <w:color w:val="auto"/>
          <w:kern w:val="0"/>
          <w:sz w:val="24"/>
          <w:highlight w:val="none"/>
        </w:rPr>
        <w:t xml:space="preserve">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4.6竞标技术服务偏离表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w:t>
      </w:r>
      <w:r>
        <w:rPr>
          <w:rFonts w:hint="eastAsia" w:ascii="仿宋_GB2312" w:hAnsi="仿宋" w:eastAsia="仿宋_GB2312" w:cs="仿宋_GB2312"/>
          <w:color w:val="auto"/>
          <w:kern w:val="0"/>
          <w:sz w:val="24"/>
          <w:highlight w:val="none"/>
          <w:lang w:val="en-US" w:eastAsia="zh-CN"/>
        </w:rPr>
        <w:t>成交</w:t>
      </w:r>
      <w:r>
        <w:rPr>
          <w:rFonts w:hint="eastAsia" w:ascii="仿宋_GB2312" w:hAnsi="仿宋" w:eastAsia="仿宋_GB2312" w:cs="仿宋_GB2312"/>
          <w:color w:val="auto"/>
          <w:kern w:val="0"/>
          <w:sz w:val="24"/>
          <w:highlight w:val="none"/>
        </w:rPr>
        <w:t>供应商澄清函（如有请提供） ………………………………………（页码）</w:t>
      </w:r>
    </w:p>
    <w:p>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pPr>
        <w:snapToGrid w:val="0"/>
        <w:spacing w:line="360" w:lineRule="auto"/>
        <w:rPr>
          <w:rFonts w:hint="eastAsia" w:ascii="仿宋_GB2312" w:hAnsi="仿宋" w:eastAsia="仿宋_GB2312" w:cs="仿宋_GB2312"/>
          <w:color w:val="auto"/>
          <w:kern w:val="0"/>
          <w:sz w:val="24"/>
          <w:highlight w:val="none"/>
        </w:rPr>
      </w:pPr>
    </w:p>
    <w:p>
      <w:pPr>
        <w:pStyle w:val="10"/>
        <w:rPr>
          <w:color w:val="auto"/>
          <w:highlight w:val="none"/>
        </w:rPr>
        <w:sectPr>
          <w:pgSz w:w="11906" w:h="16838"/>
          <w:pgMar w:top="1134" w:right="1134" w:bottom="1134" w:left="1134" w:header="720" w:footer="720" w:gutter="0"/>
          <w:pgNumType w:fmt="decimal"/>
          <w:cols w:space="720" w:num="1"/>
          <w:docGrid w:type="lines" w:linePitch="331" w:charSpace="0"/>
        </w:sectPr>
      </w:pPr>
    </w:p>
    <w:p>
      <w:pPr>
        <w:keepNext/>
        <w:keepLines/>
        <w:spacing w:line="360" w:lineRule="auto"/>
        <w:jc w:val="center"/>
        <w:outlineLvl w:val="0"/>
        <w:rPr>
          <w:rFonts w:eastAsia="黑体"/>
          <w:b/>
          <w:bCs/>
          <w:color w:val="auto"/>
          <w:kern w:val="44"/>
          <w:sz w:val="32"/>
          <w:szCs w:val="44"/>
          <w:highlight w:val="none"/>
        </w:rPr>
      </w:pPr>
      <w:bookmarkStart w:id="114" w:name="_Toc8520"/>
      <w:bookmarkStart w:id="115" w:name="_Toc296503025"/>
      <w:bookmarkStart w:id="116" w:name="_Toc389065255"/>
      <w:bookmarkStart w:id="117" w:name="_Toc499570664"/>
      <w:bookmarkStart w:id="118" w:name="_Toc27212"/>
      <w:bookmarkStart w:id="119" w:name="_Toc373227552"/>
      <w:bookmarkStart w:id="120" w:name="_Toc351203480"/>
      <w:bookmarkStart w:id="121" w:name="_Toc373478199"/>
      <w:bookmarkStart w:id="122" w:name="_Toc296890982"/>
      <w:r>
        <w:rPr>
          <w:rFonts w:eastAsia="黑体"/>
          <w:b/>
          <w:bCs/>
          <w:color w:val="auto"/>
          <w:kern w:val="44"/>
          <w:sz w:val="32"/>
          <w:szCs w:val="44"/>
          <w:highlight w:val="none"/>
        </w:rPr>
        <w:t>第一</w:t>
      </w:r>
      <w:r>
        <w:rPr>
          <w:rFonts w:hint="eastAsia" w:eastAsia="黑体"/>
          <w:b/>
          <w:bCs/>
          <w:color w:val="auto"/>
          <w:kern w:val="44"/>
          <w:sz w:val="32"/>
          <w:szCs w:val="44"/>
          <w:highlight w:val="none"/>
        </w:rPr>
        <w:t>部分</w:t>
      </w:r>
      <w:r>
        <w:rPr>
          <w:rFonts w:eastAsia="黑体"/>
          <w:b/>
          <w:bCs/>
          <w:color w:val="auto"/>
          <w:kern w:val="44"/>
          <w:sz w:val="32"/>
          <w:szCs w:val="44"/>
          <w:highlight w:val="none"/>
        </w:rPr>
        <w:t xml:space="preserve"> 合同协议书</w:t>
      </w:r>
      <w:bookmarkEnd w:id="114"/>
      <w:bookmarkEnd w:id="115"/>
      <w:bookmarkEnd w:id="116"/>
      <w:bookmarkEnd w:id="117"/>
      <w:bookmarkEnd w:id="118"/>
      <w:bookmarkEnd w:id="119"/>
      <w:bookmarkEnd w:id="120"/>
      <w:bookmarkEnd w:id="121"/>
      <w:bookmarkEnd w:id="122"/>
    </w:p>
    <w:p>
      <w:pPr>
        <w:pageBreakBefore w:val="0"/>
        <w:widowControl w:val="0"/>
        <w:kinsoku/>
        <w:wordWrap/>
        <w:overflowPunct/>
        <w:topLinePunct w:val="0"/>
        <w:bidi w:val="0"/>
        <w:snapToGrid/>
        <w:spacing w:line="360" w:lineRule="auto"/>
        <w:ind w:firstLine="435"/>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snapToGrid/>
        <w:spacing w:line="360" w:lineRule="auto"/>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一、工程概况</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3.工程立项批准文号：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4.资金来源：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5.工程内容：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pPr>
        <w:pageBreakBefore w:val="0"/>
        <w:widowControl w:val="0"/>
        <w:kinsoku/>
        <w:wordWrap/>
        <w:overflowPunct/>
        <w:topLinePunct w:val="0"/>
        <w:bidi w:val="0"/>
        <w:snapToGrid/>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6.工程承包范围：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 xml:space="preserve">   </w:t>
      </w:r>
      <w:bookmarkStart w:id="123" w:name="_Toc351203482"/>
      <w:r>
        <w:rPr>
          <w:rFonts w:hint="eastAsia" w:ascii="宋体" w:hAnsi="宋体" w:eastAsia="宋体" w:cs="宋体"/>
          <w:color w:val="auto"/>
          <w:sz w:val="21"/>
          <w:szCs w:val="21"/>
          <w:highlight w:val="none"/>
        </w:rPr>
        <w:t>二、合同工期</w:t>
      </w:r>
      <w:bookmarkEnd w:id="123"/>
    </w:p>
    <w:p>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4" w:name="_Toc351203483"/>
      <w:r>
        <w:rPr>
          <w:rFonts w:hint="eastAsia" w:ascii="宋体" w:hAnsi="宋体" w:eastAsia="宋体" w:cs="宋体"/>
          <w:color w:val="auto"/>
          <w:sz w:val="21"/>
          <w:szCs w:val="21"/>
          <w:highlight w:val="none"/>
        </w:rPr>
        <w:t>三、质量标准</w:t>
      </w:r>
      <w:bookmarkEnd w:id="124"/>
    </w:p>
    <w:p>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5" w:name="_Toc351203484"/>
      <w:r>
        <w:rPr>
          <w:rFonts w:hint="eastAsia" w:ascii="宋体" w:hAnsi="宋体" w:eastAsia="宋体" w:cs="宋体"/>
          <w:color w:val="auto"/>
          <w:sz w:val="21"/>
          <w:szCs w:val="21"/>
          <w:highlight w:val="none"/>
        </w:rPr>
        <w:t>四、签约合同价与合同价格形式</w:t>
      </w:r>
      <w:bookmarkEnd w:id="125"/>
      <w:r>
        <w:rPr>
          <w:rFonts w:hint="eastAsia" w:ascii="宋体" w:hAnsi="宋体" w:eastAsia="宋体" w:cs="宋体"/>
          <w:color w:val="auto"/>
          <w:sz w:val="21"/>
          <w:szCs w:val="21"/>
          <w:highlight w:val="none"/>
        </w:rPr>
        <w:tab/>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pPr>
        <w:pageBreakBefore w:val="0"/>
        <w:widowControl w:val="0"/>
        <w:kinsoku/>
        <w:wordWrap/>
        <w:overflowPunct/>
        <w:topLinePunct w:val="0"/>
        <w:bidi w:val="0"/>
        <w:snapToGrid/>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pPr>
        <w:pageBreakBefore w:val="0"/>
        <w:widowControl w:val="0"/>
        <w:kinsoku/>
        <w:wordWrap/>
        <w:overflowPunct/>
        <w:topLinePunct w:val="0"/>
        <w:bidi w:val="0"/>
        <w:snapToGrid/>
        <w:spacing w:line="360" w:lineRule="auto"/>
        <w:ind w:left="420" w:leftChars="20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pPr>
        <w:pageBreakBefore w:val="0"/>
        <w:widowControl w:val="0"/>
        <w:kinsoku/>
        <w:wordWrap/>
        <w:overflowPunct/>
        <w:topLinePunct w:val="0"/>
        <w:bidi w:val="0"/>
        <w:snapToGrid/>
        <w:spacing w:line="360" w:lineRule="auto"/>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pPr>
        <w:pageBreakBefore w:val="0"/>
        <w:widowControl w:val="0"/>
        <w:kinsoku/>
        <w:wordWrap/>
        <w:overflowPunct/>
        <w:topLinePunct w:val="0"/>
        <w:bidi w:val="0"/>
        <w:snapToGrid/>
        <w:spacing w:line="360" w:lineRule="auto"/>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pPr>
        <w:pageBreakBefore w:val="0"/>
        <w:widowControl w:val="0"/>
        <w:kinsoku/>
        <w:wordWrap/>
        <w:overflowPunct/>
        <w:topLinePunct w:val="0"/>
        <w:bidi w:val="0"/>
        <w:snapToGrid/>
        <w:spacing w:line="360" w:lineRule="auto"/>
        <w:ind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6" w:name="_Toc351203485"/>
      <w:r>
        <w:rPr>
          <w:rFonts w:hint="eastAsia" w:ascii="宋体" w:hAnsi="宋体" w:eastAsia="宋体" w:cs="宋体"/>
          <w:color w:val="auto"/>
          <w:sz w:val="21"/>
          <w:szCs w:val="21"/>
          <w:highlight w:val="none"/>
        </w:rPr>
        <w:t>五、</w:t>
      </w:r>
      <w:bookmarkEnd w:id="126"/>
      <w:r>
        <w:rPr>
          <w:rFonts w:hint="eastAsia" w:ascii="宋体" w:hAnsi="宋体" w:eastAsia="宋体" w:cs="宋体"/>
          <w:color w:val="auto"/>
          <w:sz w:val="21"/>
          <w:szCs w:val="21"/>
          <w:highlight w:val="none"/>
        </w:rPr>
        <w:t>项目经理</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7" w:name="_Toc351203486"/>
      <w:r>
        <w:rPr>
          <w:rFonts w:hint="eastAsia" w:ascii="宋体" w:hAnsi="宋体" w:eastAsia="宋体" w:cs="宋体"/>
          <w:color w:val="auto"/>
          <w:sz w:val="21"/>
          <w:szCs w:val="21"/>
          <w:highlight w:val="none"/>
        </w:rPr>
        <w:t>六、合同文件构成</w:t>
      </w:r>
      <w:bookmarkEnd w:id="127"/>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（1）成交通知书（如果有）；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（2）竞标函及其附录（如果有）；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 xml:space="preserve">    </w:t>
      </w:r>
      <w:bookmarkStart w:id="128" w:name="_Toc351203487"/>
      <w:r>
        <w:rPr>
          <w:rFonts w:hint="eastAsia" w:ascii="宋体" w:hAnsi="宋体" w:eastAsia="宋体" w:cs="宋体"/>
          <w:color w:val="auto"/>
          <w:sz w:val="21"/>
          <w:szCs w:val="21"/>
          <w:highlight w:val="none"/>
        </w:rPr>
        <w:t>七、承诺</w:t>
      </w:r>
      <w:bookmarkEnd w:id="128"/>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bookmarkStart w:id="129" w:name="_Toc351203488"/>
      <w:r>
        <w:rPr>
          <w:rFonts w:hint="eastAsia" w:ascii="宋体" w:hAnsi="宋体" w:eastAsia="宋体" w:cs="宋体"/>
          <w:b/>
          <w:color w:val="auto"/>
          <w:sz w:val="21"/>
          <w:szCs w:val="21"/>
          <w:highlight w:val="none"/>
        </w:rPr>
        <w:t xml:space="preserve">    八、词语含义</w:t>
      </w:r>
      <w:bookmarkEnd w:id="129"/>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30" w:name="_Toc351203489"/>
      <w:r>
        <w:rPr>
          <w:rFonts w:hint="eastAsia" w:ascii="宋体" w:hAnsi="宋体" w:eastAsia="宋体" w:cs="宋体"/>
          <w:color w:val="auto"/>
          <w:sz w:val="21"/>
          <w:szCs w:val="21"/>
          <w:highlight w:val="none"/>
        </w:rPr>
        <w:t>九、签订时间</w:t>
      </w:r>
      <w:bookmarkEnd w:id="130"/>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31" w:name="_Toc351203490"/>
      <w:r>
        <w:rPr>
          <w:rFonts w:hint="eastAsia" w:ascii="宋体" w:hAnsi="宋体" w:eastAsia="宋体" w:cs="宋体"/>
          <w:color w:val="auto"/>
          <w:sz w:val="21"/>
          <w:szCs w:val="21"/>
          <w:highlight w:val="none"/>
        </w:rPr>
        <w:t>十、签订地点</w:t>
      </w:r>
      <w:bookmarkEnd w:id="131"/>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32" w:name="_Toc351203491"/>
      <w:r>
        <w:rPr>
          <w:rFonts w:hint="eastAsia" w:ascii="宋体" w:hAnsi="宋体" w:eastAsia="宋体" w:cs="宋体"/>
          <w:color w:val="auto"/>
          <w:sz w:val="21"/>
          <w:szCs w:val="21"/>
          <w:highlight w:val="none"/>
        </w:rPr>
        <w:t>十一、补充协议</w:t>
      </w:r>
      <w:bookmarkEnd w:id="132"/>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合同未尽事宜，合同当事人另行签订补充协议，补充协议是合同的组成部分。</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33" w:name="_Toc351203492"/>
      <w:r>
        <w:rPr>
          <w:rFonts w:hint="eastAsia" w:ascii="宋体" w:hAnsi="宋体" w:eastAsia="宋体" w:cs="宋体"/>
          <w:color w:val="auto"/>
          <w:sz w:val="21"/>
          <w:szCs w:val="21"/>
          <w:highlight w:val="none"/>
        </w:rPr>
        <w:t>十二、合同生效</w:t>
      </w:r>
      <w:bookmarkEnd w:id="133"/>
    </w:p>
    <w:p>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pPr>
        <w:pStyle w:val="5"/>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34" w:name="_Toc351203493"/>
      <w:r>
        <w:rPr>
          <w:rFonts w:hint="eastAsia" w:ascii="宋体" w:hAnsi="宋体" w:eastAsia="宋体" w:cs="宋体"/>
          <w:color w:val="auto"/>
          <w:sz w:val="21"/>
          <w:szCs w:val="21"/>
          <w:highlight w:val="none"/>
        </w:rPr>
        <w:t>十三、合同份数</w:t>
      </w:r>
      <w:bookmarkEnd w:id="134"/>
    </w:p>
    <w:p>
      <w:pPr>
        <w:pageBreakBefore w:val="0"/>
        <w:widowControl w:val="0"/>
        <w:kinsoku/>
        <w:wordWrap/>
        <w:overflowPunct/>
        <w:topLinePunct w:val="0"/>
        <w:bidi w:val="0"/>
        <w:snapToGrid/>
        <w:spacing w:line="360" w:lineRule="auto"/>
        <w:ind w:firstLine="420" w:firstLineChars="200"/>
        <w:textAlignment w:val="auto"/>
        <w:rPr>
          <w:bCs/>
          <w:color w:val="auto"/>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份，均具有同等法律效力，发包人执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份，承包人执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Ansi="宋体"/>
          <w:bCs/>
          <w:color w:val="auto"/>
          <w:szCs w:val="21"/>
          <w:highlight w:val="none"/>
        </w:rPr>
        <w:t>。</w:t>
      </w:r>
    </w:p>
    <w:p>
      <w:pPr>
        <w:spacing w:line="360" w:lineRule="auto"/>
        <w:rPr>
          <w:bCs/>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Ansi="宋体"/>
          <w:color w:val="auto"/>
          <w:szCs w:val="21"/>
          <w:highlight w:val="none"/>
          <w:u w:val="single"/>
        </w:rPr>
        <w:t></w:t>
      </w:r>
      <w:r>
        <w:rPr>
          <w:color w:val="auto"/>
          <w:szCs w:val="21"/>
          <w:highlight w:val="none"/>
          <w:u w:val="singl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color w:val="auto"/>
          <w:szCs w:val="21"/>
          <w:highlight w:val="none"/>
        </w:rPr>
        <w:t xml:space="preserve">  </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p>
    <w:p>
      <w:pPr>
        <w:spacing w:line="360" w:lineRule="auto"/>
        <w:rPr>
          <w:color w:val="auto"/>
          <w:szCs w:val="21"/>
          <w:highlight w:val="none"/>
        </w:rPr>
      </w:pPr>
      <w:r>
        <w:rPr>
          <w:rFonts w:hint="eastAsia"/>
          <w:color w:val="auto"/>
          <w:szCs w:val="21"/>
          <w:highlight w:val="none"/>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rPr>
        <w:t xml:space="preserve">                    </w:t>
      </w:r>
      <w:r>
        <w:rPr>
          <w:rFonts w:hAnsi="宋体"/>
          <w:color w:val="auto"/>
          <w:szCs w:val="21"/>
          <w:highlight w:val="none"/>
        </w:rPr>
        <w:t>法定代表人或其委托代理人：</w:t>
      </w:r>
    </w:p>
    <w:p>
      <w:pPr>
        <w:spacing w:line="360" w:lineRule="auto"/>
        <w:rPr>
          <w:color w:val="auto"/>
          <w:szCs w:val="21"/>
          <w:highlight w:val="none"/>
        </w:rPr>
      </w:pPr>
      <w:r>
        <w:rPr>
          <w:rFonts w:hAnsi="宋体"/>
          <w:color w:val="auto"/>
          <w:szCs w:val="21"/>
          <w:highlight w:val="none"/>
        </w:rPr>
        <w:t>（签字）</w:t>
      </w:r>
      <w:r>
        <w:rPr>
          <w:color w:val="auto"/>
          <w:szCs w:val="21"/>
          <w:highlight w:val="none"/>
        </w:rPr>
        <w:t xml:space="preserve">                                     </w:t>
      </w:r>
      <w:r>
        <w:rPr>
          <w:rFonts w:hAnsi="宋体"/>
          <w:color w:val="auto"/>
          <w:szCs w:val="21"/>
          <w:highlight w:val="none"/>
        </w:rPr>
        <w:t>（签字）</w:t>
      </w:r>
    </w:p>
    <w:p>
      <w:pPr>
        <w:spacing w:line="360" w:lineRule="auto"/>
        <w:rPr>
          <w:color w:val="auto"/>
          <w:szCs w:val="21"/>
          <w:highlight w:val="none"/>
          <w:u w:val="single"/>
        </w:rPr>
      </w:pPr>
    </w:p>
    <w:p>
      <w:pPr>
        <w:rPr>
          <w:color w:val="auto"/>
          <w:szCs w:val="21"/>
          <w:highlight w:val="none"/>
          <w:u w:val="single"/>
        </w:rPr>
      </w:pPr>
      <w:r>
        <w:rPr>
          <w:rFonts w:hint="eastAsia" w:hAnsi="宋体"/>
          <w:color w:val="auto"/>
          <w:szCs w:val="21"/>
          <w:highlight w:val="none"/>
        </w:rPr>
        <w:t>社会信用代码</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int="eastAsia" w:hAnsi="宋体"/>
          <w:color w:val="auto"/>
          <w:szCs w:val="21"/>
          <w:highlight w:val="none"/>
        </w:rPr>
        <w:t>社会信用代码</w:t>
      </w:r>
      <w:r>
        <w:rPr>
          <w:rFonts w:hAnsi="宋体"/>
          <w:color w:val="auto"/>
          <w:szCs w:val="21"/>
          <w:highlight w:val="none"/>
        </w:rPr>
        <w:t>：</w:t>
      </w:r>
      <w:r>
        <w:rPr>
          <w:rFonts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邮政编码：</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法定代表人：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委托代理人：</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电子信箱：</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开户银行：</w:t>
      </w:r>
      <w:r>
        <w:rPr>
          <w:rFonts w:hAnsi="宋体"/>
          <w:color w:val="auto"/>
          <w:szCs w:val="21"/>
          <w:highlight w:val="none"/>
          <w:u w:val="single"/>
        </w:rPr>
        <w:t></w:t>
      </w:r>
      <w:r>
        <w:rPr>
          <w:color w:val="auto"/>
          <w:szCs w:val="21"/>
          <w:highlight w:val="none"/>
          <w:u w:val="single"/>
        </w:rPr>
        <w:t xml:space="preserve">   </w:t>
      </w:r>
    </w:p>
    <w:p>
      <w:pPr>
        <w:rPr>
          <w:color w:val="auto"/>
          <w:szCs w:val="21"/>
          <w:highlight w:val="none"/>
          <w:u w:val="singl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hAnsi="宋体"/>
          <w:color w:val="auto"/>
          <w:szCs w:val="21"/>
          <w:highlight w:val="none"/>
          <w:u w:val="single"/>
        </w:rPr>
        <w:t></w:t>
      </w:r>
      <w:r>
        <w:rPr>
          <w:color w:val="auto"/>
          <w:szCs w:val="21"/>
          <w:highlight w:val="none"/>
          <w:u w:val="single"/>
        </w:rPr>
        <w:t xml:space="preserve">     </w:t>
      </w:r>
    </w:p>
    <w:p>
      <w:pPr>
        <w:widowControl/>
        <w:jc w:val="left"/>
        <w:rPr>
          <w:color w:val="auto"/>
          <w:szCs w:val="21"/>
          <w:highlight w:val="none"/>
          <w:u w:val="single"/>
        </w:rPr>
      </w:pPr>
      <w:r>
        <w:rPr>
          <w:color w:val="auto"/>
          <w:szCs w:val="21"/>
          <w:highlight w:val="none"/>
        </w:rPr>
        <w:br w:type="page"/>
      </w:r>
    </w:p>
    <w:p>
      <w:pPr>
        <w:keepNext/>
        <w:keepLines/>
        <w:spacing w:line="360" w:lineRule="auto"/>
        <w:jc w:val="center"/>
        <w:outlineLvl w:val="0"/>
        <w:rPr>
          <w:rFonts w:eastAsia="黑体"/>
          <w:b/>
          <w:bCs/>
          <w:color w:val="auto"/>
          <w:kern w:val="44"/>
          <w:sz w:val="32"/>
          <w:szCs w:val="44"/>
          <w:highlight w:val="none"/>
        </w:rPr>
      </w:pPr>
      <w:bookmarkStart w:id="135" w:name="_Toc499570665"/>
      <w:bookmarkStart w:id="136" w:name="_Toc389065256"/>
      <w:bookmarkStart w:id="137" w:name="_Toc480968445"/>
      <w:bookmarkStart w:id="138" w:name="_Toc16594"/>
      <w:bookmarkStart w:id="139" w:name="_Toc28218"/>
      <w:bookmarkStart w:id="140" w:name="_Toc351203632"/>
      <w:bookmarkStart w:id="141" w:name="_Toc373227691"/>
      <w:bookmarkStart w:id="142" w:name="_Toc373478338"/>
      <w:r>
        <w:rPr>
          <w:rFonts w:hint="eastAsia" w:eastAsia="黑体"/>
          <w:b/>
          <w:bCs/>
          <w:color w:val="auto"/>
          <w:kern w:val="44"/>
          <w:sz w:val="32"/>
          <w:szCs w:val="44"/>
          <w:highlight w:val="none"/>
        </w:rPr>
        <w:t>第二部分 通用</w:t>
      </w:r>
      <w:r>
        <w:rPr>
          <w:rFonts w:eastAsia="黑体"/>
          <w:b/>
          <w:bCs/>
          <w:color w:val="auto"/>
          <w:kern w:val="44"/>
          <w:sz w:val="32"/>
          <w:szCs w:val="44"/>
          <w:highlight w:val="none"/>
        </w:rPr>
        <w:t>合同条款</w:t>
      </w:r>
      <w:bookmarkEnd w:id="135"/>
      <w:bookmarkEnd w:id="136"/>
      <w:bookmarkEnd w:id="137"/>
      <w:bookmarkEnd w:id="138"/>
      <w:bookmarkEnd w:id="139"/>
    </w:p>
    <w:p>
      <w:pPr>
        <w:spacing w:line="360" w:lineRule="auto"/>
        <w:ind w:firstLine="420" w:firstLineChars="200"/>
        <w:rPr>
          <w:rFonts w:hAnsi="宋体"/>
          <w:color w:val="auto"/>
          <w:kern w:val="0"/>
          <w:szCs w:val="21"/>
          <w:highlight w:val="none"/>
        </w:rPr>
      </w:pPr>
    </w:p>
    <w:p>
      <w:pPr>
        <w:spacing w:line="360" w:lineRule="auto"/>
        <w:jc w:val="center"/>
        <w:rPr>
          <w:rFonts w:hAnsi="宋体"/>
          <w:b/>
          <w:color w:val="auto"/>
          <w:kern w:val="0"/>
          <w:szCs w:val="21"/>
          <w:highlight w:val="none"/>
        </w:rPr>
      </w:pPr>
      <w:r>
        <w:rPr>
          <w:rFonts w:hint="eastAsia" w:hAnsi="宋体"/>
          <w:b/>
          <w:color w:val="auto"/>
          <w:kern w:val="0"/>
          <w:szCs w:val="21"/>
          <w:highlight w:val="none"/>
        </w:rPr>
        <w:t>采用《</w:t>
      </w:r>
      <w:r>
        <w:rPr>
          <w:rFonts w:hAnsi="宋体"/>
          <w:b/>
          <w:color w:val="auto"/>
          <w:kern w:val="0"/>
          <w:szCs w:val="21"/>
          <w:highlight w:val="none"/>
        </w:rPr>
        <w:t>建设工程施工合同（示范文本）</w:t>
      </w:r>
      <w:r>
        <w:rPr>
          <w:rFonts w:hint="eastAsia" w:hAnsi="宋体"/>
          <w:b/>
          <w:color w:val="auto"/>
          <w:kern w:val="0"/>
          <w:szCs w:val="21"/>
          <w:highlight w:val="none"/>
        </w:rPr>
        <w:t>》</w:t>
      </w:r>
      <w:r>
        <w:rPr>
          <w:rFonts w:hAnsi="宋体"/>
          <w:b/>
          <w:color w:val="auto"/>
          <w:kern w:val="0"/>
          <w:szCs w:val="21"/>
          <w:highlight w:val="none"/>
        </w:rPr>
        <w:t>（GF—201</w:t>
      </w:r>
      <w:r>
        <w:rPr>
          <w:rFonts w:hint="eastAsia" w:hAnsi="宋体"/>
          <w:b/>
          <w:color w:val="auto"/>
          <w:kern w:val="0"/>
          <w:szCs w:val="21"/>
          <w:highlight w:val="none"/>
        </w:rPr>
        <w:t>7</w:t>
      </w:r>
      <w:r>
        <w:rPr>
          <w:rFonts w:hAnsi="宋体"/>
          <w:b/>
          <w:color w:val="auto"/>
          <w:kern w:val="0"/>
          <w:szCs w:val="21"/>
          <w:highlight w:val="none"/>
        </w:rPr>
        <w:t>—</w:t>
      </w:r>
      <w:r>
        <w:rPr>
          <w:rFonts w:hint="eastAsia" w:hAnsi="宋体"/>
          <w:b/>
          <w:color w:val="auto"/>
          <w:kern w:val="0"/>
          <w:szCs w:val="21"/>
          <w:highlight w:val="none"/>
        </w:rPr>
        <w:t>0201）。</w:t>
      </w:r>
    </w:p>
    <w:p>
      <w:pPr>
        <w:spacing w:line="360" w:lineRule="auto"/>
        <w:jc w:val="center"/>
        <w:outlineLvl w:val="0"/>
        <w:rPr>
          <w:rFonts w:hAnsi="宋体" w:eastAsia="黑体"/>
          <w:b/>
          <w:bCs/>
          <w:color w:val="auto"/>
          <w:kern w:val="44"/>
          <w:sz w:val="30"/>
          <w:szCs w:val="30"/>
          <w:highlight w:val="none"/>
        </w:rPr>
      </w:pPr>
    </w:p>
    <w:p>
      <w:pPr>
        <w:spacing w:line="360" w:lineRule="auto"/>
        <w:jc w:val="center"/>
        <w:outlineLvl w:val="0"/>
        <w:rPr>
          <w:rFonts w:eastAsia="黑体"/>
          <w:b/>
          <w:bCs/>
          <w:color w:val="auto"/>
          <w:kern w:val="44"/>
          <w:sz w:val="30"/>
          <w:szCs w:val="30"/>
          <w:highlight w:val="none"/>
        </w:rPr>
      </w:pPr>
      <w:bookmarkStart w:id="143" w:name="_Toc22418"/>
      <w:bookmarkStart w:id="144" w:name="_Toc10866"/>
      <w:bookmarkStart w:id="145" w:name="_Toc389065257"/>
      <w:bookmarkStart w:id="146" w:name="_Toc480968446"/>
      <w:bookmarkStart w:id="147" w:name="_Toc499570666"/>
      <w:r>
        <w:rPr>
          <w:rFonts w:hAnsi="宋体" w:eastAsia="黑体"/>
          <w:b/>
          <w:bCs/>
          <w:color w:val="auto"/>
          <w:kern w:val="44"/>
          <w:sz w:val="30"/>
          <w:szCs w:val="30"/>
          <w:highlight w:val="none"/>
        </w:rPr>
        <w:t>第</w:t>
      </w:r>
      <w:r>
        <w:rPr>
          <w:rFonts w:hint="eastAsia" w:hAnsi="宋体" w:eastAsia="黑体"/>
          <w:b/>
          <w:bCs/>
          <w:color w:val="auto"/>
          <w:kern w:val="44"/>
          <w:sz w:val="30"/>
          <w:szCs w:val="30"/>
          <w:highlight w:val="none"/>
        </w:rPr>
        <w:t>三</w:t>
      </w:r>
      <w:r>
        <w:rPr>
          <w:rFonts w:hAnsi="宋体" w:eastAsia="黑体"/>
          <w:b/>
          <w:bCs/>
          <w:color w:val="auto"/>
          <w:kern w:val="44"/>
          <w:sz w:val="30"/>
          <w:szCs w:val="30"/>
          <w:highlight w:val="none"/>
        </w:rPr>
        <w:t>部分</w:t>
      </w:r>
      <w:r>
        <w:rPr>
          <w:rFonts w:eastAsia="黑体"/>
          <w:b/>
          <w:bCs/>
          <w:color w:val="auto"/>
          <w:kern w:val="44"/>
          <w:sz w:val="30"/>
          <w:szCs w:val="30"/>
          <w:highlight w:val="none"/>
        </w:rPr>
        <w:t xml:space="preserve"> </w:t>
      </w:r>
      <w:r>
        <w:rPr>
          <w:rFonts w:hAnsi="宋体" w:eastAsia="黑体"/>
          <w:b/>
          <w:bCs/>
          <w:color w:val="auto"/>
          <w:kern w:val="44"/>
          <w:sz w:val="30"/>
          <w:szCs w:val="30"/>
          <w:highlight w:val="none"/>
        </w:rPr>
        <w:t>专用合同条款</w:t>
      </w:r>
      <w:bookmarkEnd w:id="140"/>
      <w:bookmarkEnd w:id="141"/>
      <w:bookmarkEnd w:id="142"/>
      <w:bookmarkEnd w:id="143"/>
      <w:bookmarkEnd w:id="144"/>
      <w:bookmarkEnd w:id="145"/>
      <w:bookmarkEnd w:id="146"/>
      <w:bookmarkEnd w:id="147"/>
    </w:p>
    <w:p>
      <w:pPr>
        <w:pStyle w:val="5"/>
        <w:spacing w:line="440" w:lineRule="exact"/>
        <w:rPr>
          <w:rFonts w:hint="eastAsia" w:ascii="宋体" w:hAnsi="宋体"/>
          <w:color w:val="auto"/>
          <w:sz w:val="24"/>
          <w:highlight w:val="none"/>
        </w:rPr>
      </w:pPr>
      <w:bookmarkStart w:id="148" w:name="_Toc351203633"/>
      <w:r>
        <w:rPr>
          <w:rFonts w:hint="eastAsia" w:ascii="宋体" w:hAnsi="宋体"/>
          <w:color w:val="auto"/>
          <w:sz w:val="24"/>
          <w:highlight w:val="none"/>
        </w:rPr>
        <w:t>1</w:t>
      </w:r>
      <w:bookmarkStart w:id="149" w:name="_Toc296891196"/>
      <w:bookmarkStart w:id="150" w:name="_Toc296347155"/>
      <w:bookmarkStart w:id="151" w:name="_Toc296346657"/>
      <w:bookmarkStart w:id="152" w:name="_Toc296503156"/>
      <w:bookmarkStart w:id="153" w:name="_Toc296890984"/>
      <w:bookmarkStart w:id="154" w:name="_Toc297048342"/>
      <w:bookmarkStart w:id="155" w:name="_Toc292559866"/>
      <w:bookmarkStart w:id="156" w:name="_Toc292559361"/>
      <w:bookmarkStart w:id="157" w:name="_Toc296944495"/>
      <w:bookmarkStart w:id="158" w:name="_Toc297120456"/>
      <w:r>
        <w:rPr>
          <w:rFonts w:hint="eastAsia" w:ascii="宋体" w:hAnsi="宋体"/>
          <w:color w:val="auto"/>
          <w:sz w:val="24"/>
          <w:highlight w:val="none"/>
        </w:rPr>
        <w:t>.一般约定</w:t>
      </w:r>
      <w:bookmarkEnd w:id="148"/>
    </w:p>
    <w:bookmarkEnd w:id="149"/>
    <w:bookmarkEnd w:id="150"/>
    <w:bookmarkEnd w:id="151"/>
    <w:bookmarkEnd w:id="152"/>
    <w:bookmarkEnd w:id="153"/>
    <w:bookmarkEnd w:id="154"/>
    <w:bookmarkEnd w:id="155"/>
    <w:bookmarkEnd w:id="156"/>
    <w:bookmarkEnd w:id="157"/>
    <w:bookmarkEnd w:id="158"/>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词语定义</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1.1.1合同</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1.1.1.10其他合同文件包括：</w:t>
      </w:r>
      <w:r>
        <w:rPr>
          <w:rFonts w:hint="eastAsia" w:ascii="宋体" w:hAnsi="宋体" w:cs="宋体"/>
          <w:color w:val="auto"/>
          <w:spacing w:val="-4"/>
          <w:szCs w:val="21"/>
          <w:highlight w:val="none"/>
          <w:u w:val="single"/>
        </w:rPr>
        <w:t xml:space="preserve">      招标文件及附件；招标控制价等资料  </w:t>
      </w:r>
      <w:r>
        <w:rPr>
          <w:rFonts w:hint="eastAsia" w:ascii="宋体" w:hAnsi="宋体" w:cs="宋体"/>
          <w:color w:val="auto"/>
          <w:spacing w:val="-4"/>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1.1.2.4监理人：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 设计人：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工程和设备</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1.3法律 </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w:t>
      </w:r>
      <w:r>
        <w:rPr>
          <w:rFonts w:hint="eastAsia" w:hAnsi="宋体"/>
          <w:color w:val="auto"/>
          <w:highlight w:val="none"/>
          <w:u w:val="single"/>
        </w:rPr>
        <w:t>国家、地方、行政主管部门对建设工程项目的有关规范性文件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标准和规范</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color w:val="auto"/>
          <w:szCs w:val="21"/>
          <w:highlight w:val="none"/>
          <w:u w:val="single"/>
        </w:rPr>
        <w:t>经审查的设计施工图规定的各类国标标准和规范，且不仅限于此</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 合同文件的优先顺序</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（1）合同协议书；</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（2）成交通知书（如有）；</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eastAsia="zh-CN"/>
        </w:rPr>
        <w:t>竞标</w:t>
      </w:r>
      <w:r>
        <w:rPr>
          <w:rFonts w:hint="eastAsia" w:ascii="宋体" w:hAnsi="宋体" w:cs="宋体"/>
          <w:color w:val="auto"/>
          <w:szCs w:val="21"/>
          <w:highlight w:val="none"/>
          <w:u w:val="single"/>
        </w:rPr>
        <w:t>函及其附录（如有）；</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（4）专用合同条款及其附件；</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（5）通用合同条款；</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（6）技术标准和要求；</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（7）图纸；</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（8）已标价工程量清单或预算书；</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（9）其他合同文件：      </w:t>
      </w:r>
      <w:r>
        <w:rPr>
          <w:rFonts w:hint="eastAsia" w:ascii="宋体" w:hAnsi="宋体" w:cs="宋体"/>
          <w:color w:val="auto"/>
          <w:szCs w:val="21"/>
          <w:highlight w:val="none"/>
        </w:rPr>
        <w:t>。</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图纸的提供</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 xml:space="preserve"> 发包人在施工合同签订后10天内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 xml:space="preserve">  2  套，承包人需要增加图纸套数的，发包人应代为复制，复制费用由承包人承担；</w:t>
      </w:r>
      <w:r>
        <w:rPr>
          <w:rFonts w:hint="eastAsia" w:ascii="宋体" w:hAnsi="宋体" w:cs="宋体"/>
          <w:color w:val="auto"/>
          <w:szCs w:val="21"/>
          <w:highlight w:val="none"/>
        </w:rPr>
        <w:t>　　　　　　　　　　　　　　　　　　　　　　　　　　　　　　　　　　　　　　　　　　　　　　　　　　　　　　　　　　　　　　　　　　　　　　　　　　　　　　　　　　　　　　　　　　　　　　　　　　　　　　　　　　　　　　　　　　　　　　　　　　　　　　　　　　　　　　　　　　　　　　　　　　　　　　　　　　　　　　　　　　　　　　　　　　　　　　　　　　　　　　　　　　　　　　　　　　　　　　　　　　　　　　　　　　　　　　　　　　　　　　　　　　　　　　　　　　　　　　　　　　　　　　　　　　　　　　　　　　　　　　　　　　　　　　　　　　　　　　　　　　　　　　　　　　　　　　　　　　　　　　　　　　　　　</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 xml:space="preserve">       全部施工图纸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 承包人文件</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承包人须在拿到全套施工图并进场施工前5天，向监理人、发包人提交本工程的施工组织设计及专项施工方案一式陆份。施工组织设计中还要求注明各单项工程、大宗材料设备采购供应总计划、主要施工组织方案以及发包人提出需要的其它文件等内容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工程开工前5天                                 </w:t>
      </w:r>
      <w:r>
        <w:rPr>
          <w:rFonts w:hint="eastAsia" w:ascii="宋体" w:hAnsi="宋体" w:cs="宋体"/>
          <w:color w:val="auto"/>
          <w:szCs w:val="21"/>
          <w:highlight w:val="none"/>
        </w:rPr>
        <w:t>；</w:t>
      </w:r>
    </w:p>
    <w:p>
      <w:pPr>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rPr>
        <w:t xml:space="preserve">    承包人提供的文件的数量为：</w:t>
      </w:r>
      <w:r>
        <w:rPr>
          <w:rFonts w:hint="eastAsia" w:ascii="宋体" w:hAnsi="宋体" w:cs="宋体"/>
          <w:color w:val="auto"/>
          <w:szCs w:val="21"/>
          <w:highlight w:val="none"/>
          <w:u w:val="single"/>
        </w:rPr>
        <w:t xml:space="preserve">        4份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书面形式和电子版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现场图纸准备</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 xml:space="preserve">承包人在施工现场保留一套完整图纸和承包人文件，供发包人、监理人及有关人员进行工程检查时使用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 联络</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 xml:space="preserve"> 3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现场工程部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资料员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双方协商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资料员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双方协商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xml:space="preserve">       资料员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 交通运输</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159" w:name="_Toc300934943"/>
      <w:bookmarkStart w:id="160" w:name="_Toc312677986"/>
      <w:bookmarkStart w:id="161" w:name="_Toc318581155"/>
      <w:bookmarkStart w:id="162" w:name="_Toc304295521"/>
      <w:bookmarkStart w:id="163" w:name="_Toc303539100"/>
      <w:r>
        <w:rPr>
          <w:rFonts w:hint="eastAsia" w:ascii="宋体" w:hAnsi="宋体" w:cs="宋体"/>
          <w:color w:val="auto"/>
          <w:szCs w:val="21"/>
          <w:highlight w:val="none"/>
        </w:rPr>
        <w:t>.10.1 出入现场的权利</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关于出入现场的权利的约定：</w:t>
      </w:r>
      <w:bookmarkEnd w:id="159"/>
      <w:bookmarkEnd w:id="160"/>
      <w:bookmarkEnd w:id="161"/>
      <w:bookmarkEnd w:id="162"/>
      <w:bookmarkEnd w:id="163"/>
      <w:r>
        <w:rPr>
          <w:rFonts w:hint="eastAsia" w:ascii="宋体" w:hAnsi="宋体" w:cs="宋体"/>
          <w:color w:val="auto"/>
          <w:szCs w:val="21"/>
          <w:highlight w:val="none"/>
          <w:u w:val="single"/>
        </w:rPr>
        <w:t xml:space="preserve">                  双方协商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164" w:name="_Toc312677987"/>
      <w:bookmarkStart w:id="165" w:name="_Toc300934944"/>
      <w:bookmarkStart w:id="166" w:name="_Toc303539101"/>
      <w:bookmarkStart w:id="167" w:name="_Toc318581156"/>
      <w:bookmarkStart w:id="168" w:name="_Toc304295522"/>
      <w:r>
        <w:rPr>
          <w:rFonts w:hint="eastAsia" w:ascii="宋体" w:hAnsi="宋体" w:cs="宋体"/>
          <w:color w:val="auto"/>
          <w:szCs w:val="21"/>
          <w:highlight w:val="none"/>
        </w:rPr>
        <w:t>.10.3 场内交通</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 xml:space="preserve">   原则上以工程用地红线界定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 xml:space="preserve">  由承包人根据现场实际自行考虑，费用自理    </w:t>
      </w:r>
      <w:r>
        <w:rPr>
          <w:rFonts w:hint="eastAsia" w:ascii="宋体" w:hAnsi="宋体" w:cs="宋体"/>
          <w:color w:val="auto"/>
          <w:szCs w:val="21"/>
          <w:highlight w:val="none"/>
        </w:rPr>
        <w:t>。</w:t>
      </w:r>
      <w:bookmarkEnd w:id="164"/>
      <w:bookmarkEnd w:id="165"/>
      <w:bookmarkEnd w:id="166"/>
      <w:bookmarkEnd w:id="167"/>
      <w:bookmarkEnd w:id="168"/>
      <w:bookmarkStart w:id="169" w:name="_Toc318581157"/>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1.10.4超大件和超重件的运输</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承担。</w:t>
      </w:r>
    </w:p>
    <w:bookmarkEnd w:id="169"/>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知识产权</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 xml:space="preserve">   </w:t>
      </w:r>
      <w:r>
        <w:rPr>
          <w:rFonts w:hint="eastAsia" w:hAnsi="宋体"/>
          <w:color w:val="auto"/>
          <w:highlight w:val="none"/>
          <w:u w:val="single"/>
        </w:rPr>
        <w:t>按通用条款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r>
        <w:rPr>
          <w:rFonts w:hint="eastAsia" w:hAnsi="宋体"/>
          <w:color w:val="auto"/>
          <w:highlight w:val="none"/>
          <w:u w:val="single"/>
        </w:rPr>
        <w:t>仅限该项工程</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w:t>
      </w:r>
      <w:r>
        <w:rPr>
          <w:rFonts w:hint="eastAsia" w:hAnsi="宋体"/>
          <w:color w:val="auto"/>
          <w:highlight w:val="none"/>
          <w:u w:val="single"/>
        </w:rPr>
        <w:t>按通用条款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由承包人负责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出现工程量清单错误时，是否调整合同价格：</w:t>
      </w:r>
      <w:r>
        <w:rPr>
          <w:rFonts w:hint="eastAsia" w:ascii="宋体" w:hAnsi="宋体" w:cs="宋体"/>
          <w:color w:val="auto"/>
          <w:szCs w:val="21"/>
          <w:highlight w:val="none"/>
          <w:u w:val="single"/>
          <w:lang w:eastAsia="zh-CN"/>
        </w:rPr>
        <w:sym w:font="Wingdings 2" w:char="0052"/>
      </w:r>
      <w:r>
        <w:rPr>
          <w:rFonts w:hint="eastAsia" w:ascii="宋体" w:hAnsi="宋体" w:cs="宋体"/>
          <w:color w:val="auto"/>
          <w:szCs w:val="21"/>
          <w:highlight w:val="none"/>
          <w:u w:val="single"/>
        </w:rPr>
        <w:t xml:space="preserve">是     </w:t>
      </w:r>
      <w:r>
        <w:rPr>
          <w:rFonts w:hint="eastAsia" w:ascii="MS Mincho" w:hAnsi="MS Mincho" w:cs="MS Mincho"/>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kern w:val="0"/>
          <w:szCs w:val="21"/>
          <w:highlight w:val="none"/>
        </w:rPr>
        <w:t>。</w:t>
      </w:r>
    </w:p>
    <w:p>
      <w:pPr>
        <w:spacing w:line="360" w:lineRule="auto"/>
        <w:ind w:firstLine="420" w:firstLineChars="200"/>
        <w:rPr>
          <w:rFonts w:hAnsi="宋体"/>
          <w:color w:val="auto"/>
          <w:highlight w:val="none"/>
        </w:rPr>
      </w:pPr>
      <w:r>
        <w:rPr>
          <w:rFonts w:hint="eastAsia" w:ascii="宋体" w:hAnsi="宋体" w:cs="宋体"/>
          <w:color w:val="auto"/>
          <w:szCs w:val="21"/>
          <w:highlight w:val="none"/>
        </w:rPr>
        <w:t xml:space="preserve">    </w:t>
      </w:r>
      <w:r>
        <w:rPr>
          <w:rFonts w:hint="eastAsia" w:hAnsi="宋体"/>
          <w:color w:val="auto"/>
          <w:highlight w:val="none"/>
        </w:rPr>
        <w:t>允许调整合同价格的工程量偏差范围及其调整办法：</w:t>
      </w:r>
    </w:p>
    <w:p>
      <w:pPr>
        <w:spacing w:line="360" w:lineRule="auto"/>
        <w:ind w:firstLine="420" w:firstLineChars="200"/>
        <w:rPr>
          <w:color w:val="auto"/>
          <w:kern w:val="0"/>
          <w:highlight w:val="none"/>
        </w:rPr>
      </w:pPr>
      <w:r>
        <w:rPr>
          <w:rFonts w:hint="eastAsia" w:ascii="宋体" w:hAnsi="宋体" w:cs="宋体"/>
          <w:color w:val="auto"/>
          <w:highlight w:val="none"/>
          <w:lang w:eastAsia="zh-CN"/>
        </w:rPr>
        <w:sym w:font="Wingdings 2" w:char="0052"/>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rFonts w:hint="eastAsia" w:hAnsi="宋体" w:cs="宋体"/>
          <w:color w:val="auto"/>
          <w:kern w:val="0"/>
          <w:highlight w:val="none"/>
        </w:rPr>
        <w:t>。</w:t>
      </w:r>
    </w:p>
    <w:p>
      <w:pPr>
        <w:spacing w:line="360" w:lineRule="auto"/>
        <w:ind w:firstLine="420" w:firstLineChars="200"/>
        <w:rPr>
          <w:rFonts w:hint="eastAsia" w:hAnsi="宋体" w:cs="宋体"/>
          <w:color w:val="auto"/>
          <w:highlight w:val="none"/>
          <w:u w:val="single"/>
        </w:rPr>
      </w:pPr>
      <w:r>
        <w:rPr>
          <w:rFonts w:hint="eastAsia" w:ascii="宋体" w:hAnsi="宋体" w:cs="宋体"/>
          <w:color w:val="auto"/>
          <w:highlight w:val="none"/>
        </w:rPr>
        <w:t>□</w:t>
      </w:r>
      <w:r>
        <w:rPr>
          <w:rFonts w:hint="eastAsia" w:ascii="Calibri" w:hAnsi="宋体" w:cs="宋体"/>
          <w:color w:val="auto"/>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2.2 发包人代表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发包人代表：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代表发包人与监理工程师协调与本工程有关的事宜，并行使合同约定的发包人权利，履行合同约定发包人的职责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提供施工现场</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双方协商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提供施工条件</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资金来源证明及支付担保</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5"/>
        <w:spacing w:line="440" w:lineRule="exact"/>
        <w:rPr>
          <w:rFonts w:hint="eastAsia" w:ascii="宋体" w:hAnsi="宋体"/>
          <w:color w:val="auto"/>
          <w:highlight w:val="none"/>
        </w:rPr>
      </w:pPr>
      <w:bookmarkStart w:id="170" w:name="_Toc351203635"/>
      <w:r>
        <w:rPr>
          <w:rFonts w:hint="eastAsia" w:ascii="宋体" w:hAnsi="宋体"/>
          <w:color w:val="auto"/>
          <w:sz w:val="24"/>
          <w:highlight w:val="none"/>
        </w:rPr>
        <w:t>3</w:t>
      </w:r>
      <w:bookmarkStart w:id="171" w:name="_Toc296891198"/>
      <w:bookmarkStart w:id="172" w:name="_Toc296944497"/>
      <w:bookmarkStart w:id="173" w:name="_Toc292559868"/>
      <w:bookmarkStart w:id="174" w:name="_Toc297120458"/>
      <w:bookmarkStart w:id="175" w:name="_Toc292559363"/>
      <w:bookmarkStart w:id="176" w:name="_Toc296503158"/>
      <w:bookmarkStart w:id="177" w:name="_Toc297048344"/>
      <w:bookmarkStart w:id="178" w:name="_Toc296890986"/>
      <w:bookmarkStart w:id="179" w:name="_Toc296347157"/>
      <w:bookmarkStart w:id="180" w:name="_Toc296346659"/>
      <w:r>
        <w:rPr>
          <w:rFonts w:hint="eastAsia" w:ascii="宋体" w:hAnsi="宋体"/>
          <w:color w:val="auto"/>
          <w:sz w:val="24"/>
          <w:highlight w:val="none"/>
        </w:rPr>
        <w:t>. 承包人</w:t>
      </w:r>
      <w:bookmarkEnd w:id="170"/>
    </w:p>
    <w:bookmarkEnd w:id="171"/>
    <w:bookmarkEnd w:id="172"/>
    <w:bookmarkEnd w:id="173"/>
    <w:bookmarkEnd w:id="174"/>
    <w:bookmarkEnd w:id="175"/>
    <w:bookmarkEnd w:id="176"/>
    <w:bookmarkEnd w:id="177"/>
    <w:bookmarkEnd w:id="178"/>
    <w:bookmarkEnd w:id="179"/>
    <w:bookmarkEnd w:id="180"/>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承包人的一般义务</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按国家规范工程竣工验收有关规定，向发包人提供完整的（含现场隐蔽工程照片、录像）竣工资料一式陆套及竣工验收报告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双方协商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承包人承担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竣工验收整改完成后15日内</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按</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 xml:space="preserve">市建设行政主管部门和城市建设档案管理机构的相关要求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（10）承包人应履行的其他义务：</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项目结算审计的审减率在5%以内的，审计费用由建设单位支付，审减率超过5%的，审计费用由施工单位支付，从工程结算价款中扣除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项目经理</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spacing w:line="440" w:lineRule="exact"/>
        <w:ind w:firstLine="420" w:firstLineChars="200"/>
        <w:rPr>
          <w:color w:val="auto"/>
          <w:highlight w:val="none"/>
        </w:rPr>
      </w:pPr>
      <w:r>
        <w:rPr>
          <w:rFonts w:hint="eastAsia" w:ascii="宋体" w:hAnsi="宋体" w:cs="宋体"/>
          <w:color w:val="auto"/>
          <w:szCs w:val="21"/>
          <w:highlight w:val="none"/>
        </w:rPr>
        <w:t xml:space="preserve">姓    </w:t>
      </w:r>
      <w:r>
        <w:rPr>
          <w:rFonts w:hint="eastAsia"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rFonts w:hAnsi="宋体"/>
          <w:color w:val="auto"/>
          <w:highlight w:val="none"/>
        </w:rPr>
      </w:pPr>
      <w:r>
        <w:rPr>
          <w:rFonts w:hint="eastAsia"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按有关规定执行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 1000   元/日（人民币） </w:t>
      </w:r>
      <w:r>
        <w:rPr>
          <w:rFonts w:hint="eastAsia" w:ascii="宋体" w:hAnsi="宋体" w:cs="宋体"/>
          <w:color w:val="auto"/>
          <w:szCs w:val="21"/>
          <w:highlight w:val="none"/>
        </w:rPr>
        <w:t>。</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3.2.3 承包人擅自更换项目经理的违约责任：</w:t>
      </w:r>
      <w:r>
        <w:rPr>
          <w:rFonts w:hint="eastAsia" w:ascii="宋体" w:hAnsi="宋体" w:cs="宋体"/>
          <w:color w:val="auto"/>
          <w:szCs w:val="21"/>
          <w:highlight w:val="none"/>
          <w:u w:val="single"/>
        </w:rPr>
        <w:t>承包人项目经理必须与承包人</w:t>
      </w:r>
      <w:r>
        <w:rPr>
          <w:rFonts w:hint="eastAsia" w:ascii="宋体" w:hAnsi="宋体" w:cs="宋体"/>
          <w:color w:val="auto"/>
          <w:szCs w:val="21"/>
          <w:highlight w:val="none"/>
          <w:u w:val="single"/>
          <w:lang w:eastAsia="zh-CN"/>
        </w:rPr>
        <w:t>竞标</w:t>
      </w:r>
      <w:r>
        <w:rPr>
          <w:rFonts w:hint="eastAsia" w:ascii="宋体" w:hAnsi="宋体" w:cs="宋体"/>
          <w:color w:val="auto"/>
          <w:szCs w:val="21"/>
          <w:highlight w:val="none"/>
          <w:u w:val="single"/>
        </w:rPr>
        <w:t>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前，项目经理不得同时兼任其他任何项目的项目经理（符合桂建管﹝2013﹞17号和桂建管﹝2014﹞25号文除外）。未经发包人书面同意，承包人擅自更换项目经理的视为违约，违约金处30000元/人•次（人民币）</w:t>
      </w:r>
      <w:r>
        <w:rPr>
          <w:rFonts w:hint="eastAsia" w:ascii="宋体" w:hAnsi="宋体" w:cs="宋体"/>
          <w:color w:val="auto"/>
          <w:szCs w:val="21"/>
          <w:highlight w:val="none"/>
        </w:rPr>
        <w:t>。</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因承包人项目经理不称职，发包人要求调换而未及时调换的，视为承包人违约，必须向发包人交纳处罚金30000 元/人•次（人民币）</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承包人人员</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3.3.1承包人提交项目管理机构及施工现场管理人员安排报告（格式见合同附件3）的期限：</w:t>
      </w:r>
      <w:r>
        <w:rPr>
          <w:rFonts w:hint="eastAsia" w:ascii="宋体" w:hAnsi="宋体" w:cs="宋体"/>
          <w:color w:val="auto"/>
          <w:szCs w:val="21"/>
          <w:highlight w:val="none"/>
          <w:u w:val="single"/>
        </w:rPr>
        <w:t xml:space="preserve"> 开工前2天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   20000 元/人•次（人民币）；专业工程师 10000  元/人•次（人民币）</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 xml:space="preserve">发包人认可后方可离开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20000  元/人•次（人民币）违约金；擅自更换专职安全员处 20000   元/人•次（人民币）违约金；擅自更换其它在场管理人员处  10000 元/人•次（人民币）违约金</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   1000 元/人•次（人民币）；未经发包人同意，专职安全员擅自离岗的，视为承包人违约，发包人有权处违约金  1000  元/人•次（人民币）；其它在场管理人员擅自离岗的，视为承包人违约，发包人有权处违约金 1000   元/人•次（人民币）</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181" w:name="_Toc303539102"/>
      <w:bookmarkStart w:id="182" w:name="_Toc297123492"/>
      <w:bookmarkStart w:id="183" w:name="_Toc292559869"/>
      <w:bookmarkStart w:id="184" w:name="_Toc296347158"/>
      <w:bookmarkStart w:id="185" w:name="_Toc296346660"/>
      <w:bookmarkStart w:id="186" w:name="_Toc300934945"/>
      <w:bookmarkStart w:id="187" w:name="_Toc304295523"/>
      <w:bookmarkStart w:id="188" w:name="_Toc296891199"/>
      <w:bookmarkStart w:id="189" w:name="_Toc297048345"/>
      <w:bookmarkStart w:id="190" w:name="_Toc296944498"/>
      <w:bookmarkStart w:id="191" w:name="_Toc296503159"/>
      <w:bookmarkStart w:id="192" w:name="_Toc296890987"/>
      <w:bookmarkStart w:id="193" w:name="_Toc297120459"/>
      <w:bookmarkStart w:id="194" w:name="_Toc292559364"/>
      <w:bookmarkStart w:id="195" w:name="_Toc312677988"/>
      <w:bookmarkStart w:id="196" w:name="_Toc297216151"/>
      <w:r>
        <w:rPr>
          <w:rFonts w:hint="eastAsia" w:ascii="宋体" w:hAnsi="宋体" w:cs="宋体"/>
          <w:color w:val="auto"/>
          <w:szCs w:val="21"/>
          <w:highlight w:val="none"/>
        </w:rPr>
        <w:t>.5 分包</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197" w:name="_Toc296503160"/>
      <w:bookmarkStart w:id="198" w:name="_Toc300934946"/>
      <w:bookmarkStart w:id="199" w:name="_Toc303539103"/>
      <w:bookmarkStart w:id="200" w:name="_Toc292559365"/>
      <w:bookmarkStart w:id="201" w:name="_Toc296346661"/>
      <w:bookmarkStart w:id="202" w:name="_Toc297048346"/>
      <w:bookmarkStart w:id="203" w:name="_Toc297120460"/>
      <w:bookmarkStart w:id="204" w:name="_Toc292559870"/>
      <w:bookmarkStart w:id="205" w:name="_Toc296944499"/>
      <w:bookmarkStart w:id="206" w:name="_Toc304295524"/>
      <w:bookmarkStart w:id="207" w:name="_Toc296347159"/>
      <w:bookmarkStart w:id="208" w:name="_Toc297123493"/>
      <w:bookmarkStart w:id="209" w:name="_Toc296890988"/>
      <w:bookmarkStart w:id="210" w:name="_Toc296891200"/>
      <w:bookmarkStart w:id="211" w:name="_Toc297216152"/>
      <w:bookmarkStart w:id="212" w:name="_Toc312677989"/>
      <w:bookmarkStart w:id="213" w:name="_Toc318581158"/>
      <w:r>
        <w:rPr>
          <w:rFonts w:hint="eastAsia" w:ascii="宋体" w:hAnsi="宋体" w:cs="宋体"/>
          <w:color w:val="auto"/>
          <w:szCs w:val="21"/>
          <w:highlight w:val="none"/>
        </w:rPr>
        <w:t>.5.1 分包的一般约定</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本工程不允许分包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　　       /               　　</w:t>
      </w:r>
      <w:r>
        <w:rPr>
          <w:rFonts w:hint="eastAsia" w:ascii="宋体" w:hAnsi="宋体" w:cs="宋体"/>
          <w:color w:val="auto"/>
          <w:szCs w:val="21"/>
          <w:highlight w:val="none"/>
        </w:rPr>
        <w: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Start w:id="214" w:name="_Toc296347160"/>
      <w:bookmarkStart w:id="215" w:name="_Toc297048347"/>
      <w:bookmarkStart w:id="216" w:name="_Toc296944500"/>
      <w:bookmarkStart w:id="217" w:name="_Toc303539104"/>
      <w:bookmarkStart w:id="218" w:name="_Toc297123494"/>
      <w:bookmarkStart w:id="219" w:name="_Toc296346662"/>
      <w:bookmarkStart w:id="220" w:name="_Toc300934947"/>
      <w:bookmarkStart w:id="221" w:name="_Toc297216153"/>
      <w:bookmarkStart w:id="222" w:name="_Toc297120461"/>
      <w:bookmarkStart w:id="223" w:name="_Toc304295525"/>
      <w:bookmarkStart w:id="224" w:name="_Toc296890989"/>
      <w:bookmarkStart w:id="225" w:name="_Toc296891201"/>
      <w:bookmarkStart w:id="226" w:name="_Toc296503161"/>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3</w:t>
      </w:r>
      <w:bookmarkStart w:id="227" w:name="_Toc312677990"/>
      <w:bookmarkStart w:id="228" w:name="_Toc318581159"/>
      <w:r>
        <w:rPr>
          <w:rFonts w:hint="eastAsia" w:ascii="宋体" w:hAnsi="宋体" w:cs="宋体"/>
          <w:color w:val="auto"/>
          <w:szCs w:val="21"/>
          <w:highlight w:val="none"/>
        </w:rPr>
        <w:t>.5.2分包的确定</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其他关于分包的约定：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（2）在相关分包合同签订并报送有关建设行政主管部门备案后7天内，承包人应当将一份副本提交给监理人，承包人应保障分包工作不得再次分包。</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（4）承包人有以下情况之一者，发包人有权解除合同：</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①个人承包工程，包括本人单位及外单位人员承包，发包人不承认其个人拥有任何资质等级及营业许可资格。</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②几个人联合承包工程，就地组织暗分包队伍，不具备完成本工程的技术、机械能力，被发包人判定为没有能力履行的承包人。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③就地转包全部的工程，以谋取高额转让费、管理费的承包人。</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3.5.4 分包合同价款</w:t>
      </w:r>
    </w:p>
    <w:bookmarkEnd w:id="227"/>
    <w:bookmarkEnd w:id="228"/>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工程照管与成品、半成品保护</w:t>
      </w:r>
    </w:p>
    <w:p>
      <w:pPr>
        <w:spacing w:line="44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rPr>
        <w:t xml:space="preserve">   施工开始至竣工，承包人自行保护、同时费用自理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 履约保证金</w:t>
      </w:r>
    </w:p>
    <w:p>
      <w:pPr>
        <w:spacing w:line="440" w:lineRule="exact"/>
        <w:ind w:firstLine="420" w:firstLineChars="200"/>
        <w:jc w:val="left"/>
        <w:rPr>
          <w:rFonts w:hint="eastAsia" w:ascii="宋体" w:hAnsi="宋体" w:cs="宋体"/>
          <w:color w:val="auto"/>
          <w:szCs w:val="21"/>
          <w:highlight w:val="none"/>
        </w:rPr>
      </w:pPr>
      <w:bookmarkStart w:id="229" w:name="_Toc351203636"/>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否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承包人在</w:t>
      </w:r>
      <w:r>
        <w:rPr>
          <w:rFonts w:hint="eastAsia" w:ascii="宋体" w:hAnsi="宋体" w:cs="宋体"/>
          <w:color w:val="auto"/>
          <w:szCs w:val="21"/>
          <w:highlight w:val="none"/>
          <w:u w:val="single"/>
          <w:lang w:eastAsia="zh-CN"/>
        </w:rPr>
        <w:t>成交</w:t>
      </w:r>
      <w:r>
        <w:rPr>
          <w:rFonts w:hint="eastAsia" w:ascii="宋体" w:hAnsi="宋体" w:cs="宋体"/>
          <w:color w:val="auto"/>
          <w:szCs w:val="21"/>
          <w:highlight w:val="none"/>
          <w:u w:val="single"/>
        </w:rPr>
        <w:t>后7个工作日内，按         （各市住房城乡建设行政主管部门规定）规定将农民工工资保障金存入帐户。工程竣工验收结算经审定后，按照规定程序，将农民工工资保障金没有使用或剩余的金额退还给承包人。</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低价风险保证金（如有）在工程竣工验收合格之日起7个日历天内，发包人一次性退还给承包人（无息）。</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4</w:t>
      </w:r>
      <w:bookmarkStart w:id="230" w:name="_Toc297048348"/>
      <w:bookmarkStart w:id="231" w:name="_Toc296346663"/>
      <w:bookmarkStart w:id="232" w:name="_Toc296503162"/>
      <w:bookmarkStart w:id="233" w:name="_Toc296891202"/>
      <w:bookmarkStart w:id="234" w:name="_Toc292559366"/>
      <w:bookmarkStart w:id="235" w:name="_Toc292559871"/>
      <w:bookmarkStart w:id="236" w:name="_Toc296890990"/>
      <w:bookmarkStart w:id="237" w:name="_Toc267251413"/>
      <w:bookmarkStart w:id="238" w:name="_Toc296347161"/>
      <w:bookmarkStart w:id="239" w:name="_Toc296944501"/>
      <w:bookmarkStart w:id="240" w:name="_Toc297120462"/>
      <w:r>
        <w:rPr>
          <w:rFonts w:hint="eastAsia" w:ascii="宋体" w:hAnsi="宋体" w:cs="宋体"/>
          <w:b/>
          <w:color w:val="auto"/>
          <w:sz w:val="24"/>
          <w:highlight w:val="none"/>
        </w:rPr>
        <w:t>. 监</w:t>
      </w:r>
      <w:bookmarkEnd w:id="230"/>
      <w:bookmarkEnd w:id="231"/>
      <w:bookmarkEnd w:id="232"/>
      <w:bookmarkEnd w:id="233"/>
      <w:bookmarkEnd w:id="234"/>
      <w:bookmarkEnd w:id="235"/>
      <w:bookmarkEnd w:id="236"/>
      <w:bookmarkEnd w:id="237"/>
      <w:bookmarkEnd w:id="238"/>
      <w:bookmarkEnd w:id="239"/>
      <w:bookmarkEnd w:id="240"/>
      <w:r>
        <w:rPr>
          <w:rFonts w:hint="eastAsia" w:ascii="宋体" w:hAnsi="宋体" w:cs="宋体"/>
          <w:b/>
          <w:color w:val="auto"/>
          <w:sz w:val="24"/>
          <w:highlight w:val="none"/>
        </w:rPr>
        <w:t>理人</w:t>
      </w:r>
      <w:bookmarkEnd w:id="229"/>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4.1监理人的一般规定</w:t>
      </w:r>
    </w:p>
    <w:p>
      <w:pPr>
        <w:adjustRightInd w:val="0"/>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见《建设工程监理委托合同》                           </w:t>
      </w:r>
      <w:r>
        <w:rPr>
          <w:rFonts w:hint="eastAsia" w:ascii="宋体" w:hAnsi="宋体" w:cs="宋体"/>
          <w:color w:val="auto"/>
          <w:szCs w:val="21"/>
          <w:highlight w:val="none"/>
        </w:rPr>
        <w:t>。</w:t>
      </w:r>
    </w:p>
    <w:p>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见《建设工程监理委托合同》                    </w:t>
      </w:r>
      <w:r>
        <w:rPr>
          <w:rFonts w:hint="eastAsia" w:ascii="宋体" w:hAnsi="宋体" w:cs="宋体"/>
          <w:color w:val="auto"/>
          <w:szCs w:val="21"/>
          <w:highlight w:val="non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 监理人员</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pPr>
        <w:spacing w:line="440" w:lineRule="exact"/>
        <w:ind w:firstLine="420" w:firstLineChars="200"/>
        <w:rPr>
          <w:color w:val="auto"/>
          <w:highlight w:val="none"/>
        </w:rPr>
      </w:pPr>
      <w:r>
        <w:rPr>
          <w:rFonts w:hint="eastAsia" w:ascii="宋体" w:hAnsi="宋体" w:cs="宋体"/>
          <w:color w:val="auto"/>
          <w:szCs w:val="21"/>
          <w:highlight w:val="none"/>
        </w:rPr>
        <w:t xml:space="preserve">姓    </w:t>
      </w:r>
      <w:r>
        <w:rPr>
          <w:rFonts w:hint="eastAsia"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职</w:t>
      </w:r>
      <w:r>
        <w:rPr>
          <w:color w:val="auto"/>
          <w:highlight w:val="none"/>
        </w:rPr>
        <w:t xml:space="preserve">    </w:t>
      </w:r>
      <w:r>
        <w:rPr>
          <w:rFonts w:hint="eastAsia"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rFonts w:hAnsi="宋体"/>
          <w:color w:val="auto"/>
          <w:highlight w:val="none"/>
        </w:rPr>
      </w:pPr>
      <w:r>
        <w:rPr>
          <w:rFonts w:hint="eastAsia" w:hAnsi="宋体"/>
          <w:color w:val="auto"/>
          <w:highlight w:val="none"/>
        </w:rPr>
        <w:t>监理工程师执业资格证书号：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color w:val="auto"/>
          <w:highlight w:val="none"/>
        </w:rPr>
      </w:pPr>
      <w:r>
        <w:rPr>
          <w:rFonts w:hint="eastAsia"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hAnsi="宋体"/>
          <w:color w:val="auto"/>
          <w:highlight w:val="none"/>
        </w:rPr>
        <w:t>；</w:t>
      </w:r>
    </w:p>
    <w:p>
      <w:pPr>
        <w:spacing w:line="440" w:lineRule="exact"/>
        <w:ind w:firstLine="420" w:firstLineChars="200"/>
        <w:rPr>
          <w:rFonts w:hint="eastAsia" w:ascii="宋体" w:hAnsi="宋体" w:cs="宋体"/>
          <w:color w:val="auto"/>
          <w:szCs w:val="21"/>
          <w:highlight w:val="none"/>
        </w:rPr>
      </w:pPr>
      <w:r>
        <w:rPr>
          <w:rFonts w:hint="eastAsia"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 商定或确定</w:t>
      </w:r>
    </w:p>
    <w:p>
      <w:pPr>
        <w:spacing w:line="440" w:lineRule="exact"/>
        <w:ind w:firstLine="420" w:firstLineChars="200"/>
        <w:rPr>
          <w:rFonts w:hint="eastAsia" w:ascii="宋体" w:hAnsi="宋体" w:cs="宋体"/>
          <w:color w:val="auto"/>
          <w:szCs w:val="21"/>
          <w:highlight w:val="none"/>
        </w:rPr>
      </w:pPr>
      <w:bookmarkStart w:id="241" w:name="_Toc267251418"/>
      <w:r>
        <w:rPr>
          <w:rFonts w:hint="eastAsia" w:ascii="宋体" w:hAnsi="宋体" w:cs="宋体"/>
          <w:color w:val="auto"/>
          <w:szCs w:val="21"/>
          <w:highlight w:val="none"/>
        </w:rPr>
        <w:t>在发包人和承包人不能通过协商达成一致意见时，发包人授权监理人对以下事项进行确定：</w:t>
      </w:r>
    </w:p>
    <w:p>
      <w:pPr>
        <w:autoSpaceDE w:val="0"/>
        <w:autoSpaceDN w:val="0"/>
        <w:adjustRightInd w:val="0"/>
        <w:spacing w:line="440" w:lineRule="exact"/>
        <w:ind w:firstLine="420" w:firstLineChars="200"/>
        <w:jc w:val="left"/>
        <w:rPr>
          <w:color w:val="auto"/>
          <w:kern w:val="0"/>
          <w:highlight w:val="none"/>
        </w:rPr>
      </w:pPr>
      <w:r>
        <w:rPr>
          <w:rFonts w:hint="eastAsia" w:ascii="宋体" w:hAnsi="宋体" w:cs="宋体"/>
          <w:color w:val="auto"/>
          <w:kern w:val="0"/>
          <w:szCs w:val="21"/>
          <w:highlight w:val="none"/>
        </w:rPr>
        <w:t>（1）</w:t>
      </w:r>
      <w:r>
        <w:rPr>
          <w:color w:val="auto"/>
          <w:highlight w:val="none"/>
          <w:u w:val="single"/>
        </w:rPr>
        <w:t xml:space="preserve">  </w:t>
      </w:r>
      <w:r>
        <w:rPr>
          <w:rFonts w:hint="eastAsia"/>
          <w:color w:val="auto"/>
          <w:highlight w:val="none"/>
          <w:u w:val="single"/>
        </w:rPr>
        <w:t>按通用条款</w:t>
      </w:r>
      <w:r>
        <w:rPr>
          <w:color w:val="auto"/>
          <w:highlight w:val="none"/>
          <w:u w:val="single"/>
        </w:rPr>
        <w:t xml:space="preserve">    </w:t>
      </w:r>
      <w:r>
        <w:rPr>
          <w:rFonts w:hint="eastAsia" w:hAnsi="宋体"/>
          <w:color w:val="auto"/>
          <w:highlight w:val="none"/>
        </w:rPr>
        <w:t>；</w:t>
      </w:r>
    </w:p>
    <w:p>
      <w:pPr>
        <w:autoSpaceDE w:val="0"/>
        <w:autoSpaceDN w:val="0"/>
        <w:adjustRightInd w:val="0"/>
        <w:spacing w:line="440" w:lineRule="exact"/>
        <w:ind w:firstLine="420" w:firstLineChars="200"/>
        <w:jc w:val="left"/>
        <w:rPr>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highlight w:val="none"/>
          <w:u w:val="single"/>
        </w:rPr>
        <w:t xml:space="preserve">                                   </w:t>
      </w:r>
      <w:r>
        <w:rPr>
          <w:rFonts w:hint="eastAsia" w:hAnsi="宋体"/>
          <w:color w:val="auto"/>
          <w:highlight w:val="none"/>
        </w:rPr>
        <w:t>；</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w:t>
      </w:r>
      <w:r>
        <w:rPr>
          <w:color w:val="auto"/>
          <w:highlight w:val="none"/>
          <w:u w:val="single"/>
        </w:rPr>
        <w:t xml:space="preserve">                                   </w:t>
      </w:r>
      <w:r>
        <w:rPr>
          <w:rFonts w:hint="eastAsia" w:ascii="宋体" w:hAnsi="宋体" w:cs="宋体"/>
          <w:color w:val="auto"/>
          <w:szCs w:val="21"/>
          <w:highlight w:val="none"/>
        </w:rPr>
        <w:t>；</w:t>
      </w:r>
      <w:bookmarkStart w:id="242" w:name="_Toc351203637"/>
    </w:p>
    <w:p>
      <w:pPr>
        <w:autoSpaceDE w:val="0"/>
        <w:autoSpaceDN w:val="0"/>
        <w:adjustRightInd w:val="0"/>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5</w:t>
      </w:r>
      <w:bookmarkEnd w:id="241"/>
      <w:bookmarkStart w:id="243" w:name="_Toc292559367"/>
      <w:bookmarkStart w:id="244" w:name="_Toc296503163"/>
      <w:bookmarkStart w:id="245" w:name="_Toc296890991"/>
      <w:bookmarkStart w:id="246" w:name="_Toc296944502"/>
      <w:bookmarkStart w:id="247" w:name="_Toc297048349"/>
      <w:bookmarkStart w:id="248" w:name="_Toc296891203"/>
      <w:bookmarkStart w:id="249" w:name="_Toc296346664"/>
      <w:bookmarkStart w:id="250" w:name="_Toc296347162"/>
      <w:bookmarkStart w:id="251" w:name="_Toc297120463"/>
      <w:bookmarkStart w:id="252" w:name="_Toc292559872"/>
      <w:r>
        <w:rPr>
          <w:rFonts w:hint="eastAsia" w:ascii="宋体" w:hAnsi="宋体" w:cs="宋体"/>
          <w:b/>
          <w:color w:val="auto"/>
          <w:sz w:val="24"/>
          <w:highlight w:val="none"/>
        </w:rPr>
        <w:t>. 工程质量</w:t>
      </w:r>
      <w:bookmarkEnd w:id="242"/>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质量要求</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bookmarkStart w:id="253" w:name="_Toc304295527"/>
      <w:bookmarkStart w:id="254" w:name="_Toc312677997"/>
      <w:bookmarkStart w:id="255" w:name="_Toc300934949"/>
      <w:bookmarkStart w:id="256" w:name="_Toc297123496"/>
      <w:bookmarkStart w:id="257" w:name="_Toc318581164"/>
      <w:bookmarkStart w:id="258" w:name="_Toc297216155"/>
      <w:bookmarkStart w:id="259" w:name="_Toc30353910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隐蔽工程检查</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小时提交书面延期要求。</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w:t>
      </w:r>
      <w:bookmarkStart w:id="260" w:name="_Toc351203638"/>
    </w:p>
    <w:p>
      <w:pPr>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6. 安全文明施工与环境保护</w:t>
      </w:r>
      <w:bookmarkEnd w:id="260"/>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6.1安全文明施工</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承包人负责 ，所发生费用由承包人承担。承包人的施工安全防护和文明施工措施，应执行《中华人民共和国安全生产法》的有关要求，施工中必须遵守国家颁布的《建设工程安全生产管理条件》、广西壮族自治区及</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市关于安全施工的法律法规和有关标准和规范</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承包人负责 ，所发生费用由承包人承担   </w:t>
      </w:r>
      <w:r>
        <w:rPr>
          <w:rFonts w:hint="eastAsia" w:ascii="宋体" w:hAnsi="宋体" w:cs="宋体"/>
          <w:color w:val="auto"/>
          <w:szCs w:val="21"/>
          <w:highlight w:val="none"/>
        </w:rPr>
        <w:t xml:space="preserve">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6.1.5 文明施工</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p>
    <w:p>
      <w:pPr>
        <w:numPr>
          <w:ilvl w:val="0"/>
          <w:numId w:val="6"/>
        </w:num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本合同价款已包含安全文明施工费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元。</w:t>
      </w:r>
    </w:p>
    <w:p>
      <w:pPr>
        <w:autoSpaceDE w:val="0"/>
        <w:autoSpaceDN w:val="0"/>
        <w:adjustRightInd w:val="0"/>
        <w:spacing w:line="440" w:lineRule="exact"/>
        <w:ind w:firstLine="420" w:firstLineChars="200"/>
        <w:jc w:val="left"/>
        <w:rPr>
          <w:rFonts w:hAnsi="宋体"/>
          <w:color w:val="auto"/>
          <w:kern w:val="0"/>
          <w:highlight w:val="none"/>
        </w:rPr>
      </w:pPr>
      <w:r>
        <w:rPr>
          <w:rFonts w:hint="eastAsia" w:ascii="宋体" w:hAnsi="宋体" w:cs="宋体"/>
          <w:color w:val="auto"/>
          <w:kern w:val="0"/>
          <w:szCs w:val="21"/>
          <w:highlight w:val="none"/>
        </w:rPr>
        <w:t>（2）</w:t>
      </w:r>
      <w:r>
        <w:rPr>
          <w:rFonts w:hint="eastAsia" w:hAnsi="宋体"/>
          <w:color w:val="auto"/>
          <w:kern w:val="0"/>
          <w:highlight w:val="none"/>
        </w:rPr>
        <w:t>使用要求：专款专用。具体按</w:t>
      </w:r>
      <w:r>
        <w:rPr>
          <w:rFonts w:hint="eastAsia" w:hAnsi="宋体"/>
          <w:color w:val="auto"/>
          <w:kern w:val="0"/>
          <w:highlight w:val="none"/>
          <w:u w:val="single"/>
        </w:rPr>
        <w:t>《广西壮族自治区建设工程安全文明施工费使用管理细则》（桂建质〔2015〕16号）</w:t>
      </w:r>
      <w:r>
        <w:rPr>
          <w:rFonts w:hint="eastAsia" w:hAnsi="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int="eastAsia" w:hAnsi="宋体"/>
          <w:color w:val="auto"/>
          <w:kern w:val="0"/>
          <w:highlight w:val="none"/>
          <w:u w:val="single"/>
          <w:lang w:eastAsia="zh-CN"/>
        </w:rPr>
        <w:t>崇左</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rPr>
        <w:t>市相关规定执行。</w:t>
      </w:r>
    </w:p>
    <w:p>
      <w:pPr>
        <w:autoSpaceDE w:val="0"/>
        <w:autoSpaceDN w:val="0"/>
        <w:adjustRightInd w:val="0"/>
        <w:spacing w:line="410" w:lineRule="exact"/>
        <w:ind w:firstLine="420" w:firstLineChars="200"/>
        <w:jc w:val="left"/>
        <w:rPr>
          <w:rFonts w:hAnsi="宋体" w:cs="宋体"/>
          <w:color w:val="auto"/>
          <w:kern w:val="0"/>
          <w:highlight w:val="none"/>
        </w:rPr>
      </w:pPr>
      <w:r>
        <w:rPr>
          <w:rFonts w:hint="eastAsia" w:hAnsi="宋体"/>
          <w:color w:val="auto"/>
          <w:kern w:val="0"/>
          <w:highlight w:val="none"/>
        </w:rPr>
        <w:t>（3）支付约定：</w:t>
      </w:r>
      <w:r>
        <w:rPr>
          <w:rFonts w:hint="eastAsia"/>
          <w:color w:val="auto"/>
          <w:kern w:val="0"/>
          <w:highlight w:val="none"/>
        </w:rPr>
        <w:t>在本合同签订后</w:t>
      </w:r>
      <w:r>
        <w:rPr>
          <w:rFonts w:hint="eastAsia"/>
          <w:color w:val="auto"/>
          <w:kern w:val="0"/>
          <w:highlight w:val="none"/>
          <w:u w:val="single"/>
        </w:rPr>
        <w:t xml:space="preserve">    </w:t>
      </w:r>
      <w:r>
        <w:rPr>
          <w:rFonts w:hint="eastAsia"/>
          <w:color w:val="auto"/>
          <w:kern w:val="0"/>
          <w:highlight w:val="none"/>
        </w:rPr>
        <w:t>个工作日内，预付安全文明施工费总额的</w:t>
      </w:r>
      <w:r>
        <w:rPr>
          <w:rFonts w:hint="eastAsia"/>
          <w:color w:val="auto"/>
          <w:kern w:val="0"/>
          <w:highlight w:val="none"/>
          <w:u w:val="single"/>
        </w:rPr>
        <w:t xml:space="preserve">     </w:t>
      </w:r>
      <w:r>
        <w:rPr>
          <w:rFonts w:hint="eastAsia"/>
          <w:color w:val="auto"/>
          <w:kern w:val="0"/>
          <w:highlight w:val="none"/>
          <w:u w:val="single"/>
          <w:lang w:val="en-US" w:eastAsia="zh-CN"/>
        </w:rPr>
        <w:t xml:space="preserve">    </w:t>
      </w:r>
      <w:r>
        <w:rPr>
          <w:rFonts w:hint="eastAsia"/>
          <w:color w:val="auto"/>
          <w:kern w:val="0"/>
          <w:highlight w:val="none"/>
        </w:rPr>
        <w:t>，其余部分与进度款同期支付</w:t>
      </w:r>
      <w:r>
        <w:rPr>
          <w:rFonts w:hint="eastAsia" w:cs="宋体"/>
          <w:color w:val="auto"/>
          <w:kern w:val="0"/>
          <w:highlight w:val="none"/>
        </w:rPr>
        <w:t>，安全文明施工费预付款在工程进度款累计金额超过合同价的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highlight w:val="none"/>
        </w:rPr>
        <w:t>。</w:t>
      </w:r>
    </w:p>
    <w:p>
      <w:pPr>
        <w:autoSpaceDE w:val="0"/>
        <w:autoSpaceDN w:val="0"/>
        <w:adjustRightInd w:val="0"/>
        <w:spacing w:line="410" w:lineRule="exact"/>
        <w:ind w:firstLine="420" w:firstLineChars="200"/>
        <w:jc w:val="left"/>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pPr>
        <w:autoSpaceDE w:val="0"/>
        <w:autoSpaceDN w:val="0"/>
        <w:adjustRightInd w:val="0"/>
        <w:spacing w:line="410" w:lineRule="exact"/>
        <w:ind w:firstLine="420" w:firstLineChars="200"/>
        <w:jc w:val="left"/>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pPr>
        <w:autoSpaceDE w:val="0"/>
        <w:autoSpaceDN w:val="0"/>
        <w:adjustRightInd w:val="0"/>
        <w:spacing w:line="410" w:lineRule="exact"/>
        <w:ind w:firstLine="420" w:firstLineChars="200"/>
        <w:jc w:val="left"/>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pPr>
        <w:pStyle w:val="34"/>
        <w:autoSpaceDE w:val="0"/>
        <w:autoSpaceDN w:val="0"/>
        <w:adjustRightInd w:val="0"/>
        <w:spacing w:line="410" w:lineRule="exact"/>
        <w:ind w:firstLine="420" w:firstLineChars="200"/>
        <w:jc w:val="left"/>
        <w:rPr>
          <w:rFonts w:hint="eastAsia" w:hAnsi="宋体"/>
          <w:color w:val="auto"/>
          <w:kern w:val="0"/>
          <w:highlight w:val="none"/>
        </w:rPr>
      </w:pPr>
      <w:r>
        <w:rPr>
          <w:rFonts w:hint="eastAsia" w:hAnsi="宋体" w:cs="宋体"/>
          <w:color w:val="auto"/>
          <w:kern w:val="0"/>
          <w:szCs w:val="22"/>
          <w:highlight w:val="none"/>
        </w:rPr>
        <w:t>（7）安全生产费用专户：</w:t>
      </w:r>
      <w:r>
        <w:rPr>
          <w:rFonts w:hint="eastAsia" w:hAnsi="宋体" w:cs="宋体"/>
          <w:color w:val="auto"/>
          <w:kern w:val="0"/>
          <w:szCs w:val="22"/>
          <w:highlight w:val="none"/>
          <w:u w:val="single"/>
        </w:rPr>
        <w:t xml:space="preserve">       </w:t>
      </w:r>
      <w:r>
        <w:rPr>
          <w:rFonts w:hint="eastAsia" w:hAnsi="宋体" w:cs="宋体"/>
          <w:color w:val="auto"/>
          <w:kern w:val="0"/>
          <w:szCs w:val="22"/>
          <w:highlight w:val="none"/>
        </w:rPr>
        <w:t>安全生产费用专户。     账号：</w:t>
      </w:r>
      <w:r>
        <w:rPr>
          <w:rFonts w:hint="eastAsia" w:hAnsi="宋体" w:cs="宋体"/>
          <w:color w:val="auto"/>
          <w:kern w:val="0"/>
          <w:szCs w:val="22"/>
          <w:highlight w:val="none"/>
          <w:u w:val="single"/>
        </w:rPr>
        <w:t xml:space="preserve">        </w:t>
      </w:r>
      <w:r>
        <w:rPr>
          <w:rFonts w:hint="eastAsia" w:hAnsi="宋体"/>
          <w:color w:val="auto"/>
          <w:kern w:val="0"/>
          <w:highlight w:val="none"/>
          <w:u w:val="none"/>
        </w:rPr>
        <w:t>。</w:t>
      </w:r>
      <w:bookmarkStart w:id="261" w:name="_Toc389065287"/>
      <w:bookmarkStart w:id="262" w:name="_Toc373227721"/>
      <w:bookmarkStart w:id="263" w:name="_Toc395382523"/>
      <w:bookmarkStart w:id="264" w:name="_Toc373478368"/>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6.3 环境保护</w:t>
      </w:r>
      <w:bookmarkEnd w:id="261"/>
      <w:bookmarkEnd w:id="262"/>
      <w:bookmarkEnd w:id="263"/>
      <w:bookmarkEnd w:id="264"/>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因施工需要，经发包人批准，由承包人办理有关施工场地交通、环卫和施工噪音管理等手续，费用由承包人负责。</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经过城市道路的施工车辆，必须按交警、城管、运输等部门相关规定执行。由于施工车辆造成的道路、环境等污染，其责任和费用均由承包人承担。</w:t>
      </w:r>
      <w:bookmarkEnd w:id="253"/>
      <w:bookmarkEnd w:id="254"/>
      <w:bookmarkEnd w:id="255"/>
      <w:bookmarkEnd w:id="256"/>
      <w:bookmarkEnd w:id="257"/>
      <w:bookmarkEnd w:id="258"/>
      <w:bookmarkEnd w:id="259"/>
      <w:bookmarkStart w:id="265" w:name="_Toc351203639"/>
    </w:p>
    <w:p>
      <w:pPr>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7. 工期和进度</w:t>
      </w:r>
      <w:bookmarkEnd w:id="265"/>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 施工组织设计</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向发包人提供      </w:t>
      </w:r>
      <w:r>
        <w:rPr>
          <w:rFonts w:hint="eastAsia" w:ascii="宋体" w:hAnsi="宋体" w:cs="宋体"/>
          <w:color w:val="auto"/>
          <w:szCs w:val="21"/>
          <w:highlight w:val="none"/>
        </w:rPr>
        <w:t>。</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承包人应在开工前7日内，提交详细的施工组织设计，并报送监理人和发包人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收到详细施工组织设计后 7天内确定或提出修改意见。对监理人和发包人提出合理意见和要求，承包人应自行修改完善</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66" w:name="_Toc300934966"/>
      <w:bookmarkStart w:id="267" w:name="_Toc312677479"/>
      <w:bookmarkStart w:id="268" w:name="_Toc304295541"/>
      <w:bookmarkStart w:id="269" w:name="_Toc297123514"/>
      <w:bookmarkStart w:id="270" w:name="_Toc312678005"/>
      <w:bookmarkStart w:id="271" w:name="_Toc303539123"/>
      <w:bookmarkStart w:id="272" w:name="_Toc297216173"/>
      <w:r>
        <w:rPr>
          <w:rFonts w:hint="eastAsia" w:ascii="宋体" w:hAnsi="宋体" w:cs="宋体"/>
          <w:color w:val="auto"/>
          <w:szCs w:val="21"/>
          <w:highlight w:val="none"/>
        </w:rPr>
        <w:t>.2 施工进度计划</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7.2.2 施工进度计划的修订</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承包人应在 开工前7日 编制详细的施工进度计划和施工方案说明报送监理人和发包人，其内容包括： 施工组织设计、专项方案、项目人员配备表等 。监理人和发包人应在7天内批复或提出修改意见，否则该进度计划视为已得到批准。经监理人和发包人批准的施工进度计划称施工进度计划，是控制合同工程进度的依据。承包人还应根据合同进度计划，编制更为详细的分阶段或分项进度计划，报监理人和发包人审批</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 开工</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7.3.1 开工准备</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按审批的施工组织设计约定的期限</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开工前7天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7.3.2开工通知</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天内发出开工通知的，承包人有权提出价格调整要求，或者解除合同。</w:t>
      </w:r>
    </w:p>
    <w:bookmarkEnd w:id="266"/>
    <w:bookmarkEnd w:id="267"/>
    <w:bookmarkEnd w:id="268"/>
    <w:bookmarkEnd w:id="269"/>
    <w:bookmarkEnd w:id="270"/>
    <w:bookmarkEnd w:id="271"/>
    <w:bookmarkEnd w:id="272"/>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 测量放线</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7.4.1发包人通过监理人向承包人提供测量基准点、基准线和水准点及其书面资料的期限：</w:t>
      </w:r>
    </w:p>
    <w:p>
      <w:pPr>
        <w:spacing w:line="440" w:lineRule="exact"/>
        <w:jc w:val="left"/>
        <w:rPr>
          <w:rFonts w:hint="eastAsia" w:ascii="宋体" w:hAnsi="宋体" w:cs="宋体"/>
          <w:color w:val="auto"/>
          <w:szCs w:val="21"/>
          <w:highlight w:val="none"/>
          <w:u w:val="single"/>
        </w:rPr>
      </w:pP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73" w:name="_Toc303539125"/>
      <w:bookmarkStart w:id="274" w:name="_Toc297123516"/>
      <w:bookmarkStart w:id="275" w:name="_Toc297216175"/>
      <w:bookmarkStart w:id="276" w:name="_Toc312677484"/>
      <w:bookmarkStart w:id="277" w:name="_Toc300934968"/>
      <w:bookmarkStart w:id="278" w:name="_Toc304295546"/>
      <w:bookmarkStart w:id="279" w:name="_Toc312678010"/>
      <w:r>
        <w:rPr>
          <w:rFonts w:hint="eastAsia" w:ascii="宋体" w:hAnsi="宋体" w:cs="宋体"/>
          <w:color w:val="auto"/>
          <w:szCs w:val="21"/>
          <w:highlight w:val="none"/>
        </w:rPr>
        <w:t>.5 工期延误</w:t>
      </w:r>
    </w:p>
    <w:bookmarkEnd w:id="273"/>
    <w:bookmarkEnd w:id="274"/>
    <w:bookmarkEnd w:id="275"/>
    <w:bookmarkEnd w:id="276"/>
    <w:bookmarkEnd w:id="277"/>
    <w:bookmarkEnd w:id="278"/>
    <w:bookmarkEnd w:id="279"/>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7.5.1 因发包人原因导致工期延误</w:t>
      </w:r>
    </w:p>
    <w:p>
      <w:pPr>
        <w:spacing w:line="44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bookmarkStart w:id="280" w:name="_Toc312678012"/>
      <w:bookmarkStart w:id="281" w:name="_Toc318581169"/>
      <w:bookmarkStart w:id="282" w:name="_Toc312677486"/>
      <w:bookmarkStart w:id="283" w:name="_Toc297123518"/>
      <w:bookmarkStart w:id="284" w:name="_Toc303539127"/>
      <w:bookmarkStart w:id="285" w:name="_Toc297216177"/>
      <w:bookmarkStart w:id="286" w:name="_Toc304295548"/>
      <w:bookmarkStart w:id="287" w:name="_Toc300934970"/>
      <w:r>
        <w:rPr>
          <w:rFonts w:hint="eastAsia" w:ascii="宋体" w:hAnsi="宋体" w:cs="宋体"/>
          <w:color w:val="auto"/>
          <w:szCs w:val="21"/>
          <w:highlight w:val="none"/>
        </w:rPr>
        <w:t>.5.2 因承包人原因导致工期延误</w:t>
      </w:r>
    </w:p>
    <w:bookmarkEnd w:id="280"/>
    <w:bookmarkEnd w:id="281"/>
    <w:bookmarkEnd w:id="282"/>
    <w:p>
      <w:pPr>
        <w:spacing w:line="440" w:lineRule="exact"/>
        <w:ind w:firstLine="420" w:firstLineChars="200"/>
        <w:jc w:val="left"/>
        <w:rPr>
          <w:color w:val="auto"/>
          <w:highlight w:val="none"/>
        </w:rPr>
      </w:pPr>
      <w:r>
        <w:rPr>
          <w:rFonts w:hint="eastAsia" w:hAnsi="宋体"/>
          <w:color w:val="auto"/>
          <w:highlight w:val="none"/>
        </w:rPr>
        <w:t>双方约定经监理工程师确认，工期相应顺延的情况：</w:t>
      </w:r>
      <w:r>
        <w:rPr>
          <w:color w:val="auto"/>
          <w:highlight w:val="none"/>
          <w:u w:val="single"/>
        </w:rPr>
        <w:t xml:space="preserve">   </w:t>
      </w:r>
      <w:r>
        <w:rPr>
          <w:rFonts w:hint="eastAsia" w:ascii="宋体" w:hAnsi="宋体" w:cs="宋体"/>
          <w:color w:val="auto"/>
          <w:szCs w:val="21"/>
          <w:highlight w:val="none"/>
          <w:u w:val="single"/>
        </w:rPr>
        <w:t xml:space="preserve"> 双方另行约定 </w:t>
      </w:r>
      <w:r>
        <w:rPr>
          <w:color w:val="auto"/>
          <w:highlight w:val="none"/>
          <w:u w:val="single"/>
        </w:rPr>
        <w:t xml:space="preserve"> </w:t>
      </w:r>
      <w:r>
        <w:rPr>
          <w:rFonts w:hint="eastAsia" w:hAnsi="宋体"/>
          <w:color w:val="auto"/>
          <w:highlight w:val="none"/>
        </w:rPr>
        <w:t>。</w:t>
      </w:r>
    </w:p>
    <w:p>
      <w:pPr>
        <w:spacing w:line="440" w:lineRule="exact"/>
        <w:ind w:firstLine="420" w:firstLineChars="200"/>
        <w:jc w:val="left"/>
        <w:rPr>
          <w:color w:val="auto"/>
          <w:highlight w:val="none"/>
          <w:u w:val="single"/>
        </w:rPr>
      </w:pPr>
      <w:r>
        <w:rPr>
          <w:rFonts w:hint="eastAsia" w:hAnsi="宋体"/>
          <w:color w:val="auto"/>
          <w:highlight w:val="none"/>
        </w:rPr>
        <w:t>因承包人原因造成工期延误，逾期竣工违约金的计算方法为：</w:t>
      </w:r>
      <w:r>
        <w:rPr>
          <w:rFonts w:hint="eastAsia" w:hAnsi="宋体"/>
          <w:color w:val="auto"/>
          <w:highlight w:val="none"/>
          <w:u w:val="single"/>
        </w:rPr>
        <w:t>非上述原因，承包人不能按合同约定的时间竣工，承包人应承担违约责任。应向发包人支付误期赔偿费（每天赔偿金额为合同价款扣除建安劳保费、发包人材料价款、暂估专业工程、暂列金额后的的万分之</w:t>
      </w:r>
      <w:r>
        <w:rPr>
          <w:rFonts w:hint="eastAsia" w:ascii="宋体" w:hAnsi="宋体" w:cs="宋体"/>
          <w:color w:val="auto"/>
          <w:szCs w:val="21"/>
          <w:highlight w:val="none"/>
          <w:u w:val="single"/>
        </w:rPr>
        <w:t>三</w:t>
      </w:r>
      <w:r>
        <w:rPr>
          <w:rFonts w:hint="eastAsia" w:hAnsi="宋体"/>
          <w:color w:val="auto"/>
          <w:highlight w:val="none"/>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color w:val="auto"/>
          <w:highlight w:val="none"/>
          <w:u w:val="single"/>
        </w:rPr>
        <w:t xml:space="preserve"> </w:t>
      </w:r>
    </w:p>
    <w:p>
      <w:pPr>
        <w:spacing w:line="440" w:lineRule="exact"/>
        <w:ind w:firstLine="420" w:firstLineChars="200"/>
        <w:jc w:val="left"/>
        <w:rPr>
          <w:rFonts w:hint="eastAsia" w:ascii="宋体" w:hAnsi="宋体" w:cs="宋体"/>
          <w:color w:val="auto"/>
          <w:szCs w:val="21"/>
          <w:highlight w:val="none"/>
        </w:rPr>
      </w:pPr>
      <w:r>
        <w:rPr>
          <w:rFonts w:hint="eastAsia" w:hAnsi="宋体"/>
          <w:color w:val="auto"/>
          <w:highlight w:val="none"/>
        </w:rPr>
        <w:t>因承包人原因造成工期延误，逾期竣工违约金的上限：</w:t>
      </w:r>
      <w:r>
        <w:rPr>
          <w:rFonts w:hint="eastAsia" w:ascii="宋体" w:hAnsi="宋体" w:cs="宋体"/>
          <w:color w:val="auto"/>
          <w:szCs w:val="21"/>
          <w:highlight w:val="none"/>
          <w:u w:val="single"/>
        </w:rPr>
        <w:t>合同价扣除建安劳保费、发包人材料价款、暂估专业工程、暂列金额后的3%</w:t>
      </w:r>
      <w:r>
        <w:rPr>
          <w:rFonts w:hint="eastAsia" w:hAnsi="宋体"/>
          <w:color w:val="auto"/>
          <w:highlight w:val="none"/>
        </w:rPr>
        <w:t>。</w:t>
      </w:r>
      <w:bookmarkEnd w:id="283"/>
      <w:bookmarkEnd w:id="284"/>
      <w:bookmarkEnd w:id="285"/>
      <w:bookmarkEnd w:id="286"/>
      <w:bookmarkEnd w:id="287"/>
      <w:bookmarkStart w:id="288" w:name="_Toc312678014"/>
      <w:bookmarkStart w:id="289" w:name="_Toc318581171"/>
    </w:p>
    <w:bookmarkEnd w:id="288"/>
    <w:bookmarkEnd w:id="289"/>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290" w:name="_Toc312678015"/>
      <w:bookmarkStart w:id="291" w:name="_Toc304295549"/>
      <w:bookmarkStart w:id="292" w:name="_Toc303539128"/>
      <w:bookmarkStart w:id="293" w:name="_Toc297216178"/>
      <w:bookmarkStart w:id="294" w:name="_Toc297123519"/>
      <w:bookmarkStart w:id="295" w:name="_Toc300934971"/>
      <w:r>
        <w:rPr>
          <w:rFonts w:hint="eastAsia" w:ascii="宋体" w:hAnsi="宋体" w:cs="宋体"/>
          <w:color w:val="auto"/>
          <w:szCs w:val="21"/>
          <w:highlight w:val="none"/>
        </w:rPr>
        <w:t>.6 不</w:t>
      </w:r>
      <w:bookmarkEnd w:id="290"/>
      <w:bookmarkEnd w:id="291"/>
      <w:bookmarkEnd w:id="292"/>
      <w:bookmarkEnd w:id="293"/>
      <w:bookmarkEnd w:id="294"/>
      <w:bookmarkEnd w:id="295"/>
      <w:r>
        <w:rPr>
          <w:rFonts w:hint="eastAsia" w:ascii="宋体" w:hAnsi="宋体" w:cs="宋体"/>
          <w:color w:val="auto"/>
          <w:szCs w:val="21"/>
          <w:highlight w:val="none"/>
        </w:rPr>
        <w:t>利物质条件</w:t>
      </w:r>
      <w:bookmarkStart w:id="296" w:name="_Toc303539129"/>
      <w:bookmarkStart w:id="297" w:name="_Toc300934972"/>
      <w:bookmarkStart w:id="298" w:name="_Toc304295550"/>
      <w:bookmarkStart w:id="299" w:name="_Toc297216179"/>
      <w:bookmarkStart w:id="300" w:name="_Toc318581172"/>
      <w:bookmarkStart w:id="301" w:name="_Toc297123520"/>
      <w:bookmarkStart w:id="302" w:name="_Toc312678016"/>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按通用合同条款    </w:t>
      </w:r>
      <w:r>
        <w:rPr>
          <w:rFonts w:hint="eastAsia" w:ascii="宋体" w:hAnsi="宋体" w:cs="宋体"/>
          <w:color w:val="auto"/>
          <w:szCs w:val="21"/>
          <w:highlight w:val="none"/>
        </w:rPr>
        <w:t>。</w:t>
      </w:r>
    </w:p>
    <w:bookmarkEnd w:id="296"/>
    <w:bookmarkEnd w:id="297"/>
    <w:bookmarkEnd w:id="298"/>
    <w:bookmarkEnd w:id="299"/>
    <w:bookmarkEnd w:id="300"/>
    <w:bookmarkEnd w:id="301"/>
    <w:bookmarkEnd w:id="302"/>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bookmarkStart w:id="303" w:name="_Toc300934973"/>
      <w:bookmarkStart w:id="304" w:name="_Toc297123521"/>
      <w:bookmarkStart w:id="305" w:name="_Toc304295551"/>
      <w:bookmarkStart w:id="306" w:name="_Toc312678017"/>
      <w:bookmarkStart w:id="307" w:name="_Toc297216180"/>
      <w:bookmarkStart w:id="308" w:name="_Toc303539130"/>
      <w:r>
        <w:rPr>
          <w:rFonts w:hint="eastAsia" w:ascii="宋体" w:hAnsi="宋体" w:cs="宋体"/>
          <w:color w:val="auto"/>
          <w:szCs w:val="21"/>
          <w:highlight w:val="none"/>
        </w:rPr>
        <w:t>.7异常恶劣的气候条件</w:t>
      </w:r>
    </w:p>
    <w:bookmarkEnd w:id="303"/>
    <w:bookmarkEnd w:id="304"/>
    <w:bookmarkEnd w:id="305"/>
    <w:bookmarkEnd w:id="306"/>
    <w:bookmarkEnd w:id="307"/>
    <w:bookmarkEnd w:id="308"/>
    <w:p>
      <w:pPr>
        <w:spacing w:line="440" w:lineRule="exact"/>
        <w:ind w:firstLine="420" w:firstLineChars="200"/>
        <w:jc w:val="left"/>
        <w:rPr>
          <w:color w:val="auto"/>
          <w:highlight w:val="none"/>
        </w:rPr>
      </w:pPr>
      <w:r>
        <w:rPr>
          <w:rFonts w:hint="eastAsia" w:hAnsi="宋体"/>
          <w:color w:val="auto"/>
          <w:highlight w:val="none"/>
        </w:rPr>
        <w:t>发包人和承包人同意以下情形视为异常恶劣的气候条件：</w:t>
      </w:r>
    </w:p>
    <w:p>
      <w:pPr>
        <w:pStyle w:val="35"/>
        <w:spacing w:line="360" w:lineRule="auto"/>
        <w:ind w:firstLine="420" w:firstLineChars="200"/>
        <w:jc w:val="left"/>
        <w:rPr>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w:t>
      </w:r>
      <w:r>
        <w:rPr>
          <w:color w:val="auto"/>
          <w:highlight w:val="none"/>
          <w:u w:val="single"/>
        </w:rPr>
        <w:t>10</w:t>
      </w:r>
      <w:r>
        <w:rPr>
          <w:rFonts w:hint="eastAsia"/>
          <w:color w:val="auto"/>
          <w:highlight w:val="none"/>
          <w:u w:val="single"/>
        </w:rPr>
        <w:t>级以上持续8小时及更长时间的大风</w:t>
      </w:r>
      <w:r>
        <w:rPr>
          <w:rFonts w:hint="eastAsia" w:hAnsi="宋体"/>
          <w:color w:val="auto"/>
          <w:highlight w:val="none"/>
        </w:rPr>
        <w:t>；</w:t>
      </w:r>
    </w:p>
    <w:p>
      <w:pPr>
        <w:pStyle w:val="35"/>
        <w:spacing w:line="360" w:lineRule="auto"/>
        <w:ind w:firstLine="420" w:firstLineChars="200"/>
        <w:jc w:val="left"/>
        <w:rPr>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w:t>
      </w:r>
      <w:r>
        <w:rPr>
          <w:rFonts w:hint="eastAsia"/>
          <w:color w:val="auto"/>
          <w:highlight w:val="none"/>
          <w:u w:val="single"/>
        </w:rPr>
        <w:t>暴风雨以上持续8小时及更长时间的大雨</w:t>
      </w:r>
      <w:r>
        <w:rPr>
          <w:rFonts w:hint="eastAsia" w:hAnsi="宋体"/>
          <w:color w:val="auto"/>
          <w:highlight w:val="none"/>
        </w:rPr>
        <w:t>；</w:t>
      </w:r>
    </w:p>
    <w:p>
      <w:pPr>
        <w:pStyle w:val="35"/>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w:t>
      </w:r>
      <w:r>
        <w:rPr>
          <w:color w:val="auto"/>
          <w:highlight w:val="none"/>
          <w:u w:val="single"/>
        </w:rPr>
        <w:t>40</w:t>
      </w:r>
      <w:r>
        <w:rPr>
          <w:rFonts w:hint="eastAsia"/>
          <w:color w:val="auto"/>
          <w:highlight w:val="none"/>
          <w:u w:val="single"/>
        </w:rPr>
        <w:t>度及以上持续48小时及更长时间的高温天气</w:t>
      </w:r>
      <w:r>
        <w:rPr>
          <w:rFonts w:hint="eastAsia" w:hAnsi="宋体"/>
          <w:color w:val="auto"/>
          <w:highlight w:val="none"/>
        </w:rPr>
        <w:t>；</w:t>
      </w:r>
    </w:p>
    <w:p>
      <w:pPr>
        <w:spacing w:line="360" w:lineRule="auto"/>
        <w:ind w:firstLine="420" w:firstLineChars="200"/>
        <w:jc w:val="left"/>
        <w:rPr>
          <w:color w:val="auto"/>
          <w:highlight w:val="none"/>
        </w:rPr>
      </w:pPr>
      <w:r>
        <w:rPr>
          <w:rFonts w:hint="eastAsia" w:hAnsi="宋体"/>
          <w:color w:val="auto"/>
          <w:highlight w:val="none"/>
        </w:rPr>
        <w:t>（4）</w:t>
      </w:r>
      <w:r>
        <w:rPr>
          <w:color w:val="auto"/>
          <w:highlight w:val="none"/>
          <w:u w:val="single"/>
        </w:rPr>
        <w:t>0</w:t>
      </w:r>
      <w:r>
        <w:rPr>
          <w:rFonts w:hint="eastAsia"/>
          <w:color w:val="auto"/>
          <w:highlight w:val="none"/>
          <w:u w:val="single"/>
        </w:rPr>
        <w:t>度及以下持续48小时及更长时间的低温天气</w:t>
      </w:r>
      <w:r>
        <w:rPr>
          <w:rStyle w:val="36"/>
          <w:rFonts w:hint="eastAsia" w:ascii="宋体" w:hAnsi="宋体"/>
          <w:color w:val="auto"/>
          <w:sz w:val="21"/>
          <w:szCs w:val="21"/>
          <w:highlight w:val="none"/>
          <w:u w:val="single"/>
        </w:rPr>
        <w:t>。</w:t>
      </w:r>
    </w:p>
    <w:p>
      <w:pPr>
        <w:spacing w:line="440" w:lineRule="exact"/>
        <w:ind w:right="248"/>
        <w:rPr>
          <w:rFonts w:hint="eastAsia" w:ascii="宋体" w:hAnsi="宋体" w:cs="宋体"/>
          <w:color w:val="auto"/>
          <w:szCs w:val="21"/>
          <w:highlight w:val="none"/>
        </w:rPr>
      </w:pPr>
      <w:r>
        <w:rPr>
          <w:rFonts w:hint="eastAsia" w:ascii="宋体" w:hAnsi="宋体" w:cs="宋体"/>
          <w:color w:val="auto"/>
          <w:szCs w:val="21"/>
          <w:highlight w:val="none"/>
        </w:rPr>
        <w:t xml:space="preserve">    7.9 提前竣工</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bookmarkStart w:id="309" w:name="_Toc351203640"/>
    </w:p>
    <w:p>
      <w:pPr>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8.材料与设备</w:t>
      </w:r>
      <w:bookmarkEnd w:id="309"/>
      <w:bookmarkStart w:id="310" w:name="_Toc373478379"/>
      <w:bookmarkStart w:id="311" w:name="_Toc373227732"/>
      <w:bookmarkStart w:id="312" w:name="_Toc395382534"/>
      <w:bookmarkStart w:id="313" w:name="_Toc389065298"/>
    </w:p>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8.2 承包人采购材料与工程设备</w:t>
      </w:r>
      <w:bookmarkEnd w:id="310"/>
      <w:bookmarkEnd w:id="311"/>
      <w:bookmarkEnd w:id="312"/>
      <w:bookmarkEnd w:id="313"/>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bookmarkEnd w:id="243"/>
      <w:bookmarkEnd w:id="244"/>
      <w:bookmarkEnd w:id="245"/>
      <w:bookmarkEnd w:id="246"/>
      <w:bookmarkEnd w:id="247"/>
      <w:bookmarkEnd w:id="248"/>
      <w:bookmarkEnd w:id="249"/>
      <w:bookmarkEnd w:id="250"/>
      <w:bookmarkEnd w:id="251"/>
      <w:bookmarkEnd w:id="252"/>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w:t>
      </w:r>
      <w:r>
        <w:rPr>
          <w:rFonts w:hint="eastAsia" w:ascii="宋体" w:hAnsi="宋体" w:cs="宋体"/>
          <w:color w:val="auto"/>
          <w:kern w:val="0"/>
          <w:szCs w:val="21"/>
          <w:highlight w:val="none"/>
          <w:lang w:eastAsia="zh-CN"/>
        </w:rPr>
        <w:t>竞标</w:t>
      </w:r>
      <w:r>
        <w:rPr>
          <w:rFonts w:hint="eastAsia" w:ascii="宋体" w:hAnsi="宋体" w:cs="宋体"/>
          <w:color w:val="auto"/>
          <w:kern w:val="0"/>
          <w:szCs w:val="21"/>
          <w:highlight w:val="none"/>
        </w:rPr>
        <w:t>单价支付，不得调整。</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bookmarkStart w:id="314" w:name="_Toc292559372"/>
      <w:bookmarkStart w:id="315" w:name="_Toc312678019"/>
      <w:bookmarkStart w:id="316" w:name="_Toc304295556"/>
      <w:bookmarkStart w:id="317" w:name="_Toc297120467"/>
      <w:bookmarkStart w:id="318" w:name="_Toc296944506"/>
      <w:bookmarkStart w:id="319" w:name="_Toc292559877"/>
      <w:bookmarkStart w:id="320" w:name="_Toc296890995"/>
      <w:bookmarkStart w:id="321" w:name="_Toc296347166"/>
      <w:bookmarkStart w:id="322" w:name="_Toc312677493"/>
      <w:bookmarkStart w:id="323" w:name="_Toc296503167"/>
      <w:bookmarkStart w:id="324" w:name="_Toc297123527"/>
      <w:bookmarkStart w:id="325" w:name="_Toc297048353"/>
      <w:bookmarkStart w:id="326" w:name="_Toc300934979"/>
      <w:bookmarkStart w:id="327" w:name="_Toc296346668"/>
      <w:bookmarkStart w:id="328" w:name="_Toc280868654"/>
      <w:bookmarkStart w:id="329" w:name="_Toc296891207"/>
      <w:bookmarkStart w:id="330" w:name="_Toc297216186"/>
      <w:bookmarkStart w:id="331" w:name="_Toc303539136"/>
      <w:bookmarkStart w:id="332" w:name="_Toc280868656"/>
      <w:bookmarkStart w:id="333" w:name="_Toc280868655"/>
      <w:bookmarkStart w:id="334" w:name="_Toc267251424"/>
      <w:r>
        <w:rPr>
          <w:rFonts w:hint="eastAsia" w:ascii="宋体" w:hAnsi="宋体" w:cs="宋体"/>
          <w:color w:val="auto"/>
          <w:szCs w:val="21"/>
          <w:highlight w:val="none"/>
        </w:rPr>
        <w:t>.4材料与工程设备的保管与使用</w:t>
      </w:r>
    </w:p>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w:t>
      </w:r>
      <w:bookmarkStart w:id="335" w:name="_Toc292559878"/>
      <w:bookmarkStart w:id="336" w:name="_Toc292559373"/>
      <w:bookmarkStart w:id="337" w:name="_Toc300934980"/>
      <w:bookmarkStart w:id="338" w:name="_Toc303539137"/>
      <w:bookmarkStart w:id="339" w:name="_Toc296346669"/>
      <w:bookmarkStart w:id="340" w:name="_Toc296890996"/>
      <w:bookmarkStart w:id="341" w:name="_Toc296944507"/>
      <w:bookmarkStart w:id="342" w:name="_Toc296891208"/>
      <w:bookmarkStart w:id="343" w:name="_Toc297120468"/>
      <w:bookmarkStart w:id="344" w:name="_Toc318581173"/>
      <w:bookmarkStart w:id="345" w:name="_Toc312677494"/>
      <w:bookmarkStart w:id="346" w:name="_Toc297048354"/>
      <w:bookmarkStart w:id="347" w:name="_Toc297216187"/>
      <w:bookmarkStart w:id="348" w:name="_Toc312678020"/>
      <w:bookmarkStart w:id="349" w:name="_Toc297123528"/>
      <w:bookmarkStart w:id="350" w:name="_Toc296347167"/>
      <w:bookmarkStart w:id="351" w:name="_Toc296503168"/>
      <w:bookmarkStart w:id="352" w:name="_Toc304295557"/>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由发包人供应给承包人施工使用的材料、设备，保管费由承包人承担</w:t>
      </w:r>
      <w:r>
        <w:rPr>
          <w:rFonts w:hint="eastAsia" w:ascii="宋体" w:hAnsi="宋体" w:cs="宋体"/>
          <w:color w:val="auto"/>
          <w:szCs w:val="21"/>
          <w:highlight w:val="none"/>
        </w:rPr>
        <w:t>。</w:t>
      </w:r>
      <w:bookmarkEnd w:id="335"/>
      <w:bookmarkEnd w:id="336"/>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8.6 样品</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主要材料涉及品种、款式、颜色等方面内容的，承包人应提交准备合格的材料样品送发包人选定。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8.8 施工设备和临时设施</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autoSpaceDE w:val="0"/>
        <w:autoSpaceDN w:val="0"/>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关于修建临时设施费用承担的约定：</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w:t>
      </w:r>
      <w:r>
        <w:rPr>
          <w:rFonts w:hint="eastAsia" w:ascii="宋体" w:hAnsi="宋体" w:cs="宋体"/>
          <w:color w:val="auto"/>
          <w:szCs w:val="21"/>
          <w:highlight w:val="none"/>
          <w:u w:val="single"/>
          <w:lang w:eastAsia="zh-CN"/>
        </w:rPr>
        <w:t>竞标</w:t>
      </w:r>
      <w:r>
        <w:rPr>
          <w:rFonts w:hint="eastAsia" w:ascii="宋体" w:hAnsi="宋体" w:cs="宋体"/>
          <w:color w:val="auto"/>
          <w:szCs w:val="21"/>
          <w:highlight w:val="none"/>
          <w:u w:val="single"/>
        </w:rPr>
        <w:t>报价中综合考虑。</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3" w:name="_Toc351203641"/>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eastAsia="zh-CN"/>
        </w:rPr>
        <w:t>供应商</w:t>
      </w:r>
      <w:r>
        <w:rPr>
          <w:rFonts w:hint="eastAsia" w:ascii="宋体" w:hAnsi="宋体" w:cs="宋体"/>
          <w:color w:val="auto"/>
          <w:szCs w:val="21"/>
          <w:highlight w:val="none"/>
          <w:u w:val="single"/>
        </w:rPr>
        <w:t>需承担含开挖道路押金、永久占用费、挖掘费、占道费、开挖路面恢复、绿化恢复等完成工程直至交付使用所产生所有费用（包括基础制作、管材及线缆敷设、路灯安装等附件安装及其他为完成本工程的相关税费），招标人不再支付以上费用。</w:t>
      </w:r>
    </w:p>
    <w:p>
      <w:pPr>
        <w:autoSpaceDE w:val="0"/>
        <w:autoSpaceDN w:val="0"/>
        <w:adjustRightIn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（2）改造过程中原有照明设施（灯杆、灯具、电缆、电箱等）需保护性拆除并运至招标人指定</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市内仓库存放。</w:t>
      </w:r>
    </w:p>
    <w:p>
      <w:pPr>
        <w:autoSpaceDE w:val="0"/>
        <w:autoSpaceDN w:val="0"/>
        <w:adjustRightInd w:val="0"/>
        <w:spacing w:line="440" w:lineRule="exact"/>
        <w:ind w:firstLine="420" w:firstLineChars="200"/>
        <w:jc w:val="left"/>
        <w:rPr>
          <w:color w:val="auto"/>
          <w:highlight w:val="none"/>
        </w:rPr>
      </w:pPr>
      <w:r>
        <w:rPr>
          <w:color w:val="auto"/>
          <w:highlight w:val="none"/>
        </w:rPr>
        <w:t xml:space="preserve">8.8.2 </w:t>
      </w:r>
      <w:r>
        <w:rPr>
          <w:rFonts w:hint="eastAsia" w:hAnsi="宋体"/>
          <w:color w:val="auto"/>
          <w:highlight w:val="none"/>
        </w:rPr>
        <w:t>发包人提供的施工设备和临时设施</w:t>
      </w:r>
    </w:p>
    <w:p>
      <w:pPr>
        <w:autoSpaceDE w:val="0"/>
        <w:autoSpaceDN w:val="0"/>
        <w:adjustRightInd w:val="0"/>
        <w:spacing w:line="440" w:lineRule="exact"/>
        <w:ind w:firstLine="420" w:firstLineChars="200"/>
        <w:jc w:val="left"/>
        <w:rPr>
          <w:color w:val="auto"/>
          <w:highlight w:val="none"/>
        </w:rPr>
      </w:pPr>
      <w:r>
        <w:rPr>
          <w:rFonts w:hint="eastAsia" w:hAnsi="宋体"/>
          <w:color w:val="auto"/>
          <w:highlight w:val="none"/>
        </w:rPr>
        <w:t>发包人提供的施工设备和临时设施：</w:t>
      </w:r>
      <w:r>
        <w:rPr>
          <w:color w:val="auto"/>
          <w:highlight w:val="none"/>
          <w:u w:val="single"/>
        </w:rPr>
        <w:t xml:space="preserve"> </w:t>
      </w:r>
      <w:r>
        <w:rPr>
          <w:rFonts w:hint="eastAsia" w:ascii="宋体" w:hAnsi="宋体" w:cs="宋体"/>
          <w:color w:val="auto"/>
          <w:szCs w:val="21"/>
          <w:highlight w:val="none"/>
          <w:u w:val="single"/>
        </w:rPr>
        <w:t xml:space="preserve">                /                       </w:t>
      </w:r>
      <w:r>
        <w:rPr>
          <w:color w:val="auto"/>
          <w:highlight w:val="none"/>
          <w:u w:val="single"/>
        </w:rPr>
        <w:t xml:space="preserve"> </w:t>
      </w:r>
      <w:r>
        <w:rPr>
          <w:rFonts w:hint="eastAsia" w:hAnsi="宋体"/>
          <w:color w:val="auto"/>
          <w:highlight w:val="none"/>
        </w:rPr>
        <w:t>。</w:t>
      </w:r>
    </w:p>
    <w:p>
      <w:pPr>
        <w:autoSpaceDE w:val="0"/>
        <w:autoSpaceDN w:val="0"/>
        <w:adjustRightInd w:val="0"/>
        <w:spacing w:line="440" w:lineRule="exact"/>
        <w:ind w:firstLine="420" w:firstLineChars="200"/>
        <w:jc w:val="left"/>
        <w:rPr>
          <w:color w:val="auto"/>
          <w:highlight w:val="none"/>
        </w:rPr>
      </w:pPr>
      <w:r>
        <w:rPr>
          <w:rFonts w:hint="eastAsia" w:hAnsi="宋体"/>
          <w:color w:val="auto"/>
          <w:highlight w:val="none"/>
        </w:rPr>
        <w:t>发包人提供的施工设备和临时设施的运行、维护、拆除、清运费用的承担人：</w:t>
      </w:r>
      <w:r>
        <w:rPr>
          <w:rFonts w:hint="eastAsia" w:ascii="宋体" w:hAnsi="宋体" w:cs="宋体"/>
          <w:color w:val="auto"/>
          <w:szCs w:val="21"/>
          <w:highlight w:val="none"/>
          <w:u w:val="single"/>
        </w:rPr>
        <w:t>承包人</w:t>
      </w:r>
      <w:r>
        <w:rPr>
          <w:rFonts w:hint="eastAsia" w:hAnsi="宋体"/>
          <w:color w:val="auto"/>
          <w:highlight w:val="none"/>
        </w:rPr>
        <w:t>。</w:t>
      </w:r>
    </w:p>
    <w:p>
      <w:pPr>
        <w:autoSpaceDE w:val="0"/>
        <w:autoSpaceDN w:val="0"/>
        <w:adjustRightInd w:val="0"/>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9</w:t>
      </w:r>
      <w:bookmarkEnd w:id="332"/>
      <w:bookmarkEnd w:id="333"/>
      <w:bookmarkEnd w:id="334"/>
      <w:bookmarkStart w:id="354" w:name="_Toc304295559"/>
      <w:bookmarkStart w:id="355" w:name="_Toc303539139"/>
      <w:bookmarkStart w:id="356" w:name="_Toc297123533"/>
      <w:bookmarkStart w:id="357" w:name="_Toc297216192"/>
      <w:bookmarkStart w:id="358" w:name="_Toc312678021"/>
      <w:bookmarkStart w:id="359" w:name="_Toc300934982"/>
      <w:bookmarkStart w:id="360" w:name="_Toc312677495"/>
      <w:bookmarkStart w:id="361" w:name="_Toc292559883"/>
      <w:bookmarkStart w:id="362" w:name="_Toc296347172"/>
      <w:bookmarkStart w:id="363" w:name="_Toc292559378"/>
      <w:bookmarkStart w:id="364" w:name="_Toc296891213"/>
      <w:bookmarkStart w:id="365" w:name="_Toc296346674"/>
      <w:bookmarkStart w:id="366" w:name="_Toc296503173"/>
      <w:bookmarkStart w:id="367" w:name="_Toc297048359"/>
      <w:bookmarkStart w:id="368" w:name="_Toc296944512"/>
      <w:bookmarkStart w:id="369" w:name="_Toc296891001"/>
      <w:bookmarkStart w:id="370" w:name="_Toc267251428"/>
      <w:bookmarkStart w:id="371" w:name="_Toc267251427"/>
      <w:bookmarkStart w:id="372" w:name="_Toc297120473"/>
      <w:r>
        <w:rPr>
          <w:rFonts w:hint="eastAsia" w:ascii="宋体" w:hAnsi="宋体" w:cs="宋体"/>
          <w:b/>
          <w:color w:val="auto"/>
          <w:sz w:val="24"/>
          <w:highlight w:val="none"/>
        </w:rPr>
        <w:t>. 试验与检验</w:t>
      </w:r>
      <w:bookmarkEnd w:id="353"/>
    </w:p>
    <w:bookmarkEnd w:id="354"/>
    <w:bookmarkEnd w:id="355"/>
    <w:bookmarkEnd w:id="356"/>
    <w:bookmarkEnd w:id="357"/>
    <w:bookmarkEnd w:id="358"/>
    <w:bookmarkEnd w:id="359"/>
    <w:bookmarkEnd w:id="360"/>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bookmarkStart w:id="373" w:name="_Toc312677496"/>
      <w:bookmarkStart w:id="374" w:name="_Toc297216193"/>
      <w:bookmarkStart w:id="375" w:name="_Toc304295560"/>
      <w:bookmarkStart w:id="376" w:name="_Toc297123534"/>
      <w:bookmarkStart w:id="377" w:name="_Toc303539140"/>
      <w:bookmarkStart w:id="378" w:name="_Toc312678022"/>
      <w:bookmarkStart w:id="379" w:name="_Toc300934983"/>
      <w:r>
        <w:rPr>
          <w:rFonts w:hint="eastAsia" w:ascii="宋体" w:hAnsi="宋体" w:cs="宋体"/>
          <w:color w:val="auto"/>
          <w:szCs w:val="21"/>
          <w:highlight w:val="none"/>
        </w:rPr>
        <w:t>.1试验设备与试验人员</w:t>
      </w:r>
    </w:p>
    <w:bookmarkEnd w:id="373"/>
    <w:bookmarkEnd w:id="374"/>
    <w:bookmarkEnd w:id="375"/>
    <w:bookmarkEnd w:id="376"/>
    <w:bookmarkEnd w:id="377"/>
    <w:bookmarkEnd w:id="378"/>
    <w:bookmarkEnd w:id="379"/>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bookmarkStart w:id="380" w:name="_Toc303539141"/>
      <w:bookmarkStart w:id="381" w:name="_Toc312678023"/>
      <w:bookmarkStart w:id="382" w:name="_Toc297123535"/>
      <w:bookmarkStart w:id="383" w:name="_Toc300934984"/>
      <w:bookmarkStart w:id="384" w:name="_Toc297216194"/>
      <w:bookmarkStart w:id="385" w:name="_Toc312677497"/>
      <w:bookmarkStart w:id="386" w:name="_Toc304295561"/>
      <w:bookmarkStart w:id="387" w:name="_Toc318581174"/>
      <w:r>
        <w:rPr>
          <w:rFonts w:hint="eastAsia" w:ascii="宋体" w:hAnsi="宋体" w:cs="宋体"/>
          <w:color w:val="auto"/>
          <w:szCs w:val="21"/>
          <w:highlight w:val="none"/>
        </w:rPr>
        <w:t>.1.2 试验设备</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施工现场需要配置的试验场所：</w:t>
      </w:r>
      <w:bookmarkEnd w:id="380"/>
      <w:bookmarkEnd w:id="381"/>
      <w:bookmarkEnd w:id="382"/>
      <w:bookmarkEnd w:id="383"/>
      <w:bookmarkEnd w:id="384"/>
      <w:bookmarkEnd w:id="385"/>
      <w:bookmarkEnd w:id="386"/>
      <w:bookmarkStart w:id="388" w:name="_Toc297216195"/>
      <w:bookmarkStart w:id="389" w:name="_Toc297123536"/>
      <w:bookmarkStart w:id="390" w:name="_Toc312678024"/>
      <w:bookmarkStart w:id="391" w:name="_Toc300934985"/>
      <w:bookmarkStart w:id="392" w:name="_Toc303539142"/>
      <w:bookmarkStart w:id="393" w:name="_Toc304295562"/>
      <w:bookmarkStart w:id="394" w:name="_Toc312677498"/>
      <w:r>
        <w:rPr>
          <w:rFonts w:hint="eastAsia" w:ascii="宋体" w:hAnsi="宋体" w:cs="宋体"/>
          <w:color w:val="auto"/>
          <w:szCs w:val="21"/>
          <w:highlight w:val="none"/>
          <w:u w:val="single"/>
        </w:rPr>
        <w:t xml:space="preserve">    按相关规定执行                         </w:t>
      </w:r>
      <w:r>
        <w:rPr>
          <w:rFonts w:hint="eastAsia" w:ascii="宋体" w:hAnsi="宋体" w:cs="宋体"/>
          <w:color w:val="auto"/>
          <w:szCs w:val="21"/>
          <w:highlight w:val="none"/>
        </w:rPr>
        <w:t xml:space="preserve">。 </w:t>
      </w:r>
    </w:p>
    <w:p>
      <w:pPr>
        <w:spacing w:line="440" w:lineRule="exact"/>
        <w:ind w:firstLine="134" w:firstLineChars="64"/>
        <w:jc w:val="left"/>
        <w:rPr>
          <w:rFonts w:hint="eastAsia" w:ascii="宋体" w:hAnsi="宋体" w:cs="宋体"/>
          <w:color w:val="auto"/>
          <w:szCs w:val="21"/>
          <w:highlight w:val="none"/>
        </w:rPr>
      </w:pPr>
      <w:r>
        <w:rPr>
          <w:rFonts w:hint="eastAsia" w:ascii="宋体" w:hAnsi="宋体" w:cs="宋体"/>
          <w:color w:val="auto"/>
          <w:szCs w:val="21"/>
          <w:highlight w:val="none"/>
        </w:rPr>
        <w:t xml:space="preserve">   施工现场需要配备的试验设备：</w:t>
      </w:r>
      <w:r>
        <w:rPr>
          <w:rFonts w:hint="eastAsia" w:ascii="宋体" w:hAnsi="宋体" w:cs="宋体"/>
          <w:color w:val="auto"/>
          <w:szCs w:val="21"/>
          <w:highlight w:val="none"/>
          <w:u w:val="single"/>
        </w:rPr>
        <w:t xml:space="preserve">      按相关规定执行                        </w:t>
      </w:r>
      <w:r>
        <w:rPr>
          <w:rFonts w:hint="eastAsia" w:ascii="宋体" w:hAnsi="宋体" w:cs="宋体"/>
          <w:color w:val="auto"/>
          <w:szCs w:val="21"/>
          <w:highlight w:val="none"/>
        </w:rPr>
        <w:t>。</w:t>
      </w:r>
    </w:p>
    <w:p>
      <w:pPr>
        <w:spacing w:line="440" w:lineRule="exact"/>
        <w:ind w:firstLine="134" w:firstLineChars="64"/>
        <w:jc w:val="left"/>
        <w:rPr>
          <w:rFonts w:hint="eastAsia" w:ascii="宋体" w:hAnsi="宋体" w:cs="宋体"/>
          <w:color w:val="auto"/>
          <w:szCs w:val="21"/>
          <w:highlight w:val="none"/>
        </w:rPr>
      </w:pPr>
      <w:r>
        <w:rPr>
          <w:rFonts w:hint="eastAsia" w:ascii="宋体" w:hAnsi="宋体" w:cs="宋体"/>
          <w:color w:val="auto"/>
          <w:szCs w:val="21"/>
          <w:highlight w:val="none"/>
        </w:rPr>
        <w:t xml:space="preserve">   施工现场需要具备的其他试验条件：</w:t>
      </w:r>
      <w:r>
        <w:rPr>
          <w:rFonts w:hint="eastAsia" w:ascii="宋体" w:hAnsi="宋体" w:cs="宋体"/>
          <w:color w:val="auto"/>
          <w:szCs w:val="21"/>
          <w:highlight w:val="none"/>
          <w:u w:val="single"/>
        </w:rPr>
        <w:t xml:space="preserve">    按相关规定执行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9.4 现场工艺试验 </w:t>
      </w:r>
    </w:p>
    <w:p>
      <w:pPr>
        <w:spacing w:line="440" w:lineRule="exact"/>
        <w:ind w:firstLine="134" w:firstLineChars="64"/>
        <w:jc w:val="left"/>
        <w:rPr>
          <w:rFonts w:hint="eastAsia" w:ascii="宋体" w:hAnsi="宋体" w:cs="宋体"/>
          <w:color w:val="auto"/>
          <w:szCs w:val="21"/>
          <w:highlight w:val="none"/>
        </w:rPr>
      </w:pPr>
      <w:r>
        <w:rPr>
          <w:rFonts w:hint="eastAsia" w:ascii="宋体" w:hAnsi="宋体" w:cs="宋体"/>
          <w:color w:val="auto"/>
          <w:szCs w:val="21"/>
          <w:highlight w:val="none"/>
        </w:rPr>
        <w:t xml:space="preserve">   现场工艺试验的有关约定：</w:t>
      </w:r>
      <w:r>
        <w:rPr>
          <w:rFonts w:hint="eastAsia" w:ascii="宋体" w:hAnsi="宋体" w:cs="宋体"/>
          <w:color w:val="auto"/>
          <w:szCs w:val="21"/>
          <w:highlight w:val="none"/>
          <w:u w:val="single"/>
        </w:rPr>
        <w:t xml:space="preserve">  按照通用条款执行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9.5检验费用</w:t>
      </w:r>
    </w:p>
    <w:bookmarkEnd w:id="387"/>
    <w:bookmarkEnd w:id="388"/>
    <w:bookmarkEnd w:id="389"/>
    <w:bookmarkEnd w:id="390"/>
    <w:bookmarkEnd w:id="391"/>
    <w:bookmarkEnd w:id="392"/>
    <w:bookmarkEnd w:id="393"/>
    <w:bookmarkEnd w:id="394"/>
    <w:p>
      <w:pPr>
        <w:spacing w:line="440" w:lineRule="exact"/>
        <w:ind w:firstLine="411" w:firstLineChars="196"/>
        <w:rPr>
          <w:rFonts w:hint="eastAsia" w:ascii="宋体" w:hAnsi="宋体" w:cs="宋体"/>
          <w:color w:val="auto"/>
          <w:szCs w:val="21"/>
          <w:highlight w:val="none"/>
        </w:rPr>
      </w:pPr>
      <w:bookmarkStart w:id="395" w:name="_Toc351203642"/>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招标人委托有相应资质的检测机构检测。费用从招标人的项目建设经费中支出并直接支付给检测机构，不计入合同价款内。</w:t>
      </w:r>
    </w:p>
    <w:p>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Start w:id="396" w:name="_Toc300934989"/>
      <w:bookmarkStart w:id="397" w:name="_Toc297216199"/>
      <w:bookmarkStart w:id="398" w:name="_Toc292559903"/>
      <w:bookmarkStart w:id="399" w:name="_Toc296347192"/>
      <w:bookmarkStart w:id="400" w:name="_Toc296346694"/>
      <w:bookmarkStart w:id="401" w:name="_Toc292559398"/>
      <w:bookmarkStart w:id="402" w:name="_Toc296891233"/>
      <w:bookmarkStart w:id="403" w:name="_Toc297048379"/>
      <w:bookmarkStart w:id="404" w:name="_Toc297120493"/>
      <w:bookmarkStart w:id="405" w:name="_Toc296891021"/>
      <w:bookmarkStart w:id="406" w:name="_Toc296503193"/>
      <w:bookmarkStart w:id="407" w:name="_Toc296944532"/>
      <w:bookmarkStart w:id="408" w:name="_Toc297123540"/>
      <w:bookmarkStart w:id="409" w:name="_Toc303539146"/>
      <w:bookmarkStart w:id="410" w:name="_Toc304295566"/>
      <w:bookmarkStart w:id="411" w:name="_Toc312678025"/>
      <w:bookmarkStart w:id="412" w:name="_Toc312677499"/>
      <w:bookmarkStart w:id="413" w:name="_Toc267251435"/>
      <w:bookmarkStart w:id="414" w:name="_Toc267251437"/>
      <w:bookmarkStart w:id="415" w:name="_Toc267251441"/>
      <w:bookmarkStart w:id="416" w:name="_Toc267251440"/>
      <w:bookmarkStart w:id="417" w:name="_Toc267251433"/>
      <w:bookmarkStart w:id="418" w:name="_Toc267251439"/>
      <w:bookmarkStart w:id="419" w:name="_Toc267251442"/>
      <w:r>
        <w:rPr>
          <w:rFonts w:hint="eastAsia" w:ascii="宋体" w:hAnsi="宋体" w:cs="宋体"/>
          <w:b/>
          <w:color w:val="auto"/>
          <w:sz w:val="24"/>
          <w:highlight w:val="none"/>
        </w:rPr>
        <w:t>0. 变更</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bookmarkEnd w:id="412"/>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Start w:id="420" w:name="_Toc312678026"/>
      <w:bookmarkStart w:id="421" w:name="_Toc296944533"/>
      <w:bookmarkStart w:id="422" w:name="_Toc296891234"/>
      <w:bookmarkStart w:id="423" w:name="_Toc292559399"/>
      <w:bookmarkStart w:id="424" w:name="_Toc297120494"/>
      <w:bookmarkStart w:id="425" w:name="_Toc297123541"/>
      <w:bookmarkStart w:id="426" w:name="_Toc303539147"/>
      <w:bookmarkStart w:id="427" w:name="_Toc296347193"/>
      <w:bookmarkStart w:id="428" w:name="_Toc292559904"/>
      <w:bookmarkStart w:id="429" w:name="_Toc297216200"/>
      <w:bookmarkStart w:id="430" w:name="_Toc304295567"/>
      <w:bookmarkStart w:id="431" w:name="_Toc297048380"/>
      <w:bookmarkStart w:id="432" w:name="_Toc296503194"/>
      <w:bookmarkStart w:id="433" w:name="_Toc296891022"/>
      <w:bookmarkStart w:id="434" w:name="_Toc312677500"/>
      <w:bookmarkStart w:id="435" w:name="_Toc296346695"/>
      <w:bookmarkStart w:id="436" w:name="_Toc300934990"/>
      <w:r>
        <w:rPr>
          <w:rFonts w:hint="eastAsia" w:ascii="宋体" w:hAnsi="宋体" w:cs="宋体"/>
          <w:color w:val="auto"/>
          <w:szCs w:val="21"/>
          <w:highlight w:val="none"/>
        </w:rPr>
        <w:t>0.1变更的范围</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w:t>
      </w:r>
      <w:r>
        <w:rPr>
          <w:rFonts w:hint="eastAsia"/>
          <w:color w:val="auto"/>
          <w:highlight w:val="none"/>
          <w:u w:val="single"/>
        </w:rPr>
        <w:t>双方另行约定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Start w:id="437" w:name="_Toc395382544"/>
      <w:bookmarkStart w:id="438" w:name="_Toc445856419"/>
      <w:bookmarkStart w:id="439" w:name="_Toc389065307"/>
      <w:bookmarkStart w:id="440" w:name="_Toc373478388"/>
      <w:bookmarkStart w:id="441" w:name="_Toc373227741"/>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 变更程序</w:t>
      </w:r>
      <w:bookmarkEnd w:id="437"/>
      <w:bookmarkEnd w:id="438"/>
      <w:bookmarkEnd w:id="439"/>
      <w:bookmarkEnd w:id="440"/>
      <w:bookmarkEnd w:id="441"/>
    </w:p>
    <w:p>
      <w:pPr>
        <w:pStyle w:val="13"/>
        <w:spacing w:line="440" w:lineRule="exact"/>
        <w:ind w:firstLine="441" w:firstLineChars="210"/>
        <w:rPr>
          <w:rFonts w:ascii="Times New Roman" w:hAnsi="Times New Roman"/>
          <w:color w:val="auto"/>
          <w:szCs w:val="24"/>
          <w:highlight w:val="none"/>
        </w:rPr>
      </w:pPr>
      <w:r>
        <w:rPr>
          <w:rFonts w:hint="eastAsia" w:ascii="宋体" w:hAnsi="宋体" w:eastAsia="宋体" w:cs="宋体"/>
          <w:color w:val="auto"/>
          <w:kern w:val="2"/>
          <w:sz w:val="21"/>
          <w:szCs w:val="21"/>
          <w:highlight w:val="none"/>
          <w:lang w:val="en-US" w:eastAsia="zh-CN" w:bidi="ar-SA"/>
        </w:rPr>
        <w:t>10.3.1 国有投资项目：</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⑴设计变更和工程签证，按各市政府或相关部门的规定办理。属不可抗力（自然灾害、突发事件等）造成变更的，按特事特办原则予以办理。</w:t>
      </w:r>
    </w:p>
    <w:p>
      <w:pPr>
        <w:spacing w:line="44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⑵建设单位在实施项目过程中，若发生单价变动，由建设单位、监理单位、施工单位及其他相关单位共同商定并签字确认。</w:t>
      </w:r>
    </w:p>
    <w:p>
      <w:pPr>
        <w:spacing w:line="440" w:lineRule="exact"/>
        <w:ind w:firstLine="420" w:firstLineChars="200"/>
        <w:jc w:val="left"/>
        <w:rPr>
          <w:color w:val="auto"/>
          <w:highlight w:val="none"/>
        </w:rPr>
      </w:pPr>
      <w:r>
        <w:rPr>
          <w:rFonts w:hAnsi="宋体"/>
          <w:color w:val="auto"/>
          <w:highlight w:val="none"/>
        </w:rPr>
        <w:t>⑶</w:t>
      </w:r>
      <w:r>
        <w:rPr>
          <w:color w:val="auto"/>
          <w:highlight w:val="none"/>
        </w:rPr>
        <w:t xml:space="preserve"> </w:t>
      </w:r>
      <w:r>
        <w:rPr>
          <w:rFonts w:hint="eastAsia"/>
          <w:color w:val="auto"/>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440" w:lineRule="exact"/>
        <w:ind w:firstLine="420" w:firstLineChars="200"/>
        <w:jc w:val="left"/>
        <w:rPr>
          <w:color w:val="auto"/>
          <w:highlight w:val="none"/>
        </w:rPr>
      </w:pPr>
      <w:r>
        <w:rPr>
          <w:color w:val="auto"/>
          <w:highlight w:val="none"/>
        </w:rPr>
        <w:t xml:space="preserve">10.3.2 </w:t>
      </w:r>
      <w:r>
        <w:rPr>
          <w:rFonts w:hint="eastAsia"/>
          <w:color w:val="auto"/>
          <w:highlight w:val="none"/>
        </w:rPr>
        <w:t xml:space="preserve">非国有投资项目： </w:t>
      </w:r>
    </w:p>
    <w:p>
      <w:pPr>
        <w:spacing w:line="440" w:lineRule="exact"/>
        <w:jc w:val="left"/>
        <w:rPr>
          <w:color w:val="auto"/>
          <w:highlight w:val="none"/>
        </w:rPr>
      </w:pPr>
      <w:r>
        <w:rPr>
          <w:color w:val="auto"/>
          <w:highlight w:val="none"/>
          <w:u w:val="single"/>
        </w:rPr>
        <w:t xml:space="preserve">               /              </w:t>
      </w:r>
      <w:r>
        <w:rPr>
          <w:rFonts w:hint="eastAsia"/>
          <w:color w:val="auto"/>
          <w:highlight w:val="none"/>
          <w:u w:val="single"/>
        </w:rPr>
        <w:t>。</w:t>
      </w:r>
    </w:p>
    <w:p>
      <w:pPr>
        <w:spacing w:line="440" w:lineRule="exact"/>
        <w:ind w:firstLine="48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10.4.1 变更估价原则</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bookmarkStart w:id="442" w:name="_Toc251051742"/>
      <w:r>
        <w:rPr>
          <w:rFonts w:hint="eastAsia" w:ascii="宋体" w:hAnsi="宋体" w:cs="宋体"/>
          <w:color w:val="auto"/>
          <w:szCs w:val="21"/>
          <w:highlight w:val="none"/>
          <w:u w:val="single"/>
        </w:rPr>
        <w:t>因</w:t>
      </w:r>
      <w:bookmarkEnd w:id="442"/>
      <w:r>
        <w:rPr>
          <w:rFonts w:hint="eastAsia" w:ascii="宋体" w:hAnsi="宋体" w:cs="宋体"/>
          <w:color w:val="auto"/>
          <w:szCs w:val="21"/>
          <w:highlight w:val="none"/>
          <w:u w:val="single"/>
        </w:rPr>
        <w:t>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ascii="Arial" w:hAnsi="Arial" w:cs="Arial"/>
          <w:color w:val="auto"/>
          <w:szCs w:val="21"/>
          <w:highlight w:val="none"/>
          <w:u w:val="single"/>
        </w:rPr>
        <w:t>√</w:t>
      </w:r>
      <w:r>
        <w:rPr>
          <w:rFonts w:hint="eastAsia" w:ascii="宋体" w:hAnsi="宋体" w:cs="宋体"/>
          <w:color w:val="auto"/>
          <w:szCs w:val="21"/>
          <w:highlight w:val="none"/>
          <w:u w:val="single"/>
        </w:rPr>
        <w:t>乘以下浮系数 10 %，□不乘下浮系数）计算，其中材料价格按施工期间的《</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建设工程造价信息》相应价格信息进行计算；《</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建设工程造价信息》没有相应价格信息的按市场价计算；无定额可套的，根据市场价格协商确定综合价格。</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Start w:id="443" w:name="_Toc297216203"/>
      <w:bookmarkStart w:id="444" w:name="_Toc296503197"/>
      <w:bookmarkStart w:id="445" w:name="_Toc296347196"/>
      <w:bookmarkStart w:id="446" w:name="_Toc296891025"/>
      <w:bookmarkStart w:id="447" w:name="_Toc296944536"/>
      <w:bookmarkStart w:id="448" w:name="_Toc292559907"/>
      <w:bookmarkStart w:id="449" w:name="_Toc296346698"/>
      <w:bookmarkStart w:id="450" w:name="_Toc300934993"/>
      <w:bookmarkStart w:id="451" w:name="_Toc292559402"/>
      <w:bookmarkStart w:id="452" w:name="_Toc297123544"/>
      <w:bookmarkStart w:id="453" w:name="_Toc297120497"/>
      <w:bookmarkStart w:id="454" w:name="_Toc303539150"/>
      <w:bookmarkStart w:id="455" w:name="_Toc296891237"/>
      <w:bookmarkStart w:id="456" w:name="_Toc297048383"/>
      <w:bookmarkStart w:id="457" w:name="_Toc312677503"/>
      <w:bookmarkStart w:id="458" w:name="_Toc304295570"/>
      <w:bookmarkStart w:id="459" w:name="_Toc312678029"/>
      <w:r>
        <w:rPr>
          <w:rFonts w:hint="eastAsia" w:ascii="宋体" w:hAnsi="宋体" w:cs="宋体"/>
          <w:color w:val="auto"/>
          <w:szCs w:val="21"/>
          <w:highlight w:val="none"/>
        </w:rPr>
        <w:t>0.5承</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Start w:id="460" w:name="_Toc296944542"/>
      <w:bookmarkStart w:id="461" w:name="_Toc297120503"/>
      <w:bookmarkStart w:id="462" w:name="_Toc303539151"/>
      <w:bookmarkStart w:id="463" w:name="_Toc296891243"/>
      <w:bookmarkStart w:id="464" w:name="_Toc296346704"/>
      <w:bookmarkStart w:id="465" w:name="_Toc292559913"/>
      <w:bookmarkStart w:id="466" w:name="_Toc300934994"/>
      <w:bookmarkStart w:id="467" w:name="_Toc296503203"/>
      <w:bookmarkStart w:id="468" w:name="_Toc296891031"/>
      <w:bookmarkStart w:id="469" w:name="_Toc296347202"/>
      <w:bookmarkStart w:id="470" w:name="_Toc292559408"/>
      <w:bookmarkStart w:id="471" w:name="_Toc297216204"/>
      <w:bookmarkStart w:id="472" w:name="_Toc297048389"/>
      <w:bookmarkStart w:id="473" w:name="_Toc297123545"/>
      <w:r>
        <w:rPr>
          <w:rFonts w:hint="eastAsia" w:ascii="宋体" w:hAnsi="宋体" w:cs="宋体"/>
          <w:color w:val="auto"/>
          <w:szCs w:val="21"/>
          <w:highlight w:val="none"/>
        </w:rPr>
        <w:t>包人的合理化建议</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color w:val="auto"/>
          <w:highlight w:val="none"/>
          <w:u w:val="single"/>
        </w:rPr>
        <w:t>双方协商</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color w:val="auto"/>
          <w:highlight w:val="none"/>
          <w:u w:val="single"/>
        </w:rPr>
        <w:t>双方协商</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w:t>
      </w:r>
      <w:bookmarkStart w:id="474" w:name="_Toc312677504"/>
      <w:bookmarkStart w:id="475" w:name="_Toc296891244"/>
      <w:bookmarkStart w:id="476" w:name="_Toc296944543"/>
      <w:bookmarkStart w:id="477" w:name="_Toc318581175"/>
      <w:bookmarkStart w:id="478" w:name="_Toc296347203"/>
      <w:bookmarkStart w:id="479" w:name="_Toc296891032"/>
      <w:bookmarkStart w:id="480" w:name="_Toc297120504"/>
      <w:bookmarkStart w:id="481" w:name="_Toc297216205"/>
      <w:bookmarkStart w:id="482" w:name="_Toc297123546"/>
      <w:bookmarkStart w:id="483" w:name="_Toc297048390"/>
      <w:bookmarkStart w:id="484" w:name="_Toc296346705"/>
      <w:bookmarkStart w:id="485" w:name="_Toc303539152"/>
      <w:bookmarkStart w:id="486" w:name="_Toc300934995"/>
      <w:bookmarkStart w:id="487" w:name="_Toc292559914"/>
      <w:bookmarkStart w:id="488" w:name="_Toc312678030"/>
      <w:bookmarkStart w:id="489" w:name="_Toc304295571"/>
      <w:bookmarkStart w:id="490" w:name="_Toc296503204"/>
      <w:bookmarkStart w:id="491" w:name="_Toc292559409"/>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p>
    <w:p>
      <w:pPr>
        <w:spacing w:line="44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Start w:id="492" w:name="_Toc312677507"/>
      <w:bookmarkStart w:id="493" w:name="_Toc312678033"/>
      <w:bookmarkStart w:id="494" w:name="_Toc297216207"/>
      <w:bookmarkStart w:id="495" w:name="_Toc296503199"/>
      <w:bookmarkStart w:id="496" w:name="_Toc296347198"/>
      <w:bookmarkStart w:id="497" w:name="_Toc303539154"/>
      <w:bookmarkStart w:id="498" w:name="_Toc297120499"/>
      <w:bookmarkStart w:id="499" w:name="_Toc304295574"/>
      <w:bookmarkStart w:id="500" w:name="_Toc292559909"/>
      <w:bookmarkStart w:id="501" w:name="_Toc297048385"/>
      <w:bookmarkStart w:id="502" w:name="_Toc296346700"/>
      <w:bookmarkStart w:id="503" w:name="_Toc292559404"/>
      <w:bookmarkStart w:id="504" w:name="_Toc300934997"/>
      <w:bookmarkStart w:id="505" w:name="_Toc296891239"/>
      <w:bookmarkStart w:id="506" w:name="_Toc296944538"/>
      <w:bookmarkStart w:id="507" w:name="_Toc297123548"/>
      <w:bookmarkStart w:id="508" w:name="_Toc296891027"/>
      <w:r>
        <w:rPr>
          <w:rFonts w:hint="eastAsia" w:ascii="宋体" w:hAnsi="宋体" w:cs="宋体"/>
          <w:color w:val="auto"/>
          <w:szCs w:val="21"/>
          <w:highlight w:val="none"/>
        </w:rPr>
        <w:t>0.7 暂估价</w:t>
      </w:r>
    </w:p>
    <w:p>
      <w:pPr>
        <w:spacing w:line="440" w:lineRule="exact"/>
        <w:ind w:firstLine="420" w:firstLineChars="200"/>
        <w:jc w:val="left"/>
        <w:rPr>
          <w:color w:val="auto"/>
          <w:highlight w:val="none"/>
        </w:rPr>
      </w:pPr>
      <w:r>
        <w:rPr>
          <w:rFonts w:hint="eastAsia" w:hAnsi="宋体"/>
          <w:color w:val="auto"/>
          <w:kern w:val="0"/>
          <w:highlight w:val="none"/>
        </w:rPr>
        <w:t>暂</w:t>
      </w:r>
      <w:bookmarkStart w:id="509" w:name="_Toc318581176"/>
      <w:bookmarkStart w:id="510" w:name="_Toc312677508"/>
      <w:bookmarkStart w:id="511" w:name="_Toc312678034"/>
      <w:r>
        <w:rPr>
          <w:rFonts w:hint="eastAsia" w:hAnsi="宋体"/>
          <w:color w:val="auto"/>
          <w:kern w:val="0"/>
          <w:highlight w:val="none"/>
        </w:rPr>
        <w:t>估价材料和工程设备的明细详见已标价工程量清单《</w:t>
      </w:r>
      <w:r>
        <w:rPr>
          <w:rFonts w:hint="eastAsia"/>
          <w:color w:val="auto"/>
          <w:highlight w:val="none"/>
        </w:rPr>
        <w:t>材料（工程设备）暂估价格及调整表》</w:t>
      </w:r>
      <w:r>
        <w:rPr>
          <w:rFonts w:hint="eastAsia" w:hAnsi="宋体"/>
          <w:color w:val="auto"/>
          <w:kern w:val="0"/>
          <w:highlight w:val="none"/>
        </w:rPr>
        <w:t>（表12-2）和《</w:t>
      </w:r>
      <w:r>
        <w:rPr>
          <w:rFonts w:hint="eastAsia"/>
          <w:color w:val="auto"/>
          <w:highlight w:val="none"/>
        </w:rPr>
        <w:t>专业工程暂估价表》（</w:t>
      </w:r>
      <w:r>
        <w:rPr>
          <w:rFonts w:hint="eastAsia" w:hAnsi="宋体"/>
          <w:color w:val="auto"/>
          <w:kern w:val="0"/>
          <w:highlight w:val="none"/>
        </w:rPr>
        <w:t>表12-3）。</w:t>
      </w:r>
    </w:p>
    <w:bookmarkEnd w:id="509"/>
    <w:bookmarkEnd w:id="510"/>
    <w:bookmarkEnd w:id="511"/>
    <w:p>
      <w:pPr>
        <w:spacing w:line="440" w:lineRule="exact"/>
        <w:ind w:firstLine="420" w:firstLineChars="200"/>
        <w:jc w:val="left"/>
        <w:rPr>
          <w:color w:val="auto"/>
          <w:highlight w:val="none"/>
        </w:rPr>
      </w:pPr>
      <w:r>
        <w:rPr>
          <w:color w:val="auto"/>
          <w:highlight w:val="none"/>
        </w:rPr>
        <w:t>1</w:t>
      </w:r>
      <w:bookmarkStart w:id="512" w:name="_Toc318581177"/>
      <w:bookmarkStart w:id="513" w:name="_Toc312677509"/>
      <w:bookmarkStart w:id="514" w:name="_Toc312678035"/>
      <w:r>
        <w:rPr>
          <w:color w:val="auto"/>
          <w:highlight w:val="none"/>
        </w:rPr>
        <w:t xml:space="preserve">0.7.1 </w:t>
      </w:r>
      <w:r>
        <w:rPr>
          <w:rFonts w:hint="eastAsia" w:hAnsi="宋体"/>
          <w:color w:val="auto"/>
          <w:highlight w:val="none"/>
        </w:rPr>
        <w:t>依法必须招标的暂估价项目</w:t>
      </w:r>
    </w:p>
    <w:bookmarkEnd w:id="512"/>
    <w:bookmarkEnd w:id="513"/>
    <w:bookmarkEnd w:id="514"/>
    <w:p>
      <w:pPr>
        <w:spacing w:line="440" w:lineRule="exact"/>
        <w:ind w:firstLine="420" w:firstLineChars="200"/>
        <w:jc w:val="left"/>
        <w:rPr>
          <w:color w:val="auto"/>
          <w:highlight w:val="none"/>
        </w:rPr>
      </w:pPr>
      <w:r>
        <w:rPr>
          <w:rFonts w:hint="eastAsia" w:hAnsi="宋体"/>
          <w:color w:val="auto"/>
          <w:highlight w:val="none"/>
        </w:rPr>
        <w:t>对于依法必须招标的暂估价项目的确认和批准采取第</w:t>
      </w:r>
      <w:r>
        <w:rPr>
          <w:color w:val="auto"/>
          <w:highlight w:val="none"/>
          <w:u w:val="single"/>
        </w:rPr>
        <w:t xml:space="preserve"> /   </w:t>
      </w:r>
      <w:r>
        <w:rPr>
          <w:rFonts w:hint="eastAsia" w:hAnsi="宋体"/>
          <w:color w:val="auto"/>
          <w:highlight w:val="none"/>
        </w:rPr>
        <w:t>种方式确定。</w:t>
      </w:r>
    </w:p>
    <w:p>
      <w:pPr>
        <w:spacing w:line="440" w:lineRule="exact"/>
        <w:ind w:firstLine="420" w:firstLineChars="200"/>
        <w:jc w:val="left"/>
        <w:rPr>
          <w:color w:val="auto"/>
          <w:highlight w:val="none"/>
        </w:rPr>
      </w:pPr>
      <w:r>
        <w:rPr>
          <w:color w:val="auto"/>
          <w:highlight w:val="none"/>
        </w:rPr>
        <w:t xml:space="preserve">10.7.2 </w:t>
      </w:r>
      <w:r>
        <w:rPr>
          <w:rFonts w:hint="eastAsia" w:hAnsi="宋体"/>
          <w:color w:val="auto"/>
          <w:highlight w:val="none"/>
        </w:rPr>
        <w:t>不属于依法必须招标的暂估价项目</w:t>
      </w:r>
    </w:p>
    <w:p>
      <w:pPr>
        <w:spacing w:line="440" w:lineRule="exact"/>
        <w:ind w:firstLine="420" w:firstLineChars="200"/>
        <w:jc w:val="left"/>
        <w:rPr>
          <w:color w:val="auto"/>
          <w:highlight w:val="none"/>
        </w:rPr>
      </w:pPr>
      <w:r>
        <w:rPr>
          <w:rFonts w:hint="eastAsia" w:hAnsi="宋体"/>
          <w:color w:val="auto"/>
          <w:highlight w:val="none"/>
        </w:rPr>
        <w:t>对于不属于依法必须招标的暂估价项目的确认和批准采取第</w:t>
      </w:r>
      <w:r>
        <w:rPr>
          <w:color w:val="auto"/>
          <w:highlight w:val="none"/>
          <w:u w:val="single"/>
        </w:rPr>
        <w:t xml:space="preserve">  /  </w:t>
      </w:r>
      <w:r>
        <w:rPr>
          <w:rFonts w:hint="eastAsia" w:hAnsi="宋体"/>
          <w:color w:val="auto"/>
          <w:highlight w:val="none"/>
        </w:rPr>
        <w:t>种方式确定。</w:t>
      </w:r>
    </w:p>
    <w:p>
      <w:pPr>
        <w:spacing w:line="440" w:lineRule="exact"/>
        <w:ind w:firstLine="420" w:firstLineChars="200"/>
        <w:jc w:val="left"/>
        <w:rPr>
          <w:color w:val="auto"/>
          <w:kern w:val="0"/>
          <w:highlight w:val="none"/>
        </w:rPr>
      </w:pPr>
      <w:r>
        <w:rPr>
          <w:rFonts w:hint="eastAsia" w:hAnsi="宋体"/>
          <w:color w:val="auto"/>
          <w:highlight w:val="none"/>
        </w:rPr>
        <w:t>第</w:t>
      </w:r>
      <w:r>
        <w:rPr>
          <w:color w:val="auto"/>
          <w:highlight w:val="none"/>
        </w:rPr>
        <w:t>3</w:t>
      </w:r>
      <w:r>
        <w:rPr>
          <w:rFonts w:hint="eastAsia" w:hAnsi="宋体"/>
          <w:color w:val="auto"/>
          <w:highlight w:val="none"/>
        </w:rPr>
        <w:t>种方式：</w:t>
      </w:r>
      <w:r>
        <w:rPr>
          <w:rFonts w:hint="eastAsia" w:hAnsi="宋体"/>
          <w:color w:val="auto"/>
          <w:kern w:val="0"/>
          <w:highlight w:val="none"/>
        </w:rPr>
        <w:t>承包人直接实施的暂估价项目</w:t>
      </w:r>
    </w:p>
    <w:p>
      <w:pPr>
        <w:spacing w:line="440" w:lineRule="exact"/>
        <w:ind w:firstLine="420" w:firstLineChars="200"/>
        <w:jc w:val="left"/>
        <w:rPr>
          <w:rFonts w:hint="eastAsia" w:ascii="宋体" w:hAnsi="宋体" w:cs="宋体"/>
          <w:color w:val="auto"/>
          <w:kern w:val="0"/>
          <w:szCs w:val="21"/>
          <w:highlight w:val="none"/>
        </w:rPr>
      </w:pPr>
      <w:r>
        <w:rPr>
          <w:rFonts w:hint="eastAsia" w:hAnsi="宋体"/>
          <w:color w:val="auto"/>
          <w:highlight w:val="none"/>
        </w:rPr>
        <w:t>承包人直接实施的暂估价项目的约定：</w:t>
      </w:r>
      <w:r>
        <w:rPr>
          <w:color w:val="auto"/>
          <w:highlight w:val="none"/>
          <w:u w:val="single"/>
        </w:rPr>
        <w:t xml:space="preserve">            /         </w:t>
      </w:r>
      <w:r>
        <w:rPr>
          <w:rFonts w:hint="eastAsia" w:ascii="宋体" w:hAnsi="宋体" w:cs="宋体"/>
          <w:color w:val="auto"/>
          <w:kern w:val="0"/>
          <w:szCs w:val="21"/>
          <w:highlight w:val="none"/>
        </w:rPr>
        <w:t>。</w:t>
      </w:r>
      <w:bookmarkStart w:id="515" w:name="_Toc395382548"/>
      <w:bookmarkStart w:id="516" w:name="_Toc445856420"/>
      <w:bookmarkStart w:id="517" w:name="_Toc373227745"/>
      <w:bookmarkStart w:id="518" w:name="_Toc389065311"/>
      <w:bookmarkStart w:id="519" w:name="_Toc373478392"/>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10.8 暂列金额</w:t>
      </w:r>
      <w:bookmarkEnd w:id="515"/>
      <w:bookmarkEnd w:id="516"/>
      <w:bookmarkEnd w:id="517"/>
      <w:bookmarkEnd w:id="518"/>
      <w:bookmarkEnd w:id="519"/>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20" w:name="_Toc351203643"/>
    </w:p>
    <w:p>
      <w:pPr>
        <w:autoSpaceDE w:val="0"/>
        <w:autoSpaceDN w:val="0"/>
        <w:adjustRightInd w:val="0"/>
        <w:spacing w:line="440" w:lineRule="exact"/>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11.价格调整</w:t>
      </w:r>
      <w:bookmarkEnd w:id="520"/>
      <w:bookmarkStart w:id="521" w:name="_Toc395382550"/>
      <w:bookmarkStart w:id="522" w:name="_Toc373227747"/>
      <w:bookmarkStart w:id="523" w:name="_Toc373478394"/>
      <w:bookmarkStart w:id="524" w:name="_Toc389065313"/>
      <w:bookmarkStart w:id="525" w:name="_Toc445856421"/>
      <w:bookmarkStart w:id="526" w:name="_Toc297048387"/>
      <w:bookmarkStart w:id="527" w:name="_Toc297216209"/>
      <w:bookmarkStart w:id="528" w:name="_Toc304295577"/>
      <w:bookmarkStart w:id="529" w:name="_Toc292559406"/>
      <w:bookmarkStart w:id="530" w:name="_Toc296891241"/>
      <w:bookmarkStart w:id="531" w:name="_Toc292559911"/>
      <w:bookmarkStart w:id="532" w:name="_Toc300935000"/>
      <w:bookmarkStart w:id="533" w:name="_Toc312678039"/>
      <w:bookmarkStart w:id="534" w:name="_Toc297120501"/>
      <w:bookmarkStart w:id="535" w:name="_Toc296346702"/>
      <w:bookmarkStart w:id="536" w:name="_Toc296347200"/>
      <w:bookmarkStart w:id="537" w:name="_Toc296503201"/>
      <w:bookmarkStart w:id="538" w:name="_Toc297123550"/>
      <w:bookmarkStart w:id="539" w:name="_Toc296891029"/>
      <w:bookmarkStart w:id="540" w:name="_Toc296944540"/>
      <w:bookmarkStart w:id="541" w:name="_Toc303539157"/>
    </w:p>
    <w:p>
      <w:pPr>
        <w:autoSpaceDE w:val="0"/>
        <w:autoSpaceDN w:val="0"/>
        <w:adjustRightIn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11.1 市场价格波动引起的调整</w:t>
      </w:r>
      <w:bookmarkEnd w:id="521"/>
      <w:bookmarkEnd w:id="522"/>
      <w:bookmarkEnd w:id="523"/>
      <w:bookmarkEnd w:id="524"/>
      <w:bookmarkEnd w:id="525"/>
    </w:p>
    <w:bookmarkEnd w:id="413"/>
    <w:bookmarkEnd w:id="414"/>
    <w:bookmarkEnd w:id="415"/>
    <w:bookmarkEnd w:id="416"/>
    <w:bookmarkEnd w:id="417"/>
    <w:bookmarkEnd w:id="418"/>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line="440" w:lineRule="exact"/>
        <w:ind w:firstLine="420" w:firstLineChars="200"/>
        <w:jc w:val="left"/>
        <w:rPr>
          <w:rFonts w:hint="eastAsia" w:ascii="宋体" w:hAnsi="宋体" w:cs="宋体"/>
          <w:color w:val="auto"/>
          <w:szCs w:val="21"/>
          <w:highlight w:val="none"/>
        </w:rPr>
      </w:pPr>
      <w:bookmarkStart w:id="542" w:name="_Toc296944544"/>
      <w:bookmarkStart w:id="543" w:name="_Toc297120505"/>
      <w:bookmarkStart w:id="544" w:name="_Toc296347204"/>
      <w:bookmarkStart w:id="545" w:name="_Toc296346706"/>
      <w:bookmarkStart w:id="546" w:name="_Toc296503205"/>
      <w:bookmarkStart w:id="547" w:name="_Toc292559915"/>
      <w:bookmarkStart w:id="548" w:name="_Toc292559410"/>
      <w:bookmarkStart w:id="549" w:name="_Toc296891033"/>
      <w:bookmarkStart w:id="550" w:name="_Toc296891245"/>
      <w:bookmarkStart w:id="551" w:name="_Toc297048391"/>
      <w:bookmarkStart w:id="552" w:name="_Toc351203644"/>
      <w:bookmarkStart w:id="553" w:name="_Toc297123552"/>
      <w:bookmarkStart w:id="554" w:name="_Toc303539159"/>
      <w:bookmarkStart w:id="555" w:name="_Toc297216211"/>
      <w:bookmarkStart w:id="556" w:name="_Toc304295579"/>
      <w:bookmarkStart w:id="557" w:name="_Toc312678040"/>
      <w:bookmarkStart w:id="558" w:name="_Toc300935002"/>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否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种方式对合同价格进行调整：</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（1）允许调整的主要材料（设备）、基期价格、风险系数、</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报价：详见《承包人提供主要材料和设备一览表》。</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（2）主要材料确认价：</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按施工期间《</w:t>
      </w:r>
      <w:r>
        <w:rPr>
          <w:rFonts w:hint="eastAsia" w:ascii="宋体" w:hAnsi="宋体" w:cs="宋体"/>
          <w:color w:val="auto"/>
          <w:szCs w:val="21"/>
          <w:highlight w:val="none"/>
          <w:u w:val="single"/>
          <w:lang w:eastAsia="zh-CN"/>
        </w:rPr>
        <w:t>崇左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市建设工程造价信息》加权平均计算，信息价没有的按通用条款规定确定。</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（3）价差计算方法：</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①《承包人提供主要材料和设备一览表》中载明的材料</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报价低于基准价格的：合同履行期间材料单价涨幅以基准价格为基础超过约定的风险范围时，或材料单价跌幅以</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报价为基础超过约定的风险范围时，其超过部分据实调整。</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②承包人在《承包人提供主要材料和设备一览表》中载明的材料</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报价高于基准价格的：专用合同条款合同履行期间材料单价跌幅以基准价格为基础超过约定的风险范围时，材料单价涨幅以</w:t>
      </w: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报价为基础超过约定的风险范围时，其超过部分据实调整。</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③承包人在《承包人提供主要材料和设备一览表》中载明的材料单价等于基准单价的：合同履行期间材料单价涨跌幅以基准单价为基础超过约定的风险范围时，其超过部分据实调整。</w:t>
      </w:r>
    </w:p>
    <w:p>
      <w:pPr>
        <w:autoSpaceDE w:val="0"/>
        <w:autoSpaceDN w:val="0"/>
        <w:adjustRightInd w:val="0"/>
        <w:spacing w:line="440" w:lineRule="exact"/>
        <w:ind w:firstLine="504"/>
        <w:rPr>
          <w:rFonts w:hint="eastAsia" w:ascii="宋体" w:hAnsi="宋体" w:cs="宋体"/>
          <w:color w:val="auto"/>
          <w:szCs w:val="21"/>
          <w:highlight w:val="none"/>
          <w:u w:val="singl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autoSpaceDE w:val="0"/>
        <w:autoSpaceDN w:val="0"/>
        <w:adjustRightInd w:val="0"/>
        <w:spacing w:line="44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 xml:space="preserve">12. </w:t>
      </w:r>
      <w:bookmarkEnd w:id="542"/>
      <w:bookmarkEnd w:id="543"/>
      <w:bookmarkEnd w:id="544"/>
      <w:bookmarkEnd w:id="545"/>
      <w:bookmarkEnd w:id="546"/>
      <w:bookmarkEnd w:id="547"/>
      <w:bookmarkEnd w:id="548"/>
      <w:bookmarkEnd w:id="549"/>
      <w:bookmarkEnd w:id="550"/>
      <w:bookmarkEnd w:id="551"/>
      <w:r>
        <w:rPr>
          <w:rFonts w:hint="eastAsia" w:ascii="宋体" w:hAnsi="宋体" w:cs="宋体"/>
          <w:b/>
          <w:color w:val="auto"/>
          <w:kern w:val="0"/>
          <w:sz w:val="24"/>
          <w:highlight w:val="none"/>
        </w:rPr>
        <w:t>合同价格、计量与支付</w:t>
      </w:r>
      <w:bookmarkEnd w:id="552"/>
    </w:p>
    <w:bookmarkEnd w:id="553"/>
    <w:bookmarkEnd w:id="554"/>
    <w:bookmarkEnd w:id="555"/>
    <w:bookmarkEnd w:id="556"/>
    <w:bookmarkEnd w:id="557"/>
    <w:bookmarkEnd w:id="558"/>
    <w:p>
      <w:pPr>
        <w:spacing w:line="440" w:lineRule="exact"/>
        <w:ind w:firstLine="420" w:firstLineChars="200"/>
        <w:rPr>
          <w:rFonts w:hint="eastAsia" w:ascii="宋体" w:hAnsi="宋体" w:cs="宋体"/>
          <w:color w:val="auto"/>
          <w:kern w:val="0"/>
          <w:szCs w:val="21"/>
          <w:highlight w:val="none"/>
        </w:rPr>
      </w:pPr>
      <w:bookmarkStart w:id="559" w:name="_Toc292559916"/>
      <w:bookmarkStart w:id="560" w:name="_Toc267251461"/>
      <w:bookmarkStart w:id="561" w:name="_Toc292559411"/>
      <w:bookmarkStart w:id="562" w:name="_Toc297048392"/>
      <w:bookmarkStart w:id="563" w:name="_Toc296503206"/>
      <w:bookmarkStart w:id="564" w:name="_Toc296891246"/>
      <w:bookmarkStart w:id="565" w:name="_Toc297120506"/>
      <w:bookmarkStart w:id="566" w:name="_Toc296891034"/>
      <w:bookmarkStart w:id="567" w:name="_Toc296347205"/>
      <w:bookmarkStart w:id="568" w:name="_Toc296346707"/>
      <w:bookmarkStart w:id="569" w:name="_Toc296944545"/>
      <w:bookmarkStart w:id="570" w:name="_Toc312678041"/>
      <w:bookmarkStart w:id="571" w:name="_Toc300935003"/>
      <w:bookmarkStart w:id="572" w:name="_Toc304295580"/>
      <w:bookmarkStart w:id="573" w:name="_Toc303539160"/>
      <w:bookmarkStart w:id="574" w:name="_Toc297216212"/>
      <w:bookmarkStart w:id="575" w:name="_Toc297123553"/>
      <w:r>
        <w:rPr>
          <w:rFonts w:hint="eastAsia" w:ascii="宋体" w:hAnsi="宋体" w:cs="宋体"/>
          <w:color w:val="auto"/>
          <w:kern w:val="0"/>
          <w:szCs w:val="21"/>
          <w:highlight w:val="none"/>
        </w:rPr>
        <w:t>12.1 合</w:t>
      </w:r>
      <w:bookmarkEnd w:id="559"/>
      <w:bookmarkEnd w:id="560"/>
      <w:bookmarkEnd w:id="561"/>
      <w:r>
        <w:rPr>
          <w:rFonts w:hint="eastAsia" w:ascii="宋体" w:hAnsi="宋体" w:cs="宋体"/>
          <w:color w:val="auto"/>
          <w:kern w:val="0"/>
          <w:szCs w:val="21"/>
          <w:highlight w:val="none"/>
        </w:rPr>
        <w:t>同价</w:t>
      </w:r>
      <w:bookmarkEnd w:id="562"/>
      <w:bookmarkEnd w:id="563"/>
      <w:bookmarkEnd w:id="564"/>
      <w:bookmarkEnd w:id="565"/>
      <w:bookmarkEnd w:id="566"/>
      <w:bookmarkEnd w:id="567"/>
      <w:bookmarkEnd w:id="568"/>
      <w:bookmarkEnd w:id="569"/>
      <w:r>
        <w:rPr>
          <w:rFonts w:hint="eastAsia" w:ascii="宋体" w:hAnsi="宋体" w:cs="宋体"/>
          <w:color w:val="auto"/>
          <w:kern w:val="0"/>
          <w:szCs w:val="21"/>
          <w:highlight w:val="none"/>
        </w:rPr>
        <w:t>格形式</w:t>
      </w:r>
    </w:p>
    <w:bookmarkEnd w:id="570"/>
    <w:bookmarkEnd w:id="571"/>
    <w:bookmarkEnd w:id="572"/>
    <w:bookmarkEnd w:id="573"/>
    <w:bookmarkEnd w:id="574"/>
    <w:bookmarkEnd w:id="575"/>
    <w:p>
      <w:pPr>
        <w:spacing w:line="440" w:lineRule="exact"/>
        <w:ind w:firstLine="420" w:firstLineChars="200"/>
        <w:jc w:val="left"/>
        <w:rPr>
          <w:rFonts w:hAnsi="宋体"/>
          <w:color w:val="auto"/>
          <w:highlight w:val="none"/>
        </w:rPr>
      </w:pPr>
      <w:bookmarkStart w:id="576" w:name="_Toc303539161"/>
      <w:bookmarkStart w:id="577" w:name="_Toc297216213"/>
      <w:bookmarkStart w:id="578" w:name="_Toc300935004"/>
      <w:bookmarkStart w:id="579" w:name="_Toc304295581"/>
      <w:bookmarkStart w:id="580" w:name="_Toc312678042"/>
      <w:bookmarkStart w:id="581" w:name="_Toc297123554"/>
      <w:bookmarkStart w:id="582" w:name="_Toc296347206"/>
      <w:bookmarkStart w:id="583" w:name="_Toc297120507"/>
      <w:bookmarkStart w:id="584" w:name="_Toc296891247"/>
      <w:bookmarkStart w:id="585" w:name="_Toc292559917"/>
      <w:bookmarkStart w:id="586" w:name="_Toc296891035"/>
      <w:bookmarkStart w:id="587" w:name="_Toc296503207"/>
      <w:bookmarkStart w:id="588" w:name="_Toc296346708"/>
      <w:bookmarkStart w:id="589" w:name="_Toc296944546"/>
      <w:bookmarkStart w:id="590" w:name="_Toc297048393"/>
      <w:bookmarkStart w:id="591" w:name="_Toc292559412"/>
      <w:r>
        <w:rPr>
          <w:rFonts w:hint="eastAsia" w:hAnsi="宋体"/>
          <w:color w:val="auto"/>
          <w:highlight w:val="none"/>
        </w:rPr>
        <w:t>本合同价款采用固定综合单价方式确定。</w:t>
      </w:r>
    </w:p>
    <w:p>
      <w:pPr>
        <w:spacing w:line="440" w:lineRule="exact"/>
        <w:ind w:firstLine="420" w:firstLineChars="200"/>
        <w:jc w:val="left"/>
        <w:rPr>
          <w:rFonts w:hAnsi="宋体"/>
          <w:color w:val="auto"/>
          <w:highlight w:val="none"/>
        </w:rPr>
      </w:pPr>
      <w:r>
        <w:rPr>
          <w:rFonts w:hint="eastAsia" w:hAnsi="宋体"/>
          <w:color w:val="auto"/>
          <w:highlight w:val="none"/>
        </w:rPr>
        <w:t>综合单价包含的风险范围：</w:t>
      </w:r>
      <w:r>
        <w:rPr>
          <w:rFonts w:hint="eastAsia" w:ascii="宋体" w:hAnsi="宋体" w:cs="宋体"/>
          <w:color w:val="auto"/>
          <w:szCs w:val="21"/>
          <w:highlight w:val="none"/>
          <w:u w:val="single"/>
          <w:lang w:eastAsia="zh-CN"/>
        </w:rPr>
        <w:t>除工程变更、政策性调整、《承包人提供主要材料和设备一览表》约定的材料、设备价格变动风险以外因素</w:t>
      </w:r>
      <w:r>
        <w:rPr>
          <w:rFonts w:hint="eastAsia" w:hAnsi="宋体"/>
          <w:color w:val="auto"/>
          <w:highlight w:val="none"/>
          <w:u w:val="single"/>
        </w:rPr>
        <w:t>。</w:t>
      </w:r>
    </w:p>
    <w:p>
      <w:pPr>
        <w:pStyle w:val="13"/>
        <w:spacing w:line="440" w:lineRule="exact"/>
        <w:ind w:firstLine="420" w:firstLineChars="210"/>
        <w:rPr>
          <w:rFonts w:ascii="Times New Roman" w:hAnsi="宋体"/>
          <w:color w:val="auto"/>
          <w:szCs w:val="24"/>
          <w:highlight w:val="none"/>
        </w:rPr>
      </w:pPr>
      <w:r>
        <w:rPr>
          <w:rFonts w:hint="eastAsia" w:ascii="Times New Roman" w:hAnsi="宋体"/>
          <w:color w:val="auto"/>
          <w:szCs w:val="24"/>
          <w:highlight w:val="none"/>
        </w:rPr>
        <w:t>风险范围以外合同价格的调整方法：</w:t>
      </w:r>
    </w:p>
    <w:p>
      <w:pPr>
        <w:pStyle w:val="13"/>
        <w:spacing w:line="440" w:lineRule="exact"/>
        <w:ind w:firstLine="420" w:firstLineChars="210"/>
        <w:rPr>
          <w:rFonts w:ascii="Times New Roman" w:hAnsi="宋体"/>
          <w:color w:val="auto"/>
          <w:szCs w:val="24"/>
          <w:highlight w:val="none"/>
        </w:rPr>
      </w:pPr>
      <w:r>
        <w:rPr>
          <w:rFonts w:ascii="Times New Roman" w:hAnsi="宋体"/>
          <w:color w:val="auto"/>
          <w:szCs w:val="24"/>
          <w:highlight w:val="none"/>
        </w:rPr>
        <w:t>①</w:t>
      </w:r>
      <w:r>
        <w:rPr>
          <w:rFonts w:hint="eastAsia" w:ascii="Times New Roman" w:hAnsi="宋体"/>
          <w:color w:val="auto"/>
          <w:szCs w:val="24"/>
          <w:highlight w:val="none"/>
        </w:rPr>
        <w:t>工程变更：按10.4.1变更估价原则的约定调整。</w:t>
      </w:r>
    </w:p>
    <w:p>
      <w:pPr>
        <w:pStyle w:val="13"/>
        <w:spacing w:line="440" w:lineRule="exact"/>
        <w:ind w:firstLine="420" w:firstLineChars="210"/>
        <w:rPr>
          <w:rFonts w:ascii="Times New Roman" w:hAnsi="宋体"/>
          <w:color w:val="auto"/>
          <w:szCs w:val="24"/>
          <w:highlight w:val="none"/>
        </w:rPr>
      </w:pPr>
      <w:r>
        <w:rPr>
          <w:rFonts w:ascii="Times New Roman" w:hAnsi="宋体"/>
          <w:color w:val="auto"/>
          <w:szCs w:val="24"/>
          <w:highlight w:val="none"/>
        </w:rPr>
        <w:t>②</w:t>
      </w:r>
      <w:r>
        <w:rPr>
          <w:rFonts w:hint="eastAsia" w:ascii="Times New Roman" w:hAnsi="宋体"/>
          <w:color w:val="auto"/>
          <w:szCs w:val="24"/>
          <w:highlight w:val="none"/>
        </w:rPr>
        <w:t>政策性调整：按自治区建设行政主管部门颁布的文件执行。</w:t>
      </w:r>
    </w:p>
    <w:p>
      <w:pPr>
        <w:pStyle w:val="13"/>
        <w:spacing w:line="440" w:lineRule="exact"/>
        <w:ind w:firstLine="420" w:firstLineChars="210"/>
        <w:rPr>
          <w:rFonts w:ascii="Times New Roman" w:hAnsi="宋体"/>
          <w:color w:val="auto"/>
          <w:szCs w:val="24"/>
          <w:highlight w:val="none"/>
        </w:rPr>
      </w:pPr>
      <w:r>
        <w:rPr>
          <w:rFonts w:ascii="Times New Roman" w:hAnsi="宋体"/>
          <w:color w:val="auto"/>
          <w:szCs w:val="24"/>
          <w:highlight w:val="none"/>
        </w:rPr>
        <w:t>③</w:t>
      </w:r>
      <w:r>
        <w:rPr>
          <w:rFonts w:hint="eastAsia" w:ascii="Times New Roman" w:hAnsi="宋体"/>
          <w:color w:val="auto"/>
          <w:szCs w:val="24"/>
          <w:highlight w:val="none"/>
        </w:rPr>
        <w:t>材料价格风险：按11.1的约定调整。</w:t>
      </w:r>
    </w:p>
    <w:p>
      <w:pPr>
        <w:spacing w:line="440" w:lineRule="exact"/>
        <w:ind w:firstLine="420" w:firstLineChars="200"/>
        <w:jc w:val="left"/>
        <w:rPr>
          <w:rFonts w:hAnsi="宋体"/>
          <w:color w:val="auto"/>
          <w:highlight w:val="none"/>
        </w:rPr>
      </w:pPr>
      <w:r>
        <w:rPr>
          <w:rFonts w:hAnsi="宋体"/>
          <w:color w:val="auto"/>
          <w:highlight w:val="none"/>
        </w:rPr>
        <w:t>④</w:t>
      </w:r>
      <w:r>
        <w:rPr>
          <w:rFonts w:hint="eastAsia" w:hAnsi="宋体"/>
          <w:color w:val="auto"/>
          <w:highlight w:val="none"/>
        </w:rPr>
        <w:t>其它：</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olor w:val="auto"/>
          <w:highlight w:val="none"/>
        </w:rPr>
        <w:t>。</w:t>
      </w:r>
    </w:p>
    <w:p>
      <w:pPr>
        <w:spacing w:line="440" w:lineRule="exact"/>
        <w:ind w:firstLine="420" w:firstLineChars="200"/>
        <w:jc w:val="left"/>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）总价合同。</w:t>
      </w:r>
    </w:p>
    <w:p>
      <w:pPr>
        <w:spacing w:line="440" w:lineRule="exact"/>
        <w:ind w:firstLine="420" w:firstLineChars="200"/>
        <w:jc w:val="left"/>
        <w:rPr>
          <w:rFonts w:hAnsi="宋体"/>
          <w:color w:val="auto"/>
          <w:highlight w:val="none"/>
        </w:rPr>
      </w:pPr>
      <w:r>
        <w:rPr>
          <w:rFonts w:hint="eastAsia" w:hAnsi="宋体"/>
          <w:color w:val="auto"/>
          <w:highlight w:val="none"/>
        </w:rPr>
        <w:t>总价包含的风险范围：</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pPr>
        <w:spacing w:line="440" w:lineRule="exact"/>
        <w:ind w:firstLine="420" w:firstLineChars="200"/>
        <w:jc w:val="left"/>
        <w:rPr>
          <w:color w:val="auto"/>
          <w:highlight w:val="none"/>
        </w:rPr>
      </w:pPr>
      <w:r>
        <w:rPr>
          <w:rFonts w:hint="eastAsia"/>
          <w:color w:val="auto"/>
          <w:highlight w:val="none"/>
        </w:rPr>
        <w:t>风险范围以外合同价格的调整方法：</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color w:val="auto"/>
          <w:highlight w:val="none"/>
          <w:u w:val="single"/>
        </w:rPr>
        <w:t xml:space="preserve"> </w:t>
      </w:r>
      <w:r>
        <w:rPr>
          <w:rFonts w:hint="eastAsia"/>
          <w:color w:val="auto"/>
          <w:highlight w:val="none"/>
        </w:rPr>
        <w:t>。</w:t>
      </w:r>
    </w:p>
    <w:p>
      <w:pPr>
        <w:spacing w:line="440" w:lineRule="exact"/>
        <w:ind w:firstLine="420" w:firstLineChars="200"/>
        <w:jc w:val="left"/>
        <w:rPr>
          <w:rFonts w:hint="eastAsia" w:ascii="宋体" w:hAnsi="宋体" w:cs="宋体"/>
          <w:color w:val="auto"/>
          <w:kern w:val="0"/>
          <w:szCs w:val="21"/>
          <w:highlight w:val="none"/>
          <w:u w:val="single"/>
        </w:rPr>
      </w:pPr>
      <w:r>
        <w:rPr>
          <w:rFonts w:hint="eastAsia"/>
          <w:color w:val="auto"/>
          <w:highlight w:val="none"/>
        </w:rPr>
        <w:t>（</w:t>
      </w:r>
      <w:r>
        <w:rPr>
          <w:color w:val="auto"/>
          <w:highlight w:val="none"/>
        </w:rPr>
        <w:t>3</w:t>
      </w:r>
      <w:r>
        <w:rPr>
          <w:rFonts w:hint="eastAsia"/>
          <w:color w:val="auto"/>
          <w:highlight w:val="none"/>
        </w:rPr>
        <w:t>）其他价格方式：</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 </w:t>
      </w:r>
      <w:r>
        <w:rPr>
          <w:rFonts w:hAnsi="宋体"/>
          <w:color w:val="auto"/>
          <w:highlight w:val="none"/>
          <w:u w:val="single"/>
        </w:rPr>
        <w:t xml:space="preserve">                </w:t>
      </w:r>
      <w:r>
        <w:rPr>
          <w:color w:val="auto"/>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预付款</w:t>
      </w:r>
    </w:p>
    <w:bookmarkEnd w:id="576"/>
    <w:bookmarkEnd w:id="577"/>
    <w:bookmarkEnd w:id="578"/>
    <w:bookmarkEnd w:id="579"/>
    <w:bookmarkEnd w:id="580"/>
    <w:bookmarkEnd w:id="581"/>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12.2.1 预付款的支付</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30%</w:t>
      </w:r>
      <w:r>
        <w:rPr>
          <w:rFonts w:hint="eastAsia" w:ascii="宋体" w:hAnsi="宋体"/>
          <w:color w:val="auto"/>
          <w:highlight w:val="none"/>
          <w:u w:val="single"/>
        </w:rPr>
        <w:t xml:space="preserve">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lang w:eastAsia="zh-CN"/>
        </w:rPr>
        <w:t>施工单位入场后7个工作日内支付</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预付款使用原则：</w:t>
      </w:r>
      <w:r>
        <w:rPr>
          <w:rFonts w:hint="eastAsia" w:ascii="宋体" w:hAnsi="宋体" w:cs="宋体"/>
          <w:color w:val="auto"/>
          <w:szCs w:val="21"/>
          <w:highlight w:val="none"/>
          <w:u w:val="single"/>
          <w:lang w:val="en-US" w:eastAsia="zh-CN"/>
        </w:rPr>
        <w:t>施工单位必须遵守项目专款专用原则，本项目资金不得用于本项目以外的开支，资金使用量必须依据建设单位核定的项目进度进行开支</w:t>
      </w:r>
      <w:r>
        <w:rPr>
          <w:rFonts w:hint="eastAsia" w:ascii="宋体" w:hAnsi="宋体" w:cs="宋体"/>
          <w:color w:val="auto"/>
          <w:szCs w:val="21"/>
          <w:highlight w:val="none"/>
          <w:lang w:val="en-US" w:eastAsia="zh-CN"/>
        </w:rPr>
        <w:t>。</w:t>
      </w:r>
    </w:p>
    <w:p>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lang w:val="en-US" w:eastAsia="zh-CN"/>
        </w:rPr>
        <w:t>所支付的工程预付款，应在第一次、第二次申请工程进度款中各抵扣50%。如期中无进度款申请的，则在结算时予以一次性扣回全部开工预付款</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12.2.2 预付款担保</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预付款担保格式见合同附件7。</w:t>
      </w:r>
    </w:p>
    <w:bookmarkEnd w:id="582"/>
    <w:bookmarkEnd w:id="583"/>
    <w:bookmarkEnd w:id="584"/>
    <w:bookmarkEnd w:id="585"/>
    <w:bookmarkEnd w:id="586"/>
    <w:bookmarkEnd w:id="587"/>
    <w:bookmarkEnd w:id="588"/>
    <w:bookmarkEnd w:id="589"/>
    <w:bookmarkEnd w:id="590"/>
    <w:bookmarkEnd w:id="591"/>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 计量</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12.3.1 计量原则</w:t>
      </w:r>
    </w:p>
    <w:p>
      <w:pPr>
        <w:spacing w:line="440" w:lineRule="exact"/>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12.3.2 计量周期</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每月25日前</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12.3.3 单价合同的计量</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关于单价合同计量的约定：</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12.3.4 总价合同的计量</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关于总价合同计量的约定：除工程变更外，原图纸范围内的工程量不得按实计量。进度款按支付分解表支付，按通用条款第12.3.4项〔总价合同的计量〕约定进行计量，但合同价款按照支付分解表进行支付</w:t>
      </w:r>
      <w:r>
        <w:rPr>
          <w:rFonts w:hint="eastAsia" w:ascii="宋体" w:hAnsi="宋体" w:cs="宋体"/>
          <w:color w:val="auto"/>
          <w:kern w:val="0"/>
          <w:szCs w:val="21"/>
          <w:highlight w:val="none"/>
        </w:rPr>
        <w:t>。</w:t>
      </w:r>
    </w:p>
    <w:p>
      <w:pPr>
        <w:spacing w:line="440" w:lineRule="exact"/>
        <w:ind w:firstLine="420" w:firstLineChars="200"/>
        <w:jc w:val="left"/>
        <w:rPr>
          <w:color w:val="auto"/>
          <w:highlight w:val="none"/>
        </w:rPr>
      </w:pPr>
      <w:r>
        <w:rPr>
          <w:color w:val="auto"/>
          <w:highlight w:val="none"/>
        </w:rPr>
        <w:t xml:space="preserve">12.3.6 </w:t>
      </w:r>
      <w:r>
        <w:rPr>
          <w:rFonts w:hint="eastAsia" w:hAnsi="宋体"/>
          <w:color w:val="auto"/>
          <w:highlight w:val="none"/>
        </w:rPr>
        <w:t>其他价格形式合同的计量</w:t>
      </w:r>
    </w:p>
    <w:p>
      <w:pPr>
        <w:spacing w:line="440" w:lineRule="exact"/>
        <w:ind w:firstLine="420" w:firstLineChars="200"/>
        <w:jc w:val="left"/>
        <w:rPr>
          <w:color w:val="auto"/>
          <w:highlight w:val="none"/>
          <w:u w:val="single"/>
        </w:rPr>
      </w:pPr>
      <w:r>
        <w:rPr>
          <w:rFonts w:hint="eastAsia" w:hAnsi="宋体"/>
          <w:color w:val="auto"/>
          <w:highlight w:val="none"/>
        </w:rPr>
        <w:t>其他价格形式的计量方式和程序：</w:t>
      </w:r>
      <w:r>
        <w:rPr>
          <w:color w:val="auto"/>
          <w:highlight w:val="none"/>
          <w:u w:val="single"/>
        </w:rPr>
        <w:t xml:space="preserve"> </w:t>
      </w:r>
      <w:r>
        <w:rPr>
          <w:rFonts w:hint="eastAsia" w:ascii="宋体" w:hAnsi="宋体" w:cs="宋体"/>
          <w:color w:val="auto"/>
          <w:szCs w:val="21"/>
          <w:highlight w:val="none"/>
          <w:u w:val="single"/>
        </w:rPr>
        <w:t xml:space="preserve">            /           </w:t>
      </w:r>
      <w:r>
        <w:rPr>
          <w:rFonts w:hint="eastAsia" w:hAnsi="宋体"/>
          <w:color w:val="auto"/>
          <w:highlight w:val="none"/>
        </w:rPr>
        <w:t>。</w:t>
      </w:r>
    </w:p>
    <w:p>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12.4 工程进度款支付</w:t>
      </w:r>
    </w:p>
    <w:p>
      <w:pPr>
        <w:spacing w:line="440" w:lineRule="exact"/>
        <w:ind w:firstLine="420" w:firstLineChars="200"/>
        <w:jc w:val="left"/>
        <w:rPr>
          <w:rFonts w:hint="eastAsia" w:ascii="宋体" w:hAnsi="宋体" w:cs="宋体"/>
          <w:color w:val="auto"/>
          <w:szCs w:val="21"/>
          <w:highlight w:val="none"/>
        </w:rPr>
      </w:pPr>
      <w:bookmarkStart w:id="592" w:name="_Toc303539163"/>
      <w:bookmarkStart w:id="593" w:name="_Toc300935006"/>
      <w:bookmarkStart w:id="594" w:name="_Toc296503211"/>
      <w:bookmarkStart w:id="595" w:name="_Toc296891251"/>
      <w:bookmarkStart w:id="596" w:name="_Toc297123556"/>
      <w:bookmarkStart w:id="597" w:name="_Toc297120511"/>
      <w:bookmarkStart w:id="598" w:name="_Toc296891039"/>
      <w:bookmarkStart w:id="599" w:name="_Toc296347210"/>
      <w:bookmarkStart w:id="600" w:name="_Toc296346712"/>
      <w:bookmarkStart w:id="601" w:name="_Toc292559416"/>
      <w:bookmarkStart w:id="602" w:name="_Toc292559921"/>
      <w:bookmarkStart w:id="603" w:name="_Toc297216215"/>
      <w:bookmarkStart w:id="604" w:name="_Toc296944550"/>
      <w:bookmarkStart w:id="605" w:name="_Toc297048397"/>
      <w:r>
        <w:rPr>
          <w:rFonts w:hint="eastAsia" w:ascii="宋体" w:hAnsi="宋体" w:cs="宋体"/>
          <w:color w:val="auto"/>
          <w:szCs w:val="21"/>
          <w:highlight w:val="none"/>
        </w:rPr>
        <w:t>12.4.1 付款周期</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lang w:eastAsia="zh-CN"/>
        </w:rPr>
        <w:t>①双方签订合同后，乙方进场施工甲方拨付工程预付款30%；②合同内进度款(含付款)支付限额为已完成工程量的80%，工程变更部分进度款支付限额为已完成工程量的80%；③工程完工验收达到质量要求，累计支付额度以不超合同总额90%为上限(不含暂列金额、专业工程暂估价)，④结算并提交完整合格的竣工备案资料给发包人后，工程款支付至结算总价的97%，剩余工程价款结算总额的3%作为工程质量保证金，待缺陷责任期满后无息返还。(待县财政拨款后划拨)付款前承包人需开具的有效普通增值税发票给发包人，发包人收到发票后30天内支付相应进度款。</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12.4.2 进度付款申请单的编制</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发包人提供的工程款进度付款申请材料格式和内容填报</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hint="eastAsia" w:ascii="宋体" w:hAnsi="宋体" w:cs="宋体"/>
          <w:color w:val="auto"/>
          <w:szCs w:val="21"/>
          <w:highlight w:val="none"/>
        </w:rPr>
        <w:t>2.4.3 进度付款申请单的提交</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发包人向财政部门申请工程进度款时，承包人应配合发包人提供以下资料：①《工程用款支付证书》；②工程量计量报表（如财政局业务科室有具体要求格式的，按要求提供）；③其他需要补充说明的材料</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12.4.4 进度款审核和支付</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收到申请3个工作日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（2）发包人支付进度款的期限：</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进度款支付方式：</w:t>
      </w:r>
      <w:r>
        <w:rPr>
          <w:rFonts w:hint="eastAsia" w:ascii="宋体" w:hAnsi="宋体" w:cs="宋体"/>
          <w:color w:val="auto"/>
          <w:kern w:val="0"/>
          <w:szCs w:val="21"/>
          <w:highlight w:val="none"/>
          <w:u w:val="single"/>
        </w:rPr>
        <w:t>银行转账</w:t>
      </w:r>
      <w:r>
        <w:rPr>
          <w:rFonts w:hint="eastAsia" w:ascii="宋体" w:hAnsi="宋体" w:cs="宋体"/>
          <w:color w:val="auto"/>
          <w:kern w:val="0"/>
          <w:szCs w:val="21"/>
          <w:highlight w:val="none"/>
        </w:rPr>
        <w:t>。</w:t>
      </w:r>
    </w:p>
    <w:p>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12.4.6 支付分解表的编制：</w:t>
      </w:r>
    </w:p>
    <w:p>
      <w:pPr>
        <w:spacing w:line="440" w:lineRule="exact"/>
        <w:ind w:firstLine="525" w:firstLineChars="250"/>
        <w:jc w:val="left"/>
        <w:rPr>
          <w:color w:val="auto"/>
          <w:highlight w:val="none"/>
          <w:u w:val="single"/>
        </w:rPr>
      </w:pPr>
      <w:r>
        <w:rPr>
          <w:rFonts w:hint="eastAsia" w:ascii="宋体" w:hAnsi="宋体" w:cs="宋体"/>
          <w:color w:val="auto"/>
          <w:szCs w:val="21"/>
          <w:highlight w:val="none"/>
        </w:rPr>
        <w:t>2.总</w:t>
      </w:r>
      <w:r>
        <w:rPr>
          <w:rFonts w:hint="eastAsia" w:hAnsi="宋体"/>
          <w:color w:val="auto"/>
          <w:highlight w:val="none"/>
        </w:rPr>
        <w:t>价合同支付分解表的编制与审批：</w:t>
      </w:r>
      <w:r>
        <w:rPr>
          <w:rFonts w:hint="eastAsia" w:ascii="宋体" w:hAnsi="宋体" w:cs="宋体"/>
          <w:color w:val="auto"/>
          <w:szCs w:val="21"/>
          <w:highlight w:val="none"/>
          <w:u w:val="single"/>
        </w:rPr>
        <w:t xml:space="preserve">                     /                     </w:t>
      </w:r>
      <w:r>
        <w:rPr>
          <w:rFonts w:hint="eastAsia" w:hAnsi="宋体"/>
          <w:color w:val="auto"/>
          <w:highlight w:val="none"/>
        </w:rPr>
        <w:t>。</w:t>
      </w:r>
    </w:p>
    <w:bookmarkEnd w:id="419"/>
    <w:p>
      <w:pPr>
        <w:pStyle w:val="5"/>
        <w:spacing w:line="440" w:lineRule="exact"/>
        <w:rPr>
          <w:rFonts w:hint="eastAsia" w:ascii="宋体" w:hAnsi="宋体"/>
          <w:color w:val="auto"/>
          <w:sz w:val="24"/>
          <w:highlight w:val="none"/>
        </w:rPr>
      </w:pPr>
      <w:bookmarkStart w:id="606" w:name="_Toc351203645"/>
      <w:bookmarkStart w:id="607" w:name="_Toc297216223"/>
      <w:bookmarkStart w:id="608" w:name="_Toc304295593"/>
      <w:bookmarkStart w:id="609" w:name="_Toc296891259"/>
      <w:bookmarkStart w:id="610" w:name="_Toc303539172"/>
      <w:bookmarkStart w:id="611" w:name="_Toc296944558"/>
      <w:bookmarkStart w:id="612" w:name="_Toc297123564"/>
      <w:bookmarkStart w:id="613" w:name="_Toc312678053"/>
      <w:bookmarkStart w:id="614" w:name="_Toc296503219"/>
      <w:bookmarkStart w:id="615" w:name="_Toc297048405"/>
      <w:bookmarkStart w:id="616" w:name="_Toc296347218"/>
      <w:bookmarkStart w:id="617" w:name="_Toc297120519"/>
      <w:bookmarkStart w:id="618" w:name="_Toc292559929"/>
      <w:bookmarkStart w:id="619" w:name="_Toc292559424"/>
      <w:bookmarkStart w:id="620" w:name="_Toc296891047"/>
      <w:bookmarkStart w:id="621" w:name="_Toc300935015"/>
      <w:bookmarkStart w:id="622" w:name="_Toc296346720"/>
      <w:r>
        <w:rPr>
          <w:rFonts w:hint="eastAsia" w:ascii="宋体" w:hAnsi="宋体"/>
          <w:color w:val="auto"/>
          <w:sz w:val="24"/>
          <w:highlight w:val="none"/>
        </w:rPr>
        <w:t>13. 验收和工程试车</w:t>
      </w:r>
      <w:bookmarkEnd w:id="606"/>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小时提交书面延期要求。</w:t>
      </w:r>
    </w:p>
    <w:p>
      <w:pPr>
        <w:spacing w:line="440" w:lineRule="exact"/>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w:t>
      </w:r>
    </w:p>
    <w:p>
      <w:pPr>
        <w:spacing w:line="440" w:lineRule="exact"/>
        <w:ind w:firstLine="420" w:firstLineChars="200"/>
        <w:rPr>
          <w:rFonts w:hint="eastAsia" w:ascii="宋体" w:hAnsi="宋体" w:cs="宋体"/>
          <w:color w:val="auto"/>
          <w:szCs w:val="21"/>
          <w:highlight w:val="none"/>
        </w:rPr>
      </w:pPr>
      <w:bookmarkStart w:id="623" w:name="_Toc303539173"/>
      <w:bookmarkStart w:id="624" w:name="_Toc312678056"/>
      <w:bookmarkStart w:id="625" w:name="_Toc292559933"/>
      <w:bookmarkStart w:id="626" w:name="_Toc297048409"/>
      <w:bookmarkStart w:id="627" w:name="_Toc296891263"/>
      <w:bookmarkStart w:id="628" w:name="_Toc300935016"/>
      <w:bookmarkStart w:id="629" w:name="_Toc296891051"/>
      <w:bookmarkStart w:id="630" w:name="_Toc296346724"/>
      <w:bookmarkStart w:id="631" w:name="_Toc296944562"/>
      <w:bookmarkStart w:id="632" w:name="_Toc297123565"/>
      <w:bookmarkStart w:id="633" w:name="_Toc297216224"/>
      <w:bookmarkStart w:id="634" w:name="_Toc297120523"/>
      <w:bookmarkStart w:id="635" w:name="_Toc296503223"/>
      <w:bookmarkStart w:id="636" w:name="_Toc304295596"/>
      <w:bookmarkStart w:id="637" w:name="_Toc296347222"/>
      <w:bookmarkStart w:id="638" w:name="_Toc292559428"/>
      <w:bookmarkStart w:id="639" w:name="_Toc267251474"/>
      <w:bookmarkStart w:id="640" w:name="_Toc267251476"/>
      <w:bookmarkStart w:id="641" w:name="_Toc267251470"/>
      <w:bookmarkStart w:id="642" w:name="_Toc267251472"/>
      <w:bookmarkStart w:id="643" w:name="_Toc267251475"/>
      <w:bookmarkStart w:id="644" w:name="_Toc267251473"/>
      <w:bookmarkStart w:id="645" w:name="_Toc267251471"/>
      <w:r>
        <w:rPr>
          <w:rFonts w:hint="eastAsia" w:ascii="宋体" w:hAnsi="宋体" w:cs="宋体"/>
          <w:color w:val="auto"/>
          <w:szCs w:val="21"/>
          <w:highlight w:val="none"/>
        </w:rPr>
        <w:t>13.2 竣工验收</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13.2.1竣工验收条件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参照建筑工程验收规范，质量检验评定标准，满足并通过供电部门验收，达到接火通电要求；竣工验收通过并整改完成后，承包人必须无条件移交竣工验收成果材料 。其他按通用条款执行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 xml:space="preserve"> 按业主要求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竣工验收正式通过后5天提供竣工图4套。</w:t>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spacing w:line="440" w:lineRule="exact"/>
        <w:ind w:firstLine="420" w:firstLineChars="200"/>
        <w:jc w:val="left"/>
        <w:rPr>
          <w:rFonts w:hint="eastAsia" w:ascii="宋体" w:hAnsi="宋体" w:cs="宋体"/>
          <w:color w:val="auto"/>
          <w:szCs w:val="21"/>
          <w:highlight w:val="none"/>
        </w:rPr>
      </w:pPr>
      <w:bookmarkStart w:id="646" w:name="_Toc280868704"/>
      <w:bookmarkStart w:id="647" w:name="_Toc280868705"/>
      <w:bookmarkStart w:id="648" w:name="_Toc280868706"/>
      <w:bookmarkStart w:id="649" w:name="_Toc280868707"/>
      <w:bookmarkStart w:id="650" w:name="_Toc280868708"/>
      <w:bookmarkStart w:id="651" w:name="_Toc280868709"/>
      <w:r>
        <w:rPr>
          <w:rFonts w:hint="eastAsia" w:ascii="宋体" w:hAnsi="宋体" w:cs="宋体"/>
          <w:color w:val="auto"/>
          <w:szCs w:val="21"/>
          <w:highlight w:val="none"/>
        </w:rPr>
        <w:t>13.2.2竣工验收程序</w:t>
      </w:r>
    </w:p>
    <w:bookmarkEnd w:id="646"/>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关于竣工验收程序的约定：</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bookmarkEnd w:id="647"/>
    <w:p>
      <w:pPr>
        <w:spacing w:line="440" w:lineRule="exact"/>
        <w:ind w:firstLine="420" w:firstLineChars="200"/>
        <w:jc w:val="left"/>
        <w:rPr>
          <w:rFonts w:hint="eastAsia" w:ascii="宋体" w:hAnsi="宋体" w:cs="宋体"/>
          <w:color w:val="auto"/>
          <w:szCs w:val="21"/>
          <w:highlight w:val="none"/>
        </w:rPr>
      </w:pPr>
      <w:r>
        <w:rPr>
          <w:rFonts w:hint="eastAsia" w:hAnsi="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ascii="宋体" w:hAnsi="宋体" w:cs="宋体"/>
          <w:color w:val="auto"/>
          <w:szCs w:val="21"/>
          <w:highlight w:val="none"/>
          <w:u w:val="single"/>
        </w:rPr>
        <w:t xml:space="preserve">  /  </w:t>
      </w:r>
      <w:r>
        <w:rPr>
          <w:rFonts w:hint="eastAsia" w:hAnsi="宋体"/>
          <w:color w:val="auto"/>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648"/>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在工程竣工保修期满并对验收发现的问题完成整改后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发包人未按本合同约定接收全部工程的，违约金的计算方法为：</w:t>
      </w: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pacing w:val="-4"/>
          <w:szCs w:val="21"/>
          <w:highlight w:val="none"/>
          <w:u w:val="single"/>
        </w:rPr>
        <w:t xml:space="preserve">   按通用条款  </w:t>
      </w:r>
      <w:r>
        <w:rPr>
          <w:rFonts w:hint="eastAsia" w:ascii="宋体" w:hAnsi="宋体" w:cs="宋体"/>
          <w:color w:val="auto"/>
          <w:szCs w:val="21"/>
          <w:highlight w:val="none"/>
        </w:rPr>
        <w:t>。</w:t>
      </w:r>
    </w:p>
    <w:bookmarkEnd w:id="649"/>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工程试车</w:t>
      </w:r>
    </w:p>
    <w:bookmarkEnd w:id="650"/>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13.3.1 试车程序</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pacing w:val="-4"/>
          <w:szCs w:val="21"/>
          <w:highlight w:val="none"/>
          <w:u w:val="single"/>
        </w:rPr>
        <w:t>按通用条款</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w:t>
      </w:r>
      <w:r>
        <w:rPr>
          <w:rFonts w:hint="eastAsia"/>
          <w:color w:val="auto"/>
          <w:highlight w:val="none"/>
          <w:u w:val="single"/>
        </w:rPr>
        <w:t>承包人</w:t>
      </w:r>
      <w:r>
        <w:rPr>
          <w:rFonts w:hint="eastAsia" w:ascii="宋体" w:hAnsi="宋体" w:cs="宋体"/>
          <w:color w:val="auto"/>
          <w:kern w:val="0"/>
          <w:szCs w:val="21"/>
          <w:highlight w:val="none"/>
        </w:rPr>
        <w:t>承担；</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w:t>
      </w:r>
      <w:r>
        <w:rPr>
          <w:rFonts w:hint="eastAsia"/>
          <w:color w:val="auto"/>
          <w:highlight w:val="none"/>
          <w:u w:val="single"/>
        </w:rPr>
        <w:t>承包人</w:t>
      </w:r>
      <w:r>
        <w:rPr>
          <w:rFonts w:hint="eastAsia" w:ascii="宋体" w:hAnsi="宋体" w:cs="宋体"/>
          <w:color w:val="auto"/>
          <w:kern w:val="0"/>
          <w:szCs w:val="21"/>
          <w:highlight w:val="none"/>
        </w:rPr>
        <w:t>承担。</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13.3.3 投料试车</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pacing w:val="-4"/>
          <w:szCs w:val="21"/>
          <w:highlight w:val="none"/>
          <w:u w:val="single"/>
        </w:rPr>
        <w:t xml:space="preserve"> </w:t>
      </w:r>
      <w:r>
        <w:rPr>
          <w:rFonts w:hint="eastAsia"/>
          <w:color w:val="auto"/>
          <w:highlight w:val="none"/>
          <w:u w:val="single"/>
        </w:rPr>
        <w:t>按通用条款</w:t>
      </w: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13.6 竣工退场</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13.6.1 竣工退场</w:t>
      </w:r>
    </w:p>
    <w:p>
      <w:pPr>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承包人完成竣工退场的期限</w:t>
      </w:r>
      <w:bookmarkStart w:id="652" w:name="_Toc351203646"/>
      <w:r>
        <w:rPr>
          <w:rFonts w:hint="eastAsia" w:ascii="宋体" w:hAnsi="宋体" w:cs="宋体"/>
          <w:color w:val="auto"/>
          <w:kern w:val="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pacing w:val="-4"/>
          <w:szCs w:val="21"/>
          <w:highlight w:val="none"/>
          <w:u w:val="single"/>
        </w:rPr>
        <w:t>移交、接收全部工程后15日</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40" w:lineRule="exact"/>
        <w:jc w:val="left"/>
        <w:rPr>
          <w:rFonts w:hint="eastAsia" w:ascii="宋体" w:hAnsi="宋体" w:cs="宋体"/>
          <w:b/>
          <w:color w:val="auto"/>
          <w:sz w:val="24"/>
          <w:highlight w:val="none"/>
        </w:rPr>
      </w:pPr>
      <w:r>
        <w:rPr>
          <w:rFonts w:hint="eastAsia" w:ascii="宋体" w:hAnsi="宋体" w:cs="宋体"/>
          <w:b/>
          <w:color w:val="auto"/>
          <w:sz w:val="24"/>
          <w:highlight w:val="none"/>
        </w:rPr>
        <w:t>14. 竣工结算</w:t>
      </w:r>
      <w:bookmarkEnd w:id="652"/>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竣工付款申请</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 xml:space="preserve">  </w:t>
      </w:r>
      <w:r>
        <w:rPr>
          <w:rFonts w:hint="eastAsia" w:ascii="宋体" w:hAnsi="宋体" w:cs="宋体"/>
          <w:color w:val="auto"/>
          <w:spacing w:val="-4"/>
          <w:szCs w:val="21"/>
          <w:highlight w:val="none"/>
          <w:u w:val="single"/>
        </w:rPr>
        <w:t xml:space="preserve">   按合同约定执行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 xml:space="preserve">  </w:t>
      </w:r>
      <w:r>
        <w:rPr>
          <w:rFonts w:hint="eastAsia" w:ascii="宋体" w:hAnsi="宋体" w:cs="宋体"/>
          <w:color w:val="auto"/>
          <w:spacing w:val="-4"/>
          <w:szCs w:val="21"/>
          <w:highlight w:val="none"/>
          <w:u w:val="single"/>
        </w:rPr>
        <w:t xml:space="preserve">  按合同约定执行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 竣工结算审核</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发包人审批竣工付款申请单的期限：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2466"/>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工程竣工结算报告金额</w:t>
            </w:r>
          </w:p>
        </w:tc>
        <w:tc>
          <w:tcPr>
            <w:tcW w:w="62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500万元以下</w:t>
            </w:r>
          </w:p>
        </w:tc>
        <w:tc>
          <w:tcPr>
            <w:tcW w:w="62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500万元-2000万元</w:t>
            </w:r>
          </w:p>
        </w:tc>
        <w:tc>
          <w:tcPr>
            <w:tcW w:w="62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2000万元-5000万元</w:t>
            </w:r>
          </w:p>
        </w:tc>
        <w:tc>
          <w:tcPr>
            <w:tcW w:w="62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7" w:firstLineChars="13"/>
              <w:jc w:val="center"/>
              <w:rPr>
                <w:rFonts w:hint="eastAsia" w:ascii="宋体" w:hAnsi="宋体" w:cs="宋体"/>
                <w:color w:val="auto"/>
                <w:szCs w:val="21"/>
                <w:highlight w:val="none"/>
              </w:rPr>
            </w:pPr>
            <w:r>
              <w:rPr>
                <w:rFonts w:hint="eastAsia" w:ascii="宋体" w:hAnsi="宋体" w:cs="宋体"/>
                <w:color w:val="auto"/>
                <w:szCs w:val="21"/>
                <w:highlight w:val="none"/>
              </w:rPr>
              <w:t>5000万元以上</w:t>
            </w:r>
          </w:p>
        </w:tc>
        <w:tc>
          <w:tcPr>
            <w:tcW w:w="62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1" w:firstLineChars="210"/>
              <w:jc w:val="center"/>
              <w:rPr>
                <w:rFonts w:hint="eastAsia" w:ascii="宋体" w:hAnsi="宋体" w:cs="宋体"/>
                <w:color w:val="auto"/>
                <w:szCs w:val="21"/>
                <w:highlight w:val="none"/>
              </w:rPr>
            </w:pPr>
            <w:r>
              <w:rPr>
                <w:rFonts w:hint="eastAsia" w:ascii="宋体" w:hAnsi="宋体" w:cs="宋体"/>
                <w:color w:val="auto"/>
                <w:szCs w:val="21"/>
                <w:highlight w:val="none"/>
              </w:rPr>
              <w:t>从接到竣工结算报告和完整的竣工结算资料之日起60天</w:t>
            </w:r>
          </w:p>
        </w:tc>
      </w:tr>
    </w:tbl>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因承包人提供的结算资料不完整而需要补充或承包人不按时对账耽误时间时，审查时间应相应顺延。</w:t>
      </w:r>
    </w:p>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发包人完成竣工付款的期限：</w:t>
      </w:r>
      <w:r>
        <w:rPr>
          <w:rFonts w:hint="eastAsia" w:ascii="宋体" w:hAnsi="宋体" w:cs="宋体"/>
          <w:color w:val="auto"/>
          <w:szCs w:val="21"/>
          <w:highlight w:val="none"/>
          <w:u w:val="single"/>
        </w:rPr>
        <w:t xml:space="preserve">              按合同约定执行                  </w:t>
      </w:r>
      <w:r>
        <w:rPr>
          <w:rFonts w:hint="eastAsia" w:ascii="宋体" w:hAnsi="宋体" w:cs="宋体"/>
          <w:color w:val="auto"/>
          <w:szCs w:val="21"/>
          <w:highlight w:val="none"/>
        </w:rPr>
        <w:t>。</w:t>
      </w:r>
    </w:p>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关于竣工付款证书异议部分复核的方式和程序：</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14.4 最终结清</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6份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按合同约定执行             </w:t>
      </w:r>
      <w:r>
        <w:rPr>
          <w:rFonts w:hint="eastAsia" w:ascii="宋体" w:hAnsi="宋体" w:cs="宋体"/>
          <w:color w:val="auto"/>
          <w:szCs w:val="21"/>
          <w:highlight w:val="none"/>
        </w:rPr>
        <w:t xml:space="preserve">。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14.4.2 最终结清证书和支付</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按合同约定执行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按合同约定执行                      </w:t>
      </w:r>
      <w:r>
        <w:rPr>
          <w:rFonts w:hint="eastAsia" w:ascii="宋体" w:hAnsi="宋体" w:cs="宋体"/>
          <w:color w:val="auto"/>
          <w:szCs w:val="21"/>
          <w:highlight w:val="none"/>
        </w:rPr>
        <w:t>。</w:t>
      </w:r>
    </w:p>
    <w:bookmarkEnd w:id="639"/>
    <w:bookmarkEnd w:id="640"/>
    <w:bookmarkEnd w:id="641"/>
    <w:bookmarkEnd w:id="642"/>
    <w:bookmarkEnd w:id="643"/>
    <w:bookmarkEnd w:id="644"/>
    <w:bookmarkEnd w:id="645"/>
    <w:bookmarkEnd w:id="651"/>
    <w:p>
      <w:pPr>
        <w:pStyle w:val="5"/>
        <w:spacing w:line="440" w:lineRule="exact"/>
        <w:rPr>
          <w:rFonts w:hint="eastAsia" w:ascii="宋体" w:hAnsi="宋体"/>
          <w:color w:val="auto"/>
          <w:sz w:val="24"/>
          <w:highlight w:val="none"/>
        </w:rPr>
      </w:pPr>
      <w:bookmarkStart w:id="653" w:name="_Toc351203647"/>
      <w:bookmarkStart w:id="654" w:name="_Toc267251483"/>
      <w:bookmarkStart w:id="655" w:name="_Toc267251482"/>
      <w:bookmarkStart w:id="656" w:name="_Toc267251484"/>
      <w:bookmarkStart w:id="657" w:name="_Toc267251485"/>
      <w:bookmarkStart w:id="658" w:name="_Toc267251488"/>
      <w:bookmarkStart w:id="659" w:name="_Toc267251489"/>
      <w:bookmarkStart w:id="660" w:name="_Toc267251486"/>
      <w:bookmarkStart w:id="661" w:name="_Toc267251490"/>
      <w:bookmarkStart w:id="662" w:name="_Toc267251495"/>
      <w:bookmarkStart w:id="663" w:name="_Toc267251497"/>
      <w:bookmarkStart w:id="664" w:name="_Toc267251491"/>
      <w:bookmarkStart w:id="665" w:name="_Toc267251494"/>
      <w:bookmarkStart w:id="666" w:name="_Toc267251492"/>
      <w:bookmarkStart w:id="667" w:name="_Toc267251503"/>
      <w:bookmarkStart w:id="668" w:name="_Toc267251498"/>
      <w:bookmarkStart w:id="669" w:name="_Toc267251493"/>
      <w:bookmarkStart w:id="670" w:name="_Toc267251501"/>
      <w:bookmarkStart w:id="671" w:name="_Toc267251496"/>
      <w:bookmarkStart w:id="672" w:name="_Toc267251502"/>
      <w:bookmarkStart w:id="673" w:name="_Toc267251499"/>
      <w:bookmarkStart w:id="674" w:name="_Toc267251506"/>
      <w:bookmarkStart w:id="675" w:name="_Toc267251504"/>
      <w:bookmarkStart w:id="676" w:name="_Toc267251507"/>
      <w:bookmarkStart w:id="677" w:name="_Toc267251508"/>
      <w:bookmarkStart w:id="678" w:name="_Toc267251513"/>
      <w:bookmarkStart w:id="679" w:name="_Toc267251514"/>
      <w:bookmarkStart w:id="680" w:name="_Toc267251511"/>
      <w:bookmarkStart w:id="681" w:name="_Toc267251509"/>
      <w:bookmarkStart w:id="682" w:name="_Toc267251515"/>
      <w:bookmarkStart w:id="683" w:name="_Toc267251510"/>
      <w:r>
        <w:rPr>
          <w:rFonts w:hint="eastAsia" w:ascii="宋体" w:hAnsi="宋体"/>
          <w:color w:val="auto"/>
          <w:sz w:val="24"/>
          <w:highlight w:val="none"/>
        </w:rPr>
        <w:t>15. 缺陷责任期与保修</w:t>
      </w:r>
      <w:bookmarkEnd w:id="653"/>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15.2缺陷责任期</w:t>
      </w:r>
      <w:bookmarkEnd w:id="654"/>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12个月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质量保证金</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 xml:space="preserve">种方式： </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pacing w:line="440" w:lineRule="exact"/>
        <w:ind w:firstLine="420" w:firstLineChars="200"/>
        <w:jc w:val="left"/>
        <w:rPr>
          <w:color w:val="auto"/>
          <w:kern w:val="0"/>
          <w:highlight w:val="none"/>
        </w:rPr>
      </w:pPr>
      <w:r>
        <w:rPr>
          <w:rFonts w:hint="eastAsia" w:ascii="宋体" w:hAnsi="宋体" w:cs="宋体"/>
          <w:color w:val="auto"/>
          <w:kern w:val="0"/>
          <w:szCs w:val="21"/>
          <w:highlight w:val="none"/>
        </w:rPr>
        <w:t>（2）</w:t>
      </w:r>
      <w:r>
        <w:rPr>
          <w:rFonts w:hint="eastAsia" w:hAnsi="宋体"/>
          <w:color w:val="auto"/>
          <w:highlight w:val="none"/>
        </w:rPr>
        <w:t>发包人按工程价款结算总额的</w:t>
      </w:r>
      <w:r>
        <w:rPr>
          <w:rFonts w:hint="eastAsia" w:hAnsi="宋体"/>
          <w:color w:val="auto"/>
          <w:highlight w:val="none"/>
          <w:u w:val="single"/>
        </w:rPr>
        <w:t xml:space="preserve"> </w:t>
      </w:r>
      <w:r>
        <w:rPr>
          <w:rFonts w:hint="eastAsia" w:ascii="宋体" w:hAnsi="宋体" w:cs="宋体"/>
          <w:color w:val="auto"/>
          <w:szCs w:val="21"/>
          <w:highlight w:val="none"/>
          <w:u w:val="single"/>
        </w:rPr>
        <w:t xml:space="preserve">3 </w:t>
      </w:r>
      <w:r>
        <w:rPr>
          <w:rFonts w:hint="eastAsia" w:hAnsi="宋体"/>
          <w:color w:val="auto"/>
          <w:highlight w:val="none"/>
          <w:u w:val="single"/>
        </w:rPr>
        <w:t xml:space="preserve"> </w:t>
      </w:r>
      <w:r>
        <w:rPr>
          <w:color w:val="auto"/>
          <w:highlight w:val="none"/>
        </w:rPr>
        <w:t>%</w:t>
      </w:r>
      <w:r>
        <w:rPr>
          <w:rFonts w:hint="eastAsia" w:hAnsi="宋体"/>
          <w:color w:val="auto"/>
          <w:highlight w:val="none"/>
        </w:rPr>
        <w:t>预留工程质量保修金，待缺陷责任期满后返还</w:t>
      </w:r>
      <w:r>
        <w:rPr>
          <w:rFonts w:hint="eastAsia" w:hAnsi="宋体"/>
          <w:color w:val="auto"/>
          <w:kern w:val="0"/>
          <w:highlight w:val="none"/>
        </w:rPr>
        <w:t>；</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）其他方式</w:t>
      </w:r>
      <w:r>
        <w:rPr>
          <w:rFonts w:hint="eastAsia"/>
          <w:color w:val="auto"/>
          <w:kern w:val="0"/>
          <w:highlight w:val="none"/>
        </w:rPr>
        <w:t>：</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15.3.2 质量保证金的扣留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655"/>
    <w:bookmarkEnd w:id="656"/>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15.4保修</w:t>
      </w:r>
    </w:p>
    <w:bookmarkEnd w:id="657"/>
    <w:p>
      <w:pPr>
        <w:spacing w:line="44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15.4.1 保修责任</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 xml:space="preserve">       按《工程质量保修书》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工程保修书具体内容见合同附件8。</w:t>
      </w:r>
    </w:p>
    <w:p>
      <w:pPr>
        <w:spacing w:line="440" w:lineRule="exact"/>
        <w:ind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15.4.3 修复通知</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2小时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658"/>
    <w:bookmarkEnd w:id="659"/>
    <w:bookmarkEnd w:id="660"/>
    <w:bookmarkEnd w:id="661"/>
    <w:p>
      <w:pPr>
        <w:pStyle w:val="5"/>
        <w:spacing w:line="440" w:lineRule="exact"/>
        <w:jc w:val="left"/>
        <w:rPr>
          <w:rFonts w:hint="eastAsia" w:ascii="宋体" w:hAnsi="宋体"/>
          <w:color w:val="auto"/>
          <w:sz w:val="24"/>
          <w:highlight w:val="none"/>
        </w:rPr>
      </w:pPr>
      <w:bookmarkStart w:id="684" w:name="_Toc351203648"/>
      <w:bookmarkStart w:id="685" w:name="_Toc280868717"/>
      <w:bookmarkStart w:id="686" w:name="_Toc280868718"/>
      <w:r>
        <w:rPr>
          <w:rFonts w:hint="eastAsia" w:ascii="宋体" w:hAnsi="宋体"/>
          <w:color w:val="auto"/>
          <w:sz w:val="24"/>
          <w:highlight w:val="none"/>
        </w:rPr>
        <w:t>16. 违约</w:t>
      </w:r>
      <w:bookmarkEnd w:id="684"/>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发包人违约</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16.1.1发包人违约的情形</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spacing w:val="-4"/>
          <w:szCs w:val="21"/>
          <w:highlight w:val="none"/>
          <w:u w:val="single"/>
        </w:rPr>
        <w:t xml:space="preserve">    </w:t>
      </w:r>
      <w:r>
        <w:rPr>
          <w:rFonts w:hint="eastAsia" w:ascii="宋体" w:hAnsi="宋体" w:cs="宋体"/>
          <w:color w:val="auto"/>
          <w:szCs w:val="21"/>
          <w:highlight w:val="none"/>
          <w:u w:val="single"/>
        </w:rPr>
        <w:t xml:space="preserve">        如发生时，另行协商         </w:t>
      </w:r>
      <w:r>
        <w:rPr>
          <w:rFonts w:hint="eastAsia" w:ascii="宋体" w:hAnsi="宋体" w:cs="宋体"/>
          <w:color w:val="auto"/>
          <w:spacing w:val="-4"/>
          <w:szCs w:val="21"/>
          <w:highlight w:val="none"/>
          <w:u w:val="single"/>
        </w:rPr>
        <w:t xml:space="preserve">   </w:t>
      </w:r>
      <w:r>
        <w:rPr>
          <w:rFonts w:hint="eastAsia" w:ascii="宋体" w:hAnsi="宋体" w:cs="宋体"/>
          <w:color w:val="auto"/>
          <w:kern w:val="0"/>
          <w:szCs w:val="21"/>
          <w:highlight w:val="none"/>
        </w:rPr>
        <w:t xml:space="preserve"> 。</w:t>
      </w:r>
    </w:p>
    <w:p>
      <w:pPr>
        <w:spacing w:line="440" w:lineRule="exact"/>
        <w:ind w:left="1050" w:hanging="1050" w:hangingChars="5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pPr>
        <w:spacing w:line="440" w:lineRule="exact"/>
        <w:ind w:firstLine="420" w:firstLineChars="200"/>
        <w:jc w:val="left"/>
        <w:rPr>
          <w:color w:val="auto"/>
          <w:kern w:val="0"/>
          <w:highlight w:val="none"/>
          <w:u w:val="single"/>
        </w:rPr>
      </w:pPr>
      <w:r>
        <w:rPr>
          <w:rFonts w:hint="eastAsia" w:ascii="宋体" w:hAnsi="宋体" w:cs="宋体"/>
          <w:color w:val="auto"/>
          <w:kern w:val="0"/>
          <w:szCs w:val="21"/>
          <w:highlight w:val="none"/>
        </w:rPr>
        <w:t>（1）因</w:t>
      </w:r>
      <w:r>
        <w:rPr>
          <w:rFonts w:hint="eastAsia" w:hAnsi="宋体"/>
          <w:color w:val="auto"/>
          <w:kern w:val="0"/>
          <w:highlight w:val="none"/>
        </w:rPr>
        <w:t>发包人原因未能在计划开工日期前</w:t>
      </w:r>
      <w:r>
        <w:rPr>
          <w:color w:val="auto"/>
          <w:kern w:val="0"/>
          <w:highlight w:val="none"/>
        </w:rPr>
        <w:t>7</w:t>
      </w:r>
      <w:r>
        <w:rPr>
          <w:rFonts w:hint="eastAsia" w:hAnsi="宋体"/>
          <w:color w:val="auto"/>
          <w:kern w:val="0"/>
          <w:highlight w:val="none"/>
        </w:rPr>
        <w:t>天内下达开工通知的违约责任：</w:t>
      </w:r>
      <w:r>
        <w:rPr>
          <w:rFonts w:hint="eastAsia" w:ascii="宋体" w:hAnsi="宋体" w:cs="宋体"/>
          <w:color w:val="auto"/>
          <w:szCs w:val="21"/>
          <w:highlight w:val="none"/>
          <w:u w:val="single"/>
        </w:rPr>
        <w:t xml:space="preserve">如发生时，另行协商 </w:t>
      </w:r>
      <w:r>
        <w:rPr>
          <w:rFonts w:hint="eastAsia" w:hAnsi="宋体"/>
          <w:color w:val="auto"/>
          <w:kern w:val="0"/>
          <w:highlight w:val="none"/>
        </w:rPr>
        <w:t>。</w:t>
      </w:r>
    </w:p>
    <w:p>
      <w:pPr>
        <w:spacing w:line="440" w:lineRule="exact"/>
        <w:ind w:firstLine="420" w:firstLineChars="200"/>
        <w:jc w:val="left"/>
        <w:rPr>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）因发包人原因未能按合同约定支付合同价款的违约责任：</w:t>
      </w:r>
      <w:r>
        <w:rPr>
          <w:color w:val="auto"/>
          <w:kern w:val="0"/>
          <w:highlight w:val="none"/>
          <w:u w:val="single"/>
        </w:rPr>
        <w:t xml:space="preserve"> </w:t>
      </w:r>
      <w:r>
        <w:rPr>
          <w:rFonts w:hint="eastAsia" w:ascii="宋体" w:hAnsi="宋体" w:cs="宋体"/>
          <w:color w:val="auto"/>
          <w:szCs w:val="21"/>
          <w:highlight w:val="none"/>
          <w:u w:val="single"/>
        </w:rPr>
        <w:t xml:space="preserve"> 如发生时，另行协商    </w:t>
      </w:r>
      <w:r>
        <w:rPr>
          <w:color w:val="auto"/>
          <w:kern w:val="0"/>
          <w:highlight w:val="none"/>
          <w:u w:val="single"/>
        </w:rPr>
        <w:t xml:space="preserve"> </w:t>
      </w:r>
      <w:r>
        <w:rPr>
          <w:rFonts w:hint="eastAsia" w:hAnsi="宋体"/>
          <w:color w:val="auto"/>
          <w:kern w:val="0"/>
          <w:highlight w:val="none"/>
        </w:rPr>
        <w:t>。</w:t>
      </w:r>
    </w:p>
    <w:p>
      <w:pPr>
        <w:spacing w:line="440" w:lineRule="exact"/>
        <w:ind w:firstLine="420" w:firstLineChars="200"/>
        <w:jc w:val="left"/>
        <w:rPr>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）发包人违反第</w:t>
      </w:r>
      <w:r>
        <w:rPr>
          <w:color w:val="auto"/>
          <w:kern w:val="0"/>
          <w:highlight w:val="none"/>
        </w:rPr>
        <w:t>10.1</w:t>
      </w:r>
      <w:r>
        <w:rPr>
          <w:rFonts w:hint="eastAsia" w:hAnsi="宋体"/>
          <w:color w:val="auto"/>
          <w:kern w:val="0"/>
          <w:highlight w:val="none"/>
        </w:rPr>
        <w:t>款〔变更的范围〕第（</w:t>
      </w:r>
      <w:r>
        <w:rPr>
          <w:color w:val="auto"/>
          <w:kern w:val="0"/>
          <w:highlight w:val="none"/>
        </w:rPr>
        <w:t>2</w:t>
      </w:r>
      <w:r>
        <w:rPr>
          <w:rFonts w:hint="eastAsia" w:hAnsi="宋体"/>
          <w:color w:val="auto"/>
          <w:kern w:val="0"/>
          <w:highlight w:val="none"/>
        </w:rPr>
        <w:t>）项约定，自行实施被取消的工作或转由他人实施的违约责任：</w:t>
      </w:r>
      <w:r>
        <w:rPr>
          <w:rFonts w:hint="eastAsia" w:ascii="宋体" w:hAnsi="宋体" w:cs="宋体"/>
          <w:color w:val="auto"/>
          <w:szCs w:val="21"/>
          <w:highlight w:val="none"/>
          <w:u w:val="single"/>
        </w:rPr>
        <w:t xml:space="preserve">                         /                          </w:t>
      </w:r>
      <w:r>
        <w:rPr>
          <w:rFonts w:hint="eastAsia" w:hAnsi="宋体"/>
          <w:color w:val="auto"/>
          <w:kern w:val="0"/>
          <w:highlight w:val="none"/>
        </w:rPr>
        <w:t>。</w:t>
      </w:r>
    </w:p>
    <w:p>
      <w:pPr>
        <w:spacing w:line="440" w:lineRule="exact"/>
        <w:ind w:firstLine="420" w:firstLineChars="200"/>
        <w:jc w:val="left"/>
        <w:rPr>
          <w:color w:val="auto"/>
          <w:kern w:val="0"/>
          <w:highlight w:val="none"/>
        </w:rPr>
      </w:pPr>
      <w:r>
        <w:rPr>
          <w:rFonts w:hint="eastAsia" w:hAnsi="宋体"/>
          <w:color w:val="auto"/>
          <w:kern w:val="0"/>
          <w:highlight w:val="none"/>
        </w:rPr>
        <w:t>（</w:t>
      </w:r>
      <w:r>
        <w:rPr>
          <w:color w:val="auto"/>
          <w:kern w:val="0"/>
          <w:highlight w:val="none"/>
        </w:rPr>
        <w:t>4</w:t>
      </w:r>
      <w:r>
        <w:rPr>
          <w:rFonts w:hint="eastAsia" w:hAnsi="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ascii="宋体" w:hAnsi="宋体" w:cs="宋体"/>
          <w:color w:val="auto"/>
          <w:szCs w:val="21"/>
          <w:highlight w:val="none"/>
          <w:u w:val="single"/>
        </w:rPr>
        <w:t>如发生时，另行协商</w:t>
      </w:r>
      <w:r>
        <w:rPr>
          <w:rFonts w:hint="eastAsia" w:hAnsi="宋体"/>
          <w:color w:val="auto"/>
          <w:kern w:val="0"/>
          <w:highlight w:val="none"/>
        </w:rPr>
        <w:t>。</w:t>
      </w:r>
    </w:p>
    <w:p>
      <w:pPr>
        <w:spacing w:line="440" w:lineRule="exact"/>
        <w:ind w:firstLine="420" w:firstLineChars="200"/>
        <w:jc w:val="left"/>
        <w:rPr>
          <w:color w:val="auto"/>
          <w:kern w:val="0"/>
          <w:highlight w:val="none"/>
          <w:u w:val="single"/>
        </w:rPr>
      </w:pPr>
      <w:r>
        <w:rPr>
          <w:rFonts w:hint="eastAsia" w:hAnsi="宋体"/>
          <w:color w:val="auto"/>
          <w:kern w:val="0"/>
          <w:highlight w:val="none"/>
        </w:rPr>
        <w:t>（</w:t>
      </w:r>
      <w:r>
        <w:rPr>
          <w:color w:val="auto"/>
          <w:kern w:val="0"/>
          <w:highlight w:val="none"/>
        </w:rPr>
        <w:t>5</w:t>
      </w:r>
      <w:r>
        <w:rPr>
          <w:rFonts w:hint="eastAsia" w:hAnsi="宋体"/>
          <w:color w:val="auto"/>
          <w:kern w:val="0"/>
          <w:highlight w:val="none"/>
        </w:rPr>
        <w:t>）因发包人违反合同约定造成暂停施工的违约责任：</w:t>
      </w:r>
      <w:r>
        <w:rPr>
          <w:rFonts w:hint="eastAsia" w:ascii="宋体" w:hAnsi="宋体" w:cs="宋体"/>
          <w:color w:val="auto"/>
          <w:spacing w:val="-4"/>
          <w:szCs w:val="21"/>
          <w:highlight w:val="none"/>
          <w:u w:val="single"/>
        </w:rPr>
        <w:t xml:space="preserve">如发生时，另行协商 </w:t>
      </w:r>
      <w:r>
        <w:rPr>
          <w:color w:val="auto"/>
          <w:kern w:val="0"/>
          <w:highlight w:val="none"/>
          <w:u w:val="single"/>
        </w:rPr>
        <w:t xml:space="preserve">  </w:t>
      </w:r>
      <w:r>
        <w:rPr>
          <w:rFonts w:hint="eastAsia" w:hAnsi="宋体"/>
          <w:color w:val="auto"/>
          <w:kern w:val="0"/>
          <w:highlight w:val="none"/>
        </w:rPr>
        <w:t>。</w:t>
      </w:r>
    </w:p>
    <w:p>
      <w:pPr>
        <w:spacing w:line="440" w:lineRule="exact"/>
        <w:ind w:firstLine="420" w:firstLineChars="200"/>
        <w:jc w:val="left"/>
        <w:rPr>
          <w:color w:val="auto"/>
          <w:kern w:val="0"/>
          <w:highlight w:val="none"/>
        </w:rPr>
      </w:pPr>
      <w:r>
        <w:rPr>
          <w:rFonts w:hint="eastAsia" w:hAnsi="宋体"/>
          <w:color w:val="auto"/>
          <w:kern w:val="0"/>
          <w:highlight w:val="none"/>
        </w:rPr>
        <w:t>（</w:t>
      </w:r>
      <w:r>
        <w:rPr>
          <w:color w:val="auto"/>
          <w:kern w:val="0"/>
          <w:highlight w:val="none"/>
        </w:rPr>
        <w:t>6</w:t>
      </w:r>
      <w:r>
        <w:rPr>
          <w:rFonts w:hint="eastAsia" w:hAnsi="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如发生时，另行协商</w:t>
      </w:r>
      <w:r>
        <w:rPr>
          <w:color w:val="auto"/>
          <w:kern w:val="0"/>
          <w:highlight w:val="none"/>
          <w:u w:val="single"/>
        </w:rPr>
        <w:t xml:space="preserve"> </w:t>
      </w:r>
      <w:r>
        <w:rPr>
          <w:rFonts w:hint="eastAsia" w:hAnsi="宋体"/>
          <w:color w:val="auto"/>
          <w:kern w:val="0"/>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hAnsi="宋体"/>
          <w:color w:val="auto"/>
          <w:kern w:val="0"/>
          <w:highlight w:val="none"/>
        </w:rPr>
        <w:t>（</w:t>
      </w:r>
      <w:r>
        <w:rPr>
          <w:color w:val="auto"/>
          <w:kern w:val="0"/>
          <w:highlight w:val="none"/>
        </w:rPr>
        <w:t>7</w:t>
      </w:r>
      <w:r>
        <w:rPr>
          <w:rFonts w:hint="eastAsia" w:hAnsi="宋体"/>
          <w:color w:val="auto"/>
          <w:kern w:val="0"/>
          <w:highlight w:val="none"/>
        </w:rPr>
        <w:t>）其他：</w:t>
      </w:r>
      <w:r>
        <w:rPr>
          <w:color w:val="auto"/>
          <w:kern w:val="0"/>
          <w:highlight w:val="none"/>
          <w:u w:val="single"/>
        </w:rPr>
        <w:t xml:space="preserve">        </w:t>
      </w:r>
      <w:r>
        <w:rPr>
          <w:rFonts w:hint="eastAsia" w:ascii="宋体" w:hAnsi="宋体" w:cs="宋体"/>
          <w:color w:val="auto"/>
          <w:spacing w:val="-4"/>
          <w:szCs w:val="21"/>
          <w:highlight w:val="none"/>
          <w:u w:val="single"/>
        </w:rPr>
        <w:t xml:space="preserve">  如发生时，另行协商 </w:t>
      </w:r>
      <w:r>
        <w:rPr>
          <w:color w:val="auto"/>
          <w:kern w:val="0"/>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16.1.3 因发包人违约解除合同</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color w:val="auto"/>
          <w:kern w:val="0"/>
          <w:highlight w:val="none"/>
          <w:u w:val="single"/>
        </w:rPr>
        <w:t xml:space="preserve">7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pPr>
        <w:autoSpaceDE w:val="0"/>
        <w:autoSpaceDN w:val="0"/>
        <w:adjustRightInd w:val="0"/>
        <w:spacing w:line="440" w:lineRule="exact"/>
        <w:jc w:val="left"/>
        <w:rPr>
          <w:rFonts w:hint="eastAsia" w:ascii="宋体" w:hAnsi="宋体" w:cs="宋体"/>
          <w:b/>
          <w:color w:val="auto"/>
          <w:szCs w:val="21"/>
          <w:highlight w:val="none"/>
        </w:rPr>
      </w:pPr>
      <w:bookmarkStart w:id="687" w:name="_Toc373478415"/>
      <w:bookmarkStart w:id="688" w:name="_Toc389065333"/>
      <w:bookmarkStart w:id="689" w:name="_Toc395382571"/>
      <w:bookmarkStart w:id="690" w:name="_Toc373227768"/>
      <w:bookmarkStart w:id="691" w:name="_Toc351203649"/>
      <w:r>
        <w:rPr>
          <w:rFonts w:hint="eastAsia" w:ascii="宋体" w:hAnsi="宋体" w:cs="宋体"/>
          <w:b/>
          <w:color w:val="auto"/>
          <w:szCs w:val="21"/>
          <w:highlight w:val="none"/>
        </w:rPr>
        <w:t xml:space="preserve">    16.2 承包人违约</w:t>
      </w:r>
      <w:bookmarkEnd w:id="687"/>
      <w:bookmarkEnd w:id="688"/>
      <w:bookmarkEnd w:id="689"/>
      <w:bookmarkEnd w:id="690"/>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pPr>
        <w:spacing w:line="440" w:lineRule="exact"/>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w:t>
      </w:r>
      <w:r>
        <w:rPr>
          <w:rFonts w:hint="eastAsia"/>
          <w:color w:val="auto"/>
          <w:kern w:val="0"/>
          <w:highlight w:val="none"/>
          <w:u w:val="single"/>
        </w:rPr>
        <w:t>承包人必须执行现行国家法律法规，服从发包人、监理工程师管理，否则每次向发包人支付1000元违约金，发包人有权解除合同，承包人无条件退场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（1）承包人未按本合同内容完成的，承包人无条件返工处理，修复至工程质量要求并承担相关费用，并在发包人规定的时间内完成返工，否则发包人有权扣罚该分项工程10%的工程款作为处罚。</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（2）承包人有本合同情形的，或经监理人检验认为修复质量不合格而承包人拒绝再进行修补的，发包人将扣除承包人全部质量保修金。</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16.2.3 因承包人违约解除合同</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color w:val="auto"/>
          <w:kern w:val="0"/>
          <w:highlight w:val="none"/>
          <w:u w:val="single"/>
        </w:rPr>
        <w:t>承包人有违反以下情况之一的，发包人有权解除合同</w:t>
      </w:r>
      <w:r>
        <w:rPr>
          <w:rFonts w:hint="eastAsia" w:ascii="宋体" w:hAnsi="宋体" w:cs="宋体"/>
          <w:color w:val="auto"/>
          <w:kern w:val="0"/>
          <w:szCs w:val="21"/>
          <w:highlight w:val="none"/>
        </w:rPr>
        <w:t>。</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承诺进入工地的工程设备、施工设备、临时工程或材料撤离工地的；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的承诺进场经监理工程师认可的全部人员和机械的。</w:t>
      </w:r>
    </w:p>
    <w:p>
      <w:pPr>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w:t>
      </w:r>
      <w:r>
        <w:rPr>
          <w:rFonts w:hint="eastAsia"/>
          <w:color w:val="auto"/>
          <w:kern w:val="0"/>
          <w:highlight w:val="none"/>
          <w:u w:val="single"/>
        </w:rPr>
        <w:t>如有，另行协商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5"/>
        <w:spacing w:line="440" w:lineRule="exact"/>
        <w:rPr>
          <w:rFonts w:hint="eastAsia" w:ascii="宋体" w:hAnsi="宋体"/>
          <w:color w:val="auto"/>
          <w:sz w:val="24"/>
          <w:highlight w:val="none"/>
        </w:rPr>
      </w:pPr>
      <w:r>
        <w:rPr>
          <w:rFonts w:hint="eastAsia" w:ascii="宋体" w:hAnsi="宋体"/>
          <w:color w:val="auto"/>
          <w:sz w:val="24"/>
          <w:highlight w:val="none"/>
        </w:rPr>
        <w:t>17. 不可抗力</w:t>
      </w:r>
      <w:bookmarkEnd w:id="691"/>
      <w:r>
        <w:rPr>
          <w:rFonts w:hint="eastAsia" w:ascii="宋体" w:hAnsi="宋体"/>
          <w:color w:val="auto"/>
          <w:sz w:val="24"/>
          <w:highlight w:val="none"/>
        </w:rPr>
        <w:t xml:space="preserve"> </w:t>
      </w:r>
      <w:bookmarkEnd w:id="685"/>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不可抗力的确认</w:t>
      </w:r>
    </w:p>
    <w:p>
      <w:pPr>
        <w:spacing w:line="440" w:lineRule="exac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    除通用合同条款约定的不可抗力事件之外，视为不可抗力的其他情形：</w:t>
      </w:r>
      <w:r>
        <w:rPr>
          <w:color w:val="auto"/>
          <w:kern w:val="0"/>
          <w:highlight w:val="none"/>
          <w:u w:val="single"/>
        </w:rPr>
        <w:t>a</w:t>
      </w:r>
      <w:r>
        <w:rPr>
          <w:rFonts w:hint="eastAsia"/>
          <w:color w:val="auto"/>
          <w:kern w:val="0"/>
          <w:highlight w:val="none"/>
          <w:u w:val="single"/>
        </w:rPr>
        <w:t>、6级以上的地震；b、10级以上的持续3日的大风；c、暴雨级以上的持续3日的大雨；d、50年以上未发生过，持续3日的高温天气；e、50年以上未发生过，持续3日的严寒天气；f、50年以上未发生过的洪水</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 因不可抗力解除合同</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color w:val="auto"/>
          <w:highlight w:val="none"/>
          <w:u w:val="single"/>
        </w:rPr>
        <w:t>且在财政部门拨款到位后56</w:t>
      </w:r>
      <w:r>
        <w:rPr>
          <w:color w:val="auto"/>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pPr>
        <w:pStyle w:val="5"/>
        <w:spacing w:line="440" w:lineRule="exact"/>
        <w:rPr>
          <w:rFonts w:hint="eastAsia" w:ascii="宋体" w:hAnsi="宋体"/>
          <w:color w:val="auto"/>
          <w:sz w:val="24"/>
          <w:highlight w:val="none"/>
        </w:rPr>
      </w:pPr>
      <w:bookmarkStart w:id="692" w:name="_Toc351203650"/>
      <w:r>
        <w:rPr>
          <w:rFonts w:hint="eastAsia" w:ascii="宋体" w:hAnsi="宋体"/>
          <w:color w:val="auto"/>
          <w:sz w:val="24"/>
          <w:highlight w:val="none"/>
        </w:rPr>
        <w:t>18. 保险</w:t>
      </w:r>
      <w:bookmarkEnd w:id="692"/>
    </w:p>
    <w:bookmarkEnd w:id="686"/>
    <w:p>
      <w:pPr>
        <w:spacing w:line="440" w:lineRule="exact"/>
        <w:rPr>
          <w:rFonts w:hint="eastAsia" w:ascii="宋体" w:hAnsi="宋体" w:cs="宋体"/>
          <w:color w:val="auto"/>
          <w:szCs w:val="21"/>
          <w:highlight w:val="none"/>
        </w:rPr>
      </w:pPr>
      <w:bookmarkStart w:id="693" w:name="_Toc373227773"/>
      <w:bookmarkStart w:id="694" w:name="_Toc373478420"/>
      <w:bookmarkStart w:id="695" w:name="_Toc389065338"/>
      <w:bookmarkStart w:id="696" w:name="_Toc395382576"/>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18.1 工程保险</w:t>
      </w:r>
      <w:bookmarkEnd w:id="693"/>
      <w:bookmarkEnd w:id="694"/>
      <w:bookmarkEnd w:id="695"/>
      <w:bookmarkEnd w:id="696"/>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关于工程保险的特别约定：</w:t>
      </w:r>
      <w:r>
        <w:rPr>
          <w:rFonts w:hint="eastAsia" w:ascii="宋体" w:hAnsi="宋体" w:cs="宋体"/>
          <w:color w:val="auto"/>
          <w:szCs w:val="21"/>
          <w:highlight w:val="none"/>
          <w:u w:val="single"/>
        </w:rPr>
        <w:t xml:space="preserve">   </w:t>
      </w:r>
      <w:r>
        <w:rPr>
          <w:color w:val="auto"/>
          <w:kern w:val="0"/>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pPr>
        <w:spacing w:line="440" w:lineRule="exact"/>
        <w:ind w:firstLine="420" w:firstLineChars="200"/>
        <w:rPr>
          <w:rFonts w:hint="eastAsia" w:ascii="宋体" w:hAnsi="宋体" w:cs="宋体"/>
          <w:color w:val="auto"/>
          <w:szCs w:val="21"/>
          <w:highlight w:val="none"/>
        </w:rPr>
      </w:pPr>
      <w:bookmarkStart w:id="697" w:name="_Toc373227774"/>
      <w:bookmarkStart w:id="698" w:name="_Toc373478421"/>
      <w:bookmarkStart w:id="699" w:name="_Toc395382577"/>
      <w:bookmarkStart w:id="700" w:name="_Toc389065339"/>
      <w:r>
        <w:rPr>
          <w:rFonts w:hint="eastAsia" w:ascii="宋体" w:hAnsi="宋体" w:cs="宋体"/>
          <w:color w:val="auto"/>
          <w:szCs w:val="21"/>
          <w:highlight w:val="none"/>
        </w:rPr>
        <w:t>18.3 其他保险</w:t>
      </w:r>
      <w:bookmarkEnd w:id="697"/>
      <w:bookmarkEnd w:id="698"/>
      <w:bookmarkEnd w:id="699"/>
      <w:bookmarkEnd w:id="700"/>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rPr>
        <w:t xml:space="preserve">   </w:t>
      </w:r>
      <w:r>
        <w:rPr>
          <w:color w:val="auto"/>
          <w:kern w:val="0"/>
          <w:highlight w:val="none"/>
          <w:u w:val="single"/>
        </w:rPr>
        <w:t xml:space="preserve">                 /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承包人是否应为其施工设备等办理财产保险： </w:t>
      </w:r>
      <w:r>
        <w:rPr>
          <w:rFonts w:hint="eastAsia" w:ascii="宋体" w:hAnsi="宋体" w:cs="宋体"/>
          <w:color w:val="auto"/>
          <w:szCs w:val="21"/>
          <w:highlight w:val="none"/>
          <w:u w:val="single"/>
        </w:rPr>
        <w:t xml:space="preserve">             </w:t>
      </w:r>
      <w:r>
        <w:rPr>
          <w:color w:val="auto"/>
          <w:kern w:val="0"/>
          <w:highlight w:val="none"/>
          <w:u w:val="single"/>
        </w:rPr>
        <w:t xml:space="preserve">    </w:t>
      </w:r>
      <w:r>
        <w:rPr>
          <w:rFonts w:hint="eastAsia"/>
          <w:color w:val="auto"/>
          <w:kern w:val="0"/>
          <w:highlight w:val="none"/>
          <w:u w:val="single"/>
        </w:rPr>
        <w:t xml:space="preserve">按通用条款执行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18.7 通知义务</w:t>
      </w:r>
    </w:p>
    <w:p>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关于变更保险合同时的通知义务的约定：</w:t>
      </w:r>
      <w:r>
        <w:rPr>
          <w:rFonts w:hint="eastAsia" w:ascii="宋体" w:hAnsi="宋体" w:cs="宋体"/>
          <w:color w:val="auto"/>
          <w:szCs w:val="21"/>
          <w:highlight w:val="none"/>
          <w:u w:val="single"/>
        </w:rPr>
        <w:t xml:space="preserve">   </w:t>
      </w:r>
      <w:r>
        <w:rPr>
          <w:color w:val="auto"/>
          <w:kern w:val="0"/>
          <w:highlight w:val="none"/>
          <w:u w:val="single"/>
        </w:rPr>
        <w:t xml:space="preserve">          /   </w:t>
      </w:r>
      <w:r>
        <w:rPr>
          <w:rFonts w:hint="eastAsia" w:ascii="宋体" w:hAnsi="宋体" w:cs="宋体"/>
          <w:color w:val="auto"/>
          <w:szCs w:val="21"/>
          <w:highlight w:val="none"/>
        </w:rPr>
        <w:t>。</w:t>
      </w:r>
    </w:p>
    <w:bookmarkEnd w:id="662"/>
    <w:bookmarkEnd w:id="663"/>
    <w:bookmarkEnd w:id="664"/>
    <w:bookmarkEnd w:id="665"/>
    <w:bookmarkEnd w:id="666"/>
    <w:bookmarkEnd w:id="667"/>
    <w:bookmarkEnd w:id="668"/>
    <w:bookmarkEnd w:id="669"/>
    <w:bookmarkEnd w:id="670"/>
    <w:bookmarkEnd w:id="671"/>
    <w:bookmarkEnd w:id="672"/>
    <w:bookmarkEnd w:id="673"/>
    <w:p>
      <w:pPr>
        <w:pStyle w:val="5"/>
        <w:spacing w:line="440" w:lineRule="exact"/>
        <w:rPr>
          <w:rFonts w:hint="eastAsia" w:ascii="宋体" w:hAnsi="宋体"/>
          <w:color w:val="auto"/>
          <w:sz w:val="24"/>
          <w:highlight w:val="none"/>
        </w:rPr>
      </w:pPr>
      <w:bookmarkStart w:id="701" w:name="_Toc351203651"/>
      <w:r>
        <w:rPr>
          <w:rFonts w:hint="eastAsia" w:ascii="宋体" w:hAnsi="宋体"/>
          <w:color w:val="auto"/>
          <w:sz w:val="24"/>
          <w:highlight w:val="none"/>
        </w:rPr>
        <w:t>20. 争议解决</w:t>
      </w:r>
      <w:bookmarkEnd w:id="701"/>
    </w:p>
    <w:bookmarkEnd w:id="674"/>
    <w:bookmarkEnd w:id="675"/>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争</w:t>
      </w:r>
      <w:bookmarkEnd w:id="676"/>
      <w:r>
        <w:rPr>
          <w:rFonts w:hint="eastAsia" w:ascii="宋体" w:hAnsi="宋体" w:cs="宋体"/>
          <w:color w:val="auto"/>
          <w:szCs w:val="21"/>
          <w:highlight w:val="none"/>
        </w:rPr>
        <w:t>议评审</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按通用条款执行</w:t>
      </w:r>
      <w:r>
        <w:rPr>
          <w:rFonts w:hint="eastAsia" w:ascii="宋体" w:hAnsi="宋体" w:cs="宋体"/>
          <w:color w:val="auto"/>
          <w:szCs w:val="21"/>
          <w:highlight w:val="none"/>
        </w:rPr>
        <w:t xml:space="preserve">。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20.3.1 争议评审小组的确定</w:t>
      </w:r>
    </w:p>
    <w:p>
      <w:pPr>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由发包人与承包人双方协商确定</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如双方商定采用争议评审方式解决，则按通用条款执行</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autoSpaceDE w:val="0"/>
        <w:autoSpaceDN w:val="0"/>
        <w:adjustRightIn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20.3.2 争议评审小组的决定 </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20.4仲裁或诉讼</w:t>
      </w:r>
      <w:bookmarkEnd w:id="677"/>
    </w:p>
    <w:bookmarkEnd w:id="678"/>
    <w:bookmarkEnd w:id="679"/>
    <w:bookmarkEnd w:id="680"/>
    <w:bookmarkEnd w:id="681"/>
    <w:bookmarkEnd w:id="682"/>
    <w:bookmarkEnd w:id="683"/>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因合同及合同有关事项发生的争议，按下列第 </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 xml:space="preserve"> 种方式解决：</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仲裁委员会按照该会仲裁规则进行仲裁，仲裁裁决是终局的，对合同双方均有约束力。</w:t>
      </w:r>
    </w:p>
    <w:p>
      <w:pPr>
        <w:spacing w:line="360" w:lineRule="auto"/>
        <w:ind w:firstLine="420" w:firstLineChars="200"/>
        <w:rPr>
          <w:rFonts w:hAnsi="宋体"/>
          <w:color w:val="auto"/>
          <w:szCs w:val="21"/>
          <w:highlight w:val="none"/>
        </w:rPr>
      </w:pPr>
      <w:r>
        <w:rPr>
          <w:rFonts w:hint="eastAsia" w:ascii="宋体" w:hAnsi="宋体" w:cs="宋体"/>
          <w:color w:val="auto"/>
          <w:szCs w:val="21"/>
          <w:highlight w:val="none"/>
        </w:rPr>
        <w:t xml:space="preserve">（2）向 </w:t>
      </w:r>
      <w:r>
        <w:rPr>
          <w:rFonts w:hint="eastAsia" w:ascii="宋体" w:hAnsi="宋体" w:cs="宋体"/>
          <w:color w:val="auto"/>
          <w:szCs w:val="21"/>
          <w:highlight w:val="none"/>
          <w:u w:val="single"/>
        </w:rPr>
        <w:t xml:space="preserve">  建设项目所在地</w:t>
      </w:r>
      <w:r>
        <w:rPr>
          <w:rFonts w:hint="eastAsia" w:ascii="宋体" w:hAnsi="宋体" w:cs="宋体"/>
          <w:color w:val="auto"/>
          <w:szCs w:val="21"/>
          <w:highlight w:val="none"/>
        </w:rPr>
        <w:t>人民法院起诉</w:t>
      </w:r>
      <w:r>
        <w:rPr>
          <w:rFonts w:hAnsi="宋体"/>
          <w:color w:val="auto"/>
          <w:szCs w:val="21"/>
          <w:highlight w:val="none"/>
        </w:rPr>
        <w:t>。</w:t>
      </w:r>
    </w:p>
    <w:p>
      <w:pPr>
        <w:spacing w:line="460" w:lineRule="exact"/>
        <w:ind w:firstLine="420" w:firstLineChars="200"/>
        <w:rPr>
          <w:color w:val="auto"/>
          <w:szCs w:val="21"/>
          <w:highlight w:val="none"/>
        </w:rPr>
        <w:sectPr>
          <w:pgSz w:w="11907" w:h="16840"/>
          <w:pgMar w:top="1440" w:right="1440" w:bottom="1440" w:left="1797" w:header="851" w:footer="851" w:gutter="0"/>
          <w:pgNumType w:fmt="decimal"/>
          <w:cols w:space="720" w:num="1"/>
          <w:docGrid w:linePitch="312" w:charSpace="0"/>
        </w:sectPr>
      </w:pPr>
    </w:p>
    <w:p>
      <w:pPr>
        <w:spacing w:line="360" w:lineRule="auto"/>
        <w:jc w:val="left"/>
        <w:rPr>
          <w:rFonts w:eastAsia="黑体"/>
          <w:b/>
          <w:color w:val="auto"/>
          <w:sz w:val="28"/>
          <w:szCs w:val="28"/>
          <w:highlight w:val="none"/>
        </w:rPr>
      </w:pPr>
      <w:bookmarkStart w:id="702" w:name="_Toc351203652"/>
      <w:r>
        <w:rPr>
          <w:rFonts w:eastAsia="黑体"/>
          <w:b/>
          <w:color w:val="auto"/>
          <w:sz w:val="28"/>
          <w:szCs w:val="28"/>
          <w:highlight w:val="none"/>
        </w:rPr>
        <w:t>附件</w:t>
      </w:r>
      <w:bookmarkEnd w:id="702"/>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承包人主要施工管理人员表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履约担保格式</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承包人用于本工程施工的机械设备表</w:t>
      </w:r>
    </w:p>
    <w:p>
      <w:pPr>
        <w:spacing w:line="360" w:lineRule="auto"/>
        <w:jc w:val="left"/>
        <w:rPr>
          <w:rFonts w:ascii="宋体" w:hAnsi="宋体"/>
          <w:color w:val="auto"/>
          <w:szCs w:val="21"/>
          <w:highlight w:val="none"/>
        </w:rPr>
      </w:pPr>
      <w:r>
        <w:rPr>
          <w:rFonts w:ascii="宋体" w:hAnsi="宋体"/>
          <w:color w:val="auto"/>
          <w:szCs w:val="21"/>
          <w:highlight w:val="none"/>
        </w:rPr>
        <w:t>附件</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工程质量保修书</w:t>
      </w:r>
    </w:p>
    <w:p>
      <w:pPr>
        <w:spacing w:line="460" w:lineRule="exact"/>
        <w:ind w:firstLine="420" w:firstLineChars="200"/>
        <w:rPr>
          <w:color w:val="auto"/>
          <w:szCs w:val="21"/>
          <w:highlight w:val="none"/>
        </w:rPr>
        <w:sectPr>
          <w:pgSz w:w="11907" w:h="16840"/>
          <w:pgMar w:top="1440" w:right="1440" w:bottom="1440" w:left="1797" w:header="851" w:footer="851" w:gutter="0"/>
          <w:pgNumType w:fmt="decimal"/>
          <w:cols w:space="720" w:num="1"/>
          <w:docGrid w:linePitch="312" w:charSpace="0"/>
        </w:sectPr>
      </w:pPr>
    </w:p>
    <w:p>
      <w:pPr>
        <w:spacing w:line="440" w:lineRule="exact"/>
        <w:rPr>
          <w:rFonts w:eastAsia="黑体"/>
          <w:color w:val="auto"/>
          <w:sz w:val="30"/>
          <w:szCs w:val="30"/>
          <w:highlight w:val="none"/>
        </w:rPr>
      </w:pPr>
      <w:r>
        <w:rPr>
          <w:rFonts w:eastAsia="仿宋_GB2312"/>
          <w:color w:val="auto"/>
          <w:sz w:val="30"/>
          <w:szCs w:val="30"/>
          <w:highlight w:val="none"/>
        </w:rPr>
        <w:t>附</w:t>
      </w:r>
      <w:bookmarkStart w:id="703" w:name="_Toc296347227"/>
      <w:bookmarkStart w:id="704" w:name="_Toc296944567"/>
      <w:bookmarkStart w:id="705" w:name="_Toc296891056"/>
      <w:bookmarkStart w:id="706" w:name="_Toc267261699"/>
      <w:bookmarkStart w:id="707" w:name="_Toc296346729"/>
      <w:bookmarkStart w:id="708" w:name="_Toc296503228"/>
      <w:bookmarkStart w:id="709" w:name="_Toc296891268"/>
      <w:r>
        <w:rPr>
          <w:rFonts w:eastAsia="仿宋_GB2312"/>
          <w:color w:val="auto"/>
          <w:sz w:val="30"/>
          <w:szCs w:val="30"/>
          <w:highlight w:val="none"/>
        </w:rPr>
        <w:t>件</w:t>
      </w:r>
      <w:r>
        <w:rPr>
          <w:rFonts w:hint="eastAsia" w:eastAsia="仿宋_GB2312"/>
          <w:color w:val="auto"/>
          <w:sz w:val="30"/>
          <w:szCs w:val="30"/>
          <w:highlight w:val="none"/>
        </w:rPr>
        <w:t>1</w:t>
      </w:r>
      <w:r>
        <w:rPr>
          <w:rFonts w:eastAsia="仿宋_GB2312"/>
          <w:color w:val="auto"/>
          <w:sz w:val="30"/>
          <w:szCs w:val="30"/>
          <w:highlight w:val="none"/>
        </w:rPr>
        <w:t>：</w:t>
      </w:r>
    </w:p>
    <w:bookmarkEnd w:id="703"/>
    <w:bookmarkEnd w:id="704"/>
    <w:bookmarkEnd w:id="705"/>
    <w:bookmarkEnd w:id="706"/>
    <w:bookmarkEnd w:id="707"/>
    <w:bookmarkEnd w:id="708"/>
    <w:bookmarkEnd w:id="709"/>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p>
      <w:pPr>
        <w:spacing w:before="120" w:beforeLines="50" w:after="120" w:afterLines="50" w:line="440" w:lineRule="exact"/>
        <w:jc w:val="center"/>
        <w:rPr>
          <w:rFonts w:eastAsia="黑体"/>
          <w:color w:val="auto"/>
          <w:sz w:val="30"/>
          <w:szCs w:val="30"/>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名    称</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姓名</w:t>
            </w: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职务</w:t>
            </w: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r>
              <w:rPr>
                <w:rFonts w:eastAsia="仿宋_GB2312"/>
                <w:color w:val="auto"/>
                <w:sz w:val="30"/>
                <w:szCs w:val="30"/>
                <w:highlight w:val="none"/>
              </w:rPr>
              <w:t>职称</w:t>
            </w:r>
          </w:p>
        </w:tc>
        <w:tc>
          <w:tcPr>
            <w:tcW w:w="4252" w:type="dxa"/>
            <w:noWrap w:val="0"/>
            <w:vAlign w:val="center"/>
          </w:tcPr>
          <w:p>
            <w:pPr>
              <w:keepNext/>
              <w:adjustRightInd w:val="0"/>
              <w:spacing w:line="440" w:lineRule="exact"/>
              <w:ind w:right="63" w:rightChars="30"/>
              <w:jc w:val="center"/>
              <w:textAlignment w:val="baseline"/>
              <w:rPr>
                <w:rFonts w:eastAsia="仿宋_GB2312"/>
                <w:color w:val="auto"/>
                <w:sz w:val="30"/>
                <w:szCs w:val="30"/>
                <w:highlight w:val="none"/>
              </w:rPr>
            </w:pPr>
            <w:r>
              <w:rPr>
                <w:rFonts w:hint="eastAsia" w:eastAsia="仿宋_GB2312"/>
                <w:color w:val="auto"/>
                <w:sz w:val="30"/>
                <w:szCs w:val="30"/>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项目主管</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keepNext/>
              <w:adjustRightInd w:val="0"/>
              <w:spacing w:after="60"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项目经理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项目副经理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技术负责人</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造价管理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keepNext/>
              <w:adjustRightInd w:val="0"/>
              <w:spacing w:after="60"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质量管理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after="60"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材料管理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计划管理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keepNext/>
              <w:adjustRightInd w:val="0"/>
              <w:spacing w:after="60"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安全管理</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after="60"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其他人员</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134"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425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bookmarkStart w:id="710" w:name="_Toc267261701"/>
      <w:r>
        <w:rPr>
          <w:rFonts w:eastAsia="仿宋_GB2312"/>
          <w:color w:val="auto"/>
          <w:sz w:val="30"/>
          <w:szCs w:val="30"/>
          <w:highlight w:val="none"/>
        </w:rPr>
        <w:t>附</w:t>
      </w:r>
      <w:bookmarkStart w:id="711" w:name="_Toc296891059"/>
      <w:bookmarkStart w:id="712" w:name="_Toc296347230"/>
      <w:bookmarkStart w:id="713" w:name="_Toc296891271"/>
      <w:bookmarkStart w:id="714" w:name="_Toc296503231"/>
      <w:bookmarkStart w:id="715" w:name="_Toc296944570"/>
      <w:bookmarkStart w:id="716" w:name="_Toc296346732"/>
      <w:r>
        <w:rPr>
          <w:rFonts w:eastAsia="仿宋_GB2312"/>
          <w:color w:val="auto"/>
          <w:sz w:val="30"/>
          <w:szCs w:val="30"/>
          <w:highlight w:val="none"/>
        </w:rPr>
        <w:t>件</w:t>
      </w:r>
      <w:r>
        <w:rPr>
          <w:rFonts w:hint="eastAsia" w:eastAsia="仿宋_GB2312"/>
          <w:color w:val="auto"/>
          <w:sz w:val="30"/>
          <w:szCs w:val="30"/>
          <w:highlight w:val="none"/>
        </w:rPr>
        <w:t>2：</w:t>
      </w:r>
    </w:p>
    <w:bookmarkEnd w:id="710"/>
    <w:bookmarkEnd w:id="711"/>
    <w:bookmarkEnd w:id="712"/>
    <w:bookmarkEnd w:id="713"/>
    <w:bookmarkEnd w:id="714"/>
    <w:bookmarkEnd w:id="715"/>
    <w:bookmarkEnd w:id="716"/>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履约担保</w:t>
      </w:r>
    </w:p>
    <w:p>
      <w:pPr>
        <w:spacing w:line="360" w:lineRule="auto"/>
        <w:rPr>
          <w:color w:val="auto"/>
          <w:szCs w:val="21"/>
          <w:highlight w:val="none"/>
          <w:u w:val="single"/>
        </w:rPr>
      </w:pPr>
    </w:p>
    <w:p>
      <w:pPr>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rPr>
        <w:t>（发包人名称）：</w:t>
      </w:r>
    </w:p>
    <w:p>
      <w:pPr>
        <w:spacing w:line="360" w:lineRule="auto"/>
        <w:ind w:firstLine="420" w:firstLineChars="200"/>
        <w:rPr>
          <w:rFonts w:hAnsi="宋体"/>
          <w:color w:val="auto"/>
          <w:szCs w:val="21"/>
          <w:highlight w:val="none"/>
        </w:rPr>
      </w:pPr>
      <w:r>
        <w:rPr>
          <w:rFonts w:hAnsi="宋体"/>
          <w:color w:val="auto"/>
          <w:szCs w:val="21"/>
          <w:highlight w:val="none"/>
        </w:rPr>
        <w:t>鉴于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（发包人名称，以下简称</w:t>
      </w:r>
      <w:r>
        <w:rPr>
          <w:color w:val="auto"/>
          <w:szCs w:val="21"/>
          <w:highlight w:val="none"/>
        </w:rPr>
        <w:t>“</w:t>
      </w:r>
      <w:r>
        <w:rPr>
          <w:rFonts w:hAnsi="宋体"/>
          <w:color w:val="auto"/>
          <w:szCs w:val="21"/>
          <w:highlight w:val="none"/>
        </w:rPr>
        <w:t>发包人</w:t>
      </w:r>
      <w:r>
        <w:rPr>
          <w:color w:val="auto"/>
          <w:szCs w:val="21"/>
          <w:highlight w:val="none"/>
        </w:rPr>
        <w:t>”</w:t>
      </w:r>
      <w:r>
        <w:rPr>
          <w:rFonts w:hAnsi="宋体"/>
          <w:color w:val="auto"/>
          <w:szCs w:val="21"/>
          <w:highlight w:val="none"/>
        </w:rPr>
        <w:t>）</w:t>
      </w:r>
      <w:r>
        <w:rPr>
          <w:rFonts w:hint="eastAsia" w:hAnsi="宋体"/>
          <w:color w:val="auto"/>
          <w:szCs w:val="21"/>
          <w:highlight w:val="none"/>
        </w:rPr>
        <w:t>已</w:t>
      </w:r>
    </w:p>
    <w:p>
      <w:pPr>
        <w:spacing w:line="360" w:lineRule="auto"/>
        <w:rPr>
          <w:color w:val="auto"/>
          <w:szCs w:val="21"/>
          <w:highlight w:val="none"/>
        </w:rPr>
      </w:pPr>
      <w:r>
        <w:rPr>
          <w:rFonts w:hAnsi="宋体"/>
          <w:color w:val="auto"/>
          <w:szCs w:val="21"/>
          <w:highlight w:val="none"/>
        </w:rPr>
        <w:t>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日</w:t>
      </w:r>
      <w:r>
        <w:rPr>
          <w:rFonts w:hint="eastAsia" w:hAnsi="宋体"/>
          <w:color w:val="auto"/>
          <w:szCs w:val="21"/>
          <w:highlight w:val="none"/>
        </w:rPr>
        <w:t>发放中标</w:t>
      </w:r>
      <w:r>
        <w:rPr>
          <w:rFonts w:hint="eastAsia" w:hAnsi="宋体"/>
          <w:color w:val="auto"/>
          <w:szCs w:val="21"/>
          <w:highlight w:val="none"/>
          <w:lang w:eastAsia="zh-CN"/>
        </w:rPr>
        <w:t>（</w:t>
      </w:r>
      <w:r>
        <w:rPr>
          <w:rFonts w:hint="eastAsia" w:hAnsi="宋体"/>
          <w:color w:val="auto"/>
          <w:szCs w:val="21"/>
          <w:highlight w:val="none"/>
          <w:lang w:val="en-US" w:eastAsia="zh-CN"/>
        </w:rPr>
        <w:t>成交</w:t>
      </w:r>
      <w:r>
        <w:rPr>
          <w:rFonts w:hint="eastAsia" w:hAnsi="宋体"/>
          <w:color w:val="auto"/>
          <w:szCs w:val="21"/>
          <w:highlight w:val="none"/>
          <w:lang w:eastAsia="zh-CN"/>
        </w:rPr>
        <w:t>）</w:t>
      </w:r>
      <w:r>
        <w:rPr>
          <w:rFonts w:hint="eastAsia" w:hAnsi="宋体"/>
          <w:color w:val="auto"/>
          <w:szCs w:val="21"/>
          <w:highlight w:val="none"/>
        </w:rPr>
        <w:t>通知书，明确</w:t>
      </w:r>
      <w:r>
        <w:rPr>
          <w:rFonts w:hint="eastAsia" w:hAnsi="宋体"/>
          <w:color w:val="auto"/>
          <w:szCs w:val="21"/>
          <w:highlight w:val="none"/>
          <w:u w:val="single"/>
        </w:rPr>
        <w:t xml:space="preserve">                      </w:t>
      </w:r>
      <w:r>
        <w:rPr>
          <w:rFonts w:hAnsi="宋体"/>
          <w:color w:val="auto"/>
          <w:szCs w:val="21"/>
          <w:highlight w:val="none"/>
        </w:rPr>
        <w:t>（承包人名称）（以下称</w:t>
      </w:r>
      <w:r>
        <w:rPr>
          <w:color w:val="auto"/>
          <w:szCs w:val="21"/>
          <w:highlight w:val="none"/>
        </w:rPr>
        <w:t>“</w:t>
      </w:r>
      <w:r>
        <w:rPr>
          <w:rFonts w:hAnsi="宋体"/>
          <w:color w:val="auto"/>
          <w:szCs w:val="21"/>
          <w:highlight w:val="none"/>
        </w:rPr>
        <w:t>承包人</w:t>
      </w:r>
      <w:r>
        <w:rPr>
          <w:color w:val="auto"/>
          <w:szCs w:val="21"/>
          <w:highlight w:val="none"/>
        </w:rPr>
        <w:t>”</w:t>
      </w:r>
      <w:r>
        <w:rPr>
          <w:rFonts w:hAnsi="宋体"/>
          <w:color w:val="auto"/>
          <w:szCs w:val="21"/>
          <w:highlight w:val="none"/>
        </w:rPr>
        <w:t>）</w:t>
      </w:r>
      <w:r>
        <w:rPr>
          <w:rFonts w:hint="eastAsia" w:hAnsi="宋体"/>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（工程名称）</w:t>
      </w:r>
      <w:r>
        <w:rPr>
          <w:rFonts w:hint="eastAsia" w:hAnsi="宋体"/>
          <w:color w:val="auto"/>
          <w:szCs w:val="21"/>
          <w:highlight w:val="none"/>
        </w:rPr>
        <w:t>的中标</w:t>
      </w:r>
      <w:r>
        <w:rPr>
          <w:rFonts w:hint="eastAsia" w:hAnsi="宋体"/>
          <w:color w:val="auto"/>
          <w:szCs w:val="21"/>
          <w:highlight w:val="none"/>
          <w:lang w:eastAsia="zh-CN"/>
        </w:rPr>
        <w:t>（</w:t>
      </w:r>
      <w:r>
        <w:rPr>
          <w:rFonts w:hint="eastAsia" w:hAnsi="宋体"/>
          <w:color w:val="auto"/>
          <w:szCs w:val="21"/>
          <w:highlight w:val="none"/>
          <w:lang w:val="en-US" w:eastAsia="zh-CN"/>
        </w:rPr>
        <w:t>成交</w:t>
      </w:r>
      <w:r>
        <w:rPr>
          <w:rFonts w:hint="eastAsia" w:hAnsi="宋体"/>
          <w:color w:val="auto"/>
          <w:szCs w:val="21"/>
          <w:highlight w:val="none"/>
          <w:lang w:eastAsia="zh-CN"/>
        </w:rPr>
        <w:t>）</w:t>
      </w:r>
      <w:r>
        <w:rPr>
          <w:rFonts w:hint="eastAsia" w:hAnsi="宋体"/>
          <w:color w:val="auto"/>
          <w:szCs w:val="21"/>
          <w:highlight w:val="none"/>
        </w:rPr>
        <w:t>人</w:t>
      </w:r>
      <w:r>
        <w:rPr>
          <w:rFonts w:hAnsi="宋体"/>
          <w:color w:val="auto"/>
          <w:szCs w:val="21"/>
          <w:highlight w:val="none"/>
        </w:rPr>
        <w:t>。我方愿意无条件地、不可撤销地就承包人履行与你方</w:t>
      </w:r>
      <w:r>
        <w:rPr>
          <w:rFonts w:hint="eastAsia" w:hAnsi="宋体"/>
          <w:color w:val="auto"/>
          <w:szCs w:val="21"/>
          <w:highlight w:val="none"/>
        </w:rPr>
        <w:t>就该工程</w:t>
      </w:r>
      <w:r>
        <w:rPr>
          <w:rFonts w:hAnsi="宋体"/>
          <w:color w:val="auto"/>
          <w:szCs w:val="21"/>
          <w:highlight w:val="none"/>
        </w:rPr>
        <w:t>签订的合同，向你方提供连带责任担保。</w:t>
      </w:r>
      <w:r>
        <w:rPr>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 xml:space="preserve">1. </w:t>
      </w:r>
      <w:r>
        <w:rPr>
          <w:rFonts w:hAnsi="宋体"/>
          <w:color w:val="auto"/>
          <w:szCs w:val="21"/>
          <w:highlight w:val="none"/>
        </w:rPr>
        <w:t>担保金额人民币（大写）</w:t>
      </w:r>
      <w:r>
        <w:rPr>
          <w:color w:val="auto"/>
          <w:szCs w:val="21"/>
          <w:highlight w:val="none"/>
          <w:u w:val="single"/>
        </w:rPr>
        <w:t xml:space="preserve">                 </w:t>
      </w:r>
      <w:r>
        <w:rPr>
          <w:rFonts w:hAnsi="宋体"/>
          <w:color w:val="auto"/>
          <w:szCs w:val="21"/>
          <w:highlight w:val="none"/>
        </w:rPr>
        <w:t>元（</w:t>
      </w:r>
      <w:r>
        <w:rPr>
          <w:color w:val="auto"/>
          <w:szCs w:val="21"/>
          <w:highlight w:val="non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2. </w:t>
      </w:r>
      <w:r>
        <w:rPr>
          <w:rFonts w:hAnsi="宋体"/>
          <w:color w:val="auto"/>
          <w:szCs w:val="21"/>
          <w:highlight w:val="none"/>
        </w:rPr>
        <w:t>担保有效期自你方与承包人签订的合同生效之日起至你方签发或应签发工程接收证书之日止。</w:t>
      </w:r>
    </w:p>
    <w:p>
      <w:pPr>
        <w:spacing w:line="360" w:lineRule="auto"/>
        <w:ind w:firstLine="420" w:firstLineChars="200"/>
        <w:rPr>
          <w:color w:val="auto"/>
          <w:szCs w:val="21"/>
          <w:highlight w:val="none"/>
        </w:rPr>
      </w:pPr>
      <w:r>
        <w:rPr>
          <w:color w:val="auto"/>
          <w:szCs w:val="21"/>
          <w:highlight w:val="none"/>
        </w:rPr>
        <w:t xml:space="preserve">3. </w:t>
      </w:r>
      <w:r>
        <w:rPr>
          <w:rFonts w:hAnsi="宋体"/>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Ansi="宋体"/>
          <w:color w:val="auto"/>
          <w:szCs w:val="21"/>
          <w:highlight w:val="none"/>
        </w:rPr>
        <w:t>天内无条件支付。</w:t>
      </w:r>
    </w:p>
    <w:p>
      <w:pPr>
        <w:spacing w:line="360" w:lineRule="auto"/>
        <w:ind w:firstLine="420" w:firstLineChars="200"/>
        <w:rPr>
          <w:color w:val="auto"/>
          <w:szCs w:val="21"/>
          <w:highlight w:val="none"/>
        </w:rPr>
      </w:pPr>
      <w:r>
        <w:rPr>
          <w:color w:val="auto"/>
          <w:szCs w:val="21"/>
          <w:highlight w:val="none"/>
        </w:rPr>
        <w:t xml:space="preserve">4. </w:t>
      </w:r>
      <w:r>
        <w:rPr>
          <w:rFonts w:hAnsi="宋体"/>
          <w:color w:val="auto"/>
          <w:szCs w:val="21"/>
          <w:highlight w:val="none"/>
        </w:rPr>
        <w:t>你方和承包人按合同约定变更合同时，我方承担本担保规定的义务不变。</w:t>
      </w:r>
    </w:p>
    <w:p>
      <w:pPr>
        <w:spacing w:line="360" w:lineRule="auto"/>
        <w:ind w:firstLine="420" w:firstLineChars="200"/>
        <w:rPr>
          <w:color w:val="auto"/>
          <w:szCs w:val="21"/>
          <w:highlight w:val="none"/>
        </w:rPr>
      </w:pPr>
      <w:r>
        <w:rPr>
          <w:color w:val="auto"/>
          <w:szCs w:val="21"/>
          <w:highlight w:val="none"/>
        </w:rPr>
        <w:t xml:space="preserve">5. </w:t>
      </w:r>
      <w:r>
        <w:rPr>
          <w:rFonts w:hAnsi="宋体"/>
          <w:color w:val="auto"/>
          <w:szCs w:val="21"/>
          <w:highlight w:val="none"/>
        </w:rPr>
        <w:t>因本保函发生的纠纷，可由双方协商解决，协商不成的，任何一方均可提请</w:t>
      </w:r>
      <w:r>
        <w:rPr>
          <w:color w:val="auto"/>
          <w:szCs w:val="21"/>
          <w:highlight w:val="none"/>
          <w:u w:val="single"/>
        </w:rPr>
        <w:t xml:space="preserve">      </w:t>
      </w:r>
      <w:r>
        <w:rPr>
          <w:rFonts w:hAnsi="宋体"/>
          <w:color w:val="auto"/>
          <w:szCs w:val="21"/>
          <w:highlight w:val="none"/>
        </w:rPr>
        <w:t>仲裁委员会仲裁。</w:t>
      </w:r>
    </w:p>
    <w:p>
      <w:pPr>
        <w:spacing w:line="360" w:lineRule="auto"/>
        <w:ind w:firstLine="420" w:firstLineChars="200"/>
        <w:rPr>
          <w:color w:val="auto"/>
          <w:szCs w:val="21"/>
          <w:highlight w:val="none"/>
        </w:rPr>
      </w:pPr>
      <w:r>
        <w:rPr>
          <w:color w:val="auto"/>
          <w:szCs w:val="21"/>
          <w:highlight w:val="none"/>
        </w:rPr>
        <w:t xml:space="preserve">6. </w:t>
      </w:r>
      <w:r>
        <w:rPr>
          <w:rFonts w:hAnsi="宋体"/>
          <w:color w:val="auto"/>
          <w:szCs w:val="21"/>
          <w:highlight w:val="none"/>
        </w:rPr>
        <w:t>本保函自我方法定代表人（或其授权代理人）签字并加盖公章之日起生效。</w:t>
      </w:r>
    </w:p>
    <w:p>
      <w:pPr>
        <w:spacing w:line="360" w:lineRule="auto"/>
        <w:rPr>
          <w:color w:val="auto"/>
          <w:szCs w:val="21"/>
          <w:highlight w:val="none"/>
        </w:rPr>
      </w:pPr>
    </w:p>
    <w:p>
      <w:pPr>
        <w:spacing w:line="360" w:lineRule="auto"/>
        <w:rPr>
          <w:color w:val="auto"/>
          <w:szCs w:val="21"/>
          <w:highlight w:val="none"/>
        </w:rPr>
      </w:pPr>
      <w:r>
        <w:rPr>
          <w:rFonts w:hAnsi="宋体"/>
          <w:color w:val="auto"/>
          <w:szCs w:val="21"/>
          <w:highlight w:val="none"/>
        </w:rPr>
        <w:t>担</w:t>
      </w:r>
      <w:r>
        <w:rPr>
          <w:color w:val="auto"/>
          <w:szCs w:val="21"/>
          <w:highlight w:val="none"/>
        </w:rPr>
        <w:t xml:space="preserve"> </w:t>
      </w:r>
      <w:r>
        <w:rPr>
          <w:rFonts w:hAnsi="宋体"/>
          <w:color w:val="auto"/>
          <w:szCs w:val="21"/>
          <w:highlight w:val="none"/>
        </w:rPr>
        <w:t>保</w:t>
      </w:r>
      <w:r>
        <w:rPr>
          <w:color w:val="auto"/>
          <w:szCs w:val="21"/>
          <w:highlight w:val="none"/>
        </w:rPr>
        <w:t xml:space="preserve"> </w:t>
      </w:r>
      <w:r>
        <w:rPr>
          <w:rFonts w:hAnsi="宋体"/>
          <w:color w:val="auto"/>
          <w:szCs w:val="21"/>
          <w:highlight w:val="none"/>
        </w:rPr>
        <w:t>人：</w:t>
      </w:r>
      <w:r>
        <w:rPr>
          <w:color w:val="auto"/>
          <w:szCs w:val="21"/>
          <w:highlight w:val="none"/>
          <w:u w:val="single"/>
        </w:rPr>
        <w:t xml:space="preserve">                           </w:t>
      </w:r>
      <w:r>
        <w:rPr>
          <w:rFonts w:hAnsi="宋体"/>
          <w:color w:val="auto"/>
          <w:szCs w:val="21"/>
          <w:highlight w:val="none"/>
        </w:rPr>
        <w:t>（盖单位章）</w:t>
      </w:r>
    </w:p>
    <w:p>
      <w:pPr>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u w:val="single"/>
        </w:rPr>
        <w:t xml:space="preserve">               </w:t>
      </w:r>
      <w:r>
        <w:rPr>
          <w:rFonts w:hAnsi="宋体"/>
          <w:color w:val="auto"/>
          <w:szCs w:val="21"/>
          <w:highlight w:val="none"/>
        </w:rPr>
        <w:t>（签字）</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p>
    <w:p>
      <w:pPr>
        <w:spacing w:line="360" w:lineRule="auto"/>
        <w:rPr>
          <w:color w:val="auto"/>
          <w:szCs w:val="21"/>
          <w:highlight w:val="none"/>
          <w:u w:val="singl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color w:val="auto"/>
          <w:szCs w:val="21"/>
          <w:highlight w:val="none"/>
          <w:u w:val="single"/>
        </w:rPr>
        <w:t xml:space="preserve">                                      </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color w:val="auto"/>
          <w:szCs w:val="21"/>
          <w:highlight w:val="none"/>
          <w:u w:val="single"/>
        </w:rPr>
        <w:t xml:space="preserve">                                      </w:t>
      </w:r>
    </w:p>
    <w:p>
      <w:pPr>
        <w:spacing w:line="360" w:lineRule="auto"/>
        <w:jc w:val="left"/>
        <w:rPr>
          <w:color w:val="auto"/>
          <w:szCs w:val="21"/>
          <w:highlight w:val="none"/>
          <w:u w:val="single"/>
        </w:rPr>
      </w:pPr>
    </w:p>
    <w:p>
      <w:pPr>
        <w:spacing w:line="360" w:lineRule="auto"/>
        <w:ind w:left="1329" w:hanging="1329" w:hangingChars="633"/>
        <w:rPr>
          <w:color w:val="auto"/>
          <w:szCs w:val="21"/>
          <w:highlight w:val="none"/>
        </w:rPr>
      </w:pPr>
      <w:r>
        <w:rPr>
          <w:color w:val="auto"/>
          <w:szCs w:val="21"/>
          <w:highlight w:val="none"/>
        </w:rPr>
        <w:t xml:space="preserve">               </w:t>
      </w:r>
      <w:r>
        <w:rPr>
          <w:color w:val="auto"/>
          <w:szCs w:val="21"/>
          <w:highlight w:val="none"/>
          <w:u w:val="single"/>
        </w:rPr>
        <w:t xml:space="preserve">           </w:t>
      </w:r>
      <w:r>
        <w:rPr>
          <w:rFonts w:hAnsi="宋体"/>
          <w:color w:val="auto"/>
          <w:szCs w:val="21"/>
          <w:highlight w:val="none"/>
        </w:rPr>
        <w:t>年</w:t>
      </w:r>
      <w:r>
        <w:rPr>
          <w:color w:val="auto"/>
          <w:szCs w:val="21"/>
          <w:highlight w:val="none"/>
          <w:u w:val="single"/>
        </w:rPr>
        <w:t xml:space="preserve">        </w:t>
      </w:r>
      <w:r>
        <w:rPr>
          <w:rFonts w:hAnsi="宋体"/>
          <w:color w:val="auto"/>
          <w:szCs w:val="21"/>
          <w:highlight w:val="none"/>
        </w:rPr>
        <w:t>月</w:t>
      </w:r>
      <w:r>
        <w:rPr>
          <w:color w:val="auto"/>
          <w:szCs w:val="21"/>
          <w:highlight w:val="none"/>
          <w:u w:val="single"/>
        </w:rPr>
        <w:t xml:space="preserve">        </w:t>
      </w:r>
      <w:r>
        <w:rPr>
          <w:rFonts w:hAnsi="宋体"/>
          <w:color w:val="auto"/>
          <w:szCs w:val="21"/>
          <w:highlight w:val="none"/>
        </w:rPr>
        <w:t>日</w:t>
      </w:r>
    </w:p>
    <w:p>
      <w:pPr>
        <w:spacing w:line="360" w:lineRule="auto"/>
        <w:ind w:left="1329" w:hanging="1329" w:hangingChars="633"/>
        <w:rPr>
          <w:color w:val="auto"/>
          <w:szCs w:val="21"/>
          <w:highlight w:val="none"/>
        </w:rPr>
      </w:pPr>
    </w:p>
    <w:p>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pPr>
        <w:spacing w:line="440" w:lineRule="exact"/>
        <w:rPr>
          <w:rFonts w:eastAsia="黑体"/>
          <w:color w:val="auto"/>
          <w:sz w:val="30"/>
          <w:szCs w:val="30"/>
          <w:highlight w:val="none"/>
        </w:rPr>
      </w:pPr>
      <w:r>
        <w:rPr>
          <w:rFonts w:eastAsia="仿宋_GB2312"/>
          <w:color w:val="auto"/>
          <w:sz w:val="30"/>
          <w:szCs w:val="30"/>
          <w:highlight w:val="none"/>
        </w:rPr>
        <w:t>附</w:t>
      </w:r>
      <w:bookmarkStart w:id="717" w:name="_Toc296346726"/>
      <w:bookmarkStart w:id="718" w:name="_Toc267261692"/>
      <w:bookmarkStart w:id="719" w:name="_Toc296503225"/>
      <w:bookmarkStart w:id="720" w:name="_Toc296944564"/>
      <w:bookmarkStart w:id="721" w:name="_Toc296347224"/>
      <w:bookmarkStart w:id="722" w:name="_Toc296891053"/>
      <w:bookmarkStart w:id="723" w:name="_Toc296891265"/>
      <w:r>
        <w:rPr>
          <w:rFonts w:eastAsia="仿宋_GB2312"/>
          <w:color w:val="auto"/>
          <w:sz w:val="30"/>
          <w:szCs w:val="30"/>
          <w:highlight w:val="none"/>
        </w:rPr>
        <w:t>件</w:t>
      </w:r>
      <w:r>
        <w:rPr>
          <w:rFonts w:hint="eastAsia" w:eastAsia="仿宋_GB2312"/>
          <w:color w:val="auto"/>
          <w:sz w:val="30"/>
          <w:szCs w:val="30"/>
          <w:highlight w:val="none"/>
        </w:rPr>
        <w:t>3：</w:t>
      </w:r>
    </w:p>
    <w:bookmarkEnd w:id="717"/>
    <w:bookmarkEnd w:id="718"/>
    <w:bookmarkEnd w:id="719"/>
    <w:bookmarkEnd w:id="720"/>
    <w:bookmarkEnd w:id="721"/>
    <w:bookmarkEnd w:id="722"/>
    <w:bookmarkEnd w:id="723"/>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p>
      <w:pPr>
        <w:spacing w:before="120" w:beforeLines="50" w:after="120" w:afterLines="50" w:line="440" w:lineRule="exact"/>
        <w:jc w:val="center"/>
        <w:rPr>
          <w:rFonts w:eastAsia="黑体"/>
          <w:color w:val="auto"/>
          <w:sz w:val="30"/>
          <w:szCs w:val="30"/>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序号</w:t>
            </w: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机械或设备名称</w:t>
            </w: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规格型号</w:t>
            </w: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数量</w:t>
            </w: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产地</w:t>
            </w: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制造年份</w:t>
            </w: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额定功率</w:t>
            </w:r>
            <w:r>
              <w:rPr>
                <w:rFonts w:hint="eastAsia" w:eastAsia="仿宋_GB2312"/>
                <w:color w:val="auto"/>
                <w:sz w:val="28"/>
                <w:szCs w:val="30"/>
                <w:highlight w:val="none"/>
              </w:rPr>
              <w:t>（</w:t>
            </w:r>
            <w:r>
              <w:rPr>
                <w:rFonts w:eastAsia="仿宋_GB2312"/>
                <w:color w:val="auto"/>
                <w:sz w:val="28"/>
                <w:szCs w:val="30"/>
                <w:highlight w:val="none"/>
              </w:rPr>
              <w:t>kW</w:t>
            </w:r>
            <w:r>
              <w:rPr>
                <w:rFonts w:hint="eastAsia" w:eastAsia="仿宋_GB2312"/>
                <w:color w:val="auto"/>
                <w:sz w:val="28"/>
                <w:szCs w:val="30"/>
                <w:highlight w:val="none"/>
              </w:rPr>
              <w:t>）</w:t>
            </w: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生产能力</w:t>
            </w: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28"/>
                <w:szCs w:val="30"/>
                <w:highlight w:val="none"/>
              </w:rPr>
            </w:pPr>
            <w:r>
              <w:rPr>
                <w:rFonts w:eastAsia="仿宋_GB2312"/>
                <w:color w:val="auto"/>
                <w:sz w:val="28"/>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1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5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58"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8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48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1020"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c>
          <w:tcPr>
            <w:tcW w:w="921" w:type="dxa"/>
            <w:noWrap w:val="0"/>
            <w:vAlign w:val="center"/>
          </w:tcPr>
          <w:p>
            <w:pPr>
              <w:keepNext/>
              <w:adjustRightInd w:val="0"/>
              <w:spacing w:line="440" w:lineRule="exact"/>
              <w:ind w:left="63" w:leftChars="30" w:right="63" w:rightChars="30"/>
              <w:jc w:val="center"/>
              <w:textAlignment w:val="baseline"/>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auto"/>
                <w:sz w:val="30"/>
                <w:szCs w:val="30"/>
                <w:highlight w:val="none"/>
              </w:rPr>
            </w:pPr>
          </w:p>
        </w:tc>
        <w:tc>
          <w:tcPr>
            <w:tcW w:w="1418" w:type="dxa"/>
            <w:noWrap w:val="0"/>
            <w:vAlign w:val="top"/>
          </w:tcPr>
          <w:p>
            <w:pPr>
              <w:rPr>
                <w:rFonts w:eastAsia="仿宋_GB2312"/>
                <w:color w:val="auto"/>
                <w:sz w:val="30"/>
                <w:szCs w:val="30"/>
                <w:highlight w:val="none"/>
              </w:rPr>
            </w:pPr>
          </w:p>
        </w:tc>
        <w:tc>
          <w:tcPr>
            <w:tcW w:w="850" w:type="dxa"/>
            <w:noWrap w:val="0"/>
            <w:vAlign w:val="top"/>
          </w:tcPr>
          <w:p>
            <w:pPr>
              <w:rPr>
                <w:rFonts w:eastAsia="仿宋_GB2312"/>
                <w:color w:val="auto"/>
                <w:sz w:val="30"/>
                <w:szCs w:val="30"/>
                <w:highlight w:val="none"/>
              </w:rPr>
            </w:pPr>
          </w:p>
        </w:tc>
        <w:tc>
          <w:tcPr>
            <w:tcW w:w="1058" w:type="dxa"/>
            <w:noWrap w:val="0"/>
            <w:vAlign w:val="top"/>
          </w:tcPr>
          <w:p>
            <w:pPr>
              <w:rPr>
                <w:rFonts w:eastAsia="仿宋_GB2312"/>
                <w:color w:val="auto"/>
                <w:sz w:val="30"/>
                <w:szCs w:val="30"/>
                <w:highlight w:val="none"/>
              </w:rPr>
            </w:pPr>
          </w:p>
        </w:tc>
        <w:tc>
          <w:tcPr>
            <w:tcW w:w="8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1480" w:type="dxa"/>
            <w:noWrap w:val="0"/>
            <w:vAlign w:val="top"/>
          </w:tcPr>
          <w:p>
            <w:pPr>
              <w:rPr>
                <w:rFonts w:eastAsia="仿宋_GB2312"/>
                <w:color w:val="auto"/>
                <w:sz w:val="30"/>
                <w:szCs w:val="30"/>
                <w:highlight w:val="none"/>
              </w:rPr>
            </w:pPr>
          </w:p>
        </w:tc>
        <w:tc>
          <w:tcPr>
            <w:tcW w:w="1020" w:type="dxa"/>
            <w:noWrap w:val="0"/>
            <w:vAlign w:val="top"/>
          </w:tcPr>
          <w:p>
            <w:pPr>
              <w:rPr>
                <w:rFonts w:eastAsia="仿宋_GB2312"/>
                <w:color w:val="auto"/>
                <w:sz w:val="30"/>
                <w:szCs w:val="30"/>
                <w:highlight w:val="none"/>
              </w:rPr>
            </w:pPr>
          </w:p>
        </w:tc>
        <w:tc>
          <w:tcPr>
            <w:tcW w:w="921" w:type="dxa"/>
            <w:noWrap w:val="0"/>
            <w:vAlign w:val="top"/>
          </w:tcPr>
          <w:p>
            <w:pPr>
              <w:rPr>
                <w:rFonts w:eastAsia="仿宋_GB2312"/>
                <w:color w:val="auto"/>
                <w:sz w:val="30"/>
                <w:szCs w:val="30"/>
                <w:highlight w:val="none"/>
              </w:rPr>
            </w:pPr>
          </w:p>
        </w:tc>
      </w:tr>
    </w:tbl>
    <w:p>
      <w:pPr>
        <w:spacing w:line="440" w:lineRule="exact"/>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pPr>
        <w:spacing w:line="440" w:lineRule="exact"/>
        <w:rPr>
          <w:color w:val="auto"/>
          <w:sz w:val="30"/>
          <w:szCs w:val="30"/>
          <w:highlight w:val="none"/>
        </w:rPr>
      </w:pPr>
      <w:r>
        <w:rPr>
          <w:rFonts w:hAnsi="宋体"/>
          <w:color w:val="auto"/>
          <w:sz w:val="30"/>
          <w:szCs w:val="30"/>
          <w:highlight w:val="none"/>
        </w:rPr>
        <w:t>附</w:t>
      </w:r>
      <w:bookmarkStart w:id="724" w:name="_Toc296346727"/>
      <w:bookmarkStart w:id="725" w:name="_Toc296891266"/>
      <w:bookmarkStart w:id="726" w:name="_Toc296347225"/>
      <w:bookmarkStart w:id="727" w:name="_Toc296944565"/>
      <w:bookmarkStart w:id="728" w:name="_Toc296891054"/>
      <w:bookmarkStart w:id="729" w:name="_Toc296503226"/>
      <w:bookmarkStart w:id="730" w:name="_Toc267261693"/>
      <w:r>
        <w:rPr>
          <w:rFonts w:hAnsi="宋体"/>
          <w:color w:val="auto"/>
          <w:sz w:val="30"/>
          <w:szCs w:val="30"/>
          <w:highlight w:val="none"/>
        </w:rPr>
        <w:t>件</w:t>
      </w:r>
      <w:r>
        <w:rPr>
          <w:rFonts w:hint="eastAsia"/>
          <w:color w:val="auto"/>
          <w:sz w:val="30"/>
          <w:szCs w:val="30"/>
          <w:highlight w:val="none"/>
        </w:rPr>
        <w:t>4</w:t>
      </w:r>
      <w:r>
        <w:rPr>
          <w:rFonts w:hAnsi="宋体"/>
          <w:color w:val="auto"/>
          <w:sz w:val="30"/>
          <w:szCs w:val="30"/>
          <w:highlight w:val="none"/>
        </w:rPr>
        <w:t>：</w:t>
      </w:r>
      <w:bookmarkEnd w:id="724"/>
      <w:bookmarkEnd w:id="725"/>
      <w:bookmarkEnd w:id="726"/>
      <w:bookmarkEnd w:id="727"/>
      <w:bookmarkEnd w:id="728"/>
      <w:bookmarkEnd w:id="729"/>
      <w:bookmarkEnd w:id="730"/>
    </w:p>
    <w:p>
      <w:pPr>
        <w:spacing w:before="165" w:beforeLines="50" w:after="165" w:afterLines="50" w:line="440" w:lineRule="exact"/>
        <w:jc w:val="center"/>
        <w:rPr>
          <w:rFonts w:ascii="黑体" w:hAnsi="宋体" w:eastAsia="黑体"/>
          <w:color w:val="auto"/>
          <w:sz w:val="32"/>
          <w:szCs w:val="32"/>
          <w:highlight w:val="none"/>
        </w:rPr>
      </w:pPr>
      <w:r>
        <w:rPr>
          <w:rFonts w:hint="eastAsia" w:ascii="黑体" w:hAnsi="宋体" w:eastAsia="黑体"/>
          <w:color w:val="auto"/>
          <w:sz w:val="32"/>
          <w:szCs w:val="32"/>
          <w:highlight w:val="none"/>
        </w:rPr>
        <w:t>工程质量保修书</w:t>
      </w:r>
    </w:p>
    <w:p>
      <w:pPr>
        <w:spacing w:before="165" w:beforeLines="50" w:after="165" w:afterLines="50" w:line="440" w:lineRule="exact"/>
        <w:jc w:val="center"/>
        <w:rPr>
          <w:rFonts w:ascii="黑体" w:eastAsia="黑体"/>
          <w:color w:val="auto"/>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420"/>
        <w:rPr>
          <w:rFonts w:ascii="宋体" w:hAnsi="宋体"/>
          <w:color w:val="auto"/>
          <w:szCs w:val="21"/>
          <w:highlight w:val="none"/>
        </w:rPr>
      </w:pPr>
      <w:r>
        <w:rPr>
          <w:rFonts w:ascii="宋体" w:hAnsi="宋体"/>
          <w:color w:val="auto"/>
          <w:szCs w:val="21"/>
          <w:highlight w:val="none"/>
        </w:rPr>
        <w:t>发包人和承包人根据《中华人民共和国建筑法》和《建设工程质量管理条例》，经协商一致就</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（工程全称）签订工程质量保修书。</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根据《建设工程质量管理条例》及有关规定，工程的质量保修期如下：</w:t>
      </w:r>
    </w:p>
    <w:p>
      <w:pPr>
        <w:pStyle w:val="37"/>
        <w:bidi w:val="0"/>
        <w:spacing w:line="360" w:lineRule="auto"/>
        <w:ind w:firstLine="426"/>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1．桥梁工程为</w:t>
      </w:r>
      <w:r>
        <w:rPr>
          <w:rStyle w:val="21"/>
          <w:rFonts w:hint="eastAsia" w:ascii="宋体" w:hAnsi="宋体" w:eastAsia="宋体" w:cs="宋体"/>
          <w:color w:val="auto"/>
          <w:sz w:val="21"/>
          <w:szCs w:val="21"/>
          <w:highlight w:val="none"/>
          <w:u w:val="single"/>
        </w:rPr>
        <w:t xml:space="preserve"> 桥梁隧道主体结构工程为设计文件规定的合理使用年限</w:t>
      </w:r>
      <w:r>
        <w:rPr>
          <w:rStyle w:val="21"/>
          <w:rFonts w:hint="eastAsia" w:ascii="宋体" w:hAnsi="宋体" w:eastAsia="宋体" w:cs="宋体"/>
          <w:color w:val="auto"/>
          <w:sz w:val="21"/>
          <w:szCs w:val="21"/>
          <w:highlight w:val="none"/>
        </w:rPr>
        <w:t>；</w:t>
      </w:r>
    </w:p>
    <w:p>
      <w:pPr>
        <w:pStyle w:val="37"/>
        <w:bidi w:val="0"/>
        <w:spacing w:line="360" w:lineRule="auto"/>
        <w:ind w:firstLine="426"/>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2．道路工程为</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u w:val="single"/>
          <w:lang w:val="en-US" w:eastAsia="zh-CN"/>
        </w:rPr>
        <w:t>2</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rPr>
        <w:t>年（建议路基、路面、桥面为2年）；</w:t>
      </w:r>
    </w:p>
    <w:p>
      <w:pPr>
        <w:pStyle w:val="37"/>
        <w:keepNext w:val="0"/>
        <w:keepLines w:val="0"/>
        <w:pageBreakBefore w:val="0"/>
        <w:widowControl w:val="0"/>
        <w:kinsoku/>
        <w:wordWrap w:val="0"/>
        <w:overflowPunct/>
        <w:topLinePunct w:val="0"/>
        <w:autoSpaceDE/>
        <w:autoSpaceDN/>
        <w:bidi w:val="0"/>
        <w:adjustRightInd/>
        <w:snapToGrid/>
        <w:spacing w:line="360" w:lineRule="auto"/>
        <w:ind w:firstLine="426"/>
        <w:textAlignment w:val="auto"/>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3．排水（雨水）工程为</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u w:val="single"/>
          <w:lang w:val="en-US" w:eastAsia="zh-CN"/>
        </w:rPr>
        <w:t>3</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rPr>
        <w:t>年（建议道路工程中的排水工程为3年）；</w:t>
      </w:r>
    </w:p>
    <w:p>
      <w:pPr>
        <w:pStyle w:val="37"/>
        <w:keepNext w:val="0"/>
        <w:keepLines w:val="0"/>
        <w:pageBreakBefore w:val="0"/>
        <w:widowControl w:val="0"/>
        <w:kinsoku/>
        <w:wordWrap w:val="0"/>
        <w:overflowPunct/>
        <w:topLinePunct w:val="0"/>
        <w:autoSpaceDE/>
        <w:autoSpaceDN/>
        <w:bidi w:val="0"/>
        <w:adjustRightInd/>
        <w:snapToGrid/>
        <w:spacing w:line="360" w:lineRule="auto"/>
        <w:ind w:firstLine="426"/>
        <w:textAlignment w:val="auto"/>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 xml:space="preserve">4．绿化工程为 </w:t>
      </w:r>
      <w:r>
        <w:rPr>
          <w:rStyle w:val="21"/>
          <w:rFonts w:hint="eastAsia" w:ascii="宋体" w:hAnsi="宋体" w:eastAsia="宋体" w:cs="宋体"/>
          <w:color w:val="auto"/>
          <w:sz w:val="21"/>
          <w:szCs w:val="21"/>
          <w:highlight w:val="none"/>
          <w:u w:val="single"/>
        </w:rPr>
        <w:t xml:space="preserve">单位工程竣工验收合格后 </w:t>
      </w:r>
      <w:r>
        <w:rPr>
          <w:rStyle w:val="21"/>
          <w:rFonts w:hint="eastAsia" w:ascii="宋体" w:hAnsi="宋体" w:eastAsia="宋体" w:cs="宋体"/>
          <w:color w:val="auto"/>
          <w:sz w:val="21"/>
          <w:szCs w:val="21"/>
          <w:highlight w:val="none"/>
          <w:u w:val="single"/>
          <w:lang w:val="en-US" w:eastAsia="zh-CN"/>
        </w:rPr>
        <w:t>1</w:t>
      </w:r>
      <w:r>
        <w:rPr>
          <w:rStyle w:val="21"/>
          <w:rFonts w:hint="eastAsia" w:ascii="宋体" w:hAnsi="宋体" w:eastAsia="宋体" w:cs="宋体"/>
          <w:color w:val="auto"/>
          <w:sz w:val="21"/>
          <w:szCs w:val="21"/>
          <w:highlight w:val="none"/>
          <w:u w:val="single"/>
        </w:rPr>
        <w:t xml:space="preserve"> 年</w:t>
      </w:r>
      <w:r>
        <w:rPr>
          <w:rStyle w:val="21"/>
          <w:rFonts w:hint="eastAsia" w:ascii="宋体" w:hAnsi="宋体" w:eastAsia="宋体" w:cs="宋体"/>
          <w:color w:val="auto"/>
          <w:sz w:val="21"/>
          <w:szCs w:val="21"/>
          <w:highlight w:val="none"/>
        </w:rPr>
        <w:t>；</w:t>
      </w:r>
    </w:p>
    <w:p>
      <w:pPr>
        <w:pStyle w:val="37"/>
        <w:keepNext w:val="0"/>
        <w:keepLines w:val="0"/>
        <w:pageBreakBefore w:val="0"/>
        <w:widowControl w:val="0"/>
        <w:kinsoku/>
        <w:wordWrap w:val="0"/>
        <w:overflowPunct/>
        <w:topLinePunct w:val="0"/>
        <w:autoSpaceDE/>
        <w:autoSpaceDN/>
        <w:bidi w:val="0"/>
        <w:adjustRightInd/>
        <w:snapToGrid/>
        <w:spacing w:line="360" w:lineRule="auto"/>
        <w:ind w:firstLine="426"/>
        <w:textAlignment w:val="auto"/>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5.  地下防水工程为</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u w:val="single"/>
          <w:lang w:val="en-US" w:eastAsia="zh-CN"/>
        </w:rPr>
        <w:t>5</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rPr>
        <w:t>年（建议为5年）；</w:t>
      </w:r>
    </w:p>
    <w:p>
      <w:pPr>
        <w:pStyle w:val="37"/>
        <w:bidi w:val="0"/>
        <w:spacing w:line="360" w:lineRule="auto"/>
        <w:ind w:firstLine="420" w:firstLineChars="200"/>
        <w:rPr>
          <w:rStyle w:val="21"/>
          <w:rFonts w:hint="eastAsia" w:ascii="宋体" w:hAnsi="宋体" w:eastAsia="宋体" w:cs="宋体"/>
          <w:color w:val="auto"/>
          <w:sz w:val="21"/>
          <w:szCs w:val="21"/>
          <w:highlight w:val="none"/>
        </w:rPr>
      </w:pPr>
      <w:r>
        <w:rPr>
          <w:rStyle w:val="21"/>
          <w:rFonts w:hint="eastAsia" w:ascii="宋体" w:hAnsi="宋体" w:eastAsia="宋体" w:cs="宋体"/>
          <w:color w:val="auto"/>
          <w:sz w:val="21"/>
          <w:szCs w:val="21"/>
          <w:highlight w:val="none"/>
        </w:rPr>
        <w:t>6．其他附属工程为</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u w:val="single"/>
          <w:lang w:val="en-US" w:eastAsia="zh-CN"/>
        </w:rPr>
        <w:t>1</w:t>
      </w:r>
      <w:r>
        <w:rPr>
          <w:rStyle w:val="21"/>
          <w:rFonts w:hint="eastAsia" w:ascii="宋体" w:hAnsi="宋体" w:eastAsia="宋体" w:cs="宋体"/>
          <w:color w:val="auto"/>
          <w:sz w:val="21"/>
          <w:szCs w:val="21"/>
          <w:highlight w:val="none"/>
          <w:u w:val="single"/>
        </w:rPr>
        <w:t xml:space="preserve"> </w:t>
      </w:r>
      <w:r>
        <w:rPr>
          <w:rStyle w:val="21"/>
          <w:rFonts w:hint="eastAsia" w:ascii="宋体" w:hAnsi="宋体" w:eastAsia="宋体" w:cs="宋体"/>
          <w:color w:val="auto"/>
          <w:sz w:val="21"/>
          <w:szCs w:val="21"/>
          <w:highlight w:val="none"/>
        </w:rPr>
        <w:t>年。</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p>
    <w:p>
      <w:pPr>
        <w:widowControl/>
        <w:spacing w:line="400" w:lineRule="exact"/>
        <w:ind w:firstLine="480"/>
        <w:rPr>
          <w:rFonts w:hint="eastAsia" w:ascii="宋体" w:hAnsi="宋体" w:eastAsia="宋体" w:cs="宋体"/>
          <w:color w:val="auto"/>
          <w:kern w:val="0"/>
          <w:szCs w:val="21"/>
          <w:highlight w:val="none"/>
          <w:u w:val="single"/>
          <w:lang w:eastAsia="zh-CN"/>
        </w:rPr>
      </w:pPr>
      <w:r>
        <w:rPr>
          <w:color w:val="auto"/>
          <w:highlight w:val="none"/>
          <w:u w:val="single"/>
        </w:rPr>
        <w:t xml:space="preserve">                                                                      </w:t>
      </w:r>
      <w:r>
        <w:rPr>
          <w:rFonts w:hint="eastAsia"/>
          <w:color w:val="auto"/>
          <w:highlight w:val="none"/>
          <w:u w:val="none"/>
          <w:lang w:eastAsia="zh-CN"/>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hint="eastAsia" w:ascii="宋体" w:hAnsi="宋体"/>
          <w:color w:val="auto"/>
          <w:szCs w:val="21"/>
          <w:highlight w:val="none"/>
          <w:lang w:val="en-US" w:eastAsia="zh-CN"/>
        </w:rPr>
        <w:t>12</w:t>
      </w:r>
      <w:r>
        <w:rPr>
          <w:rFonts w:ascii="宋体" w:hAnsi="宋体"/>
          <w:color w:val="auto"/>
          <w:szCs w:val="21"/>
          <w:highlight w:val="none"/>
        </w:rPr>
        <w:t>个月，缺陷责任期自工程</w:t>
      </w:r>
      <w:r>
        <w:rPr>
          <w:rFonts w:hint="eastAsia" w:ascii="宋体" w:hAnsi="宋体"/>
          <w:color w:val="auto"/>
          <w:szCs w:val="21"/>
          <w:highlight w:val="none"/>
        </w:rPr>
        <w:t>通过竣工验收</w:t>
      </w:r>
      <w:r>
        <w:rPr>
          <w:rFonts w:ascii="宋体" w:hAnsi="宋体"/>
          <w:color w:val="auto"/>
          <w:szCs w:val="21"/>
          <w:highlight w:val="none"/>
        </w:rPr>
        <w:t>之日起计算。单位工程先于全部工程进行验收，单位工程缺陷责任期自单位工程验收合格之日起算。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属于保修范围、内容的项目，承包人应当在接到保修通知之日起</w:t>
      </w:r>
      <w:r>
        <w:rPr>
          <w:rFonts w:hint="eastAsia" w:ascii="宋体" w:hAnsi="宋体"/>
          <w:color w:val="auto"/>
          <w:szCs w:val="21"/>
          <w:highlight w:val="none"/>
          <w:u w:val="single"/>
        </w:rPr>
        <w:t xml:space="preserve"> 2 </w:t>
      </w:r>
      <w:r>
        <w:rPr>
          <w:rFonts w:ascii="宋体"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质量保修完成后，由发包人组织验收。</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五、保修费用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保修费用由造成质量缺陷的责任方承担。</w:t>
      </w:r>
    </w:p>
    <w:p>
      <w:pPr>
        <w:spacing w:line="360" w:lineRule="auto"/>
        <w:ind w:firstLine="420" w:firstLineChars="200"/>
        <w:jc w:val="left"/>
        <w:rPr>
          <w:rFonts w:ascii="宋体" w:hAnsi="宋体"/>
          <w:color w:val="auto"/>
          <w:szCs w:val="21"/>
          <w:highlight w:val="none"/>
        </w:rPr>
      </w:pPr>
      <w:r>
        <w:rPr>
          <w:rFonts w:hint="eastAsia" w:ascii="黑体" w:hAnsi="宋体" w:eastAsia="黑体"/>
          <w:color w:val="auto"/>
          <w:szCs w:val="21"/>
          <w:highlight w:val="none"/>
        </w:rPr>
        <w:t>六、双方约定的其他工程质量保修事项：</w:t>
      </w:r>
      <w:r>
        <w:rPr>
          <w:rFonts w:hint="eastAsia"/>
          <w:color w:val="auto"/>
          <w:highlight w:val="none"/>
        </w:rPr>
        <w:t>根据保修期的规定，在本工程约定的保修期年限满后14天内，按工程所占的比例一次性返还质量保修金（无息），</w:t>
      </w:r>
      <w:r>
        <w:rPr>
          <w:color w:val="auto"/>
          <w:highlight w:val="none"/>
        </w:rPr>
        <w:t>质量保证金的返还，并不能免除承包人按照合同约定应承担的质量保修责任和应履行的质量保修义务。</w:t>
      </w:r>
    </w:p>
    <w:p>
      <w:pPr>
        <w:spacing w:line="360" w:lineRule="auto"/>
        <w:ind w:firstLine="399" w:firstLineChars="190"/>
        <w:rPr>
          <w:rFonts w:ascii="宋体" w:hAnsi="宋体"/>
          <w:color w:val="auto"/>
          <w:szCs w:val="21"/>
          <w:highlight w:val="none"/>
        </w:rPr>
      </w:pPr>
      <w:r>
        <w:rPr>
          <w:rFonts w:ascii="宋体" w:hAnsi="宋体"/>
          <w:color w:val="auto"/>
          <w:szCs w:val="21"/>
          <w:highlight w:val="none"/>
        </w:rPr>
        <w:t>工程质量保修书由发包人、承包人在工程竣工验收前共同签署，作为施工合同附件，其有效期限至保修期满。</w:t>
      </w:r>
    </w:p>
    <w:p>
      <w:pPr>
        <w:spacing w:line="360" w:lineRule="auto"/>
        <w:ind w:firstLine="420"/>
        <w:rPr>
          <w:rFonts w:ascii="宋体" w:hAnsi="宋体"/>
          <w:color w:val="auto"/>
          <w:szCs w:val="21"/>
          <w:highlight w:val="none"/>
        </w:rPr>
      </w:pPr>
    </w:p>
    <w:p>
      <w:pPr>
        <w:spacing w:line="360" w:lineRule="auto"/>
        <w:ind w:firstLine="420"/>
        <w:rPr>
          <w:rFonts w:ascii="宋体" w:hAnsi="宋体"/>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pStyle w:val="37"/>
        <w:bidi w:val="0"/>
        <w:spacing w:line="360" w:lineRule="auto"/>
        <w:jc w:val="both"/>
        <w:rPr>
          <w:rFonts w:hint="eastAsia" w:ascii="宋体" w:hAnsi="宋体" w:eastAsia="宋体" w:cs="宋体"/>
          <w:b/>
          <w:color w:val="auto"/>
          <w:sz w:val="44"/>
          <w:szCs w:val="44"/>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3261"/>
        </w:tabs>
        <w:spacing w:line="360" w:lineRule="auto"/>
        <w:contextualSpacing/>
        <w:jc w:val="center"/>
        <w:rPr>
          <w:rFonts w:hint="eastAsia" w:ascii="宋体" w:hAnsi="宋体" w:eastAsia="宋体" w:cs="宋体"/>
          <w:b/>
          <w:color w:val="auto"/>
          <w:sz w:val="44"/>
          <w:szCs w:val="44"/>
          <w:highlight w:val="none"/>
        </w:rPr>
      </w:pPr>
    </w:p>
    <w:p>
      <w:pPr>
        <w:tabs>
          <w:tab w:val="left" w:pos="3261"/>
        </w:tabs>
        <w:spacing w:line="360" w:lineRule="auto"/>
        <w:contextualSpacing/>
        <w:jc w:val="center"/>
        <w:rPr>
          <w:rFonts w:hint="eastAsia" w:ascii="宋体" w:hAnsi="宋体" w:eastAsia="宋体" w:cs="宋体"/>
          <w:b/>
          <w:color w:val="auto"/>
          <w:sz w:val="44"/>
          <w:szCs w:val="44"/>
          <w:highlight w:val="none"/>
        </w:rPr>
      </w:pPr>
    </w:p>
    <w:p>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6" w:type="default"/>
          <w:pgSz w:w="11910" w:h="16840"/>
          <w:pgMar w:top="1340" w:right="1500" w:bottom="280" w:left="1680" w:header="720" w:footer="720" w:gutter="0"/>
          <w:pgNumType w:fmt="decimal"/>
          <w:cols w:space="720" w:num="1"/>
        </w:sectPr>
      </w:pPr>
    </w:p>
    <w:p>
      <w:pPr>
        <w:pStyle w:val="2"/>
        <w:jc w:val="center"/>
        <w:rPr>
          <w:rFonts w:hint="eastAsia" w:ascii="宋体" w:hAnsi="宋体" w:eastAsia="宋体" w:cs="宋体"/>
          <w:color w:val="auto"/>
          <w:highlight w:val="none"/>
          <w:lang w:val="en-US"/>
        </w:rPr>
        <w:sectPr>
          <w:pgSz w:w="11910" w:h="16840"/>
          <w:pgMar w:top="1340" w:right="1500" w:bottom="280" w:left="1680" w:header="720" w:footer="720" w:gutter="0"/>
          <w:pgNumType w:fmt="decimal"/>
          <w:cols w:space="720" w:num="1"/>
        </w:sectPr>
      </w:pPr>
      <w:bookmarkStart w:id="731" w:name="_Toc21042"/>
      <w:bookmarkStart w:id="732" w:name="_Toc31086"/>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731"/>
      <w:bookmarkEnd w:id="732"/>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pPr>
        <w:pStyle w:val="13"/>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3"/>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3"/>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3"/>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3"/>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3"/>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3"/>
        <w:spacing w:line="360" w:lineRule="auto"/>
        <w:contextualSpacing/>
        <w:rPr>
          <w:rFonts w:hint="eastAsia" w:ascii="宋体" w:hAnsi="宋体" w:eastAsia="宋体" w:cs="宋体"/>
          <w:b/>
          <w:color w:val="auto"/>
          <w:sz w:val="24"/>
          <w:szCs w:val="24"/>
          <w:highlight w:val="none"/>
          <w:lang w:eastAsia="zh-CN"/>
        </w:rPr>
      </w:pPr>
    </w:p>
    <w:p>
      <w:pPr>
        <w:pStyle w:val="13"/>
        <w:spacing w:line="360" w:lineRule="auto"/>
        <w:contextualSpacing/>
        <w:rPr>
          <w:rFonts w:hint="eastAsia" w:ascii="宋体" w:hAnsi="宋体" w:eastAsia="宋体" w:cs="宋体"/>
          <w:b/>
          <w:color w:val="auto"/>
          <w:sz w:val="24"/>
          <w:szCs w:val="24"/>
          <w:highlight w:val="none"/>
          <w:lang w:eastAsia="zh-CN"/>
        </w:rPr>
      </w:pPr>
    </w:p>
    <w:p>
      <w:pPr>
        <w:pStyle w:val="13"/>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3"/>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3"/>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3"/>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3"/>
        <w:snapToGrid w:val="0"/>
        <w:rPr>
          <w:rFonts w:hint="eastAsia" w:ascii="宋体" w:hAnsi="宋体" w:eastAsia="宋体" w:cs="宋体"/>
          <w:b/>
          <w:color w:val="auto"/>
          <w:sz w:val="24"/>
          <w:szCs w:val="2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13"/>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3"/>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3"/>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3"/>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3"/>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3"/>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3"/>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3"/>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3"/>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3"/>
        <w:spacing w:line="360" w:lineRule="auto"/>
        <w:ind w:left="25" w:leftChars="12" w:firstLine="352" w:firstLineChars="147"/>
        <w:rPr>
          <w:rFonts w:hint="eastAsia" w:ascii="宋体" w:hAnsi="宋体" w:eastAsia="宋体" w:cs="宋体"/>
          <w:color w:val="auto"/>
          <w:sz w:val="24"/>
          <w:szCs w:val="24"/>
          <w:highlight w:val="none"/>
        </w:rPr>
      </w:pP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3"/>
        <w:spacing w:line="360" w:lineRule="auto"/>
        <w:ind w:left="25" w:leftChars="12" w:firstLine="352" w:firstLineChars="147"/>
        <w:rPr>
          <w:rFonts w:hint="eastAsia" w:ascii="宋体" w:hAnsi="宋体" w:eastAsia="宋体" w:cs="宋体"/>
          <w:color w:val="auto"/>
          <w:sz w:val="24"/>
          <w:szCs w:val="24"/>
          <w:highlight w:val="none"/>
        </w:rPr>
      </w:pP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3"/>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3"/>
        <w:snapToGrid w:val="0"/>
        <w:spacing w:line="360" w:lineRule="auto"/>
        <w:rPr>
          <w:rFonts w:hint="eastAsia" w:ascii="宋体" w:hAnsi="宋体" w:eastAsia="宋体" w:cs="宋体"/>
          <w:b/>
          <w:color w:val="auto"/>
          <w:sz w:val="24"/>
          <w:szCs w:val="24"/>
          <w:highlight w:val="none"/>
        </w:rPr>
      </w:pPr>
    </w:p>
    <w:p>
      <w:pPr>
        <w:pStyle w:val="13"/>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3"/>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3"/>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3"/>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spacing w:line="360" w:lineRule="auto"/>
        <w:jc w:val="center"/>
        <w:rPr>
          <w:rFonts w:hint="eastAsia" w:ascii="宋体" w:hAnsi="宋体" w:eastAsia="宋体" w:cs="宋体"/>
          <w:b/>
          <w:color w:val="auto"/>
          <w:highlight w:val="none"/>
        </w:rPr>
      </w:pPr>
    </w:p>
    <w:p>
      <w:pPr>
        <w:rPr>
          <w:color w:val="auto"/>
          <w:highlight w:val="none"/>
        </w:rPr>
      </w:pPr>
    </w:p>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New Roman)">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宋体"/>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Meiryo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jc w:val="both"/>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0"/>
        <w:tab w:val="clear" w:pos="4153"/>
      </w:tabs>
      <w:jc w:val="both"/>
    </w:pPr>
    <w:r>
      <w:rPr>
        <w:vanish/>
        <w:highlight w:val="yellow"/>
      </w:rPr>
      <w:t>&gt;</w:t>
    </w: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9DC41A1"/>
    <w:multiLevelType w:val="singleLevel"/>
    <w:tmpl w:val="C9DC41A1"/>
    <w:lvl w:ilvl="0" w:tentative="0">
      <w:start w:val="1"/>
      <w:numFmt w:val="decimal"/>
      <w:pStyle w:val="6"/>
      <w:lvlText w:val="%1."/>
      <w:lvlJc w:val="left"/>
      <w:pPr>
        <w:tabs>
          <w:tab w:val="left" w:pos="360"/>
        </w:tabs>
        <w:ind w:left="360" w:hanging="360"/>
      </w:p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785E30D"/>
    <w:multiLevelType w:val="multilevel"/>
    <w:tmpl w:val="5785E30D"/>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4"/>
    <w:lvlOverride w:ilvl="0">
      <w:startOverride w:val="1"/>
    </w:lvlOverride>
  </w:num>
  <w:num w:numId="3">
    <w:abstractNumId w:val="3"/>
    <w:lvlOverride w:ilvl="0">
      <w:startOverride w:val="1"/>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Y5OTE4ZDM5ZjM2Mjc0ZmZjZDMzNWVmZDAwMjgifQ=="/>
  </w:docVars>
  <w:rsids>
    <w:rsidRoot w:val="498811A9"/>
    <w:rsid w:val="4988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toc 3"/>
    <w:basedOn w:val="1"/>
    <w:next w:val="1"/>
    <w:unhideWhenUsed/>
    <w:qFormat/>
    <w:uiPriority w:val="39"/>
    <w:pPr>
      <w:ind w:left="840" w:leftChars="400"/>
    </w:pPr>
  </w:style>
  <w:style w:type="paragraph" w:styleId="13">
    <w:name w:val="Plain Text"/>
    <w:basedOn w:val="1"/>
    <w:next w:val="1"/>
    <w:qFormat/>
    <w:uiPriority w:val="0"/>
    <w:rPr>
      <w:rFonts w:ascii="宋体" w:hAnsi="Courier New"/>
      <w:kern w:val="0"/>
      <w:sz w:val="20"/>
      <w:szCs w:val="21"/>
    </w:r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FollowedHyperlink"/>
    <w:unhideWhenUsed/>
    <w:qFormat/>
    <w:uiPriority w:val="99"/>
    <w:rPr>
      <w:color w:val="800080"/>
      <w:u w:val="single"/>
    </w:rPr>
  </w:style>
  <w:style w:type="character" w:styleId="24">
    <w:name w:val="Hyperlink"/>
    <w:unhideWhenUsed/>
    <w:qFormat/>
    <w:uiPriority w:val="99"/>
    <w:rPr>
      <w:color w:val="0000FF"/>
      <w:u w:val="single"/>
    </w:rPr>
  </w:style>
  <w:style w:type="paragraph" w:customStyle="1" w:styleId="25">
    <w:name w:val="表格文字"/>
    <w:basedOn w:val="1"/>
    <w:next w:val="9"/>
    <w:qFormat/>
    <w:uiPriority w:val="0"/>
    <w:pPr>
      <w:adjustRightInd w:val="0"/>
      <w:spacing w:line="420" w:lineRule="atLeast"/>
      <w:jc w:val="left"/>
      <w:textAlignment w:val="baseline"/>
    </w:pPr>
    <w:rPr>
      <w:kern w:val="0"/>
    </w:rPr>
  </w:style>
  <w:style w:type="paragraph" w:customStyle="1" w:styleId="26">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正文_3"/>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10_0"/>
    <w:unhideWhenUsed/>
    <w:qFormat/>
    <w:uiPriority w:val="0"/>
    <w:rPr>
      <w:rFonts w:hint="default" w:ascii="Times New Roman" w:hAnsi="Times New Roman" w:eastAsia="宋体" w:cs="Times New Roman"/>
      <w:sz w:val="24"/>
      <w:szCs w:val="24"/>
    </w:rPr>
  </w:style>
  <w:style w:type="paragraph" w:customStyle="1" w:styleId="37">
    <w:name w:val="正文_3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2024-08-21T02:49:00Z</dcterms:created>
  <dc:creator>歪歪</dc:creator>
  <cp:lastModifiedBy>歪歪</cp:lastModifiedBy>
  <dcterms:modified xsi:type="dcterms:W3CDTF">2024-08-21T03:03:41Z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A460EAE60134477CB2115BDDAB7D2BE6_11</vt:lpwstr>
  </property>
</Properties>
</file>