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294EA">
      <w:pPr>
        <w:spacing w:line="360" w:lineRule="auto"/>
        <w:jc w:val="center"/>
        <w:rPr>
          <w:rFonts w:ascii="仿宋" w:hAnsi="宋体" w:eastAsia="仿宋"/>
          <w:color w:val="auto"/>
          <w:sz w:val="52"/>
          <w:szCs w:val="52"/>
        </w:rPr>
      </w:pPr>
    </w:p>
    <w:p w14:paraId="41F50740">
      <w:pPr>
        <w:spacing w:line="360" w:lineRule="auto"/>
        <w:jc w:val="center"/>
        <w:rPr>
          <w:rFonts w:hint="eastAsia" w:ascii="宋体" w:hAnsi="宋体" w:eastAsia="宋体" w:cs="宋体"/>
          <w:b w:val="0"/>
          <w:bCs w:val="0"/>
          <w:color w:val="auto"/>
          <w:sz w:val="52"/>
          <w:szCs w:val="52"/>
          <w:lang w:eastAsia="zh-CN"/>
        </w:rPr>
      </w:pPr>
      <w:r>
        <w:rPr>
          <w:rFonts w:hint="eastAsia" w:ascii="宋体" w:hAnsi="宋体" w:eastAsia="宋体" w:cs="宋体"/>
          <w:b w:val="0"/>
          <w:bCs w:val="0"/>
          <w:color w:val="auto"/>
          <w:sz w:val="52"/>
          <w:szCs w:val="52"/>
          <w:lang w:eastAsia="zh-CN"/>
        </w:rPr>
        <w:t>南宁斗方工程咨询有限公司</w:t>
      </w:r>
    </w:p>
    <w:p w14:paraId="3902EF19">
      <w:pPr>
        <w:spacing w:line="360" w:lineRule="auto"/>
        <w:jc w:val="center"/>
        <w:rPr>
          <w:rFonts w:ascii="仿宋" w:hAnsi="仿宋" w:eastAsia="仿宋" w:cs="仿宋"/>
          <w:b/>
          <w:color w:val="auto"/>
          <w:sz w:val="44"/>
          <w:szCs w:val="44"/>
        </w:rPr>
      </w:pPr>
    </w:p>
    <w:p w14:paraId="74680BE7">
      <w:pPr>
        <w:spacing w:line="360" w:lineRule="auto"/>
        <w:jc w:val="center"/>
        <w:rPr>
          <w:rFonts w:ascii="仿宋" w:hAnsi="仿宋" w:eastAsia="仿宋" w:cs="仿宋"/>
          <w:b/>
          <w:color w:val="auto"/>
          <w:sz w:val="44"/>
          <w:szCs w:val="44"/>
        </w:rPr>
      </w:pPr>
    </w:p>
    <w:p w14:paraId="01ECE978">
      <w:pPr>
        <w:snapToGrid w:val="0"/>
        <w:spacing w:before="156" w:beforeLines="50" w:line="360" w:lineRule="auto"/>
        <w:jc w:val="center"/>
        <w:rPr>
          <w:rFonts w:ascii="华文新魏" w:hAnsi="宋体" w:eastAsia="华文新魏"/>
          <w:color w:val="auto"/>
          <w:sz w:val="120"/>
          <w:szCs w:val="120"/>
        </w:rPr>
      </w:pPr>
      <w:r>
        <w:rPr>
          <w:rFonts w:hint="eastAsia" w:ascii="华文新魏" w:hAnsi="宋体" w:eastAsia="华文新魏"/>
          <w:color w:val="auto"/>
          <w:sz w:val="120"/>
          <w:szCs w:val="120"/>
        </w:rPr>
        <w:t>竞争性磋商文件</w:t>
      </w:r>
    </w:p>
    <w:p w14:paraId="3FA2D9E5">
      <w:pPr>
        <w:snapToGrid w:val="0"/>
        <w:spacing w:before="156" w:beforeLines="50" w:line="360" w:lineRule="auto"/>
        <w:jc w:val="center"/>
        <w:rPr>
          <w:rFonts w:ascii="仿宋_GB2312" w:hAnsi="宋体" w:eastAsia="仿宋_GB2312"/>
          <w:b/>
          <w:color w:val="auto"/>
          <w:sz w:val="30"/>
          <w:szCs w:val="72"/>
        </w:rPr>
      </w:pPr>
    </w:p>
    <w:p w14:paraId="3FCD55D7">
      <w:pPr>
        <w:snapToGrid w:val="0"/>
        <w:spacing w:line="360" w:lineRule="auto"/>
        <w:rPr>
          <w:rFonts w:hint="eastAsia" w:ascii="宋体" w:hAnsi="宋体" w:eastAsia="宋体" w:cs="宋体"/>
          <w:color w:val="auto"/>
          <w:sz w:val="30"/>
          <w:szCs w:val="72"/>
        </w:rPr>
      </w:pPr>
    </w:p>
    <w:p w14:paraId="537E0052">
      <w:pPr>
        <w:pStyle w:val="17"/>
        <w:snapToGrid w:val="0"/>
        <w:spacing w:line="360" w:lineRule="auto"/>
        <w:ind w:left="2716" w:leftChars="576" w:hanging="1506" w:hangingChars="500"/>
        <w:rPr>
          <w:rFonts w:hint="eastAsia" w:ascii="宋体" w:hAnsi="宋体" w:eastAsia="宋体" w:cs="宋体"/>
          <w:b/>
          <w:bCs/>
          <w:color w:val="auto"/>
          <w:spacing w:val="-4"/>
          <w:sz w:val="30"/>
          <w:szCs w:val="30"/>
          <w:lang w:eastAsia="zh-CN"/>
        </w:rPr>
      </w:pPr>
      <w:r>
        <w:rPr>
          <w:rFonts w:hint="eastAsia" w:ascii="宋体" w:hAnsi="宋体" w:eastAsia="宋体" w:cs="宋体"/>
          <w:b/>
          <w:bCs/>
          <w:color w:val="auto"/>
          <w:sz w:val="30"/>
          <w:szCs w:val="30"/>
        </w:rPr>
        <w:t>项目</w:t>
      </w:r>
      <w:r>
        <w:rPr>
          <w:rFonts w:hint="eastAsia" w:ascii="宋体" w:hAnsi="宋体" w:eastAsia="宋体" w:cs="宋体"/>
          <w:b/>
          <w:bCs/>
          <w:color w:val="auto"/>
          <w:w w:val="95"/>
          <w:sz w:val="30"/>
          <w:szCs w:val="30"/>
        </w:rPr>
        <w:t>名称</w:t>
      </w:r>
      <w:r>
        <w:rPr>
          <w:rFonts w:hint="eastAsia" w:ascii="宋体" w:hAnsi="宋体" w:eastAsia="宋体" w:cs="宋体"/>
          <w:b/>
          <w:bCs/>
          <w:color w:val="auto"/>
          <w:sz w:val="30"/>
          <w:szCs w:val="30"/>
        </w:rPr>
        <w:t>：</w:t>
      </w:r>
      <w:r>
        <w:rPr>
          <w:rFonts w:hint="eastAsia" w:ascii="宋体" w:hAnsi="宋体" w:eastAsia="宋体" w:cs="宋体"/>
          <w:b/>
          <w:bCs/>
          <w:color w:val="auto"/>
          <w:w w:val="95"/>
          <w:sz w:val="30"/>
          <w:szCs w:val="30"/>
          <w:lang w:eastAsia="zh-CN"/>
        </w:rPr>
        <w:t>2024年建筑业企业“走出去”宣传活动</w:t>
      </w:r>
    </w:p>
    <w:p w14:paraId="7DDD8D24">
      <w:pPr>
        <w:pStyle w:val="17"/>
        <w:snapToGrid w:val="0"/>
        <w:spacing w:line="360" w:lineRule="auto"/>
        <w:ind w:left="2355" w:leftChars="576" w:hanging="1145" w:hangingChars="400"/>
        <w:rPr>
          <w:rFonts w:hint="eastAsia" w:ascii="宋体" w:hAnsi="宋体" w:eastAsia="宋体" w:cs="宋体"/>
          <w:b/>
          <w:bCs/>
          <w:color w:val="auto"/>
          <w:w w:val="95"/>
          <w:sz w:val="30"/>
          <w:szCs w:val="30"/>
          <w:lang w:eastAsia="zh-CN"/>
        </w:rPr>
      </w:pPr>
      <w:r>
        <w:rPr>
          <w:rFonts w:hint="eastAsia" w:ascii="宋体" w:hAnsi="宋体" w:eastAsia="宋体" w:cs="宋体"/>
          <w:b/>
          <w:bCs/>
          <w:color w:val="auto"/>
          <w:w w:val="95"/>
          <w:sz w:val="30"/>
          <w:szCs w:val="30"/>
        </w:rPr>
        <w:t>项目</w:t>
      </w:r>
      <w:r>
        <w:rPr>
          <w:rFonts w:hint="eastAsia" w:ascii="宋体" w:hAnsi="宋体" w:eastAsia="宋体" w:cs="宋体"/>
          <w:b/>
          <w:bCs/>
          <w:color w:val="auto"/>
          <w:sz w:val="30"/>
          <w:szCs w:val="30"/>
        </w:rPr>
        <w:t>编号</w:t>
      </w:r>
      <w:r>
        <w:rPr>
          <w:rFonts w:hint="eastAsia" w:ascii="宋体" w:hAnsi="宋体" w:eastAsia="宋体" w:cs="宋体"/>
          <w:b/>
          <w:bCs/>
          <w:color w:val="auto"/>
          <w:w w:val="95"/>
          <w:sz w:val="30"/>
          <w:szCs w:val="30"/>
        </w:rPr>
        <w:t>：</w:t>
      </w:r>
      <w:r>
        <w:rPr>
          <w:rFonts w:hint="eastAsia" w:hAnsi="宋体" w:cs="宋体"/>
          <w:b/>
          <w:bCs/>
          <w:color w:val="auto"/>
          <w:w w:val="95"/>
          <w:sz w:val="30"/>
          <w:szCs w:val="30"/>
          <w:lang w:eastAsia="zh-CN"/>
        </w:rPr>
        <w:t>GXZC2024-C3-005427-NNDF</w:t>
      </w:r>
    </w:p>
    <w:p w14:paraId="75DB4BF5">
      <w:pPr>
        <w:pStyle w:val="17"/>
        <w:snapToGrid w:val="0"/>
        <w:spacing w:line="360" w:lineRule="auto"/>
        <w:ind w:left="2355" w:leftChars="576" w:hanging="1145" w:hangingChars="400"/>
        <w:rPr>
          <w:rFonts w:hint="eastAsia" w:ascii="宋体" w:hAnsi="宋体" w:eastAsia="宋体" w:cs="宋体"/>
          <w:b/>
          <w:bCs/>
          <w:color w:val="auto"/>
          <w:w w:val="95"/>
          <w:sz w:val="30"/>
          <w:szCs w:val="30"/>
          <w:lang w:eastAsia="zh-CN"/>
        </w:rPr>
      </w:pPr>
      <w:r>
        <w:rPr>
          <w:rFonts w:hint="eastAsia" w:ascii="宋体" w:hAnsi="宋体" w:eastAsia="宋体" w:cs="宋体"/>
          <w:b/>
          <w:bCs/>
          <w:color w:val="auto"/>
          <w:w w:val="95"/>
          <w:sz w:val="30"/>
          <w:szCs w:val="30"/>
        </w:rPr>
        <w:t>采 购 人：</w:t>
      </w:r>
      <w:r>
        <w:rPr>
          <w:rFonts w:hint="eastAsia" w:ascii="宋体" w:hAnsi="宋体" w:eastAsia="宋体" w:cs="宋体"/>
          <w:b/>
          <w:bCs/>
          <w:color w:val="auto"/>
          <w:w w:val="95"/>
          <w:sz w:val="30"/>
          <w:szCs w:val="30"/>
          <w:lang w:eastAsia="zh-CN"/>
        </w:rPr>
        <w:t>广西壮族自治区住房和城乡建设厅</w:t>
      </w:r>
    </w:p>
    <w:p w14:paraId="05A132E7">
      <w:pPr>
        <w:pStyle w:val="17"/>
        <w:snapToGrid w:val="0"/>
        <w:spacing w:line="360" w:lineRule="auto"/>
        <w:ind w:left="2355" w:leftChars="576" w:hanging="1145" w:hangingChars="400"/>
        <w:rPr>
          <w:rFonts w:hint="eastAsia" w:ascii="宋体" w:hAnsi="宋体" w:eastAsia="宋体" w:cs="宋体"/>
          <w:b/>
          <w:bCs/>
          <w:color w:val="auto"/>
          <w:w w:val="95"/>
          <w:sz w:val="30"/>
          <w:szCs w:val="30"/>
          <w:lang w:eastAsia="zh-CN"/>
        </w:rPr>
      </w:pPr>
      <w:r>
        <w:rPr>
          <w:rFonts w:hint="eastAsia" w:ascii="宋体" w:hAnsi="宋体" w:eastAsia="宋体" w:cs="宋体"/>
          <w:b/>
          <w:bCs/>
          <w:color w:val="auto"/>
          <w:w w:val="95"/>
          <w:sz w:val="30"/>
          <w:szCs w:val="30"/>
        </w:rPr>
        <w:t>采购代理机构：</w:t>
      </w:r>
      <w:r>
        <w:rPr>
          <w:rFonts w:hint="eastAsia" w:ascii="宋体" w:hAnsi="宋体" w:eastAsia="宋体" w:cs="宋体"/>
          <w:b/>
          <w:bCs/>
          <w:color w:val="auto"/>
          <w:w w:val="95"/>
          <w:sz w:val="30"/>
          <w:szCs w:val="30"/>
          <w:lang w:eastAsia="zh-CN"/>
        </w:rPr>
        <w:t>南宁斗方工程咨询有限公司</w:t>
      </w:r>
    </w:p>
    <w:p w14:paraId="0540BEC7">
      <w:pPr>
        <w:pStyle w:val="17"/>
        <w:snapToGrid w:val="0"/>
        <w:spacing w:line="360" w:lineRule="auto"/>
        <w:ind w:firstLine="1125" w:firstLineChars="393"/>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w:t>
      </w:r>
      <w:r>
        <w:rPr>
          <w:rFonts w:ascii="仿宋_GB2312" w:hAnsi="宋体" w:eastAsia="仿宋_GB2312"/>
          <w:b/>
          <w:bCs/>
          <w:color w:val="auto"/>
          <w:w w:val="95"/>
          <w:sz w:val="30"/>
          <w:szCs w:val="30"/>
        </w:rPr>
        <w:t xml:space="preserve">           </w:t>
      </w:r>
    </w:p>
    <w:p w14:paraId="4AA13449">
      <w:pPr>
        <w:pStyle w:val="17"/>
        <w:snapToGrid w:val="0"/>
        <w:spacing w:line="360" w:lineRule="auto"/>
        <w:ind w:firstLine="1125" w:firstLineChars="393"/>
        <w:rPr>
          <w:rFonts w:ascii="仿宋_GB2312" w:hAnsi="宋体" w:eastAsia="仿宋_GB2312"/>
          <w:b/>
          <w:bCs/>
          <w:color w:val="auto"/>
          <w:w w:val="95"/>
          <w:sz w:val="30"/>
          <w:szCs w:val="30"/>
        </w:rPr>
      </w:pPr>
    </w:p>
    <w:p w14:paraId="6E5DC87D">
      <w:pPr>
        <w:pStyle w:val="17"/>
        <w:snapToGrid w:val="0"/>
        <w:spacing w:line="360" w:lineRule="auto"/>
        <w:ind w:firstLine="1125" w:firstLineChars="393"/>
        <w:rPr>
          <w:rFonts w:ascii="仿宋_GB2312" w:hAnsi="宋体" w:eastAsia="仿宋_GB2312"/>
          <w:b/>
          <w:bCs/>
          <w:color w:val="auto"/>
          <w:w w:val="95"/>
          <w:sz w:val="30"/>
          <w:szCs w:val="30"/>
        </w:rPr>
      </w:pPr>
    </w:p>
    <w:p w14:paraId="08028CE6">
      <w:pPr>
        <w:pStyle w:val="17"/>
        <w:snapToGrid w:val="0"/>
        <w:spacing w:line="360" w:lineRule="auto"/>
        <w:ind w:firstLine="1125" w:firstLineChars="393"/>
        <w:rPr>
          <w:rFonts w:ascii="仿宋_GB2312" w:hAnsi="宋体" w:eastAsia="仿宋_GB2312"/>
          <w:b/>
          <w:bCs/>
          <w:color w:val="auto"/>
          <w:w w:val="95"/>
          <w:sz w:val="30"/>
          <w:szCs w:val="30"/>
        </w:rPr>
      </w:pPr>
    </w:p>
    <w:p w14:paraId="4DBECE7E">
      <w:pPr>
        <w:pStyle w:val="17"/>
        <w:snapToGrid w:val="0"/>
        <w:spacing w:line="360" w:lineRule="auto"/>
        <w:jc w:val="center"/>
        <w:rPr>
          <w:rFonts w:hint="eastAsia" w:ascii="宋体" w:hAnsi="宋体" w:eastAsia="宋体" w:cs="宋体"/>
          <w:color w:val="auto"/>
          <w:szCs w:val="20"/>
        </w:rPr>
      </w:pPr>
      <w:r>
        <w:rPr>
          <w:rFonts w:hint="eastAsia" w:ascii="宋体" w:hAnsi="宋体" w:eastAsia="宋体" w:cs="宋体"/>
          <w:b/>
          <w:bCs/>
          <w:color w:val="auto"/>
          <w:w w:val="95"/>
          <w:sz w:val="30"/>
          <w:szCs w:val="30"/>
        </w:rPr>
        <w:t>2024年</w:t>
      </w:r>
      <w:r>
        <w:rPr>
          <w:rFonts w:hint="eastAsia" w:hAnsi="宋体" w:cs="宋体"/>
          <w:b/>
          <w:bCs/>
          <w:color w:val="auto"/>
          <w:w w:val="95"/>
          <w:sz w:val="30"/>
          <w:szCs w:val="30"/>
          <w:lang w:val="en-US" w:eastAsia="zh-CN"/>
        </w:rPr>
        <w:t>9</w:t>
      </w:r>
      <w:r>
        <w:rPr>
          <w:rFonts w:hint="eastAsia" w:ascii="宋体" w:hAnsi="宋体" w:eastAsia="宋体" w:cs="宋体"/>
          <w:b/>
          <w:bCs/>
          <w:color w:val="auto"/>
          <w:w w:val="95"/>
          <w:sz w:val="30"/>
          <w:szCs w:val="30"/>
        </w:rPr>
        <w:t>月</w:t>
      </w:r>
    </w:p>
    <w:p w14:paraId="56AE8124">
      <w:pPr>
        <w:spacing w:line="360" w:lineRule="auto"/>
        <w:jc w:val="center"/>
        <w:rPr>
          <w:rFonts w:ascii="宋体" w:hAnsi="宋体"/>
          <w:b/>
          <w:color w:val="auto"/>
          <w:sz w:val="44"/>
          <w:szCs w:val="44"/>
        </w:rPr>
      </w:pPr>
      <w:r>
        <w:rPr>
          <w:rFonts w:ascii="黑体" w:hAnsi="黑体" w:eastAsia="黑体" w:cs="宋体"/>
          <w:b/>
          <w:bCs/>
          <w:color w:val="auto"/>
          <w:kern w:val="0"/>
          <w:sz w:val="32"/>
          <w:szCs w:val="32"/>
        </w:rPr>
        <w:br w:type="page"/>
      </w:r>
    </w:p>
    <w:p w14:paraId="31A13A00">
      <w:pPr>
        <w:spacing w:line="360" w:lineRule="auto"/>
        <w:jc w:val="center"/>
        <w:rPr>
          <w:rFonts w:ascii="宋体" w:hAnsi="宋体"/>
          <w:b/>
          <w:color w:val="auto"/>
          <w:sz w:val="44"/>
          <w:szCs w:val="44"/>
        </w:rPr>
      </w:pPr>
      <w:r>
        <w:rPr>
          <w:rFonts w:hint="eastAsia" w:ascii="宋体" w:hAnsi="宋体"/>
          <w:b/>
          <w:color w:val="auto"/>
          <w:sz w:val="44"/>
          <w:szCs w:val="44"/>
        </w:rPr>
        <w:t>目  录</w:t>
      </w:r>
    </w:p>
    <w:p w14:paraId="152DF369">
      <w:pPr>
        <w:spacing w:line="400" w:lineRule="exact"/>
        <w:jc w:val="center"/>
        <w:rPr>
          <w:rFonts w:ascii="宋体" w:hAnsi="宋体"/>
          <w:b/>
          <w:color w:val="auto"/>
          <w:sz w:val="44"/>
          <w:szCs w:val="44"/>
        </w:rPr>
      </w:pPr>
    </w:p>
    <w:p w14:paraId="3C971A34">
      <w:pPr>
        <w:pStyle w:val="46"/>
        <w:tabs>
          <w:tab w:val="right" w:leader="dot" w:pos="8869"/>
        </w:tabs>
        <w:snapToGrid w:val="0"/>
        <w:spacing w:line="480" w:lineRule="auto"/>
        <w:rPr>
          <w:rFonts w:ascii="宋体" w:hAnsi="宋体"/>
          <w:b/>
          <w:color w:val="auto"/>
          <w:sz w:val="24"/>
        </w:rPr>
      </w:pPr>
      <w:r>
        <w:rPr>
          <w:rFonts w:ascii="宋体" w:hAnsi="宋体"/>
          <w:b/>
          <w:color w:val="auto"/>
          <w:sz w:val="24"/>
        </w:rPr>
        <w:fldChar w:fldCharType="begin"/>
      </w:r>
      <w:r>
        <w:rPr>
          <w:rFonts w:ascii="宋体" w:hAnsi="宋体"/>
          <w:b/>
          <w:color w:val="auto"/>
          <w:sz w:val="24"/>
        </w:rPr>
        <w:instrText xml:space="preserve"> </w:instrText>
      </w:r>
      <w:r>
        <w:rPr>
          <w:rFonts w:hint="eastAsia" w:ascii="宋体" w:hAnsi="宋体"/>
          <w:b/>
          <w:color w:val="auto"/>
          <w:sz w:val="24"/>
        </w:rPr>
        <w:instrText xml:space="preserve">TOC \o "1-3" \h \z \u</w:instrText>
      </w:r>
      <w:r>
        <w:rPr>
          <w:rFonts w:ascii="宋体" w:hAnsi="宋体"/>
          <w:b/>
          <w:color w:val="auto"/>
          <w:sz w:val="24"/>
        </w:rPr>
        <w:instrText xml:space="preserve"> </w:instrText>
      </w:r>
      <w:r>
        <w:rPr>
          <w:rFonts w:ascii="宋体" w:hAnsi="宋体"/>
          <w:b/>
          <w:color w:val="auto"/>
          <w:sz w:val="24"/>
        </w:rPr>
        <w:fldChar w:fldCharType="separate"/>
      </w:r>
      <w:r>
        <w:rPr>
          <w:color w:val="auto"/>
        </w:rPr>
        <w:fldChar w:fldCharType="begin"/>
      </w:r>
      <w:r>
        <w:rPr>
          <w:color w:val="auto"/>
        </w:rPr>
        <w:instrText xml:space="preserve"> HYPERLINK \l "_Toc74323456" </w:instrText>
      </w:r>
      <w:r>
        <w:rPr>
          <w:color w:val="auto"/>
        </w:rPr>
        <w:fldChar w:fldCharType="separate"/>
      </w:r>
      <w:r>
        <w:rPr>
          <w:rStyle w:val="30"/>
          <w:rFonts w:hint="eastAsia" w:ascii="宋体" w:hAnsi="宋体"/>
          <w:b/>
          <w:color w:val="auto"/>
          <w:sz w:val="24"/>
        </w:rPr>
        <w:t>第一章</w:t>
      </w:r>
      <w:r>
        <w:rPr>
          <w:rStyle w:val="30"/>
          <w:rFonts w:ascii="宋体" w:hAnsi="宋体"/>
          <w:b/>
          <w:color w:val="auto"/>
          <w:sz w:val="24"/>
        </w:rPr>
        <w:t xml:space="preserve"> </w:t>
      </w:r>
      <w:r>
        <w:rPr>
          <w:rStyle w:val="30"/>
          <w:rFonts w:hint="eastAsia" w:ascii="宋体" w:hAnsi="宋体"/>
          <w:b/>
          <w:color w:val="auto"/>
          <w:sz w:val="24"/>
        </w:rPr>
        <w:t>竞争性磋商公告</w:t>
      </w:r>
      <w:r>
        <w:rPr>
          <w:rFonts w:ascii="宋体" w:hAns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_Toc74323456 \h </w:instrText>
      </w:r>
      <w:r>
        <w:rPr>
          <w:rFonts w:ascii="宋体" w:hAnsi="宋体"/>
          <w:b/>
          <w:color w:val="auto"/>
          <w:sz w:val="24"/>
        </w:rPr>
        <w:fldChar w:fldCharType="separate"/>
      </w:r>
      <w:r>
        <w:rPr>
          <w:rFonts w:ascii="宋体" w:hAnsi="宋体"/>
          <w:b/>
          <w:color w:val="auto"/>
          <w:sz w:val="24"/>
        </w:rPr>
        <w:t>2</w:t>
      </w:r>
      <w:r>
        <w:rPr>
          <w:rFonts w:ascii="宋体" w:hAnsi="宋体"/>
          <w:b/>
          <w:color w:val="auto"/>
          <w:sz w:val="24"/>
        </w:rPr>
        <w:fldChar w:fldCharType="end"/>
      </w:r>
      <w:r>
        <w:rPr>
          <w:rFonts w:ascii="宋体" w:hAnsi="宋体"/>
          <w:b/>
          <w:color w:val="auto"/>
          <w:sz w:val="24"/>
        </w:rPr>
        <w:fldChar w:fldCharType="end"/>
      </w:r>
    </w:p>
    <w:p w14:paraId="7B94EA30">
      <w:pPr>
        <w:pStyle w:val="46"/>
        <w:tabs>
          <w:tab w:val="right" w:leader="dot" w:pos="8869"/>
        </w:tabs>
        <w:snapToGrid w:val="0"/>
        <w:spacing w:line="480" w:lineRule="auto"/>
        <w:rPr>
          <w:rFonts w:ascii="宋体" w:hAnsi="宋体"/>
          <w:b/>
          <w:color w:val="auto"/>
          <w:sz w:val="24"/>
        </w:rPr>
      </w:pPr>
      <w:r>
        <w:rPr>
          <w:color w:val="auto"/>
        </w:rPr>
        <w:fldChar w:fldCharType="begin"/>
      </w:r>
      <w:r>
        <w:rPr>
          <w:color w:val="auto"/>
        </w:rPr>
        <w:instrText xml:space="preserve"> HYPERLINK \l "_Toc74323457" </w:instrText>
      </w:r>
      <w:r>
        <w:rPr>
          <w:color w:val="auto"/>
        </w:rPr>
        <w:fldChar w:fldCharType="separate"/>
      </w:r>
      <w:r>
        <w:rPr>
          <w:rStyle w:val="30"/>
          <w:rFonts w:hint="eastAsia" w:ascii="宋体" w:hAnsi="宋体"/>
          <w:b/>
          <w:color w:val="auto"/>
          <w:sz w:val="24"/>
        </w:rPr>
        <w:t>第二章</w:t>
      </w:r>
      <w:r>
        <w:rPr>
          <w:rStyle w:val="30"/>
          <w:rFonts w:ascii="宋体" w:hAnsi="宋体"/>
          <w:b/>
          <w:color w:val="auto"/>
          <w:sz w:val="24"/>
        </w:rPr>
        <w:t xml:space="preserve"> </w:t>
      </w:r>
      <w:r>
        <w:rPr>
          <w:rStyle w:val="30"/>
          <w:rFonts w:hint="eastAsia" w:ascii="宋体" w:hAnsi="宋体"/>
          <w:b/>
          <w:color w:val="auto"/>
          <w:sz w:val="24"/>
        </w:rPr>
        <w:t>供应</w:t>
      </w:r>
      <w:bookmarkStart w:id="0" w:name="_Hlt82161237"/>
      <w:r>
        <w:rPr>
          <w:rStyle w:val="30"/>
          <w:rFonts w:hint="eastAsia" w:ascii="宋体" w:hAnsi="宋体"/>
          <w:b/>
          <w:color w:val="auto"/>
          <w:sz w:val="24"/>
        </w:rPr>
        <w:t>商</w:t>
      </w:r>
      <w:bookmarkEnd w:id="0"/>
      <w:bookmarkStart w:id="1" w:name="_Hlt143124372"/>
      <w:r>
        <w:rPr>
          <w:rStyle w:val="30"/>
          <w:rFonts w:hint="eastAsia" w:ascii="宋体" w:hAnsi="宋体"/>
          <w:b/>
          <w:color w:val="auto"/>
          <w:sz w:val="24"/>
        </w:rPr>
        <w:t>须</w:t>
      </w:r>
      <w:bookmarkEnd w:id="1"/>
      <w:bookmarkStart w:id="2" w:name="_Hlt114405515"/>
      <w:bookmarkStart w:id="3" w:name="_Hlt114405516"/>
      <w:r>
        <w:rPr>
          <w:rStyle w:val="30"/>
          <w:rFonts w:hint="eastAsia" w:ascii="宋体" w:hAnsi="宋体"/>
          <w:b/>
          <w:color w:val="auto"/>
          <w:sz w:val="24"/>
        </w:rPr>
        <w:t>知</w:t>
      </w:r>
      <w:bookmarkEnd w:id="2"/>
      <w:bookmarkEnd w:id="3"/>
      <w:r>
        <w:rPr>
          <w:rFonts w:ascii="宋体" w:hAns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_Toc74323457 \h </w:instrText>
      </w:r>
      <w:r>
        <w:rPr>
          <w:rFonts w:ascii="宋体" w:hAnsi="宋体"/>
          <w:b/>
          <w:color w:val="auto"/>
          <w:sz w:val="24"/>
        </w:rPr>
        <w:fldChar w:fldCharType="separate"/>
      </w:r>
      <w:r>
        <w:rPr>
          <w:rFonts w:ascii="宋体" w:hAnsi="宋体"/>
          <w:b/>
          <w:color w:val="auto"/>
          <w:sz w:val="24"/>
        </w:rPr>
        <w:t>6</w:t>
      </w:r>
      <w:r>
        <w:rPr>
          <w:rFonts w:ascii="宋体" w:hAnsi="宋体"/>
          <w:b/>
          <w:color w:val="auto"/>
          <w:sz w:val="24"/>
        </w:rPr>
        <w:fldChar w:fldCharType="end"/>
      </w:r>
      <w:r>
        <w:rPr>
          <w:rFonts w:ascii="宋体" w:hAnsi="宋体"/>
          <w:b/>
          <w:color w:val="auto"/>
          <w:sz w:val="24"/>
        </w:rPr>
        <w:fldChar w:fldCharType="end"/>
      </w:r>
    </w:p>
    <w:p w14:paraId="4A34C939">
      <w:pPr>
        <w:pStyle w:val="46"/>
        <w:tabs>
          <w:tab w:val="right" w:leader="dot" w:pos="8869"/>
        </w:tabs>
        <w:snapToGrid w:val="0"/>
        <w:spacing w:line="480" w:lineRule="auto"/>
        <w:rPr>
          <w:rFonts w:ascii="宋体" w:hAnsi="宋体"/>
          <w:b/>
          <w:color w:val="auto"/>
          <w:sz w:val="24"/>
        </w:rPr>
      </w:pPr>
      <w:r>
        <w:rPr>
          <w:color w:val="auto"/>
        </w:rPr>
        <w:fldChar w:fldCharType="begin"/>
      </w:r>
      <w:r>
        <w:rPr>
          <w:color w:val="auto"/>
        </w:rPr>
        <w:instrText xml:space="preserve"> HYPERLINK \l "_Toc74323458" </w:instrText>
      </w:r>
      <w:r>
        <w:rPr>
          <w:color w:val="auto"/>
        </w:rPr>
        <w:fldChar w:fldCharType="separate"/>
      </w:r>
      <w:r>
        <w:rPr>
          <w:rStyle w:val="30"/>
          <w:rFonts w:hint="eastAsia" w:ascii="宋体" w:hAnsi="宋体"/>
          <w:b/>
          <w:color w:val="auto"/>
          <w:sz w:val="24"/>
        </w:rPr>
        <w:t>第三章</w:t>
      </w:r>
      <w:r>
        <w:rPr>
          <w:rStyle w:val="30"/>
          <w:rFonts w:ascii="宋体" w:hAnsi="宋体"/>
          <w:b/>
          <w:color w:val="auto"/>
          <w:sz w:val="24"/>
        </w:rPr>
        <w:t xml:space="preserve"> </w:t>
      </w:r>
      <w:bookmarkStart w:id="4" w:name="_Hlt119261454"/>
      <w:bookmarkStart w:id="5" w:name="_Hlt119261453"/>
      <w:r>
        <w:rPr>
          <w:rStyle w:val="30"/>
          <w:rFonts w:hint="eastAsia" w:ascii="宋体" w:hAnsi="宋体"/>
          <w:b/>
          <w:color w:val="auto"/>
          <w:sz w:val="24"/>
        </w:rPr>
        <w:t>采</w:t>
      </w:r>
      <w:bookmarkEnd w:id="4"/>
      <w:bookmarkEnd w:id="5"/>
      <w:bookmarkStart w:id="6" w:name="_Hlt97025849"/>
      <w:bookmarkStart w:id="7" w:name="_Hlt97025850"/>
      <w:r>
        <w:rPr>
          <w:rStyle w:val="30"/>
          <w:rFonts w:hint="eastAsia" w:ascii="宋体" w:hAnsi="宋体"/>
          <w:b/>
          <w:color w:val="auto"/>
          <w:sz w:val="24"/>
        </w:rPr>
        <w:t>购</w:t>
      </w:r>
      <w:bookmarkEnd w:id="6"/>
      <w:bookmarkEnd w:id="7"/>
      <w:bookmarkStart w:id="8" w:name="_Hlt103239010"/>
      <w:r>
        <w:rPr>
          <w:rStyle w:val="30"/>
          <w:rFonts w:hint="eastAsia" w:ascii="宋体" w:hAnsi="宋体"/>
          <w:b/>
          <w:color w:val="auto"/>
          <w:sz w:val="24"/>
        </w:rPr>
        <w:t>需</w:t>
      </w:r>
      <w:bookmarkEnd w:id="8"/>
      <w:bookmarkStart w:id="9" w:name="_Hlt82166940"/>
      <w:r>
        <w:rPr>
          <w:rStyle w:val="30"/>
          <w:rFonts w:hint="eastAsia" w:ascii="宋体" w:hAnsi="宋体"/>
          <w:b/>
          <w:color w:val="auto"/>
          <w:sz w:val="24"/>
        </w:rPr>
        <w:t>求</w:t>
      </w:r>
      <w:bookmarkEnd w:id="9"/>
      <w:r>
        <w:rPr>
          <w:rFonts w:ascii="宋体" w:hAns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_Toc74323458 \h </w:instrText>
      </w:r>
      <w:r>
        <w:rPr>
          <w:rFonts w:ascii="宋体" w:hAnsi="宋体"/>
          <w:b/>
          <w:color w:val="auto"/>
          <w:sz w:val="24"/>
        </w:rPr>
        <w:fldChar w:fldCharType="separate"/>
      </w:r>
      <w:r>
        <w:rPr>
          <w:rFonts w:ascii="宋体" w:hAnsi="宋体"/>
          <w:b/>
          <w:color w:val="auto"/>
          <w:sz w:val="24"/>
        </w:rPr>
        <w:t>27</w:t>
      </w:r>
      <w:r>
        <w:rPr>
          <w:rFonts w:ascii="宋体" w:hAnsi="宋体"/>
          <w:b/>
          <w:color w:val="auto"/>
          <w:sz w:val="24"/>
        </w:rPr>
        <w:fldChar w:fldCharType="end"/>
      </w:r>
      <w:r>
        <w:rPr>
          <w:rFonts w:ascii="宋体" w:hAnsi="宋体"/>
          <w:b/>
          <w:color w:val="auto"/>
          <w:sz w:val="24"/>
        </w:rPr>
        <w:fldChar w:fldCharType="end"/>
      </w:r>
    </w:p>
    <w:p w14:paraId="5D293089">
      <w:pPr>
        <w:pStyle w:val="46"/>
        <w:tabs>
          <w:tab w:val="right" w:leader="dot" w:pos="8869"/>
        </w:tabs>
        <w:snapToGrid w:val="0"/>
        <w:spacing w:line="480" w:lineRule="auto"/>
        <w:rPr>
          <w:rFonts w:ascii="宋体" w:hAnsi="宋体"/>
          <w:b/>
          <w:color w:val="auto"/>
          <w:sz w:val="24"/>
        </w:rPr>
      </w:pPr>
      <w:r>
        <w:rPr>
          <w:color w:val="auto"/>
        </w:rPr>
        <w:fldChar w:fldCharType="begin"/>
      </w:r>
      <w:r>
        <w:rPr>
          <w:color w:val="auto"/>
        </w:rPr>
        <w:instrText xml:space="preserve"> HYPERLINK \l "_Toc74323459" </w:instrText>
      </w:r>
      <w:r>
        <w:rPr>
          <w:color w:val="auto"/>
        </w:rPr>
        <w:fldChar w:fldCharType="separate"/>
      </w:r>
      <w:r>
        <w:rPr>
          <w:rStyle w:val="30"/>
          <w:rFonts w:hint="eastAsia" w:ascii="宋体" w:hAnsi="宋体"/>
          <w:b/>
          <w:color w:val="auto"/>
          <w:sz w:val="24"/>
        </w:rPr>
        <w:t>第四章</w:t>
      </w:r>
      <w:r>
        <w:rPr>
          <w:rStyle w:val="30"/>
          <w:rFonts w:ascii="宋体" w:hAnsi="宋体"/>
          <w:b/>
          <w:color w:val="auto"/>
          <w:sz w:val="24"/>
        </w:rPr>
        <w:t xml:space="preserve"> </w:t>
      </w:r>
      <w:r>
        <w:rPr>
          <w:rStyle w:val="30"/>
          <w:rFonts w:hint="eastAsia" w:ascii="宋体" w:hAnsi="宋体"/>
          <w:b/>
          <w:color w:val="auto"/>
          <w:sz w:val="24"/>
        </w:rPr>
        <w:t>评审程序、</w:t>
      </w:r>
      <w:bookmarkStart w:id="10" w:name="_Hlt82166000"/>
      <w:r>
        <w:rPr>
          <w:rStyle w:val="30"/>
          <w:rFonts w:hint="eastAsia" w:ascii="宋体" w:hAnsi="宋体"/>
          <w:b/>
          <w:color w:val="auto"/>
          <w:sz w:val="24"/>
        </w:rPr>
        <w:t>评</w:t>
      </w:r>
      <w:bookmarkEnd w:id="10"/>
      <w:r>
        <w:rPr>
          <w:rStyle w:val="30"/>
          <w:rFonts w:hint="eastAsia" w:ascii="宋体" w:hAnsi="宋体"/>
          <w:b/>
          <w:color w:val="auto"/>
          <w:sz w:val="24"/>
        </w:rPr>
        <w:t>审</w:t>
      </w:r>
      <w:bookmarkStart w:id="11" w:name="_Hlt101367024"/>
      <w:r>
        <w:rPr>
          <w:rStyle w:val="30"/>
          <w:rFonts w:hint="eastAsia" w:ascii="宋体" w:hAnsi="宋体"/>
          <w:b/>
          <w:color w:val="auto"/>
          <w:sz w:val="24"/>
        </w:rPr>
        <w:t>方</w:t>
      </w:r>
      <w:bookmarkEnd w:id="11"/>
      <w:r>
        <w:rPr>
          <w:rStyle w:val="30"/>
          <w:rFonts w:hint="eastAsia" w:ascii="宋体" w:hAnsi="宋体"/>
          <w:b/>
          <w:color w:val="auto"/>
          <w:sz w:val="24"/>
        </w:rPr>
        <w:t>法和评审</w:t>
      </w:r>
      <w:bookmarkStart w:id="12" w:name="_Hlt119263244"/>
      <w:r>
        <w:rPr>
          <w:rStyle w:val="30"/>
          <w:rFonts w:hint="eastAsia" w:ascii="宋体" w:hAnsi="宋体"/>
          <w:b/>
          <w:color w:val="auto"/>
          <w:sz w:val="24"/>
        </w:rPr>
        <w:t>标</w:t>
      </w:r>
      <w:bookmarkEnd w:id="12"/>
      <w:r>
        <w:rPr>
          <w:rStyle w:val="30"/>
          <w:rFonts w:hint="eastAsia" w:ascii="宋体" w:hAnsi="宋体"/>
          <w:b/>
          <w:color w:val="auto"/>
          <w:sz w:val="24"/>
        </w:rPr>
        <w:t>准</w:t>
      </w:r>
      <w:r>
        <w:rPr>
          <w:rFonts w:ascii="宋体" w:hAns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_Toc74323459 \h </w:instrText>
      </w:r>
      <w:r>
        <w:rPr>
          <w:rFonts w:ascii="宋体" w:hAnsi="宋体"/>
          <w:b/>
          <w:color w:val="auto"/>
          <w:sz w:val="24"/>
        </w:rPr>
        <w:fldChar w:fldCharType="separate"/>
      </w:r>
      <w:r>
        <w:rPr>
          <w:rFonts w:ascii="宋体" w:hAnsi="宋体"/>
          <w:b/>
          <w:color w:val="auto"/>
          <w:sz w:val="24"/>
        </w:rPr>
        <w:t>40</w:t>
      </w:r>
      <w:r>
        <w:rPr>
          <w:rFonts w:ascii="宋体" w:hAnsi="宋体"/>
          <w:b/>
          <w:color w:val="auto"/>
          <w:sz w:val="24"/>
        </w:rPr>
        <w:fldChar w:fldCharType="end"/>
      </w:r>
      <w:r>
        <w:rPr>
          <w:rFonts w:ascii="宋体" w:hAnsi="宋体"/>
          <w:b/>
          <w:color w:val="auto"/>
          <w:sz w:val="24"/>
        </w:rPr>
        <w:fldChar w:fldCharType="end"/>
      </w:r>
    </w:p>
    <w:p w14:paraId="78AC6912">
      <w:pPr>
        <w:pStyle w:val="46"/>
        <w:tabs>
          <w:tab w:val="right" w:leader="dot" w:pos="8869"/>
        </w:tabs>
        <w:snapToGrid w:val="0"/>
        <w:spacing w:line="480" w:lineRule="auto"/>
        <w:rPr>
          <w:rFonts w:ascii="宋体" w:hAnsi="宋体"/>
          <w:b/>
          <w:color w:val="auto"/>
          <w:sz w:val="24"/>
        </w:rPr>
      </w:pPr>
      <w:r>
        <w:rPr>
          <w:color w:val="auto"/>
        </w:rPr>
        <w:fldChar w:fldCharType="begin"/>
      </w:r>
      <w:r>
        <w:rPr>
          <w:color w:val="auto"/>
        </w:rPr>
        <w:instrText xml:space="preserve"> HYPERLINK \l "_Toc74323460" </w:instrText>
      </w:r>
      <w:r>
        <w:rPr>
          <w:color w:val="auto"/>
        </w:rPr>
        <w:fldChar w:fldCharType="separate"/>
      </w:r>
      <w:r>
        <w:rPr>
          <w:rStyle w:val="30"/>
          <w:rFonts w:hint="eastAsia" w:ascii="宋体" w:hAnsi="宋体"/>
          <w:b/>
          <w:color w:val="auto"/>
          <w:sz w:val="24"/>
        </w:rPr>
        <w:t>第五章</w:t>
      </w:r>
      <w:r>
        <w:rPr>
          <w:rStyle w:val="30"/>
          <w:rFonts w:ascii="宋体" w:hAnsi="宋体"/>
          <w:b/>
          <w:color w:val="auto"/>
          <w:sz w:val="24"/>
        </w:rPr>
        <w:t xml:space="preserve"> </w:t>
      </w:r>
      <w:r>
        <w:rPr>
          <w:rStyle w:val="30"/>
          <w:rFonts w:hint="eastAsia" w:ascii="宋体" w:hAnsi="宋体"/>
          <w:b/>
          <w:color w:val="auto"/>
          <w:sz w:val="24"/>
        </w:rPr>
        <w:t>响应</w:t>
      </w:r>
      <w:bookmarkStart w:id="13" w:name="_Hlt134602217"/>
      <w:r>
        <w:rPr>
          <w:rStyle w:val="30"/>
          <w:rFonts w:hint="eastAsia" w:ascii="宋体" w:hAnsi="宋体"/>
          <w:b/>
          <w:color w:val="auto"/>
          <w:sz w:val="24"/>
        </w:rPr>
        <w:t>文</w:t>
      </w:r>
      <w:bookmarkEnd w:id="13"/>
      <w:r>
        <w:rPr>
          <w:rStyle w:val="30"/>
          <w:rFonts w:hint="eastAsia" w:ascii="宋体" w:hAnsi="宋体"/>
          <w:b/>
          <w:color w:val="auto"/>
          <w:sz w:val="24"/>
        </w:rPr>
        <w:t>件格式</w:t>
      </w:r>
      <w:r>
        <w:rPr>
          <w:rFonts w:ascii="宋体" w:hAns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_Toc74323460 \h </w:instrText>
      </w:r>
      <w:r>
        <w:rPr>
          <w:rFonts w:ascii="宋体" w:hAnsi="宋体"/>
          <w:b/>
          <w:color w:val="auto"/>
          <w:sz w:val="24"/>
        </w:rPr>
        <w:fldChar w:fldCharType="separate"/>
      </w:r>
      <w:r>
        <w:rPr>
          <w:rFonts w:ascii="宋体" w:hAnsi="宋体"/>
          <w:b/>
          <w:color w:val="auto"/>
          <w:sz w:val="24"/>
        </w:rPr>
        <w:t>48</w:t>
      </w:r>
      <w:r>
        <w:rPr>
          <w:rFonts w:ascii="宋体" w:hAnsi="宋体"/>
          <w:b/>
          <w:color w:val="auto"/>
          <w:sz w:val="24"/>
        </w:rPr>
        <w:fldChar w:fldCharType="end"/>
      </w:r>
      <w:r>
        <w:rPr>
          <w:rFonts w:ascii="宋体" w:hAnsi="宋体"/>
          <w:b/>
          <w:color w:val="auto"/>
          <w:sz w:val="24"/>
        </w:rPr>
        <w:fldChar w:fldCharType="end"/>
      </w:r>
    </w:p>
    <w:p w14:paraId="3A0DD996">
      <w:pPr>
        <w:pStyle w:val="46"/>
        <w:tabs>
          <w:tab w:val="right" w:leader="dot" w:pos="8869"/>
        </w:tabs>
        <w:snapToGrid w:val="0"/>
        <w:spacing w:line="480" w:lineRule="auto"/>
        <w:rPr>
          <w:rFonts w:ascii="宋体" w:hAnsi="宋体"/>
          <w:color w:val="auto"/>
          <w:sz w:val="24"/>
        </w:rPr>
      </w:pPr>
      <w:r>
        <w:rPr>
          <w:color w:val="auto"/>
        </w:rPr>
        <w:fldChar w:fldCharType="begin"/>
      </w:r>
      <w:r>
        <w:rPr>
          <w:color w:val="auto"/>
        </w:rPr>
        <w:instrText xml:space="preserve"> HYPERLINK \l "_Toc74323461" </w:instrText>
      </w:r>
      <w:r>
        <w:rPr>
          <w:color w:val="auto"/>
        </w:rPr>
        <w:fldChar w:fldCharType="separate"/>
      </w:r>
      <w:r>
        <w:rPr>
          <w:rStyle w:val="30"/>
          <w:rFonts w:hint="eastAsia" w:ascii="宋体" w:hAnsi="宋体"/>
          <w:b/>
          <w:color w:val="auto"/>
          <w:sz w:val="24"/>
        </w:rPr>
        <w:t>第六章</w:t>
      </w:r>
      <w:r>
        <w:rPr>
          <w:rStyle w:val="30"/>
          <w:rFonts w:ascii="宋体" w:hAnsi="宋体"/>
          <w:b/>
          <w:color w:val="auto"/>
          <w:sz w:val="24"/>
        </w:rPr>
        <w:t xml:space="preserve"> </w:t>
      </w:r>
      <w:r>
        <w:rPr>
          <w:rStyle w:val="30"/>
          <w:rFonts w:hint="eastAsia" w:ascii="宋体" w:hAnsi="宋体"/>
          <w:b/>
          <w:color w:val="auto"/>
          <w:sz w:val="24"/>
        </w:rPr>
        <w:t>合同</w:t>
      </w:r>
      <w:bookmarkStart w:id="14" w:name="_Hlt129105030"/>
      <w:bookmarkStart w:id="15" w:name="_Hlt129105029"/>
      <w:r>
        <w:rPr>
          <w:rStyle w:val="30"/>
          <w:rFonts w:hint="eastAsia" w:ascii="宋体" w:hAnsi="宋体"/>
          <w:b/>
          <w:color w:val="auto"/>
          <w:sz w:val="24"/>
        </w:rPr>
        <w:t>文</w:t>
      </w:r>
      <w:bookmarkEnd w:id="14"/>
      <w:bookmarkEnd w:id="15"/>
      <w:bookmarkStart w:id="16" w:name="_Hlt95238864"/>
      <w:bookmarkStart w:id="17" w:name="_Hlt102839995"/>
      <w:bookmarkStart w:id="18" w:name="_Hlt102839996"/>
      <w:r>
        <w:rPr>
          <w:rStyle w:val="30"/>
          <w:rFonts w:hint="eastAsia" w:ascii="宋体" w:hAnsi="宋体"/>
          <w:b/>
          <w:color w:val="auto"/>
          <w:sz w:val="24"/>
        </w:rPr>
        <w:t>本</w:t>
      </w:r>
      <w:bookmarkEnd w:id="16"/>
      <w:bookmarkEnd w:id="17"/>
      <w:bookmarkEnd w:id="18"/>
      <w:r>
        <w:rPr>
          <w:rFonts w:ascii="宋体" w:hAnsi="宋体"/>
          <w:b/>
          <w:color w:val="auto"/>
          <w:sz w:val="24"/>
        </w:rPr>
        <w:tab/>
      </w:r>
      <w:r>
        <w:rPr>
          <w:rFonts w:ascii="宋体" w:hAnsi="宋体"/>
          <w:b/>
          <w:color w:val="auto"/>
          <w:sz w:val="24"/>
        </w:rPr>
        <w:fldChar w:fldCharType="begin"/>
      </w:r>
      <w:r>
        <w:rPr>
          <w:rFonts w:ascii="宋体" w:hAnsi="宋体"/>
          <w:b/>
          <w:color w:val="auto"/>
          <w:sz w:val="24"/>
        </w:rPr>
        <w:instrText xml:space="preserve"> PAGEREF _Toc74323461 \h </w:instrText>
      </w:r>
      <w:r>
        <w:rPr>
          <w:rFonts w:ascii="宋体" w:hAnsi="宋体"/>
          <w:b/>
          <w:color w:val="auto"/>
          <w:sz w:val="24"/>
        </w:rPr>
        <w:fldChar w:fldCharType="separate"/>
      </w:r>
      <w:r>
        <w:rPr>
          <w:rFonts w:ascii="宋体" w:hAnsi="宋体"/>
          <w:b/>
          <w:color w:val="auto"/>
          <w:sz w:val="24"/>
        </w:rPr>
        <w:t>73</w:t>
      </w:r>
      <w:r>
        <w:rPr>
          <w:rFonts w:ascii="宋体" w:hAnsi="宋体"/>
          <w:b/>
          <w:color w:val="auto"/>
          <w:sz w:val="24"/>
        </w:rPr>
        <w:fldChar w:fldCharType="end"/>
      </w:r>
      <w:r>
        <w:rPr>
          <w:rFonts w:ascii="宋体" w:hAnsi="宋体"/>
          <w:b/>
          <w:color w:val="auto"/>
          <w:sz w:val="24"/>
        </w:rPr>
        <w:fldChar w:fldCharType="end"/>
      </w:r>
    </w:p>
    <w:p w14:paraId="62751BD0">
      <w:pPr>
        <w:pStyle w:val="47"/>
        <w:tabs>
          <w:tab w:val="right" w:leader="dot" w:pos="8931"/>
          <w:tab w:val="clear" w:pos="8296"/>
        </w:tabs>
        <w:snapToGrid w:val="0"/>
        <w:spacing w:line="480" w:lineRule="auto"/>
        <w:ind w:left="0" w:leftChars="0"/>
        <w:rPr>
          <w:rFonts w:ascii="宋体" w:hAnsi="宋体"/>
          <w:b/>
          <w:color w:val="auto"/>
          <w:sz w:val="24"/>
        </w:rPr>
      </w:pPr>
      <w:r>
        <w:rPr>
          <w:rFonts w:ascii="宋体" w:hAnsi="宋体"/>
          <w:b/>
          <w:color w:val="auto"/>
          <w:sz w:val="24"/>
        </w:rPr>
        <w:fldChar w:fldCharType="end"/>
      </w:r>
    </w:p>
    <w:p w14:paraId="64EC2277">
      <w:pPr>
        <w:spacing w:line="400" w:lineRule="exact"/>
        <w:jc w:val="left"/>
        <w:rPr>
          <w:rFonts w:ascii="宋体" w:hAnsi="宋体"/>
          <w:b/>
          <w:color w:val="auto"/>
          <w:sz w:val="32"/>
          <w:szCs w:val="32"/>
        </w:rPr>
      </w:pPr>
    </w:p>
    <w:p w14:paraId="28DFF96B">
      <w:pPr>
        <w:spacing w:line="400" w:lineRule="exact"/>
        <w:jc w:val="center"/>
        <w:rPr>
          <w:rFonts w:ascii="宋体" w:hAnsi="宋体"/>
          <w:b/>
          <w:color w:val="auto"/>
          <w:sz w:val="32"/>
          <w:szCs w:val="32"/>
        </w:rPr>
      </w:pPr>
    </w:p>
    <w:p w14:paraId="2405A026">
      <w:pPr>
        <w:spacing w:line="400" w:lineRule="exact"/>
        <w:jc w:val="center"/>
        <w:rPr>
          <w:rFonts w:ascii="宋体" w:hAnsi="宋体"/>
          <w:b/>
          <w:color w:val="auto"/>
          <w:sz w:val="32"/>
          <w:szCs w:val="32"/>
        </w:rPr>
      </w:pPr>
    </w:p>
    <w:p w14:paraId="2FE0F046">
      <w:pPr>
        <w:spacing w:line="400" w:lineRule="exact"/>
        <w:jc w:val="center"/>
        <w:rPr>
          <w:rFonts w:ascii="宋体" w:hAnsi="宋体"/>
          <w:b/>
          <w:color w:val="auto"/>
          <w:sz w:val="32"/>
          <w:szCs w:val="32"/>
        </w:rPr>
      </w:pPr>
    </w:p>
    <w:p w14:paraId="1069F94A">
      <w:pPr>
        <w:spacing w:line="400" w:lineRule="exact"/>
        <w:jc w:val="center"/>
        <w:rPr>
          <w:rFonts w:ascii="宋体" w:hAnsi="宋体"/>
          <w:b/>
          <w:color w:val="auto"/>
          <w:sz w:val="32"/>
          <w:szCs w:val="32"/>
        </w:rPr>
      </w:pPr>
    </w:p>
    <w:p w14:paraId="297D6CDD">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150DF8CC">
      <w:pPr>
        <w:pStyle w:val="3"/>
        <w:jc w:val="center"/>
        <w:rPr>
          <w:color w:val="auto"/>
        </w:rPr>
      </w:pPr>
      <w:bookmarkStart w:id="19" w:name="_Toc74323456"/>
      <w:r>
        <w:rPr>
          <w:rFonts w:hint="eastAsia"/>
          <w:color w:val="auto"/>
        </w:rPr>
        <w:t>第一章 竞争性磋商公告</w:t>
      </w:r>
      <w:bookmarkEnd w:id="19"/>
    </w:p>
    <w:p w14:paraId="020A1913">
      <w:pPr>
        <w:spacing w:line="400" w:lineRule="exact"/>
        <w:jc w:val="center"/>
        <w:rPr>
          <w:rFonts w:ascii="宋体" w:hAnsi="宋体"/>
          <w:b/>
          <w:bCs/>
          <w:color w:val="auto"/>
          <w:sz w:val="32"/>
          <w:szCs w:val="32"/>
        </w:rPr>
      </w:pPr>
      <w:bookmarkStart w:id="20" w:name="OLE_LINK1"/>
      <w:r>
        <w:rPr>
          <w:rFonts w:hint="eastAsia" w:ascii="宋体" w:hAnsi="宋体"/>
          <w:b/>
          <w:bCs/>
          <w:color w:val="auto"/>
          <w:sz w:val="32"/>
          <w:szCs w:val="32"/>
        </w:rPr>
        <w:t>竞争性磋商公告</w:t>
      </w:r>
    </w:p>
    <w:p w14:paraId="08A908D8">
      <w:pPr>
        <w:spacing w:line="400" w:lineRule="exact"/>
        <w:rPr>
          <w:rFonts w:ascii="宋体" w:hAnsi="宋体"/>
          <w:color w:val="auto"/>
          <w:szCs w:val="21"/>
        </w:rPr>
      </w:pPr>
    </w:p>
    <w:p w14:paraId="3DE3BA23">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bookmarkStart w:id="21" w:name="_Hlk37430271"/>
      <w:r>
        <w:rPr>
          <w:rFonts w:hint="eastAsia" w:ascii="宋体" w:hAnsi="宋体"/>
          <w:color w:val="auto"/>
          <w:szCs w:val="21"/>
        </w:rPr>
        <w:t>项目概况</w:t>
      </w:r>
    </w:p>
    <w:p w14:paraId="31287600">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color w:val="auto"/>
          <w:szCs w:val="21"/>
          <w:lang w:eastAsia="zh-CN"/>
        </w:rPr>
        <w:t>2024年建筑业企业“走出去”宣传活动</w:t>
      </w:r>
      <w:r>
        <w:rPr>
          <w:rFonts w:hint="eastAsia" w:ascii="宋体" w:hAnsi="宋体"/>
          <w:color w:val="auto"/>
          <w:szCs w:val="21"/>
        </w:rPr>
        <w:t>项目的潜在供应商应在广西政府采购云平台（https://www.gcy.zfcg.gxzf.gov.cn/）获取（下载）竞争性磋商文件，并于</w:t>
      </w:r>
      <w:r>
        <w:rPr>
          <w:rFonts w:ascii="宋体" w:hAnsi="宋体"/>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26</w:t>
      </w:r>
      <w:r>
        <w:rPr>
          <w:rFonts w:hint="eastAsia" w:ascii="宋体" w:hAnsi="宋体"/>
          <w:bCs/>
          <w:color w:val="auto"/>
          <w:szCs w:val="21"/>
          <w:u w:val="single"/>
        </w:rPr>
        <w:t>日9时0</w:t>
      </w:r>
      <w:r>
        <w:rPr>
          <w:rFonts w:ascii="宋体" w:hAnsi="宋体"/>
          <w:bCs/>
          <w:color w:val="auto"/>
          <w:szCs w:val="21"/>
          <w:u w:val="single"/>
        </w:rPr>
        <w:t>0</w:t>
      </w:r>
      <w:r>
        <w:rPr>
          <w:rFonts w:hint="eastAsia" w:ascii="宋体" w:hAnsi="宋体"/>
          <w:bCs/>
          <w:color w:val="auto"/>
          <w:szCs w:val="21"/>
          <w:u w:val="single"/>
        </w:rPr>
        <w:t>分（</w:t>
      </w:r>
      <w:r>
        <w:rPr>
          <w:rFonts w:hint="eastAsia" w:ascii="宋体" w:hAnsi="宋体"/>
          <w:bCs/>
          <w:color w:val="auto"/>
          <w:szCs w:val="21"/>
        </w:rPr>
        <w:t>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14:paraId="4C078187">
      <w:pPr>
        <w:spacing w:line="400" w:lineRule="exact"/>
        <w:rPr>
          <w:rFonts w:ascii="宋体" w:hAnsi="宋体"/>
          <w:color w:val="auto"/>
          <w:szCs w:val="21"/>
        </w:rPr>
      </w:pPr>
    </w:p>
    <w:p w14:paraId="3D26B813">
      <w:pPr>
        <w:spacing w:line="400" w:lineRule="exact"/>
        <w:ind w:firstLine="354" w:firstLineChars="147"/>
        <w:rPr>
          <w:rFonts w:ascii="黑体" w:hAnsi="黑体" w:eastAsia="黑体"/>
          <w:b/>
          <w:color w:val="auto"/>
          <w:sz w:val="24"/>
        </w:rPr>
      </w:pPr>
      <w:bookmarkStart w:id="22" w:name="_Toc35393798"/>
      <w:bookmarkStart w:id="23" w:name="_Toc28359089"/>
      <w:bookmarkStart w:id="24" w:name="_Toc71365905"/>
      <w:bookmarkStart w:id="25" w:name="_Toc35393629"/>
      <w:bookmarkStart w:id="26" w:name="_Toc28359012"/>
      <w:bookmarkStart w:id="27" w:name="_Toc44229878"/>
      <w:r>
        <w:rPr>
          <w:rFonts w:hint="eastAsia" w:ascii="黑体" w:hAnsi="黑体" w:eastAsia="黑体"/>
          <w:b/>
          <w:color w:val="auto"/>
          <w:sz w:val="24"/>
        </w:rPr>
        <w:t>一、项目基本情况</w:t>
      </w:r>
      <w:bookmarkEnd w:id="22"/>
      <w:bookmarkEnd w:id="23"/>
      <w:bookmarkEnd w:id="24"/>
      <w:bookmarkEnd w:id="25"/>
      <w:bookmarkEnd w:id="26"/>
      <w:bookmarkEnd w:id="27"/>
    </w:p>
    <w:p w14:paraId="656E6CD3">
      <w:pPr>
        <w:spacing w:line="400" w:lineRule="exact"/>
        <w:ind w:firstLine="420" w:firstLineChars="200"/>
        <w:rPr>
          <w:rFonts w:hint="eastAsia" w:ascii="宋体" w:hAnsi="宋体"/>
          <w:color w:val="auto"/>
          <w:szCs w:val="21"/>
        </w:rPr>
      </w:pPr>
      <w:r>
        <w:rPr>
          <w:rFonts w:hint="eastAsia" w:ascii="宋体" w:hAnsi="宋体"/>
          <w:color w:val="auto"/>
          <w:szCs w:val="21"/>
        </w:rPr>
        <w:t>项目编号：</w:t>
      </w:r>
      <w:r>
        <w:rPr>
          <w:rFonts w:hint="eastAsia" w:ascii="宋体" w:hAnsi="宋体"/>
          <w:color w:val="auto"/>
          <w:szCs w:val="21"/>
          <w:lang w:eastAsia="zh-CN"/>
        </w:rPr>
        <w:t>GXZC2024-C3-005427-NNDF</w:t>
      </w:r>
      <w:r>
        <w:rPr>
          <w:rFonts w:hint="eastAsia" w:ascii="宋体" w:hAnsi="宋体"/>
          <w:color w:val="auto"/>
          <w:szCs w:val="21"/>
        </w:rPr>
        <w:t>；</w:t>
      </w:r>
    </w:p>
    <w:p w14:paraId="32267461">
      <w:pPr>
        <w:spacing w:line="400" w:lineRule="exact"/>
        <w:ind w:firstLine="420" w:firstLineChars="200"/>
        <w:rPr>
          <w:rFonts w:ascii="宋体" w:hAnsi="宋体"/>
          <w:color w:val="auto"/>
          <w:szCs w:val="21"/>
        </w:rPr>
      </w:pPr>
      <w:r>
        <w:rPr>
          <w:rFonts w:hint="eastAsia" w:ascii="宋体" w:hAnsi="宋体"/>
          <w:color w:val="auto"/>
          <w:szCs w:val="21"/>
        </w:rPr>
        <w:t>政府采购计划编号：广西政采[2024]17179号。</w:t>
      </w:r>
    </w:p>
    <w:p w14:paraId="35CFFB77">
      <w:pPr>
        <w:spacing w:line="400" w:lineRule="exact"/>
        <w:ind w:left="1470" w:leftChars="200" w:hanging="1050" w:hangingChars="5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lang w:eastAsia="zh-CN"/>
        </w:rPr>
        <w:t>2024年建筑业企业“走出去”宣传活动</w:t>
      </w:r>
    </w:p>
    <w:p w14:paraId="54EAC190">
      <w:pPr>
        <w:spacing w:line="400" w:lineRule="exact"/>
        <w:ind w:firstLine="420" w:firstLineChars="200"/>
        <w:rPr>
          <w:rFonts w:ascii="宋体" w:hAnsi="宋体"/>
          <w:color w:val="auto"/>
          <w:szCs w:val="21"/>
        </w:rPr>
      </w:pPr>
      <w:r>
        <w:rPr>
          <w:rFonts w:hint="eastAsia" w:ascii="宋体" w:hAnsi="宋体"/>
          <w:color w:val="auto"/>
          <w:szCs w:val="21"/>
        </w:rPr>
        <w:t>采购方式：竞争性磋商</w:t>
      </w:r>
    </w:p>
    <w:p w14:paraId="0905979B">
      <w:pPr>
        <w:spacing w:line="400" w:lineRule="exact"/>
        <w:ind w:firstLine="420" w:firstLineChars="200"/>
        <w:rPr>
          <w:rFonts w:ascii="宋体" w:hAnsi="宋体"/>
          <w:color w:val="auto"/>
          <w:szCs w:val="21"/>
          <w:u w:val="none"/>
        </w:rPr>
      </w:pPr>
      <w:r>
        <w:rPr>
          <w:rFonts w:hint="eastAsia" w:ascii="宋体" w:hAnsi="宋体"/>
          <w:color w:val="auto"/>
          <w:szCs w:val="21"/>
        </w:rPr>
        <w:t>预算总金额：</w:t>
      </w:r>
      <w:r>
        <w:rPr>
          <w:rFonts w:hint="eastAsia" w:ascii="宋体" w:hAnsi="宋体"/>
          <w:iCs/>
          <w:color w:val="auto"/>
          <w:szCs w:val="21"/>
          <w:u w:val="none"/>
          <w:lang w:val="en-US" w:eastAsia="zh-CN"/>
        </w:rPr>
        <w:t>200.00</w:t>
      </w:r>
      <w:r>
        <w:rPr>
          <w:rFonts w:hint="eastAsia" w:ascii="宋体" w:hAnsi="宋体"/>
          <w:iCs/>
          <w:color w:val="auto"/>
          <w:szCs w:val="21"/>
          <w:u w:val="none"/>
        </w:rPr>
        <w:t>万元 ；其中A分标</w:t>
      </w:r>
      <w:r>
        <w:rPr>
          <w:rFonts w:hint="eastAsia" w:ascii="宋体" w:hAnsi="宋体"/>
          <w:iCs/>
          <w:color w:val="auto"/>
          <w:szCs w:val="21"/>
          <w:u w:val="none"/>
          <w:lang w:val="en-US" w:eastAsia="zh-CN"/>
        </w:rPr>
        <w:t>100.00</w:t>
      </w:r>
      <w:r>
        <w:rPr>
          <w:rFonts w:hint="eastAsia" w:ascii="宋体" w:hAnsi="宋体"/>
          <w:iCs/>
          <w:color w:val="auto"/>
          <w:szCs w:val="21"/>
          <w:u w:val="none"/>
        </w:rPr>
        <w:t>万元、B分标</w:t>
      </w:r>
      <w:r>
        <w:rPr>
          <w:rFonts w:hint="eastAsia" w:ascii="宋体" w:hAnsi="宋体"/>
          <w:iCs/>
          <w:color w:val="auto"/>
          <w:szCs w:val="21"/>
          <w:u w:val="none"/>
          <w:lang w:val="en-US" w:eastAsia="zh-CN"/>
        </w:rPr>
        <w:t>100.00</w:t>
      </w:r>
      <w:r>
        <w:rPr>
          <w:rFonts w:hint="eastAsia" w:ascii="宋体" w:hAnsi="宋体"/>
          <w:iCs/>
          <w:color w:val="auto"/>
          <w:szCs w:val="21"/>
          <w:u w:val="none"/>
        </w:rPr>
        <w:t>万元。</w:t>
      </w:r>
    </w:p>
    <w:p w14:paraId="0C9E7D36">
      <w:pPr>
        <w:spacing w:line="400" w:lineRule="exact"/>
        <w:ind w:firstLine="420" w:firstLineChars="200"/>
        <w:rPr>
          <w:rFonts w:ascii="宋体" w:hAnsi="宋体"/>
          <w:iCs/>
          <w:color w:val="auto"/>
          <w:szCs w:val="21"/>
          <w:u w:val="none"/>
        </w:rPr>
      </w:pPr>
      <w:r>
        <w:rPr>
          <w:rFonts w:hint="eastAsia" w:ascii="宋体" w:hAnsi="宋体"/>
          <w:color w:val="auto"/>
          <w:szCs w:val="21"/>
          <w:u w:val="none"/>
        </w:rPr>
        <w:t>最高限价：</w:t>
      </w:r>
      <w:r>
        <w:rPr>
          <w:rFonts w:hint="eastAsia" w:ascii="宋体" w:hAnsi="宋体"/>
          <w:iCs/>
          <w:color w:val="auto"/>
          <w:szCs w:val="21"/>
          <w:u w:val="none"/>
          <w:lang w:val="en-US" w:eastAsia="zh-CN"/>
        </w:rPr>
        <w:t>200.00</w:t>
      </w:r>
      <w:r>
        <w:rPr>
          <w:rFonts w:hint="eastAsia" w:ascii="宋体" w:hAnsi="宋体"/>
          <w:iCs/>
          <w:color w:val="auto"/>
          <w:szCs w:val="21"/>
          <w:u w:val="none"/>
        </w:rPr>
        <w:t>万元 ；其中A分标</w:t>
      </w:r>
      <w:r>
        <w:rPr>
          <w:rFonts w:hint="eastAsia" w:ascii="宋体" w:hAnsi="宋体"/>
          <w:iCs/>
          <w:color w:val="auto"/>
          <w:szCs w:val="21"/>
          <w:u w:val="none"/>
          <w:lang w:val="en-US" w:eastAsia="zh-CN"/>
        </w:rPr>
        <w:t>100.00</w:t>
      </w:r>
      <w:r>
        <w:rPr>
          <w:rFonts w:hint="eastAsia" w:ascii="宋体" w:hAnsi="宋体"/>
          <w:iCs/>
          <w:color w:val="auto"/>
          <w:szCs w:val="21"/>
          <w:u w:val="none"/>
        </w:rPr>
        <w:t>万元、B分标</w:t>
      </w:r>
      <w:r>
        <w:rPr>
          <w:rFonts w:hint="eastAsia" w:ascii="宋体" w:hAnsi="宋体"/>
          <w:iCs/>
          <w:color w:val="auto"/>
          <w:szCs w:val="21"/>
          <w:u w:val="none"/>
          <w:lang w:val="en-US" w:eastAsia="zh-CN"/>
        </w:rPr>
        <w:t>100.00</w:t>
      </w:r>
      <w:r>
        <w:rPr>
          <w:rFonts w:hint="eastAsia" w:ascii="宋体" w:hAnsi="宋体"/>
          <w:iCs/>
          <w:color w:val="auto"/>
          <w:szCs w:val="21"/>
          <w:u w:val="none"/>
        </w:rPr>
        <w:t>万元。</w:t>
      </w:r>
    </w:p>
    <w:p w14:paraId="530FBF76">
      <w:pPr>
        <w:spacing w:line="400" w:lineRule="exact"/>
        <w:ind w:firstLine="420" w:firstLineChars="200"/>
        <w:rPr>
          <w:rFonts w:ascii="宋体" w:hAnsi="宋体"/>
          <w:color w:val="auto"/>
          <w:szCs w:val="21"/>
        </w:rPr>
      </w:pPr>
      <w:r>
        <w:rPr>
          <w:rFonts w:hint="eastAsia" w:ascii="宋体" w:hAnsi="宋体"/>
          <w:color w:val="auto"/>
          <w:szCs w:val="21"/>
        </w:rPr>
        <w:t>采购需求：</w:t>
      </w:r>
    </w:p>
    <w:tbl>
      <w:tblPr>
        <w:tblStyle w:val="25"/>
        <w:tblW w:w="90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841"/>
        <w:gridCol w:w="848"/>
        <w:gridCol w:w="5590"/>
      </w:tblGrid>
      <w:tr w14:paraId="60605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95" w:type="dxa"/>
            <w:gridSpan w:val="4"/>
            <w:tcBorders>
              <w:top w:val="single" w:color="auto" w:sz="4" w:space="0"/>
              <w:left w:val="single" w:color="auto" w:sz="4" w:space="0"/>
              <w:bottom w:val="single" w:color="auto" w:sz="4" w:space="0"/>
              <w:right w:val="single" w:color="auto" w:sz="4" w:space="0"/>
            </w:tcBorders>
            <w:vAlign w:val="center"/>
          </w:tcPr>
          <w:p w14:paraId="78D989C8">
            <w:pPr>
              <w:spacing w:line="400" w:lineRule="exact"/>
              <w:ind w:firstLine="420" w:firstLineChars="200"/>
              <w:rPr>
                <w:rFonts w:ascii="宋体" w:hAnsi="宋体"/>
                <w:color w:val="auto"/>
                <w:szCs w:val="21"/>
              </w:rPr>
            </w:pPr>
            <w:r>
              <w:rPr>
                <w:rFonts w:hint="eastAsia" w:ascii="宋体" w:hAnsi="宋体"/>
                <w:color w:val="auto"/>
                <w:szCs w:val="21"/>
                <w:u w:val="single"/>
              </w:rPr>
              <w:t>A</w:t>
            </w:r>
            <w:r>
              <w:rPr>
                <w:rFonts w:hint="eastAsia" w:ascii="宋体" w:hAnsi="宋体"/>
                <w:color w:val="auto"/>
                <w:szCs w:val="21"/>
              </w:rPr>
              <w:t>分标；预算金额：</w:t>
            </w:r>
            <w:r>
              <w:rPr>
                <w:rFonts w:hint="eastAsia" w:ascii="宋体" w:hAnsi="宋体"/>
                <w:iCs/>
                <w:color w:val="auto"/>
                <w:szCs w:val="21"/>
                <w:u w:val="single"/>
                <w:lang w:val="en-US" w:eastAsia="zh-CN"/>
              </w:rPr>
              <w:t>100.00</w:t>
            </w:r>
            <w:r>
              <w:rPr>
                <w:rFonts w:hint="eastAsia" w:ascii="宋体" w:hAnsi="宋体"/>
                <w:color w:val="auto"/>
                <w:szCs w:val="21"/>
              </w:rPr>
              <w:t>万元</w:t>
            </w:r>
          </w:p>
        </w:tc>
      </w:tr>
      <w:tr w14:paraId="75A4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6" w:type="dxa"/>
            <w:tcBorders>
              <w:top w:val="single" w:color="auto" w:sz="4" w:space="0"/>
              <w:left w:val="single" w:color="auto" w:sz="4" w:space="0"/>
              <w:bottom w:val="single" w:color="auto" w:sz="4" w:space="0"/>
              <w:right w:val="single" w:color="auto" w:sz="4" w:space="0"/>
            </w:tcBorders>
            <w:vAlign w:val="center"/>
          </w:tcPr>
          <w:p w14:paraId="03760877">
            <w:pPr>
              <w:snapToGrid w:val="0"/>
              <w:spacing w:line="400" w:lineRule="exact"/>
              <w:jc w:val="center"/>
              <w:rPr>
                <w:rFonts w:ascii="宋体" w:hAnsi="宋体"/>
                <w:color w:val="auto"/>
                <w:szCs w:val="21"/>
              </w:rPr>
            </w:pPr>
            <w:r>
              <w:rPr>
                <w:rFonts w:hint="eastAsia" w:ascii="宋体" w:hAnsi="宋体"/>
                <w:color w:val="auto"/>
                <w:szCs w:val="21"/>
              </w:rPr>
              <w:t>序号</w:t>
            </w:r>
          </w:p>
        </w:tc>
        <w:tc>
          <w:tcPr>
            <w:tcW w:w="1841" w:type="dxa"/>
            <w:tcBorders>
              <w:top w:val="single" w:color="auto" w:sz="4" w:space="0"/>
              <w:left w:val="single" w:color="auto" w:sz="4" w:space="0"/>
              <w:bottom w:val="single" w:color="auto" w:sz="4" w:space="0"/>
              <w:right w:val="single" w:color="auto" w:sz="4" w:space="0"/>
            </w:tcBorders>
            <w:vAlign w:val="center"/>
          </w:tcPr>
          <w:p w14:paraId="272576DE">
            <w:pPr>
              <w:snapToGrid w:val="0"/>
              <w:spacing w:line="400" w:lineRule="exact"/>
              <w:jc w:val="center"/>
              <w:rPr>
                <w:rFonts w:ascii="宋体" w:hAnsi="宋体"/>
                <w:color w:val="auto"/>
                <w:szCs w:val="21"/>
              </w:rPr>
            </w:pPr>
            <w:r>
              <w:rPr>
                <w:rFonts w:hint="eastAsia" w:ascii="宋体" w:hAnsi="宋体"/>
                <w:color w:val="auto"/>
                <w:szCs w:val="21"/>
              </w:rPr>
              <w:t>标的的名称</w:t>
            </w:r>
          </w:p>
        </w:tc>
        <w:tc>
          <w:tcPr>
            <w:tcW w:w="848" w:type="dxa"/>
            <w:tcBorders>
              <w:top w:val="single" w:color="auto" w:sz="4" w:space="0"/>
              <w:left w:val="single" w:color="auto" w:sz="4" w:space="0"/>
              <w:bottom w:val="single" w:color="auto" w:sz="4" w:space="0"/>
              <w:right w:val="single" w:color="auto" w:sz="4" w:space="0"/>
            </w:tcBorders>
            <w:vAlign w:val="center"/>
          </w:tcPr>
          <w:p w14:paraId="11B10890">
            <w:pPr>
              <w:snapToGrid w:val="0"/>
              <w:spacing w:line="400" w:lineRule="exact"/>
              <w:jc w:val="center"/>
              <w:rPr>
                <w:rFonts w:ascii="宋体" w:hAnsi="宋体"/>
                <w:color w:val="auto"/>
                <w:szCs w:val="21"/>
              </w:rPr>
            </w:pPr>
            <w:r>
              <w:rPr>
                <w:rFonts w:hint="eastAsia" w:ascii="宋体" w:hAnsi="宋体"/>
                <w:color w:val="auto"/>
                <w:szCs w:val="21"/>
              </w:rPr>
              <w:t>数量及</w:t>
            </w:r>
          </w:p>
          <w:p w14:paraId="41B643FD">
            <w:pPr>
              <w:snapToGrid w:val="0"/>
              <w:spacing w:line="400" w:lineRule="exact"/>
              <w:jc w:val="center"/>
              <w:rPr>
                <w:rFonts w:ascii="宋体" w:hAnsi="宋体"/>
                <w:color w:val="auto"/>
                <w:szCs w:val="21"/>
              </w:rPr>
            </w:pPr>
            <w:r>
              <w:rPr>
                <w:rFonts w:hint="eastAsia" w:ascii="宋体" w:hAnsi="宋体"/>
                <w:color w:val="auto"/>
                <w:szCs w:val="21"/>
              </w:rPr>
              <w:t>单位</w:t>
            </w:r>
          </w:p>
        </w:tc>
        <w:tc>
          <w:tcPr>
            <w:tcW w:w="5590" w:type="dxa"/>
            <w:tcBorders>
              <w:top w:val="single" w:color="auto" w:sz="4" w:space="0"/>
              <w:left w:val="single" w:color="auto" w:sz="4" w:space="0"/>
              <w:bottom w:val="single" w:color="auto" w:sz="4" w:space="0"/>
              <w:right w:val="single" w:color="auto" w:sz="4" w:space="0"/>
            </w:tcBorders>
            <w:vAlign w:val="center"/>
          </w:tcPr>
          <w:p w14:paraId="594A4CF4">
            <w:pPr>
              <w:snapToGrid w:val="0"/>
              <w:spacing w:line="400" w:lineRule="exact"/>
              <w:jc w:val="center"/>
              <w:rPr>
                <w:rFonts w:ascii="宋体" w:hAnsi="宋体"/>
                <w:color w:val="auto"/>
                <w:szCs w:val="21"/>
              </w:rPr>
            </w:pPr>
            <w:r>
              <w:rPr>
                <w:rFonts w:hint="eastAsia" w:ascii="宋体" w:hAnsi="宋体"/>
                <w:color w:val="auto"/>
                <w:szCs w:val="21"/>
              </w:rPr>
              <w:t>简要技术需求或者服务要求</w:t>
            </w:r>
          </w:p>
        </w:tc>
      </w:tr>
      <w:tr w14:paraId="60047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6" w:type="dxa"/>
            <w:tcBorders>
              <w:top w:val="single" w:color="auto" w:sz="4" w:space="0"/>
              <w:left w:val="single" w:color="auto" w:sz="4" w:space="0"/>
              <w:bottom w:val="single" w:color="auto" w:sz="4" w:space="0"/>
              <w:right w:val="single" w:color="auto" w:sz="4" w:space="0"/>
            </w:tcBorders>
            <w:vAlign w:val="center"/>
          </w:tcPr>
          <w:p w14:paraId="2F2E51F7">
            <w:pPr>
              <w:jc w:val="center"/>
              <w:rPr>
                <w:rFonts w:ascii="微软雅黑" w:hAnsi="微软雅黑" w:eastAsia="微软雅黑" w:cs="宋体"/>
                <w:color w:val="auto"/>
                <w:sz w:val="20"/>
                <w:szCs w:val="20"/>
              </w:rPr>
            </w:pPr>
            <w:r>
              <w:rPr>
                <w:rFonts w:hint="eastAsia" w:ascii="微软雅黑" w:hAnsi="微软雅黑" w:eastAsia="微软雅黑"/>
                <w:color w:val="auto"/>
                <w:sz w:val="20"/>
                <w:szCs w:val="20"/>
              </w:rPr>
              <w:t>1</w:t>
            </w:r>
          </w:p>
        </w:tc>
        <w:tc>
          <w:tcPr>
            <w:tcW w:w="1841" w:type="dxa"/>
            <w:tcBorders>
              <w:top w:val="single" w:color="auto" w:sz="4" w:space="0"/>
              <w:left w:val="single" w:color="auto" w:sz="4" w:space="0"/>
              <w:bottom w:val="single" w:color="auto" w:sz="4" w:space="0"/>
              <w:right w:val="single" w:color="auto" w:sz="4" w:space="0"/>
            </w:tcBorders>
            <w:vAlign w:val="center"/>
          </w:tcPr>
          <w:p w14:paraId="3E1A68C2">
            <w:pPr>
              <w:jc w:val="center"/>
              <w:rPr>
                <w:rFonts w:ascii="宋体" w:hAnsi="宋体" w:cs="宋体"/>
                <w:color w:val="auto"/>
                <w:sz w:val="22"/>
                <w:szCs w:val="22"/>
              </w:rPr>
            </w:pPr>
            <w:r>
              <w:rPr>
                <w:rFonts w:hint="eastAsia" w:ascii="宋体" w:hAnsi="宋体"/>
                <w:color w:val="auto"/>
                <w:szCs w:val="21"/>
                <w:lang w:eastAsia="zh-CN"/>
              </w:rPr>
              <w:t>2024年建筑业企业“走出去”宣传活动（一片区）</w:t>
            </w:r>
          </w:p>
        </w:tc>
        <w:tc>
          <w:tcPr>
            <w:tcW w:w="848" w:type="dxa"/>
            <w:tcBorders>
              <w:top w:val="single" w:color="auto" w:sz="4" w:space="0"/>
              <w:left w:val="single" w:color="auto" w:sz="4" w:space="0"/>
              <w:bottom w:val="single" w:color="auto" w:sz="4" w:space="0"/>
              <w:right w:val="single" w:color="auto" w:sz="4" w:space="0"/>
            </w:tcBorders>
            <w:vAlign w:val="center"/>
          </w:tcPr>
          <w:p w14:paraId="57E49762">
            <w:pPr>
              <w:jc w:val="center"/>
              <w:rPr>
                <w:rFonts w:hint="eastAsia" w:ascii="宋体" w:hAnsi="宋体" w:eastAsia="宋体" w:cs="宋体"/>
                <w:color w:val="auto"/>
                <w:sz w:val="22"/>
                <w:szCs w:val="22"/>
                <w:lang w:eastAsia="zh-CN"/>
              </w:rPr>
            </w:pPr>
            <w:r>
              <w:rPr>
                <w:rFonts w:hint="eastAsia"/>
                <w:color w:val="auto"/>
                <w:sz w:val="22"/>
                <w:szCs w:val="22"/>
                <w:lang w:val="en-US" w:eastAsia="zh-CN"/>
              </w:rPr>
              <w:t>1项</w:t>
            </w:r>
          </w:p>
        </w:tc>
        <w:tc>
          <w:tcPr>
            <w:tcW w:w="5590" w:type="dxa"/>
            <w:tcBorders>
              <w:top w:val="single" w:color="auto" w:sz="4" w:space="0"/>
              <w:left w:val="single" w:color="auto" w:sz="4" w:space="0"/>
              <w:bottom w:val="single" w:color="auto" w:sz="4" w:space="0"/>
              <w:right w:val="single" w:color="auto" w:sz="4" w:space="0"/>
            </w:tcBorders>
            <w:vAlign w:val="center"/>
          </w:tcPr>
          <w:p w14:paraId="08A40A29">
            <w:pPr>
              <w:pStyle w:val="13"/>
              <w:rPr>
                <w:color w:val="auto"/>
              </w:rPr>
            </w:pPr>
            <w:r>
              <w:rPr>
                <w:rFonts w:hint="eastAsia"/>
                <w:color w:val="auto"/>
              </w:rPr>
              <w:t>委托第三方专业机构开展2024年广西建筑业企业“走出去”宣传活动。以在江苏南京、江西南昌、湖北武汉</w:t>
            </w:r>
            <w:r>
              <w:rPr>
                <w:rFonts w:hint="eastAsia"/>
                <w:color w:val="auto"/>
                <w:lang w:eastAsia="zh-CN"/>
              </w:rPr>
              <w:t>、</w:t>
            </w:r>
            <w:r>
              <w:rPr>
                <w:rFonts w:hint="eastAsia"/>
                <w:color w:val="auto"/>
              </w:rPr>
              <w:t>浙江杭州等</w:t>
            </w:r>
            <w:r>
              <w:rPr>
                <w:rFonts w:hint="eastAsia"/>
                <w:color w:val="auto"/>
                <w:lang w:val="en-US" w:eastAsia="zh-CN"/>
              </w:rPr>
              <w:t>4</w:t>
            </w:r>
            <w:r>
              <w:rPr>
                <w:rFonts w:hint="eastAsia"/>
                <w:color w:val="auto"/>
              </w:rPr>
              <w:t>个国内市场潜力较大的地区举办开展线下推介会和在主流媒体机构、新媒体平台等进行宣传推广的方式进行组合宣传。……具体详见采购文件。</w:t>
            </w:r>
          </w:p>
        </w:tc>
      </w:tr>
    </w:tbl>
    <w:p w14:paraId="24F308EC">
      <w:pPr>
        <w:spacing w:line="400" w:lineRule="exact"/>
        <w:ind w:firstLine="420" w:firstLineChars="200"/>
        <w:rPr>
          <w:rFonts w:ascii="宋体" w:hAnsi="宋体"/>
          <w:color w:val="auto"/>
          <w:szCs w:val="21"/>
          <w:u w:val="single"/>
        </w:rPr>
      </w:pPr>
      <w:r>
        <w:rPr>
          <w:rFonts w:hint="eastAsia" w:ascii="宋体" w:hAnsi="宋体"/>
          <w:color w:val="auto"/>
          <w:szCs w:val="21"/>
        </w:rPr>
        <w:t>合同履行期限：</w:t>
      </w:r>
      <w:r>
        <w:rPr>
          <w:rFonts w:hint="eastAsia" w:ascii="宋体" w:hAnsi="宋体"/>
          <w:color w:val="auto"/>
          <w:szCs w:val="21"/>
          <w:lang w:eastAsia="zh-CN"/>
        </w:rPr>
        <w:t>2024年9月-202</w:t>
      </w:r>
      <w:r>
        <w:rPr>
          <w:rFonts w:hint="eastAsia" w:ascii="宋体" w:hAnsi="宋体"/>
          <w:color w:val="auto"/>
          <w:szCs w:val="21"/>
          <w:lang w:val="en-US" w:eastAsia="zh-CN"/>
        </w:rPr>
        <w:t>4</w:t>
      </w:r>
      <w:r>
        <w:rPr>
          <w:rFonts w:hint="eastAsia" w:ascii="宋体" w:hAnsi="宋体"/>
          <w:color w:val="auto"/>
          <w:szCs w:val="21"/>
          <w:lang w:eastAsia="zh-CN"/>
        </w:rPr>
        <w:t>年</w:t>
      </w:r>
      <w:r>
        <w:rPr>
          <w:rFonts w:hint="eastAsia" w:ascii="宋体" w:hAnsi="宋体"/>
          <w:color w:val="auto"/>
          <w:szCs w:val="21"/>
          <w:lang w:val="en-US" w:eastAsia="zh-CN"/>
        </w:rPr>
        <w:t>12</w:t>
      </w:r>
      <w:r>
        <w:rPr>
          <w:rFonts w:hint="eastAsia" w:ascii="宋体" w:hAnsi="宋体"/>
          <w:color w:val="auto"/>
          <w:szCs w:val="21"/>
          <w:lang w:eastAsia="zh-CN"/>
        </w:rPr>
        <w:t>月</w:t>
      </w:r>
      <w:r>
        <w:rPr>
          <w:rFonts w:hint="eastAsia" w:ascii="宋体" w:hAnsi="宋体" w:cs="仿宋_GB2312"/>
          <w:color w:val="auto"/>
          <w:szCs w:val="21"/>
        </w:rPr>
        <w:t>。</w:t>
      </w:r>
    </w:p>
    <w:p w14:paraId="63F48272">
      <w:pPr>
        <w:spacing w:line="400" w:lineRule="exact"/>
        <w:ind w:firstLine="422" w:firstLineChars="200"/>
        <w:rPr>
          <w:rFonts w:ascii="宋体" w:hAnsi="宋体"/>
          <w:b/>
          <w:color w:val="auto"/>
          <w:szCs w:val="21"/>
          <w:u w:val="single"/>
        </w:rPr>
      </w:pPr>
      <w:r>
        <w:rPr>
          <w:rFonts w:hint="eastAsia" w:ascii="宋体" w:hAnsi="宋体"/>
          <w:b/>
          <w:color w:val="auto"/>
          <w:szCs w:val="21"/>
          <w:u w:val="single"/>
        </w:rPr>
        <w:t>本项目</w:t>
      </w:r>
      <w:r>
        <w:rPr>
          <w:rFonts w:hint="eastAsia" w:ascii="宋体" w:hAnsi="宋体"/>
          <w:b/>
          <w:color w:val="auto"/>
          <w:szCs w:val="21"/>
          <w:u w:val="single"/>
          <w:lang w:val="en-US" w:eastAsia="zh-CN"/>
        </w:rPr>
        <w:t>可以</w:t>
      </w:r>
      <w:r>
        <w:rPr>
          <w:rFonts w:hint="eastAsia" w:ascii="宋体" w:hAnsi="宋体"/>
          <w:b/>
          <w:color w:val="auto"/>
          <w:szCs w:val="21"/>
          <w:u w:val="single"/>
        </w:rPr>
        <w:t>接受联合体。</w:t>
      </w:r>
    </w:p>
    <w:tbl>
      <w:tblPr>
        <w:tblStyle w:val="25"/>
        <w:tblW w:w="90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841"/>
        <w:gridCol w:w="848"/>
        <w:gridCol w:w="5588"/>
      </w:tblGrid>
      <w:tr w14:paraId="3D44A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95" w:type="dxa"/>
            <w:gridSpan w:val="4"/>
            <w:tcBorders>
              <w:top w:val="single" w:color="auto" w:sz="4" w:space="0"/>
              <w:left w:val="single" w:color="auto" w:sz="4" w:space="0"/>
              <w:bottom w:val="single" w:color="auto" w:sz="4" w:space="0"/>
              <w:right w:val="single" w:color="auto" w:sz="4" w:space="0"/>
            </w:tcBorders>
            <w:vAlign w:val="center"/>
          </w:tcPr>
          <w:p w14:paraId="05F17953">
            <w:pPr>
              <w:spacing w:line="400" w:lineRule="exact"/>
              <w:ind w:firstLine="420" w:firstLineChars="200"/>
              <w:rPr>
                <w:rFonts w:ascii="宋体" w:hAnsi="宋体"/>
                <w:color w:val="auto"/>
                <w:szCs w:val="21"/>
              </w:rPr>
            </w:pPr>
            <w:r>
              <w:rPr>
                <w:rFonts w:ascii="宋体" w:hAnsi="宋体"/>
                <w:color w:val="auto"/>
                <w:szCs w:val="21"/>
                <w:u w:val="single"/>
              </w:rPr>
              <w:t>B</w:t>
            </w:r>
            <w:r>
              <w:rPr>
                <w:rFonts w:hint="eastAsia" w:ascii="宋体" w:hAnsi="宋体"/>
                <w:color w:val="auto"/>
                <w:szCs w:val="21"/>
              </w:rPr>
              <w:t>分标；预算金额：</w:t>
            </w:r>
            <w:r>
              <w:rPr>
                <w:rFonts w:hint="eastAsia" w:ascii="宋体" w:hAnsi="宋体"/>
                <w:iCs/>
                <w:color w:val="auto"/>
                <w:szCs w:val="21"/>
                <w:u w:val="single"/>
                <w:lang w:val="en-US" w:eastAsia="zh-CN"/>
              </w:rPr>
              <w:t>100.00</w:t>
            </w:r>
            <w:r>
              <w:rPr>
                <w:rFonts w:hint="eastAsia" w:ascii="宋体" w:hAnsi="宋体"/>
                <w:color w:val="auto"/>
                <w:szCs w:val="21"/>
              </w:rPr>
              <w:t>万元</w:t>
            </w:r>
          </w:p>
        </w:tc>
      </w:tr>
      <w:tr w14:paraId="4AF00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8" w:type="dxa"/>
            <w:tcBorders>
              <w:top w:val="single" w:color="auto" w:sz="4" w:space="0"/>
              <w:left w:val="single" w:color="auto" w:sz="4" w:space="0"/>
              <w:bottom w:val="single" w:color="auto" w:sz="4" w:space="0"/>
              <w:right w:val="single" w:color="auto" w:sz="4" w:space="0"/>
            </w:tcBorders>
            <w:vAlign w:val="center"/>
          </w:tcPr>
          <w:p w14:paraId="4C59F7A7">
            <w:pPr>
              <w:snapToGrid w:val="0"/>
              <w:spacing w:line="400" w:lineRule="exact"/>
              <w:jc w:val="center"/>
              <w:rPr>
                <w:rFonts w:ascii="宋体" w:hAnsi="宋体"/>
                <w:color w:val="auto"/>
                <w:szCs w:val="21"/>
              </w:rPr>
            </w:pPr>
            <w:r>
              <w:rPr>
                <w:rFonts w:hint="eastAsia" w:ascii="宋体" w:hAnsi="宋体"/>
                <w:color w:val="auto"/>
                <w:szCs w:val="21"/>
              </w:rPr>
              <w:t>序号</w:t>
            </w:r>
          </w:p>
        </w:tc>
        <w:tc>
          <w:tcPr>
            <w:tcW w:w="1841" w:type="dxa"/>
            <w:tcBorders>
              <w:top w:val="single" w:color="auto" w:sz="4" w:space="0"/>
              <w:left w:val="single" w:color="auto" w:sz="4" w:space="0"/>
              <w:bottom w:val="single" w:color="auto" w:sz="4" w:space="0"/>
              <w:right w:val="single" w:color="auto" w:sz="4" w:space="0"/>
            </w:tcBorders>
            <w:vAlign w:val="center"/>
          </w:tcPr>
          <w:p w14:paraId="11804931">
            <w:pPr>
              <w:snapToGrid w:val="0"/>
              <w:spacing w:line="400" w:lineRule="exact"/>
              <w:jc w:val="center"/>
              <w:rPr>
                <w:rFonts w:ascii="宋体" w:hAnsi="宋体"/>
                <w:color w:val="auto"/>
                <w:szCs w:val="21"/>
              </w:rPr>
            </w:pPr>
            <w:r>
              <w:rPr>
                <w:rFonts w:hint="eastAsia" w:ascii="宋体" w:hAnsi="宋体"/>
                <w:color w:val="auto"/>
                <w:szCs w:val="21"/>
              </w:rPr>
              <w:t>标的的名称</w:t>
            </w:r>
          </w:p>
        </w:tc>
        <w:tc>
          <w:tcPr>
            <w:tcW w:w="848" w:type="dxa"/>
            <w:tcBorders>
              <w:top w:val="single" w:color="auto" w:sz="4" w:space="0"/>
              <w:left w:val="single" w:color="auto" w:sz="4" w:space="0"/>
              <w:bottom w:val="single" w:color="auto" w:sz="4" w:space="0"/>
              <w:right w:val="single" w:color="auto" w:sz="4" w:space="0"/>
            </w:tcBorders>
            <w:vAlign w:val="center"/>
          </w:tcPr>
          <w:p w14:paraId="03A0CFFE">
            <w:pPr>
              <w:snapToGrid w:val="0"/>
              <w:spacing w:line="400" w:lineRule="exact"/>
              <w:jc w:val="center"/>
              <w:rPr>
                <w:rFonts w:ascii="宋体" w:hAnsi="宋体"/>
                <w:color w:val="auto"/>
                <w:szCs w:val="21"/>
              </w:rPr>
            </w:pPr>
            <w:r>
              <w:rPr>
                <w:rFonts w:hint="eastAsia" w:ascii="宋体" w:hAnsi="宋体"/>
                <w:color w:val="auto"/>
                <w:szCs w:val="21"/>
              </w:rPr>
              <w:t>数量及</w:t>
            </w:r>
          </w:p>
          <w:p w14:paraId="381785EC">
            <w:pPr>
              <w:snapToGrid w:val="0"/>
              <w:spacing w:line="400" w:lineRule="exact"/>
              <w:jc w:val="center"/>
              <w:rPr>
                <w:rFonts w:ascii="宋体" w:hAnsi="宋体"/>
                <w:color w:val="auto"/>
                <w:szCs w:val="21"/>
              </w:rPr>
            </w:pPr>
            <w:r>
              <w:rPr>
                <w:rFonts w:hint="eastAsia" w:ascii="宋体" w:hAnsi="宋体"/>
                <w:color w:val="auto"/>
                <w:szCs w:val="21"/>
              </w:rPr>
              <w:t>单位</w:t>
            </w:r>
          </w:p>
        </w:tc>
        <w:tc>
          <w:tcPr>
            <w:tcW w:w="5588" w:type="dxa"/>
            <w:tcBorders>
              <w:top w:val="single" w:color="auto" w:sz="4" w:space="0"/>
              <w:left w:val="single" w:color="auto" w:sz="4" w:space="0"/>
              <w:bottom w:val="single" w:color="auto" w:sz="4" w:space="0"/>
              <w:right w:val="single" w:color="auto" w:sz="4" w:space="0"/>
            </w:tcBorders>
            <w:vAlign w:val="center"/>
          </w:tcPr>
          <w:p w14:paraId="476EEC04">
            <w:pPr>
              <w:snapToGrid w:val="0"/>
              <w:spacing w:line="400" w:lineRule="exact"/>
              <w:jc w:val="center"/>
              <w:rPr>
                <w:rFonts w:ascii="宋体" w:hAnsi="宋体"/>
                <w:color w:val="auto"/>
                <w:szCs w:val="21"/>
              </w:rPr>
            </w:pPr>
            <w:r>
              <w:rPr>
                <w:rFonts w:hint="eastAsia" w:ascii="宋体" w:hAnsi="宋体"/>
                <w:color w:val="auto"/>
                <w:szCs w:val="21"/>
              </w:rPr>
              <w:t>简要技术需求或者服务要求</w:t>
            </w:r>
          </w:p>
        </w:tc>
      </w:tr>
      <w:tr w14:paraId="2D4EA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8" w:type="dxa"/>
            <w:tcBorders>
              <w:top w:val="single" w:color="auto" w:sz="4" w:space="0"/>
              <w:left w:val="single" w:color="auto" w:sz="4" w:space="0"/>
              <w:bottom w:val="single" w:color="auto" w:sz="4" w:space="0"/>
              <w:right w:val="single" w:color="auto" w:sz="4" w:space="0"/>
            </w:tcBorders>
            <w:vAlign w:val="center"/>
          </w:tcPr>
          <w:p w14:paraId="6F2094F1">
            <w:pPr>
              <w:jc w:val="center"/>
              <w:rPr>
                <w:rFonts w:ascii="宋体" w:hAnsi="宋体" w:cs="宋体"/>
                <w:color w:val="auto"/>
                <w:szCs w:val="21"/>
              </w:rPr>
            </w:pPr>
            <w:r>
              <w:rPr>
                <w:rFonts w:hint="eastAsia"/>
                <w:color w:val="auto"/>
                <w:szCs w:val="21"/>
              </w:rPr>
              <w:t>1</w:t>
            </w:r>
          </w:p>
        </w:tc>
        <w:tc>
          <w:tcPr>
            <w:tcW w:w="1841" w:type="dxa"/>
            <w:tcBorders>
              <w:top w:val="single" w:color="auto" w:sz="4" w:space="0"/>
              <w:left w:val="single" w:color="auto" w:sz="4" w:space="0"/>
              <w:bottom w:val="single" w:color="auto" w:sz="4" w:space="0"/>
              <w:right w:val="single" w:color="auto" w:sz="4" w:space="0"/>
            </w:tcBorders>
            <w:vAlign w:val="center"/>
          </w:tcPr>
          <w:p w14:paraId="1E75B5ED">
            <w:pPr>
              <w:jc w:val="center"/>
              <w:rPr>
                <w:rFonts w:ascii="宋体" w:hAnsi="宋体" w:cs="宋体"/>
                <w:color w:val="auto"/>
                <w:szCs w:val="21"/>
              </w:rPr>
            </w:pPr>
            <w:r>
              <w:rPr>
                <w:rFonts w:hint="eastAsia" w:ascii="宋体" w:hAnsi="宋体"/>
                <w:color w:val="auto"/>
                <w:szCs w:val="21"/>
                <w:lang w:eastAsia="zh-CN"/>
              </w:rPr>
              <w:t>2024年建筑业企业“走出去”宣传活动（二片区）</w:t>
            </w:r>
          </w:p>
        </w:tc>
        <w:tc>
          <w:tcPr>
            <w:tcW w:w="848" w:type="dxa"/>
            <w:tcBorders>
              <w:top w:val="single" w:color="auto" w:sz="4" w:space="0"/>
              <w:left w:val="single" w:color="auto" w:sz="4" w:space="0"/>
              <w:bottom w:val="single" w:color="auto" w:sz="4" w:space="0"/>
              <w:right w:val="single" w:color="auto" w:sz="4" w:space="0"/>
            </w:tcBorders>
            <w:vAlign w:val="center"/>
          </w:tcPr>
          <w:p w14:paraId="4BB6FD48">
            <w:pPr>
              <w:jc w:val="center"/>
              <w:rPr>
                <w:rFonts w:hint="eastAsia" w:ascii="宋体" w:hAnsi="宋体" w:eastAsia="宋体" w:cs="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项</w:t>
            </w:r>
          </w:p>
        </w:tc>
        <w:tc>
          <w:tcPr>
            <w:tcW w:w="5588" w:type="dxa"/>
            <w:tcBorders>
              <w:top w:val="single" w:color="auto" w:sz="4" w:space="0"/>
              <w:left w:val="single" w:color="auto" w:sz="4" w:space="0"/>
              <w:bottom w:val="single" w:color="auto" w:sz="4" w:space="0"/>
              <w:right w:val="single" w:color="auto" w:sz="4" w:space="0"/>
            </w:tcBorders>
            <w:vAlign w:val="center"/>
          </w:tcPr>
          <w:p w14:paraId="25832D81">
            <w:pPr>
              <w:jc w:val="left"/>
              <w:rPr>
                <w:rFonts w:ascii="宋体" w:hAnsi="宋体" w:cs="Arial"/>
                <w:color w:val="auto"/>
                <w:szCs w:val="21"/>
              </w:rPr>
            </w:pPr>
            <w:r>
              <w:rPr>
                <w:rFonts w:hint="eastAsia" w:ascii="宋体" w:hAnsi="宋体" w:cs="Arial"/>
                <w:color w:val="auto"/>
                <w:szCs w:val="21"/>
              </w:rPr>
              <w:t>委托第三方专业机构开展2024年广西建筑业企业“走出去”宣传活动。以在广东广州、云南昆明、四川成都</w:t>
            </w:r>
            <w:r>
              <w:rPr>
                <w:rFonts w:hint="eastAsia" w:ascii="宋体" w:hAnsi="宋体" w:cs="Arial"/>
                <w:color w:val="auto"/>
                <w:szCs w:val="21"/>
                <w:lang w:eastAsia="zh-CN"/>
              </w:rPr>
              <w:t>、</w:t>
            </w:r>
            <w:r>
              <w:rPr>
                <w:rFonts w:hint="eastAsia" w:ascii="宋体" w:hAnsi="宋体" w:cs="Arial"/>
                <w:color w:val="auto"/>
                <w:szCs w:val="21"/>
                <w:lang w:val="en-US" w:eastAsia="zh-CN"/>
              </w:rPr>
              <w:t>湖南长沙</w:t>
            </w:r>
            <w:r>
              <w:rPr>
                <w:rFonts w:hint="eastAsia" w:ascii="宋体" w:hAnsi="宋体" w:cs="Arial"/>
                <w:color w:val="auto"/>
                <w:szCs w:val="21"/>
              </w:rPr>
              <w:t>等</w:t>
            </w:r>
            <w:r>
              <w:rPr>
                <w:rFonts w:hint="eastAsia" w:ascii="宋体" w:hAnsi="宋体" w:cs="Arial"/>
                <w:color w:val="auto"/>
                <w:szCs w:val="21"/>
                <w:lang w:val="en-US" w:eastAsia="zh-CN"/>
              </w:rPr>
              <w:t>4</w:t>
            </w:r>
            <w:r>
              <w:rPr>
                <w:rFonts w:hint="eastAsia" w:ascii="宋体" w:hAnsi="宋体" w:cs="Arial"/>
                <w:color w:val="auto"/>
                <w:szCs w:val="21"/>
              </w:rPr>
              <w:t>个国内市场潜力较大的地区举办开展线下推介会和在主流媒体机构、新媒体平台等进行宣传推广的方式进行组合宣传。……具体详见采购文件</w:t>
            </w:r>
          </w:p>
        </w:tc>
      </w:tr>
    </w:tbl>
    <w:p w14:paraId="297256A3">
      <w:pPr>
        <w:spacing w:line="400" w:lineRule="exact"/>
        <w:ind w:firstLine="420" w:firstLineChars="200"/>
        <w:rPr>
          <w:rFonts w:ascii="宋体" w:hAnsi="宋体"/>
          <w:color w:val="auto"/>
          <w:szCs w:val="21"/>
          <w:u w:val="single"/>
        </w:rPr>
      </w:pPr>
      <w:r>
        <w:rPr>
          <w:rFonts w:hint="eastAsia" w:ascii="宋体" w:hAnsi="宋体"/>
          <w:color w:val="auto"/>
          <w:szCs w:val="21"/>
        </w:rPr>
        <w:t>合同履行期限：</w:t>
      </w:r>
      <w:r>
        <w:rPr>
          <w:rFonts w:hint="eastAsia" w:ascii="宋体" w:hAnsi="宋体"/>
          <w:color w:val="auto"/>
          <w:szCs w:val="21"/>
          <w:lang w:eastAsia="zh-CN"/>
        </w:rPr>
        <w:t>2024年9月-202</w:t>
      </w:r>
      <w:r>
        <w:rPr>
          <w:rFonts w:hint="eastAsia" w:ascii="宋体" w:hAnsi="宋体"/>
          <w:color w:val="auto"/>
          <w:szCs w:val="21"/>
          <w:lang w:val="en-US" w:eastAsia="zh-CN"/>
        </w:rPr>
        <w:t>4</w:t>
      </w:r>
      <w:r>
        <w:rPr>
          <w:rFonts w:hint="eastAsia" w:ascii="宋体" w:hAnsi="宋体"/>
          <w:color w:val="auto"/>
          <w:szCs w:val="21"/>
          <w:lang w:eastAsia="zh-CN"/>
        </w:rPr>
        <w:t>年</w:t>
      </w:r>
      <w:r>
        <w:rPr>
          <w:rFonts w:hint="eastAsia" w:ascii="宋体" w:hAnsi="宋体"/>
          <w:color w:val="auto"/>
          <w:szCs w:val="21"/>
          <w:lang w:val="en-US" w:eastAsia="zh-CN"/>
        </w:rPr>
        <w:t>12</w:t>
      </w:r>
      <w:r>
        <w:rPr>
          <w:rFonts w:hint="eastAsia" w:ascii="宋体" w:hAnsi="宋体"/>
          <w:color w:val="auto"/>
          <w:szCs w:val="21"/>
          <w:lang w:eastAsia="zh-CN"/>
        </w:rPr>
        <w:t>月</w:t>
      </w:r>
      <w:r>
        <w:rPr>
          <w:rFonts w:hint="eastAsia" w:ascii="宋体" w:hAnsi="宋体"/>
          <w:color w:val="auto"/>
          <w:szCs w:val="21"/>
        </w:rPr>
        <w:t>。</w:t>
      </w:r>
    </w:p>
    <w:p w14:paraId="1CBCA65B">
      <w:pPr>
        <w:spacing w:line="400" w:lineRule="exact"/>
        <w:ind w:firstLine="422" w:firstLineChars="200"/>
        <w:rPr>
          <w:rFonts w:ascii="宋体" w:hAnsi="宋体"/>
          <w:b/>
          <w:color w:val="auto"/>
          <w:szCs w:val="21"/>
          <w:u w:val="single"/>
        </w:rPr>
      </w:pPr>
      <w:r>
        <w:rPr>
          <w:rFonts w:hint="eastAsia" w:ascii="宋体" w:hAnsi="宋体"/>
          <w:b/>
          <w:color w:val="auto"/>
          <w:szCs w:val="21"/>
          <w:u w:val="single"/>
        </w:rPr>
        <w:t>本项目</w:t>
      </w:r>
      <w:r>
        <w:rPr>
          <w:rFonts w:hint="eastAsia" w:ascii="宋体" w:hAnsi="宋体"/>
          <w:b/>
          <w:color w:val="auto"/>
          <w:szCs w:val="21"/>
          <w:u w:val="single"/>
          <w:lang w:val="en-US" w:eastAsia="zh-CN"/>
        </w:rPr>
        <w:t>可以</w:t>
      </w:r>
      <w:r>
        <w:rPr>
          <w:rFonts w:hint="eastAsia" w:ascii="宋体" w:hAnsi="宋体"/>
          <w:b/>
          <w:color w:val="auto"/>
          <w:szCs w:val="21"/>
          <w:u w:val="single"/>
        </w:rPr>
        <w:t>接受联合体。</w:t>
      </w:r>
    </w:p>
    <w:p w14:paraId="1F9E85A9">
      <w:pPr>
        <w:spacing w:line="400" w:lineRule="exact"/>
        <w:ind w:firstLine="354" w:firstLineChars="147"/>
        <w:rPr>
          <w:rFonts w:ascii="黑体" w:hAnsi="黑体" w:eastAsia="黑体"/>
          <w:b/>
          <w:color w:val="auto"/>
          <w:sz w:val="24"/>
        </w:rPr>
      </w:pPr>
      <w:bookmarkStart w:id="28" w:name="_Toc71365906"/>
      <w:bookmarkStart w:id="29" w:name="_Toc28359090"/>
      <w:bookmarkStart w:id="30" w:name="_Toc28359013"/>
      <w:bookmarkStart w:id="31" w:name="_Toc35393630"/>
      <w:bookmarkStart w:id="32" w:name="_Toc44229879"/>
      <w:bookmarkStart w:id="33" w:name="_Toc35393799"/>
      <w:r>
        <w:rPr>
          <w:rFonts w:hint="eastAsia" w:ascii="黑体" w:hAnsi="黑体" w:eastAsia="黑体"/>
          <w:b/>
          <w:color w:val="auto"/>
          <w:sz w:val="24"/>
        </w:rPr>
        <w:t>二、申请人的资格条件：</w:t>
      </w:r>
      <w:bookmarkEnd w:id="28"/>
      <w:bookmarkEnd w:id="29"/>
      <w:bookmarkEnd w:id="30"/>
      <w:bookmarkEnd w:id="31"/>
      <w:bookmarkEnd w:id="32"/>
      <w:bookmarkEnd w:id="33"/>
    </w:p>
    <w:p w14:paraId="2D0760AB">
      <w:pPr>
        <w:spacing w:line="400" w:lineRule="exact"/>
        <w:ind w:firstLine="420" w:firstLineChars="200"/>
        <w:rPr>
          <w:rFonts w:ascii="宋体" w:hAnsi="宋体"/>
          <w:color w:val="auto"/>
          <w:szCs w:val="21"/>
        </w:rPr>
      </w:pPr>
      <w:bookmarkStart w:id="34" w:name="_Toc28359091"/>
      <w:bookmarkStart w:id="35" w:name="_Toc28359014"/>
      <w:bookmarkStart w:id="36" w:name="_Toc35393631"/>
      <w:bookmarkStart w:id="37" w:name="_Toc44229880"/>
      <w:bookmarkStart w:id="38" w:name="_Toc35393800"/>
      <w:r>
        <w:rPr>
          <w:rFonts w:hint="eastAsia" w:ascii="宋体" w:hAnsi="宋体"/>
          <w:color w:val="auto"/>
          <w:szCs w:val="21"/>
        </w:rPr>
        <w:t>1.满足《中华人民共和国政府采购法》第二十二</w:t>
      </w:r>
      <w:bookmarkStart w:id="195" w:name="_GoBack"/>
      <w:bookmarkEnd w:id="195"/>
      <w:r>
        <w:rPr>
          <w:rFonts w:hint="eastAsia" w:ascii="宋体" w:hAnsi="宋体"/>
          <w:color w:val="auto"/>
          <w:szCs w:val="21"/>
        </w:rPr>
        <w:t>条规定；</w:t>
      </w:r>
    </w:p>
    <w:p w14:paraId="57DAC28A">
      <w:pPr>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.落实政府采购政策需满足的资格要求：本项目所有分标均</w:t>
      </w:r>
      <w:r>
        <w:rPr>
          <w:rFonts w:hint="eastAsia" w:ascii="宋体" w:hAnsi="宋体"/>
          <w:color w:val="auto"/>
          <w:szCs w:val="21"/>
          <w:lang w:eastAsia="zh-CN"/>
        </w:rPr>
        <w:t>不是</w:t>
      </w:r>
      <w:r>
        <w:rPr>
          <w:rFonts w:hint="eastAsia" w:ascii="宋体" w:hAnsi="宋体"/>
          <w:color w:val="auto"/>
          <w:szCs w:val="21"/>
        </w:rPr>
        <w:t>专门面向</w:t>
      </w:r>
      <w:r>
        <w:rPr>
          <w:rFonts w:hint="eastAsia" w:ascii="宋体" w:hAnsi="宋体"/>
          <w:color w:val="auto"/>
          <w:szCs w:val="21"/>
          <w:lang w:eastAsia="zh-CN"/>
        </w:rPr>
        <w:t>中小</w:t>
      </w:r>
      <w:r>
        <w:rPr>
          <w:rFonts w:hint="eastAsia" w:ascii="宋体" w:hAnsi="宋体"/>
          <w:color w:val="auto"/>
          <w:szCs w:val="21"/>
        </w:rPr>
        <w:t>企业采购的项目；</w:t>
      </w:r>
    </w:p>
    <w:p w14:paraId="42D78CA5">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3.本项目的特定资格要求：无</w:t>
      </w:r>
      <w:r>
        <w:rPr>
          <w:rFonts w:hint="eastAsia" w:ascii="宋体" w:hAnsi="宋体"/>
          <w:color w:val="auto"/>
          <w:szCs w:val="21"/>
          <w:lang w:eastAsia="zh-CN"/>
        </w:rPr>
        <w:t>。</w:t>
      </w:r>
    </w:p>
    <w:p w14:paraId="7341277B">
      <w:pPr>
        <w:spacing w:line="400" w:lineRule="exact"/>
        <w:ind w:firstLine="354" w:firstLineChars="147"/>
        <w:rPr>
          <w:rFonts w:ascii="黑体" w:hAnsi="黑体" w:eastAsia="黑体"/>
          <w:b/>
          <w:color w:val="auto"/>
          <w:sz w:val="24"/>
        </w:rPr>
      </w:pPr>
      <w:bookmarkStart w:id="39" w:name="_Toc71365907"/>
      <w:r>
        <w:rPr>
          <w:rFonts w:hint="eastAsia" w:ascii="黑体" w:hAnsi="黑体" w:eastAsia="黑体"/>
          <w:b/>
          <w:color w:val="auto"/>
          <w:sz w:val="24"/>
        </w:rPr>
        <w:t>三、获取竞争性磋商文件</w:t>
      </w:r>
      <w:bookmarkEnd w:id="34"/>
      <w:bookmarkEnd w:id="35"/>
      <w:bookmarkEnd w:id="36"/>
      <w:bookmarkEnd w:id="37"/>
      <w:bookmarkEnd w:id="38"/>
      <w:bookmarkEnd w:id="39"/>
    </w:p>
    <w:p w14:paraId="4D3A528F">
      <w:pPr>
        <w:spacing w:line="400" w:lineRule="exact"/>
        <w:ind w:firstLine="420" w:firstLineChars="200"/>
        <w:rPr>
          <w:rFonts w:ascii="宋体" w:hAnsi="宋体" w:cs="宋体"/>
          <w:bCs/>
          <w:color w:val="auto"/>
          <w:kern w:val="0"/>
          <w:szCs w:val="21"/>
        </w:rPr>
      </w:pPr>
      <w:bookmarkStart w:id="40" w:name="_Toc35393801"/>
      <w:bookmarkStart w:id="41" w:name="_Toc28359092"/>
      <w:bookmarkStart w:id="42" w:name="_Toc44229881"/>
      <w:bookmarkStart w:id="43" w:name="_Toc35393632"/>
      <w:bookmarkStart w:id="44" w:name="_Toc28359015"/>
      <w:r>
        <w:rPr>
          <w:rFonts w:hint="eastAsia" w:ascii="宋体" w:hAnsi="宋体" w:cs="宋体"/>
          <w:bCs/>
          <w:color w:val="auto"/>
          <w:kern w:val="0"/>
          <w:szCs w:val="21"/>
        </w:rPr>
        <w:t>时间：</w:t>
      </w:r>
      <w:r>
        <w:rPr>
          <w:rFonts w:ascii="宋体" w:hAnsi="宋体"/>
          <w:bCs/>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15</w:t>
      </w:r>
      <w:r>
        <w:rPr>
          <w:rFonts w:hint="eastAsia" w:ascii="宋体" w:hAnsi="宋体"/>
          <w:bCs/>
          <w:color w:val="auto"/>
          <w:szCs w:val="21"/>
          <w:u w:val="single"/>
        </w:rPr>
        <w:t>日</w:t>
      </w:r>
      <w:r>
        <w:rPr>
          <w:rFonts w:hint="eastAsia" w:ascii="宋体" w:hAnsi="宋体" w:cs="宋体"/>
          <w:bCs/>
          <w:color w:val="auto"/>
          <w:kern w:val="0"/>
          <w:szCs w:val="21"/>
        </w:rPr>
        <w:t>至</w:t>
      </w:r>
      <w:r>
        <w:rPr>
          <w:rFonts w:ascii="宋体" w:hAnsi="宋体"/>
          <w:bCs/>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24</w:t>
      </w:r>
      <w:r>
        <w:rPr>
          <w:rFonts w:hint="eastAsia" w:ascii="宋体" w:hAnsi="宋体"/>
          <w:bCs/>
          <w:color w:val="auto"/>
          <w:szCs w:val="21"/>
          <w:u w:val="single"/>
        </w:rPr>
        <w:t>日</w:t>
      </w:r>
      <w:r>
        <w:rPr>
          <w:rFonts w:hint="eastAsia" w:ascii="宋体" w:hAnsi="宋体" w:cs="宋体"/>
          <w:bCs/>
          <w:color w:val="auto"/>
          <w:kern w:val="0"/>
          <w:szCs w:val="21"/>
        </w:rPr>
        <w:t>，每天上午</w:t>
      </w:r>
      <w:r>
        <w:rPr>
          <w:rFonts w:hint="eastAsia" w:ascii="宋体" w:hAnsi="宋体" w:cs="宋体"/>
          <w:bCs/>
          <w:color w:val="auto"/>
          <w:kern w:val="0"/>
          <w:szCs w:val="21"/>
          <w:u w:val="single"/>
        </w:rPr>
        <w:t>0:00至12:00，下午12:00至23:59</w:t>
      </w:r>
    </w:p>
    <w:p w14:paraId="2EF8F0D1">
      <w:pPr>
        <w:spacing w:line="4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地点：广西政府采购云平台线上获取</w:t>
      </w:r>
    </w:p>
    <w:p w14:paraId="1CD0BF4A">
      <w:pPr>
        <w:spacing w:line="400" w:lineRule="exact"/>
        <w:ind w:firstLine="420" w:firstLineChars="200"/>
        <w:rPr>
          <w:rFonts w:hint="eastAsia" w:ascii="宋体" w:hAnsi="宋体" w:eastAsia="宋体" w:cs="宋体"/>
          <w:bCs/>
          <w:color w:val="auto"/>
          <w:kern w:val="0"/>
          <w:szCs w:val="21"/>
          <w:lang w:eastAsia="zh-CN"/>
        </w:rPr>
      </w:pPr>
      <w:r>
        <w:rPr>
          <w:rFonts w:hint="eastAsia" w:ascii="宋体" w:hAnsi="宋体" w:cs="宋体"/>
          <w:bCs/>
          <w:color w:val="auto"/>
          <w:kern w:val="0"/>
          <w:szCs w:val="21"/>
        </w:rPr>
        <w:t>方式：网上下载。供应商登录广西政府采购云平台https://www.gcy.zfcg.gxzf.gov.cn/在线申请获取采购文件（进入“项目采购”应用，在获取采购文件菜单中选择项目，申请获取采购文件）</w:t>
      </w:r>
      <w:r>
        <w:rPr>
          <w:rFonts w:hint="eastAsia" w:ascii="宋体" w:hAnsi="宋体" w:cs="宋体"/>
          <w:bCs/>
          <w:color w:val="auto"/>
          <w:kern w:val="0"/>
          <w:szCs w:val="21"/>
          <w:lang w:eastAsia="zh-CN"/>
        </w:rPr>
        <w:t>。</w:t>
      </w:r>
    </w:p>
    <w:p w14:paraId="7BEC29CE">
      <w:pPr>
        <w:spacing w:line="400" w:lineRule="exact"/>
        <w:ind w:firstLine="420" w:firstLineChars="200"/>
        <w:rPr>
          <w:rFonts w:ascii="宋体" w:hAnsi="宋体" w:cs="宋体"/>
          <w:color w:val="auto"/>
          <w:szCs w:val="21"/>
        </w:rPr>
      </w:pPr>
      <w:bookmarkStart w:id="45" w:name="_Toc71365908"/>
      <w:r>
        <w:rPr>
          <w:rFonts w:hint="eastAsia" w:ascii="宋体" w:hAnsi="宋体" w:cs="宋体"/>
          <w:bCs/>
          <w:color w:val="auto"/>
          <w:kern w:val="0"/>
          <w:szCs w:val="21"/>
        </w:rPr>
        <w:t>售价：</w:t>
      </w:r>
      <w:r>
        <w:rPr>
          <w:rFonts w:ascii="宋体" w:hAnsi="宋体" w:cs="宋体"/>
          <w:color w:val="auto"/>
          <w:szCs w:val="21"/>
          <w:u w:val="single"/>
        </w:rPr>
        <w:t>0</w:t>
      </w:r>
      <w:r>
        <w:rPr>
          <w:rFonts w:hint="eastAsia" w:ascii="宋体" w:hAnsi="宋体" w:cs="宋体"/>
          <w:color w:val="auto"/>
          <w:szCs w:val="21"/>
        </w:rPr>
        <w:t>元</w:t>
      </w:r>
    </w:p>
    <w:p w14:paraId="58062348">
      <w:pPr>
        <w:spacing w:line="400" w:lineRule="exact"/>
        <w:ind w:firstLine="354" w:firstLineChars="147"/>
        <w:rPr>
          <w:rFonts w:ascii="黑体" w:hAnsi="黑体" w:eastAsia="黑体"/>
          <w:b/>
          <w:color w:val="auto"/>
          <w:sz w:val="24"/>
        </w:rPr>
      </w:pPr>
      <w:r>
        <w:rPr>
          <w:rFonts w:hint="eastAsia" w:ascii="黑体" w:hAnsi="黑体" w:eastAsia="黑体"/>
          <w:b/>
          <w:color w:val="auto"/>
          <w:sz w:val="24"/>
        </w:rPr>
        <w:t>四、响应文件提交</w:t>
      </w:r>
      <w:bookmarkEnd w:id="40"/>
      <w:bookmarkEnd w:id="41"/>
      <w:bookmarkEnd w:id="42"/>
      <w:bookmarkEnd w:id="43"/>
      <w:bookmarkEnd w:id="44"/>
      <w:bookmarkEnd w:id="45"/>
    </w:p>
    <w:p w14:paraId="28E3DB65">
      <w:pPr>
        <w:spacing w:line="400" w:lineRule="exact"/>
        <w:ind w:firstLine="420" w:firstLineChars="200"/>
        <w:rPr>
          <w:rFonts w:ascii="宋体" w:hAnsi="宋体" w:cs="宋体"/>
          <w:color w:val="auto"/>
          <w:szCs w:val="21"/>
          <w:u w:val="single"/>
        </w:rPr>
      </w:pPr>
      <w:bookmarkStart w:id="46" w:name="_Toc35393802"/>
      <w:bookmarkStart w:id="47" w:name="_Toc35393633"/>
      <w:bookmarkStart w:id="48" w:name="_Toc44229882"/>
      <w:bookmarkStart w:id="49" w:name="_Toc28359016"/>
      <w:bookmarkStart w:id="50" w:name="_Toc28359093"/>
      <w:r>
        <w:rPr>
          <w:rFonts w:hint="eastAsia" w:ascii="宋体" w:hAnsi="宋体"/>
          <w:color w:val="auto"/>
          <w:szCs w:val="21"/>
        </w:rPr>
        <w:t>截止时间：</w:t>
      </w:r>
      <w:r>
        <w:rPr>
          <w:rFonts w:ascii="宋体" w:hAnsi="宋体"/>
          <w:bCs/>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26</w:t>
      </w:r>
      <w:r>
        <w:rPr>
          <w:rFonts w:hint="eastAsia" w:ascii="宋体" w:hAnsi="宋体"/>
          <w:bCs/>
          <w:color w:val="auto"/>
          <w:szCs w:val="21"/>
          <w:u w:val="single"/>
        </w:rPr>
        <w:t>日9时0</w:t>
      </w:r>
      <w:r>
        <w:rPr>
          <w:rFonts w:ascii="宋体" w:hAnsi="宋体"/>
          <w:bCs/>
          <w:color w:val="auto"/>
          <w:szCs w:val="21"/>
          <w:u w:val="single"/>
        </w:rPr>
        <w:t>0</w:t>
      </w:r>
      <w:r>
        <w:rPr>
          <w:rFonts w:hint="eastAsia" w:ascii="宋体" w:hAnsi="宋体"/>
          <w:bCs/>
          <w:color w:val="auto"/>
          <w:szCs w:val="21"/>
          <w:u w:val="single"/>
        </w:rPr>
        <w:t>分</w:t>
      </w:r>
      <w:r>
        <w:rPr>
          <w:rFonts w:hint="eastAsia" w:ascii="宋体" w:hAnsi="宋体"/>
          <w:bCs/>
          <w:color w:val="auto"/>
          <w:szCs w:val="21"/>
        </w:rPr>
        <w:t>（北京时间）</w:t>
      </w:r>
    </w:p>
    <w:p w14:paraId="5AC257B7">
      <w:pPr>
        <w:spacing w:line="400" w:lineRule="exact"/>
        <w:ind w:firstLine="420" w:firstLineChars="200"/>
        <w:rPr>
          <w:rFonts w:ascii="宋体" w:hAnsi="宋体"/>
          <w:color w:val="auto"/>
          <w:szCs w:val="21"/>
        </w:rPr>
      </w:pPr>
      <w:r>
        <w:rPr>
          <w:rFonts w:hint="eastAsia" w:ascii="宋体" w:hAnsi="宋体"/>
          <w:color w:val="auto"/>
          <w:szCs w:val="21"/>
        </w:rPr>
        <w:t>地点：请登录广西政府采购云平台投标客户端投标</w:t>
      </w:r>
    </w:p>
    <w:p w14:paraId="153FA482">
      <w:pPr>
        <w:spacing w:line="400" w:lineRule="exact"/>
        <w:ind w:firstLine="354" w:firstLineChars="147"/>
        <w:rPr>
          <w:rFonts w:ascii="黑体" w:hAnsi="黑体" w:eastAsia="黑体"/>
          <w:b/>
          <w:color w:val="auto"/>
          <w:sz w:val="24"/>
        </w:rPr>
      </w:pPr>
      <w:bookmarkStart w:id="51" w:name="_Toc71365909"/>
      <w:r>
        <w:rPr>
          <w:rFonts w:hint="eastAsia" w:ascii="黑体" w:hAnsi="黑体" w:eastAsia="黑体"/>
          <w:b/>
          <w:color w:val="auto"/>
          <w:sz w:val="24"/>
        </w:rPr>
        <w:t>五、开启</w:t>
      </w:r>
      <w:bookmarkEnd w:id="46"/>
      <w:bookmarkEnd w:id="47"/>
      <w:bookmarkEnd w:id="48"/>
      <w:bookmarkEnd w:id="49"/>
      <w:bookmarkEnd w:id="50"/>
      <w:bookmarkEnd w:id="51"/>
    </w:p>
    <w:p w14:paraId="5E8796D9">
      <w:pPr>
        <w:spacing w:line="400" w:lineRule="exact"/>
        <w:ind w:firstLine="420" w:firstLineChars="200"/>
        <w:rPr>
          <w:rFonts w:ascii="宋体" w:hAnsi="宋体"/>
          <w:bCs/>
          <w:color w:val="auto"/>
          <w:szCs w:val="21"/>
          <w:u w:val="single"/>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时间：</w:t>
      </w:r>
      <w:r>
        <w:rPr>
          <w:rFonts w:ascii="宋体" w:hAnsi="宋体"/>
          <w:bCs/>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26</w:t>
      </w:r>
      <w:r>
        <w:rPr>
          <w:rFonts w:hint="eastAsia" w:ascii="宋体" w:hAnsi="宋体"/>
          <w:bCs/>
          <w:color w:val="auto"/>
          <w:szCs w:val="21"/>
          <w:u w:val="single"/>
        </w:rPr>
        <w:t>日9时0</w:t>
      </w:r>
      <w:r>
        <w:rPr>
          <w:rFonts w:ascii="宋体" w:hAnsi="宋体"/>
          <w:bCs/>
          <w:color w:val="auto"/>
          <w:szCs w:val="21"/>
          <w:u w:val="single"/>
        </w:rPr>
        <w:t>0</w:t>
      </w:r>
      <w:r>
        <w:rPr>
          <w:rFonts w:hint="eastAsia" w:ascii="宋体" w:hAnsi="宋体"/>
          <w:bCs/>
          <w:color w:val="auto"/>
          <w:szCs w:val="21"/>
          <w:u w:val="single"/>
        </w:rPr>
        <w:t>分后</w:t>
      </w:r>
      <w:r>
        <w:rPr>
          <w:rFonts w:hint="eastAsia" w:ascii="宋体" w:hAnsi="宋体"/>
          <w:bCs/>
          <w:color w:val="auto"/>
          <w:szCs w:val="21"/>
        </w:rPr>
        <w:t>（北京时间）</w:t>
      </w:r>
    </w:p>
    <w:p w14:paraId="00F50117">
      <w:pPr>
        <w:spacing w:line="400" w:lineRule="exact"/>
        <w:ind w:firstLine="420" w:firstLineChars="200"/>
        <w:rPr>
          <w:rFonts w:ascii="宋体" w:hAnsi="宋体"/>
          <w:bCs/>
          <w:color w:val="auto"/>
          <w:szCs w:val="21"/>
          <w:u w:val="single"/>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地点：广西政府采购云平台（https://www.gcy.zfcg.gxzf.gov.cn/）</w:t>
      </w:r>
    </w:p>
    <w:p w14:paraId="6E69723D">
      <w:pPr>
        <w:spacing w:line="400" w:lineRule="exact"/>
        <w:ind w:firstLine="354" w:firstLineChars="147"/>
        <w:rPr>
          <w:rFonts w:ascii="黑体" w:hAnsi="黑体" w:eastAsia="黑体"/>
          <w:b/>
          <w:color w:val="auto"/>
          <w:sz w:val="24"/>
        </w:rPr>
      </w:pPr>
      <w:bookmarkStart w:id="52" w:name="_Toc44229883"/>
      <w:bookmarkStart w:id="53" w:name="_Toc28359017"/>
      <w:bookmarkStart w:id="54" w:name="_Toc35393634"/>
      <w:bookmarkStart w:id="55" w:name="_Toc71365910"/>
      <w:bookmarkStart w:id="56" w:name="_Toc28359094"/>
      <w:bookmarkStart w:id="57" w:name="_Toc35393803"/>
      <w:r>
        <w:rPr>
          <w:rFonts w:hint="eastAsia" w:ascii="黑体" w:hAnsi="黑体" w:eastAsia="黑体"/>
          <w:b/>
          <w:color w:val="auto"/>
          <w:sz w:val="24"/>
        </w:rPr>
        <w:t>六、公告期限</w:t>
      </w:r>
      <w:bookmarkEnd w:id="52"/>
      <w:bookmarkEnd w:id="53"/>
      <w:bookmarkEnd w:id="54"/>
      <w:bookmarkEnd w:id="55"/>
      <w:bookmarkEnd w:id="56"/>
      <w:bookmarkEnd w:id="57"/>
    </w:p>
    <w:p w14:paraId="45A7D184">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5</w:t>
      </w:r>
      <w:r>
        <w:rPr>
          <w:rFonts w:hint="eastAsia" w:ascii="宋体" w:hAnsi="宋体" w:cs="宋体"/>
          <w:color w:val="auto"/>
          <w:kern w:val="0"/>
          <w:szCs w:val="21"/>
        </w:rPr>
        <w:t>个工作日。</w:t>
      </w:r>
    </w:p>
    <w:p w14:paraId="041AEB0F">
      <w:pPr>
        <w:spacing w:line="400" w:lineRule="exact"/>
        <w:ind w:firstLine="354" w:firstLineChars="147"/>
        <w:rPr>
          <w:rFonts w:ascii="黑体" w:hAnsi="黑体" w:eastAsia="黑体"/>
          <w:b/>
          <w:color w:val="auto"/>
          <w:sz w:val="24"/>
        </w:rPr>
      </w:pPr>
      <w:bookmarkStart w:id="58" w:name="_Toc44229884"/>
      <w:bookmarkStart w:id="59" w:name="_Toc71365911"/>
      <w:bookmarkStart w:id="60" w:name="_Toc35393635"/>
      <w:bookmarkStart w:id="61" w:name="_Toc35393804"/>
      <w:r>
        <w:rPr>
          <w:rFonts w:hint="eastAsia" w:ascii="黑体" w:hAnsi="黑体" w:eastAsia="黑体"/>
          <w:b/>
          <w:color w:val="auto"/>
          <w:sz w:val="24"/>
        </w:rPr>
        <w:t>七、其他补充事宜</w:t>
      </w:r>
      <w:bookmarkEnd w:id="58"/>
      <w:bookmarkEnd w:id="59"/>
      <w:bookmarkEnd w:id="60"/>
      <w:bookmarkEnd w:id="61"/>
    </w:p>
    <w:p w14:paraId="7E41315C">
      <w:pPr>
        <w:spacing w:line="400"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网上查询地址</w:t>
      </w:r>
    </w:p>
    <w:p w14:paraId="1E59AA7A">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中国政府采购网（http://www.ccgp.gov.cn/）、广西壮族自治区政府采购网（http://zfcg.gxzf.gov.cn/）</w:t>
      </w:r>
    </w:p>
    <w:p w14:paraId="69744154">
      <w:pPr>
        <w:spacing w:line="400" w:lineRule="exact"/>
        <w:ind w:firstLine="424" w:firstLineChars="202"/>
        <w:rPr>
          <w:rFonts w:ascii="宋体" w:hAnsi="宋体" w:cs="宋体"/>
          <w:color w:val="auto"/>
          <w:kern w:val="0"/>
          <w:szCs w:val="21"/>
        </w:rPr>
      </w:pPr>
      <w:bookmarkStart w:id="62" w:name="_Hlk37429674"/>
      <w:bookmarkStart w:id="63" w:name="_Toc44229885"/>
      <w:bookmarkStart w:id="64" w:name="_Toc35393636"/>
      <w:bookmarkStart w:id="65" w:name="_Toc28359018"/>
      <w:bookmarkStart w:id="66" w:name="_Toc35393805"/>
      <w:bookmarkStart w:id="67" w:name="_Toc28359095"/>
      <w:r>
        <w:rPr>
          <w:rFonts w:ascii="宋体" w:hAnsi="宋体"/>
          <w:color w:val="auto"/>
          <w:szCs w:val="21"/>
        </w:rPr>
        <w:t>2.</w:t>
      </w:r>
      <w:r>
        <w:rPr>
          <w:rFonts w:hint="eastAsia" w:ascii="宋体" w:hAnsi="宋体" w:cs="宋体"/>
          <w:color w:val="auto"/>
          <w:kern w:val="0"/>
          <w:szCs w:val="21"/>
        </w:rPr>
        <w:t>本项目需要落实的政府采购政策</w:t>
      </w:r>
    </w:p>
    <w:p w14:paraId="1E191886">
      <w:pPr>
        <w:spacing w:line="400" w:lineRule="exact"/>
        <w:ind w:firstLine="420" w:firstLineChars="200"/>
        <w:rPr>
          <w:rFonts w:ascii="宋体" w:hAnsi="宋体" w:cs="宋体"/>
          <w:iCs/>
          <w:color w:val="auto"/>
          <w:kern w:val="0"/>
          <w:szCs w:val="21"/>
        </w:rPr>
      </w:pPr>
      <w:r>
        <w:rPr>
          <w:rFonts w:hint="eastAsia" w:ascii="宋体" w:hAnsi="宋体" w:cs="宋体"/>
          <w:iCs/>
          <w:color w:val="auto"/>
          <w:kern w:val="0"/>
          <w:szCs w:val="21"/>
        </w:rPr>
        <w:t>（1）政府采购促进中小企业发展。</w:t>
      </w:r>
    </w:p>
    <w:p w14:paraId="187C1E35">
      <w:pPr>
        <w:spacing w:line="400" w:lineRule="exact"/>
        <w:ind w:firstLine="420" w:firstLineChars="200"/>
        <w:rPr>
          <w:rFonts w:ascii="宋体" w:hAnsi="宋体" w:cs="宋体"/>
          <w:iCs/>
          <w:color w:val="auto"/>
          <w:kern w:val="0"/>
          <w:szCs w:val="21"/>
        </w:rPr>
      </w:pPr>
      <w:r>
        <w:rPr>
          <w:rFonts w:hint="eastAsia" w:ascii="宋体" w:hAnsi="宋体" w:cs="宋体"/>
          <w:iCs/>
          <w:color w:val="auto"/>
          <w:kern w:val="0"/>
          <w:szCs w:val="21"/>
        </w:rPr>
        <w:t>（2）政府采购支持采用本国产品的政策。</w:t>
      </w:r>
    </w:p>
    <w:p w14:paraId="402A038C">
      <w:pPr>
        <w:spacing w:line="400" w:lineRule="exact"/>
        <w:ind w:firstLine="420" w:firstLineChars="200"/>
        <w:rPr>
          <w:rFonts w:ascii="宋体" w:hAnsi="宋体" w:cs="宋体"/>
          <w:iCs/>
          <w:color w:val="auto"/>
          <w:kern w:val="0"/>
          <w:szCs w:val="21"/>
        </w:rPr>
      </w:pPr>
      <w:r>
        <w:rPr>
          <w:rFonts w:hint="eastAsia" w:ascii="宋体" w:hAnsi="宋体" w:cs="宋体"/>
          <w:iCs/>
          <w:color w:val="auto"/>
          <w:kern w:val="0"/>
          <w:szCs w:val="21"/>
        </w:rPr>
        <w:t>（3）强制采购节能产品；优先采购节能产品、环境标志产品。</w:t>
      </w:r>
    </w:p>
    <w:p w14:paraId="27C78CD7">
      <w:pPr>
        <w:spacing w:line="400" w:lineRule="exact"/>
        <w:ind w:firstLine="420" w:firstLineChars="200"/>
        <w:rPr>
          <w:rFonts w:ascii="宋体" w:hAnsi="宋体" w:cs="宋体"/>
          <w:iCs/>
          <w:color w:val="auto"/>
          <w:kern w:val="0"/>
          <w:szCs w:val="21"/>
        </w:rPr>
      </w:pPr>
      <w:r>
        <w:rPr>
          <w:rFonts w:hint="eastAsia" w:ascii="宋体" w:hAnsi="宋体" w:cs="宋体"/>
          <w:iCs/>
          <w:color w:val="auto"/>
          <w:kern w:val="0"/>
          <w:szCs w:val="21"/>
        </w:rPr>
        <w:t>（4）政府采购促进残疾人就业政策。</w:t>
      </w:r>
    </w:p>
    <w:p w14:paraId="373A1F2C">
      <w:pPr>
        <w:spacing w:line="400" w:lineRule="exact"/>
        <w:ind w:firstLine="420" w:firstLineChars="200"/>
        <w:rPr>
          <w:rFonts w:ascii="宋体" w:hAnsi="宋体" w:cs="宋体"/>
          <w:iCs/>
          <w:color w:val="auto"/>
          <w:kern w:val="0"/>
          <w:szCs w:val="21"/>
        </w:rPr>
      </w:pPr>
      <w:r>
        <w:rPr>
          <w:rFonts w:hint="eastAsia" w:ascii="宋体" w:hAnsi="宋体" w:cs="宋体"/>
          <w:iCs/>
          <w:color w:val="auto"/>
          <w:kern w:val="0"/>
          <w:szCs w:val="21"/>
        </w:rPr>
        <w:t>（5）政府采购支持监狱企业发展。</w:t>
      </w:r>
    </w:p>
    <w:bookmarkEnd w:id="62"/>
    <w:p w14:paraId="4BD512D3">
      <w:pPr>
        <w:widowControl/>
        <w:spacing w:line="400" w:lineRule="exact"/>
        <w:ind w:firstLine="422" w:firstLineChars="200"/>
        <w:jc w:val="left"/>
        <w:rPr>
          <w:rFonts w:ascii="宋体" w:hAnsi="宋体"/>
          <w:b/>
          <w:color w:val="auto"/>
          <w:szCs w:val="21"/>
        </w:rPr>
      </w:pPr>
      <w:r>
        <w:rPr>
          <w:rFonts w:ascii="宋体" w:hAnsi="宋体" w:cs="宋体"/>
          <w:b/>
          <w:color w:val="auto"/>
          <w:kern w:val="0"/>
          <w:szCs w:val="21"/>
        </w:rPr>
        <w:t>3</w:t>
      </w:r>
      <w:r>
        <w:rPr>
          <w:rFonts w:hint="eastAsia" w:ascii="宋体" w:hAnsi="宋体" w:cs="宋体"/>
          <w:b/>
          <w:color w:val="auto"/>
          <w:kern w:val="0"/>
          <w:szCs w:val="21"/>
        </w:rPr>
        <w:t>.供应商</w:t>
      </w:r>
      <w:r>
        <w:rPr>
          <w:rFonts w:hint="eastAsia" w:ascii="宋体" w:hAnsi="宋体"/>
          <w:b/>
          <w:color w:val="auto"/>
          <w:szCs w:val="21"/>
        </w:rPr>
        <w:t>竞标注意事项</w:t>
      </w:r>
    </w:p>
    <w:p w14:paraId="4CEBB598">
      <w:pPr>
        <w:widowControl/>
        <w:spacing w:line="400" w:lineRule="exact"/>
        <w:ind w:firstLine="420" w:firstLineChars="200"/>
        <w:jc w:val="left"/>
        <w:rPr>
          <w:rFonts w:ascii="宋体" w:hAnsi="宋体"/>
          <w:color w:val="auto"/>
          <w:szCs w:val="21"/>
        </w:rPr>
      </w:pPr>
      <w:r>
        <w:rPr>
          <w:rFonts w:hint="eastAsia" w:ascii="宋体" w:hAnsi="宋体"/>
          <w:color w:val="auto"/>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rPr>
        <w:t>后缀名为“jm</w:t>
      </w:r>
      <w:r>
        <w:rPr>
          <w:color w:val="auto"/>
        </w:rPr>
        <w:t>bs</w:t>
      </w:r>
      <w:r>
        <w:rPr>
          <w:rFonts w:hint="eastAsia"/>
          <w:color w:val="auto"/>
        </w:rPr>
        <w:t>”的文件</w:t>
      </w:r>
      <w:r>
        <w:rPr>
          <w:rFonts w:hint="eastAsia" w:ascii="宋体" w:hAnsi="宋体"/>
          <w:color w:val="auto"/>
          <w:szCs w:val="21"/>
        </w:rPr>
        <w:t>），</w:t>
      </w:r>
      <w:r>
        <w:rPr>
          <w:rFonts w:hint="eastAsia" w:ascii="宋体" w:hAnsi="宋体"/>
          <w:b/>
          <w:color w:val="auto"/>
          <w:szCs w:val="21"/>
        </w:rPr>
        <w:t>供应商在广西政府采购云平台提交电子响应文件时，请填写参加远程采购活动经办人联系方式。</w:t>
      </w:r>
      <w:r>
        <w:rPr>
          <w:rFonts w:hint="eastAsia" w:ascii="宋体" w:hAnsi="宋体"/>
          <w:color w:val="auto"/>
          <w:szCs w:val="21"/>
        </w:rPr>
        <w:t>供应商登录广西政府采购云平台，依次进入“服务中心-项目采购-操作流程-电子招投标-</w:t>
      </w:r>
      <w:r>
        <w:rPr>
          <w:rFonts w:hint="eastAsia"/>
          <w:color w:val="auto"/>
        </w:rPr>
        <w:t>政府采购项目电子交易管理操作指南</w:t>
      </w:r>
      <w:r>
        <w:rPr>
          <w:color w:val="auto"/>
        </w:rPr>
        <w:t>-</w:t>
      </w:r>
      <w:r>
        <w:rPr>
          <w:rFonts w:hint="eastAsia"/>
          <w:color w:val="auto"/>
        </w:rPr>
        <w:t>供应商</w:t>
      </w:r>
      <w:r>
        <w:rPr>
          <w:rFonts w:hint="eastAsia" w:ascii="宋体" w:hAnsi="宋体"/>
          <w:color w:val="auto"/>
          <w:szCs w:val="21"/>
        </w:rPr>
        <w:t>”查看电子竞标具体操作流程。</w:t>
      </w:r>
    </w:p>
    <w:p w14:paraId="41542543">
      <w:pPr>
        <w:widowControl/>
        <w:spacing w:line="400" w:lineRule="exact"/>
        <w:ind w:firstLine="420" w:firstLineChars="200"/>
        <w:jc w:val="left"/>
        <w:rPr>
          <w:rFonts w:ascii="宋体" w:hAnsi="宋体"/>
          <w:color w:val="auto"/>
          <w:szCs w:val="21"/>
        </w:rPr>
      </w:pPr>
      <w:r>
        <w:rPr>
          <w:rFonts w:hint="eastAsia" w:ascii="宋体" w:hAnsi="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Pr>
          <w:rFonts w:hint="eastAsia" w:ascii="宋体" w:hAnsi="宋体" w:cs="宋体"/>
          <w:color w:val="auto"/>
          <w:kern w:val="0"/>
          <w:szCs w:val="21"/>
        </w:rPr>
        <w:t>，</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如在操作过程中遇到问题或者需要技术支持，请致电客服热线：</w:t>
      </w:r>
      <w:r>
        <w:rPr>
          <w:rFonts w:hint="eastAsia" w:ascii="宋体" w:hAnsi="宋体" w:cs="宋体"/>
          <w:color w:val="auto"/>
          <w:kern w:val="0"/>
          <w:szCs w:val="21"/>
        </w:rPr>
        <w:t>95763</w:t>
      </w:r>
      <w:r>
        <w:rPr>
          <w:rFonts w:hint="eastAsia" w:ascii="宋体" w:hAnsi="宋体"/>
          <w:color w:val="auto"/>
          <w:szCs w:val="21"/>
        </w:rPr>
        <w:t>）。</w:t>
      </w:r>
    </w:p>
    <w:p w14:paraId="219FA2E3">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（3）CA证书在线解密：首次响应文件开启时，需携带制作响应文件时用来加密的有效数字证书（CA认证）登录</w:t>
      </w:r>
      <w:r>
        <w:rPr>
          <w:rFonts w:hint="eastAsia" w:ascii="宋体" w:hAnsi="宋体"/>
          <w:color w:val="auto"/>
          <w:szCs w:val="21"/>
        </w:rPr>
        <w:t>广西政府采购云平台</w:t>
      </w:r>
      <w:r>
        <w:rPr>
          <w:rFonts w:hint="eastAsia" w:ascii="宋体" w:hAnsi="宋体" w:cs="宋体"/>
          <w:color w:val="auto"/>
          <w:kern w:val="0"/>
          <w:szCs w:val="21"/>
        </w:rPr>
        <w:t>电子开标大厅现场按规定时间对加密的响应文件进行解密，否则后果自负。</w:t>
      </w:r>
    </w:p>
    <w:p w14:paraId="4BB6B4BD">
      <w:pPr>
        <w:widowControl/>
        <w:spacing w:line="400" w:lineRule="exact"/>
        <w:ind w:firstLine="420" w:firstLineChars="200"/>
        <w:jc w:val="left"/>
        <w:rPr>
          <w:rFonts w:ascii="宋体" w:hAnsi="宋体"/>
          <w:color w:val="auto"/>
          <w:szCs w:val="21"/>
        </w:rPr>
      </w:pPr>
      <w:r>
        <w:rPr>
          <w:rFonts w:hint="eastAsia" w:ascii="宋体" w:hAnsi="宋体"/>
          <w:color w:val="auto"/>
          <w:szCs w:val="21"/>
        </w:rPr>
        <w:t>注：</w:t>
      </w:r>
    </w:p>
    <w:p w14:paraId="7D9A97F5">
      <w:pPr>
        <w:widowControl/>
        <w:spacing w:line="400" w:lineRule="exact"/>
        <w:ind w:firstLine="420" w:firstLineChars="200"/>
        <w:jc w:val="left"/>
        <w:rPr>
          <w:rFonts w:ascii="宋体" w:hAnsi="宋体"/>
          <w:color w:val="auto"/>
          <w:szCs w:val="21"/>
        </w:rPr>
      </w:pPr>
      <w:r>
        <w:rPr>
          <w:rFonts w:hint="eastAsia" w:ascii="宋体" w:hAnsi="宋体"/>
          <w:color w:val="auto"/>
          <w:szCs w:val="21"/>
        </w:rPr>
        <w:t>①为确保网上操作合法、有效和安全，请供应商确保在电子竞标过程中能够对相关数据电文进行加密和使用电子签章，妥善保管CA数字证书并使用有效的CA数字证书参与整个采购活动。</w:t>
      </w:r>
    </w:p>
    <w:p w14:paraId="666C67EE">
      <w:pPr>
        <w:widowControl/>
        <w:spacing w:line="400" w:lineRule="exact"/>
        <w:ind w:firstLine="420" w:firstLineChars="200"/>
        <w:jc w:val="left"/>
        <w:rPr>
          <w:rFonts w:ascii="宋体" w:hAnsi="宋体"/>
          <w:bCs/>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2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hint="eastAsia" w:ascii="宋体" w:hAnsi="宋体"/>
          <w:bCs/>
          <w:color w:val="auto"/>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olor w:val="auto"/>
          <w:szCs w:val="21"/>
        </w:rPr>
        <w:t>广西政府采购云平台</w:t>
      </w:r>
      <w:r>
        <w:rPr>
          <w:rFonts w:hint="eastAsia" w:ascii="宋体" w:hAnsi="宋体"/>
          <w:bCs/>
          <w:color w:val="auto"/>
          <w:szCs w:val="21"/>
        </w:rPr>
        <w:t>将予以拒收。</w:t>
      </w:r>
    </w:p>
    <w:p w14:paraId="25788122">
      <w:pPr>
        <w:spacing w:line="400" w:lineRule="exact"/>
        <w:ind w:firstLine="420" w:firstLineChars="200"/>
        <w:rPr>
          <w:rFonts w:ascii="宋体" w:hAnsi="宋体" w:cs="宋体"/>
          <w:b w:val="0"/>
          <w:bCs/>
          <w:color w:val="auto"/>
          <w:kern w:val="0"/>
          <w:szCs w:val="21"/>
        </w:rPr>
      </w:pPr>
      <w:r>
        <w:rPr>
          <w:rFonts w:hint="eastAsia" w:ascii="宋体" w:hAnsi="宋体" w:cs="宋体"/>
          <w:b w:val="0"/>
          <w:bCs/>
          <w:color w:val="auto"/>
          <w:kern w:val="0"/>
          <w:szCs w:val="21"/>
        </w:rPr>
        <w:t>（4）供应商需要在具备有摄像头及语音功能且互联网网络状况良好的电脑登录广西政府采购云平台远程开标大厅参与本次磋商，否则后果自负。</w:t>
      </w:r>
    </w:p>
    <w:p w14:paraId="6753782C">
      <w:pPr>
        <w:spacing w:line="400" w:lineRule="exact"/>
        <w:ind w:firstLine="354" w:firstLineChars="147"/>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63"/>
      <w:bookmarkEnd w:id="64"/>
      <w:bookmarkEnd w:id="65"/>
      <w:bookmarkEnd w:id="66"/>
      <w:bookmarkEnd w:id="67"/>
    </w:p>
    <w:p w14:paraId="3C5B3642">
      <w:pPr>
        <w:spacing w:line="400" w:lineRule="exact"/>
        <w:ind w:firstLine="420" w:firstLineChars="200"/>
        <w:rPr>
          <w:rFonts w:ascii="宋体" w:hAnsi="宋体" w:cs="宋体"/>
          <w:color w:val="auto"/>
          <w:kern w:val="0"/>
          <w:szCs w:val="21"/>
        </w:rPr>
      </w:pPr>
      <w:bookmarkStart w:id="68" w:name="_Toc28359019"/>
      <w:bookmarkStart w:id="69" w:name="_Toc35393806"/>
      <w:bookmarkStart w:id="70" w:name="_Toc28359096"/>
      <w:bookmarkStart w:id="71" w:name="_Toc35393637"/>
      <w:r>
        <w:rPr>
          <w:rFonts w:hint="eastAsia" w:ascii="宋体" w:hAnsi="宋体" w:cs="宋体"/>
          <w:color w:val="auto"/>
          <w:kern w:val="0"/>
          <w:szCs w:val="21"/>
        </w:rPr>
        <w:t>1.采购人信息</w:t>
      </w:r>
      <w:bookmarkEnd w:id="68"/>
      <w:bookmarkEnd w:id="69"/>
      <w:bookmarkEnd w:id="70"/>
      <w:bookmarkEnd w:id="71"/>
    </w:p>
    <w:p w14:paraId="27E41AD8">
      <w:pPr>
        <w:spacing w:line="400" w:lineRule="exact"/>
        <w:ind w:firstLine="420" w:firstLineChars="200"/>
        <w:jc w:val="left"/>
        <w:rPr>
          <w:rFonts w:hint="eastAsia" w:ascii="宋体" w:hAnsi="宋体" w:eastAsia="宋体"/>
          <w:color w:val="auto"/>
          <w:szCs w:val="21"/>
          <w:lang w:eastAsia="zh-CN"/>
        </w:rPr>
      </w:pPr>
      <w:r>
        <w:rPr>
          <w:rFonts w:hint="eastAsia" w:ascii="宋体" w:hAnsi="宋体"/>
          <w:color w:val="auto"/>
          <w:szCs w:val="21"/>
        </w:rPr>
        <w:t>名    称：</w:t>
      </w:r>
      <w:r>
        <w:rPr>
          <w:rFonts w:hint="eastAsia" w:ascii="宋体" w:hAnsi="宋体"/>
          <w:color w:val="auto"/>
          <w:szCs w:val="21"/>
          <w:lang w:eastAsia="zh-CN"/>
        </w:rPr>
        <w:t>广西壮族自治区住房和城乡建设厅</w:t>
      </w:r>
    </w:p>
    <w:p w14:paraId="49BE659D">
      <w:pPr>
        <w:snapToGrid w:val="0"/>
        <w:spacing w:line="360" w:lineRule="exact"/>
        <w:ind w:firstLine="420" w:firstLineChars="200"/>
        <w:rPr>
          <w:rFonts w:ascii="宋体" w:hAnsi="宋体" w:cs="Arial"/>
          <w:color w:val="auto"/>
          <w:szCs w:val="21"/>
        </w:rPr>
      </w:pPr>
      <w:bookmarkStart w:id="72" w:name="_Toc35393807"/>
      <w:bookmarkStart w:id="73" w:name="_Toc28359020"/>
      <w:bookmarkStart w:id="74" w:name="_Toc35393638"/>
      <w:bookmarkStart w:id="75" w:name="_Toc28359097"/>
      <w:r>
        <w:rPr>
          <w:rFonts w:hint="eastAsia" w:ascii="宋体" w:hAnsi="宋体" w:cs="Arial"/>
          <w:color w:val="auto"/>
          <w:szCs w:val="21"/>
        </w:rPr>
        <w:t>地    址：南宁市金湖路58号</w:t>
      </w:r>
    </w:p>
    <w:p w14:paraId="6E98C687">
      <w:pPr>
        <w:snapToGrid w:val="0"/>
        <w:spacing w:line="360" w:lineRule="exact"/>
        <w:ind w:firstLine="420" w:firstLineChars="200"/>
        <w:rPr>
          <w:rFonts w:hint="eastAsia" w:ascii="宋体" w:hAnsi="宋体" w:eastAsia="宋体" w:cs="Arial"/>
          <w:color w:val="auto"/>
          <w:szCs w:val="21"/>
          <w:lang w:val="en-US" w:eastAsia="zh-CN"/>
        </w:rPr>
      </w:pPr>
      <w:r>
        <w:rPr>
          <w:rFonts w:hint="eastAsia" w:ascii="宋体" w:hAnsi="宋体" w:cs="Arial"/>
          <w:color w:val="auto"/>
          <w:szCs w:val="21"/>
          <w:lang w:val="en-US" w:eastAsia="zh-CN"/>
        </w:rPr>
        <w:t>项目联系人：唐迪翊</w:t>
      </w:r>
    </w:p>
    <w:p w14:paraId="2FD57B98">
      <w:pPr>
        <w:snapToGrid w:val="0"/>
        <w:spacing w:line="360" w:lineRule="exact"/>
        <w:ind w:firstLine="420" w:firstLineChars="200"/>
        <w:rPr>
          <w:rFonts w:hint="eastAsia" w:ascii="宋体" w:hAnsi="宋体" w:eastAsia="宋体" w:cs="Arial"/>
          <w:color w:val="auto"/>
          <w:szCs w:val="21"/>
          <w:lang w:val="en-US" w:eastAsia="zh-CN"/>
        </w:rPr>
      </w:pPr>
      <w:r>
        <w:rPr>
          <w:rFonts w:hint="eastAsia" w:ascii="宋体" w:hAnsi="宋体" w:cs="Arial"/>
          <w:color w:val="auto"/>
          <w:szCs w:val="21"/>
        </w:rPr>
        <w:t>联系方式：</w:t>
      </w:r>
      <w:r>
        <w:rPr>
          <w:rFonts w:hint="eastAsia" w:ascii="宋体" w:hAnsi="宋体" w:cs="Arial"/>
          <w:color w:val="auto"/>
          <w:szCs w:val="21"/>
          <w:lang w:val="en-US" w:eastAsia="zh-CN"/>
        </w:rPr>
        <w:t>0771-2368392</w:t>
      </w:r>
    </w:p>
    <w:p w14:paraId="6F46558B">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2.采购代理机构信息</w:t>
      </w:r>
      <w:bookmarkEnd w:id="72"/>
      <w:bookmarkEnd w:id="73"/>
      <w:bookmarkEnd w:id="74"/>
      <w:bookmarkEnd w:id="75"/>
    </w:p>
    <w:p w14:paraId="25CF023F">
      <w:pPr>
        <w:spacing w:line="400" w:lineRule="exact"/>
        <w:ind w:firstLine="420" w:firstLineChars="200"/>
        <w:rPr>
          <w:rFonts w:hint="eastAsia" w:ascii="宋体" w:hAnsi="宋体" w:eastAsia="宋体"/>
          <w:i w:val="0"/>
          <w:iCs w:val="0"/>
          <w:color w:val="auto"/>
          <w:szCs w:val="21"/>
          <w:u w:val="none"/>
          <w:lang w:eastAsia="zh-CN"/>
        </w:rPr>
      </w:pPr>
      <w:r>
        <w:rPr>
          <w:rFonts w:hint="eastAsia" w:ascii="宋体" w:hAnsi="宋体"/>
          <w:i w:val="0"/>
          <w:iCs w:val="0"/>
          <w:color w:val="auto"/>
          <w:szCs w:val="21"/>
          <w:u w:val="none"/>
        </w:rPr>
        <w:t>名    称：</w:t>
      </w:r>
      <w:r>
        <w:rPr>
          <w:rFonts w:hint="eastAsia" w:ascii="宋体" w:hAnsi="宋体"/>
          <w:i w:val="0"/>
          <w:iCs w:val="0"/>
          <w:color w:val="auto"/>
          <w:szCs w:val="21"/>
          <w:u w:val="none"/>
          <w:lang w:eastAsia="zh-CN"/>
        </w:rPr>
        <w:t>南宁斗方工程咨询有限公司</w:t>
      </w:r>
    </w:p>
    <w:p w14:paraId="716E2B88">
      <w:pPr>
        <w:spacing w:line="400" w:lineRule="exact"/>
        <w:ind w:firstLine="420" w:firstLineChars="200"/>
        <w:rPr>
          <w:rFonts w:ascii="宋体" w:hAnsi="宋体"/>
          <w:i w:val="0"/>
          <w:iCs w:val="0"/>
          <w:color w:val="auto"/>
          <w:szCs w:val="21"/>
          <w:u w:val="none"/>
        </w:rPr>
      </w:pPr>
      <w:r>
        <w:rPr>
          <w:rFonts w:hint="eastAsia" w:ascii="宋体" w:hAnsi="宋体"/>
          <w:i w:val="0"/>
          <w:iCs w:val="0"/>
          <w:color w:val="auto"/>
          <w:szCs w:val="21"/>
          <w:u w:val="none"/>
        </w:rPr>
        <w:t xml:space="preserve">地　　址：南宁市青秀区金浦路18-2号风尚80·住宅楼710号 </w:t>
      </w:r>
    </w:p>
    <w:p w14:paraId="7B63681A">
      <w:pPr>
        <w:spacing w:line="400" w:lineRule="exact"/>
        <w:ind w:firstLine="420" w:firstLineChars="200"/>
        <w:rPr>
          <w:rFonts w:hint="default" w:ascii="宋体" w:hAnsi="宋体" w:eastAsia="宋体"/>
          <w:i w:val="0"/>
          <w:iCs w:val="0"/>
          <w:color w:val="auto"/>
          <w:szCs w:val="21"/>
          <w:u w:val="none"/>
          <w:lang w:val="en-US" w:eastAsia="zh-CN"/>
        </w:rPr>
      </w:pPr>
      <w:r>
        <w:rPr>
          <w:rFonts w:hint="eastAsia" w:ascii="宋体" w:hAnsi="宋体"/>
          <w:i w:val="0"/>
          <w:iCs w:val="0"/>
          <w:color w:val="auto"/>
          <w:szCs w:val="21"/>
          <w:u w:val="none"/>
        </w:rPr>
        <w:t>联系方式：</w:t>
      </w:r>
      <w:r>
        <w:rPr>
          <w:rFonts w:hint="eastAsia" w:ascii="宋体" w:hAnsi="宋体"/>
          <w:i w:val="0"/>
          <w:iCs w:val="0"/>
          <w:color w:val="auto"/>
          <w:szCs w:val="21"/>
          <w:u w:val="none"/>
          <w:lang w:eastAsia="zh-CN"/>
        </w:rPr>
        <w:t>钟高同</w:t>
      </w:r>
      <w:r>
        <w:rPr>
          <w:rFonts w:hint="eastAsia" w:ascii="宋体" w:hAnsi="宋体"/>
          <w:i w:val="0"/>
          <w:iCs w:val="0"/>
          <w:color w:val="auto"/>
          <w:szCs w:val="21"/>
          <w:u w:val="none"/>
        </w:rPr>
        <w:t xml:space="preserve">；0771-3109669 </w:t>
      </w:r>
    </w:p>
    <w:p w14:paraId="504670EB">
      <w:pPr>
        <w:spacing w:line="400" w:lineRule="exact"/>
        <w:ind w:firstLine="420" w:firstLineChars="200"/>
        <w:rPr>
          <w:rFonts w:ascii="宋体" w:hAnsi="宋体" w:cs="宋体"/>
          <w:i w:val="0"/>
          <w:iCs w:val="0"/>
          <w:color w:val="auto"/>
          <w:kern w:val="0"/>
          <w:szCs w:val="21"/>
          <w:u w:val="none"/>
        </w:rPr>
      </w:pPr>
      <w:bookmarkStart w:id="76" w:name="_Toc35393808"/>
      <w:bookmarkStart w:id="77" w:name="_Toc35393639"/>
      <w:bookmarkStart w:id="78" w:name="_Toc28359021"/>
      <w:bookmarkStart w:id="79" w:name="_Toc28359098"/>
      <w:r>
        <w:rPr>
          <w:rFonts w:hint="eastAsia" w:ascii="宋体" w:hAnsi="宋体" w:cs="宋体"/>
          <w:i w:val="0"/>
          <w:iCs w:val="0"/>
          <w:color w:val="auto"/>
          <w:kern w:val="0"/>
          <w:szCs w:val="21"/>
          <w:u w:val="none"/>
        </w:rPr>
        <w:t>3.项目联系</w:t>
      </w:r>
      <w:r>
        <w:rPr>
          <w:rFonts w:ascii="宋体" w:hAnsi="宋体" w:cs="宋体"/>
          <w:i w:val="0"/>
          <w:iCs w:val="0"/>
          <w:color w:val="auto"/>
          <w:kern w:val="0"/>
          <w:szCs w:val="21"/>
          <w:u w:val="none"/>
        </w:rPr>
        <w:t>方式</w:t>
      </w:r>
      <w:bookmarkEnd w:id="76"/>
      <w:bookmarkEnd w:id="77"/>
      <w:bookmarkEnd w:id="78"/>
      <w:bookmarkEnd w:id="79"/>
    </w:p>
    <w:p w14:paraId="58BE2ECC">
      <w:pPr>
        <w:pStyle w:val="17"/>
        <w:spacing w:line="400" w:lineRule="exact"/>
        <w:ind w:firstLine="420" w:firstLineChars="200"/>
        <w:rPr>
          <w:rFonts w:hAnsi="宋体"/>
          <w:color w:val="auto"/>
          <w:sz w:val="21"/>
        </w:rPr>
      </w:pPr>
      <w:r>
        <w:rPr>
          <w:rFonts w:hint="eastAsia" w:hAnsi="宋体"/>
          <w:color w:val="auto"/>
          <w:sz w:val="21"/>
        </w:rPr>
        <w:t>项目联系人：钟高同</w:t>
      </w:r>
    </w:p>
    <w:p w14:paraId="44E8EA72">
      <w:pPr>
        <w:spacing w:line="400" w:lineRule="exact"/>
        <w:ind w:firstLine="420" w:firstLineChars="200"/>
        <w:rPr>
          <w:rFonts w:ascii="宋体" w:hAnsi="宋体"/>
          <w:color w:val="auto"/>
          <w:sz w:val="32"/>
          <w:szCs w:val="32"/>
        </w:rPr>
      </w:pPr>
      <w:r>
        <w:rPr>
          <w:rFonts w:hint="eastAsia" w:ascii="宋体" w:hAnsi="宋体"/>
          <w:color w:val="auto"/>
          <w:szCs w:val="21"/>
        </w:rPr>
        <w:t>电　　话：</w:t>
      </w:r>
      <w:bookmarkEnd w:id="20"/>
      <w:bookmarkEnd w:id="21"/>
      <w:r>
        <w:rPr>
          <w:rFonts w:hint="eastAsia" w:ascii="宋体" w:hAnsi="宋体"/>
          <w:color w:val="auto"/>
          <w:szCs w:val="21"/>
        </w:rPr>
        <w:t xml:space="preserve">0771-3109669 </w:t>
      </w:r>
    </w:p>
    <w:p w14:paraId="25E29847">
      <w:pPr>
        <w:spacing w:line="400" w:lineRule="exact"/>
        <w:ind w:firstLine="420" w:firstLineChars="200"/>
        <w:rPr>
          <w:color w:val="auto"/>
        </w:rPr>
      </w:pPr>
    </w:p>
    <w:p w14:paraId="2B1EF94C">
      <w:pPr>
        <w:rPr>
          <w:rFonts w:hint="eastAsia"/>
          <w:color w:val="auto"/>
        </w:rPr>
      </w:pPr>
      <w:bookmarkStart w:id="80" w:name="_Toc74323457"/>
      <w:r>
        <w:rPr>
          <w:rFonts w:hint="eastAsia"/>
          <w:color w:val="auto"/>
        </w:rPr>
        <w:br w:type="page"/>
      </w:r>
    </w:p>
    <w:p w14:paraId="4B705C61">
      <w:pPr>
        <w:pStyle w:val="3"/>
        <w:jc w:val="center"/>
        <w:rPr>
          <w:color w:val="auto"/>
        </w:rPr>
      </w:pPr>
      <w:r>
        <w:rPr>
          <w:rFonts w:hint="eastAsia"/>
          <w:color w:val="auto"/>
        </w:rPr>
        <w:t>第二章 供应商须知</w:t>
      </w:r>
      <w:bookmarkEnd w:id="80"/>
    </w:p>
    <w:p w14:paraId="5CE208AD">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14:paraId="66E7DBC4">
      <w:pPr>
        <w:spacing w:line="400" w:lineRule="exact"/>
        <w:jc w:val="center"/>
        <w:rPr>
          <w:rFonts w:ascii="宋体" w:hAnsi="宋体"/>
          <w:b/>
          <w:color w:val="auto"/>
          <w:sz w:val="32"/>
          <w:szCs w:val="32"/>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8B12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tcPr>
          <w:p w14:paraId="31B30B1B">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7912" w:type="dxa"/>
          </w:tcPr>
          <w:p w14:paraId="69137686">
            <w:pPr>
              <w:spacing w:line="400" w:lineRule="exact"/>
              <w:jc w:val="center"/>
              <w:rPr>
                <w:rFonts w:ascii="宋体" w:hAnsi="宋体" w:cs="宋体"/>
                <w:b/>
                <w:color w:val="auto"/>
                <w:szCs w:val="21"/>
              </w:rPr>
            </w:pPr>
            <w:r>
              <w:rPr>
                <w:rFonts w:hint="eastAsia" w:ascii="宋体" w:hAnsi="宋体" w:cs="宋体"/>
                <w:b/>
                <w:color w:val="auto"/>
                <w:szCs w:val="21"/>
              </w:rPr>
              <w:t>内    容</w:t>
            </w:r>
          </w:p>
        </w:tc>
      </w:tr>
      <w:tr w14:paraId="58374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6E182DA">
            <w:pPr>
              <w:spacing w:line="400" w:lineRule="exact"/>
              <w:jc w:val="center"/>
              <w:rPr>
                <w:rFonts w:ascii="宋体" w:hAnsi="宋体" w:cs="宋体"/>
                <w:color w:val="auto"/>
                <w:szCs w:val="21"/>
              </w:rPr>
            </w:pPr>
            <w:r>
              <w:rPr>
                <w:rFonts w:hint="eastAsia" w:ascii="宋体" w:hAnsi="宋体" w:cs="宋体"/>
                <w:color w:val="auto"/>
                <w:szCs w:val="21"/>
              </w:rPr>
              <w:t>3</w:t>
            </w:r>
          </w:p>
        </w:tc>
        <w:tc>
          <w:tcPr>
            <w:tcW w:w="7912" w:type="dxa"/>
            <w:vAlign w:val="center"/>
          </w:tcPr>
          <w:p w14:paraId="637A2AB0">
            <w:pPr>
              <w:spacing w:line="400" w:lineRule="exact"/>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p>
          <w:p w14:paraId="3925903A">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14:paraId="53AC442F">
            <w:pPr>
              <w:spacing w:line="400" w:lineRule="exact"/>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23470E">
            <w:pPr>
              <w:spacing w:line="400" w:lineRule="exact"/>
              <w:rPr>
                <w:rFonts w:ascii="宋体" w:hAnsi="宋体" w:cs="宋体"/>
                <w:color w:val="auto"/>
                <w:szCs w:val="21"/>
              </w:rPr>
            </w:pPr>
            <w:r>
              <w:rPr>
                <w:rFonts w:hint="eastAsia" w:ascii="宋体" w:hAnsi="宋体" w:cs="宋体"/>
                <w:color w:val="auto"/>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D0E9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8EAF12E">
            <w:pPr>
              <w:spacing w:line="400" w:lineRule="exact"/>
              <w:jc w:val="center"/>
              <w:rPr>
                <w:rFonts w:ascii="宋体" w:hAnsi="宋体" w:cs="宋体"/>
                <w:color w:val="auto"/>
                <w:szCs w:val="21"/>
              </w:rPr>
            </w:pPr>
            <w:r>
              <w:rPr>
                <w:rFonts w:hint="eastAsia" w:ascii="宋体" w:hAnsi="宋体" w:cs="宋体"/>
                <w:color w:val="auto"/>
                <w:szCs w:val="21"/>
              </w:rPr>
              <w:t>5.1</w:t>
            </w:r>
          </w:p>
        </w:tc>
        <w:tc>
          <w:tcPr>
            <w:tcW w:w="7912" w:type="dxa"/>
            <w:vAlign w:val="center"/>
          </w:tcPr>
          <w:p w14:paraId="7DE87639">
            <w:pPr>
              <w:spacing w:line="400" w:lineRule="exact"/>
              <w:rPr>
                <w:rFonts w:ascii="宋体" w:hAnsi="宋体" w:cs="宋体"/>
                <w:color w:val="auto"/>
                <w:szCs w:val="21"/>
              </w:rPr>
            </w:pPr>
            <w:r>
              <w:rPr>
                <w:rFonts w:hint="eastAsia" w:ascii="宋体" w:hAnsi="宋体" w:cs="宋体"/>
                <w:color w:val="auto"/>
                <w:szCs w:val="21"/>
              </w:rPr>
              <w:t>是否接受联合体竞标: 详见竞争性磋商公告</w:t>
            </w:r>
          </w:p>
        </w:tc>
      </w:tr>
      <w:tr w14:paraId="628AF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791A349">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vAlign w:val="center"/>
          </w:tcPr>
          <w:p w14:paraId="4066BB07">
            <w:pPr>
              <w:spacing w:line="360" w:lineRule="auto"/>
              <w:rPr>
                <w:rFonts w:ascii="宋体" w:hAnsi="宋体" w:cs="宋体"/>
                <w:color w:val="auto"/>
                <w:szCs w:val="21"/>
              </w:rPr>
            </w:pPr>
            <w:r>
              <w:rPr>
                <w:rFonts w:hint="eastAsia" w:ascii="宋体" w:hAnsi="宋体"/>
                <w:color w:val="auto"/>
                <w:szCs w:val="21"/>
              </w:rPr>
              <w:t>如接受联合体竞标，联合体竞标要求如下：</w:t>
            </w:r>
          </w:p>
          <w:p w14:paraId="54A550F1">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14:paraId="2C6B8A9D">
            <w:pPr>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7FE49FFF">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14:paraId="6DD5E5B7">
            <w:pPr>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14:paraId="5CE7B62A">
            <w:pPr>
              <w:spacing w:line="360" w:lineRule="auto"/>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14:paraId="5F25380B">
            <w:pPr>
              <w:spacing w:line="360" w:lineRule="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14:paraId="0CEC89ED">
            <w:pPr>
              <w:spacing w:line="360" w:lineRule="auto"/>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14:paraId="7957A744">
            <w:pPr>
              <w:spacing w:line="360" w:lineRule="auto"/>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14:paraId="05E65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DA327DB">
            <w:pPr>
              <w:spacing w:line="400" w:lineRule="exact"/>
              <w:jc w:val="center"/>
              <w:rPr>
                <w:rFonts w:ascii="宋体" w:hAnsi="宋体" w:cs="宋体"/>
                <w:color w:val="auto"/>
                <w:szCs w:val="21"/>
              </w:rPr>
            </w:pPr>
            <w:r>
              <w:rPr>
                <w:rFonts w:hint="eastAsia" w:ascii="宋体" w:hAnsi="宋体" w:cs="宋体"/>
                <w:color w:val="auto"/>
                <w:szCs w:val="21"/>
              </w:rPr>
              <w:t>6.2</w:t>
            </w:r>
          </w:p>
        </w:tc>
        <w:tc>
          <w:tcPr>
            <w:tcW w:w="7912" w:type="dxa"/>
            <w:vAlign w:val="center"/>
          </w:tcPr>
          <w:p w14:paraId="1C43453C">
            <w:pPr>
              <w:pStyle w:val="11"/>
              <w:spacing w:line="400" w:lineRule="exact"/>
              <w:rPr>
                <w:rFonts w:ascii="宋体" w:hAnsi="宋体"/>
                <w:color w:val="auto"/>
                <w:szCs w:val="21"/>
              </w:rPr>
            </w:pPr>
            <w:r>
              <w:rPr>
                <w:rFonts w:hint="eastAsia" w:ascii="MS Mincho" w:hAnsi="MS Mincho" w:eastAsia="MS Mincho" w:cs="MS Mincho"/>
                <w:color w:val="auto"/>
                <w:szCs w:val="21"/>
              </w:rPr>
              <w:t>☑</w:t>
            </w:r>
            <w:r>
              <w:rPr>
                <w:rFonts w:hint="eastAsia" w:ascii="宋体" w:hAnsi="宋体"/>
                <w:color w:val="auto"/>
                <w:szCs w:val="21"/>
              </w:rPr>
              <w:t>不允许违法分包</w:t>
            </w:r>
          </w:p>
          <w:p w14:paraId="2887C064">
            <w:pPr>
              <w:pStyle w:val="11"/>
              <w:spacing w:line="400" w:lineRule="exact"/>
              <w:rPr>
                <w:rFonts w:ascii="宋体" w:hAnsi="宋体"/>
                <w:color w:val="auto"/>
                <w:szCs w:val="21"/>
              </w:rPr>
            </w:pPr>
            <w:r>
              <w:rPr>
                <w:rFonts w:hint="eastAsia" w:ascii="宋体" w:hAnsi="宋体"/>
                <w:color w:val="auto"/>
                <w:szCs w:val="21"/>
              </w:rPr>
              <w:t>□允许分包</w:t>
            </w:r>
          </w:p>
          <w:p w14:paraId="0DBF1D10">
            <w:pPr>
              <w:pStyle w:val="11"/>
              <w:spacing w:line="400" w:lineRule="exact"/>
              <w:rPr>
                <w:rFonts w:ascii="宋体" w:hAnsi="宋体"/>
                <w:color w:val="auto"/>
                <w:szCs w:val="21"/>
              </w:rPr>
            </w:pPr>
            <w:r>
              <w:rPr>
                <w:rFonts w:hint="eastAsia" w:ascii="宋体" w:hAnsi="宋体"/>
                <w:color w:val="auto"/>
                <w:szCs w:val="21"/>
              </w:rPr>
              <w:t>分包内容：</w:t>
            </w:r>
            <w:r>
              <w:rPr>
                <w:rFonts w:hint="eastAsia" w:ascii="宋体" w:hAnsi="宋体"/>
                <w:color w:val="auto"/>
                <w:szCs w:val="21"/>
                <w:u w:val="single"/>
              </w:rPr>
              <w:t xml:space="preserve"> / </w:t>
            </w:r>
            <w:r>
              <w:rPr>
                <w:rFonts w:hint="eastAsia" w:ascii="宋体" w:hAnsi="宋体"/>
                <w:color w:val="auto"/>
                <w:szCs w:val="21"/>
              </w:rPr>
              <w:t>。</w:t>
            </w:r>
          </w:p>
          <w:p w14:paraId="090E5D57">
            <w:pPr>
              <w:pStyle w:val="11"/>
              <w:spacing w:line="400" w:lineRule="exact"/>
              <w:rPr>
                <w:rFonts w:ascii="宋体" w:hAnsi="宋体" w:cs="宋体"/>
                <w:color w:val="auto"/>
                <w:szCs w:val="21"/>
              </w:rPr>
            </w:pPr>
            <w:r>
              <w:rPr>
                <w:rFonts w:hint="eastAsia" w:ascii="宋体" w:hAnsi="宋体"/>
                <w:color w:val="auto"/>
                <w:szCs w:val="21"/>
              </w:rPr>
              <w:t>分包金额或者比例：</w:t>
            </w:r>
            <w:r>
              <w:rPr>
                <w:rFonts w:hint="eastAsia" w:ascii="宋体" w:hAnsi="宋体"/>
                <w:color w:val="auto"/>
                <w:szCs w:val="21"/>
                <w:u w:val="single"/>
              </w:rPr>
              <w:t xml:space="preserve"> / </w:t>
            </w:r>
            <w:r>
              <w:rPr>
                <w:rFonts w:hint="eastAsia" w:ascii="宋体" w:hAnsi="宋体"/>
                <w:color w:val="auto"/>
                <w:szCs w:val="21"/>
              </w:rPr>
              <w:t>。</w:t>
            </w:r>
          </w:p>
        </w:tc>
      </w:tr>
      <w:tr w14:paraId="41741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5D7F617">
            <w:pPr>
              <w:spacing w:line="400" w:lineRule="exact"/>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vAlign w:val="center"/>
          </w:tcPr>
          <w:p w14:paraId="5FA5A953">
            <w:pPr>
              <w:snapToGrid w:val="0"/>
              <w:spacing w:line="400" w:lineRule="exact"/>
              <w:jc w:val="left"/>
              <w:rPr>
                <w:rFonts w:ascii="宋体" w:hAnsi="宋体" w:cs="宋体"/>
                <w:b/>
                <w:color w:val="auto"/>
                <w:szCs w:val="21"/>
              </w:rPr>
            </w:pPr>
            <w:r>
              <w:rPr>
                <w:rFonts w:hint="eastAsia" w:ascii="宋体" w:hAnsi="宋体" w:cs="宋体"/>
                <w:b/>
                <w:color w:val="auto"/>
                <w:szCs w:val="21"/>
              </w:rPr>
              <w:t>资格证明文件（供应商所提供的材料不完整，或模糊不清以致关键信息无法辨认的，责任自负；相关“格式后附</w:t>
            </w:r>
            <w:r>
              <w:rPr>
                <w:rFonts w:ascii="宋体" w:hAnsi="宋体" w:cs="宋体"/>
                <w:b/>
                <w:color w:val="auto"/>
                <w:szCs w:val="21"/>
              </w:rPr>
              <w:t>”</w:t>
            </w:r>
            <w:r>
              <w:rPr>
                <w:rFonts w:hint="eastAsia" w:ascii="宋体" w:hAnsi="宋体" w:cs="宋体"/>
                <w:b/>
                <w:color w:val="auto"/>
                <w:szCs w:val="21"/>
              </w:rPr>
              <w:t>要求具体见本采购文件第五章）</w:t>
            </w:r>
          </w:p>
          <w:p w14:paraId="3C354C8D">
            <w:pPr>
              <w:pStyle w:val="11"/>
              <w:spacing w:line="400" w:lineRule="exact"/>
              <w:rPr>
                <w:rFonts w:ascii="宋体" w:hAnsi="宋体"/>
                <w:color w:val="auto"/>
                <w:szCs w:val="21"/>
              </w:rPr>
            </w:pPr>
            <w:r>
              <w:rPr>
                <w:rFonts w:hint="eastAsia" w:ascii="宋体" w:hAnsi="宋体" w:cs="宋体"/>
                <w:color w:val="auto"/>
                <w:szCs w:val="21"/>
              </w:rPr>
              <w:t>1.供应商为法人或者其他组织的提供其营业执照等证明文件扫描件（如营业执照或者事业单位法人证书或者执业许可证或者登记证书等），供应商为自然人的提供其身份证正反面扫描件；（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0B21A47">
            <w:pPr>
              <w:spacing w:line="400" w:lineRule="exact"/>
              <w:contextualSpacing/>
              <w:jc w:val="left"/>
              <w:rPr>
                <w:rFonts w:ascii="宋体" w:hAnsi="宋体" w:cs="宋体"/>
                <w:color w:val="auto"/>
                <w:szCs w:val="21"/>
              </w:rPr>
            </w:pPr>
            <w:r>
              <w:rPr>
                <w:rFonts w:hint="eastAsia" w:ascii="宋体" w:hAnsi="宋体" w:cs="宋体"/>
                <w:color w:val="auto"/>
                <w:szCs w:val="21"/>
              </w:rPr>
              <w:t>2.供应商依法缴纳税收的相关材料（</w:t>
            </w:r>
            <w:r>
              <w:rPr>
                <w:rFonts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月至</w:t>
            </w:r>
            <w:r>
              <w:rPr>
                <w:rFonts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w:t>
            </w:r>
            <w:r>
              <w:rPr>
                <w:rFonts w:hint="eastAsia" w:ascii="宋体" w:hAnsi="宋体" w:cs="宋体"/>
                <w:color w:val="auto"/>
                <w:szCs w:val="21"/>
                <w:u w:val="single"/>
              </w:rPr>
              <w:t xml:space="preserve"> </w:t>
            </w:r>
            <w:r>
              <w:rPr>
                <w:rFonts w:hint="eastAsia" w:ascii="宋体" w:hAnsi="宋体" w:cs="宋体"/>
                <w:color w:val="auto"/>
                <w:szCs w:val="21"/>
              </w:rPr>
              <w:t>月内任意连续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个月的依法缴纳税收的凭据或其他有效证明材料扫描件；</w:t>
            </w:r>
            <w:r>
              <w:rPr>
                <w:rFonts w:hint="eastAsia"/>
                <w:color w:val="auto"/>
              </w:rPr>
              <w:t>依法免税或零申报的，必须提供相应文件证明其依法免税或零申报。</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到响应文件提交截止时间止不足要求月数的，只需提供从</w:t>
            </w:r>
            <w:r>
              <w:rPr>
                <w:color w:val="auto"/>
                <w:szCs w:val="21"/>
              </w:rPr>
              <w:t>成立</w:t>
            </w:r>
            <w:r>
              <w:rPr>
                <w:rFonts w:hint="eastAsia"/>
                <w:color w:val="auto"/>
                <w:szCs w:val="21"/>
              </w:rPr>
              <w:t>之日起</w:t>
            </w:r>
            <w:r>
              <w:rPr>
                <w:rFonts w:hint="eastAsia" w:ascii="宋体" w:hAnsi="宋体" w:cs="宋体"/>
                <w:color w:val="auto"/>
                <w:szCs w:val="21"/>
              </w:rPr>
              <w:t>的依法缴纳税收</w:t>
            </w:r>
            <w:r>
              <w:rPr>
                <w:rFonts w:hint="eastAsia"/>
                <w:color w:val="auto"/>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A4392AE">
            <w:pPr>
              <w:spacing w:line="400" w:lineRule="exact"/>
              <w:contextualSpacing/>
              <w:jc w:val="left"/>
              <w:rPr>
                <w:rFonts w:ascii="宋体" w:hAnsi="宋体" w:cs="宋体"/>
                <w:color w:val="auto"/>
                <w:szCs w:val="21"/>
              </w:rPr>
            </w:pPr>
            <w:r>
              <w:rPr>
                <w:rFonts w:hint="eastAsia" w:ascii="宋体" w:hAnsi="宋体" w:cs="宋体"/>
                <w:color w:val="auto"/>
                <w:szCs w:val="21"/>
              </w:rPr>
              <w:t>3.供应商依法缴纳社会保障资金的相关材料[</w:t>
            </w:r>
            <w:r>
              <w:rPr>
                <w:rFonts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月至</w:t>
            </w:r>
            <w:r>
              <w:rPr>
                <w:rFonts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w:t>
            </w:r>
            <w:r>
              <w:rPr>
                <w:rFonts w:hint="eastAsia" w:ascii="宋体" w:hAnsi="宋体" w:cs="宋体"/>
                <w:color w:val="auto"/>
                <w:szCs w:val="21"/>
                <w:u w:val="single"/>
              </w:rPr>
              <w:t xml:space="preserve"> </w:t>
            </w:r>
            <w:r>
              <w:rPr>
                <w:rFonts w:hint="eastAsia" w:ascii="宋体" w:hAnsi="宋体" w:cs="宋体"/>
                <w:color w:val="auto"/>
                <w:szCs w:val="21"/>
              </w:rPr>
              <w:t>月内任意连续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个月的依法缴纳社会保障资金的缴费凭证（或专用收据或者社会保险缴纳清单）扫描件；</w:t>
            </w:r>
            <w:r>
              <w:rPr>
                <w:rFonts w:hint="eastAsia"/>
                <w:color w:val="auto"/>
              </w:rPr>
              <w:t>依法不需要缴纳社会保障资金的，必须提供相应文件证明不需要缴纳社会保障资金。</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到响应文件提交截止时间止不足要求月数的只需提供从</w:t>
            </w:r>
            <w:r>
              <w:rPr>
                <w:color w:val="auto"/>
                <w:szCs w:val="21"/>
              </w:rPr>
              <w:t>成立</w:t>
            </w:r>
            <w:r>
              <w:rPr>
                <w:rFonts w:hint="eastAsia"/>
                <w:color w:val="auto"/>
                <w:szCs w:val="21"/>
              </w:rPr>
              <w:t>之日起</w:t>
            </w:r>
            <w:r>
              <w:rPr>
                <w:rFonts w:hint="eastAsia" w:ascii="宋体" w:hAnsi="宋体" w:cs="宋体"/>
                <w:color w:val="auto"/>
                <w:szCs w:val="21"/>
              </w:rPr>
              <w:t>的依法缴纳社会保障资金的</w:t>
            </w:r>
            <w:r>
              <w:rPr>
                <w:rFonts w:hint="eastAsia"/>
                <w:color w:val="auto"/>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C522380">
            <w:pPr>
              <w:spacing w:line="400" w:lineRule="exact"/>
              <w:contextualSpacing/>
              <w:jc w:val="left"/>
              <w:rPr>
                <w:rFonts w:ascii="宋体" w:hAnsi="宋体" w:cs="宋体"/>
                <w:b/>
                <w:color w:val="auto"/>
                <w:szCs w:val="21"/>
              </w:rPr>
            </w:pPr>
            <w:r>
              <w:rPr>
                <w:rFonts w:hint="eastAsia" w:ascii="宋体" w:hAnsi="宋体" w:cs="宋体"/>
                <w:color w:val="auto"/>
                <w:szCs w:val="21"/>
              </w:rPr>
              <w:t>4.供应商</w:t>
            </w:r>
            <w:r>
              <w:rPr>
                <w:rFonts w:hint="eastAsia"/>
                <w:color w:val="auto"/>
                <w:szCs w:val="21"/>
              </w:rPr>
              <w:t>财务状况报告（</w:t>
            </w:r>
            <w:r>
              <w:rPr>
                <w:rFonts w:hint="eastAsia"/>
                <w:color w:val="auto"/>
                <w:szCs w:val="21"/>
                <w:u w:val="single"/>
              </w:rPr>
              <w:t>2022年或2</w:t>
            </w:r>
            <w:r>
              <w:rPr>
                <w:color w:val="auto"/>
                <w:szCs w:val="21"/>
                <w:u w:val="single"/>
              </w:rPr>
              <w:t>023</w:t>
            </w:r>
            <w:r>
              <w:rPr>
                <w:rFonts w:hint="eastAsia"/>
                <w:color w:val="auto"/>
                <w:szCs w:val="21"/>
                <w:u w:val="single"/>
              </w:rPr>
              <w:t>年</w:t>
            </w:r>
            <w:r>
              <w:rPr>
                <w:rFonts w:hint="eastAsia"/>
                <w:color w:val="auto"/>
                <w:szCs w:val="21"/>
              </w:rPr>
              <w:t>度财务报表扫描件），或者银行出具的资信证明，或者中国人民银行征信中心出具的信用报告（企业竞标的提供企业信用报告，自然人竞标的提供个人信用报告）；供应商属于</w:t>
            </w:r>
            <w:r>
              <w:rPr>
                <w:rFonts w:hint="eastAsia"/>
                <w:color w:val="auto"/>
              </w:rPr>
              <w:t>成立时间</w:t>
            </w:r>
            <w:r>
              <w:rPr>
                <w:rFonts w:hint="eastAsia"/>
                <w:color w:val="auto"/>
                <w:kern w:val="0"/>
              </w:rPr>
              <w:t>在规定年度之后</w:t>
            </w:r>
            <w:r>
              <w:rPr>
                <w:rFonts w:hint="eastAsia"/>
                <w:color w:val="auto"/>
              </w:rPr>
              <w:t>的</w:t>
            </w:r>
            <w:r>
              <w:rPr>
                <w:rFonts w:hint="eastAsia"/>
                <w:color w:val="auto"/>
                <w:szCs w:val="21"/>
              </w:rPr>
              <w:t>法人或其他组织</w:t>
            </w:r>
            <w:r>
              <w:rPr>
                <w:rFonts w:hint="eastAsia"/>
                <w:color w:val="auto"/>
              </w:rPr>
              <w:t>，需提供成立之日起至响应文件提交截止时间前的月报表</w:t>
            </w:r>
            <w:r>
              <w:rPr>
                <w:rFonts w:hint="eastAsia"/>
                <w:color w:val="auto"/>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1BD1A03">
            <w:pPr>
              <w:snapToGrid w:val="0"/>
              <w:spacing w:line="400" w:lineRule="exact"/>
              <w:jc w:val="left"/>
              <w:rPr>
                <w:rFonts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0E544E6">
            <w:pPr>
              <w:snapToGrid w:val="0"/>
              <w:spacing w:line="400" w:lineRule="exact"/>
              <w:jc w:val="left"/>
              <w:rPr>
                <w:rFonts w:hint="eastAsia"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F7C3B8B">
            <w:pPr>
              <w:pStyle w:val="2"/>
              <w:ind w:left="0" w:leftChars="0" w:firstLine="0" w:firstLineChars="0"/>
              <w:rPr>
                <w:rFonts w:hint="default" w:eastAsia="宋体"/>
                <w:color w:val="auto"/>
                <w:lang w:val="en-US" w:eastAsia="zh-CN"/>
              </w:rPr>
            </w:pPr>
            <w:r>
              <w:rPr>
                <w:rFonts w:hint="eastAsia" w:ascii="宋体" w:hAnsi="宋体" w:cs="宋体"/>
                <w:color w:val="auto"/>
                <w:szCs w:val="21"/>
                <w:lang w:val="en-US" w:eastAsia="zh-CN"/>
              </w:rPr>
              <w:t>7.磋商保证金提交凭证；</w:t>
            </w:r>
            <w:r>
              <w:rPr>
                <w:rFonts w:hint="eastAsia" w:ascii="宋体" w:hAnsi="宋体" w:cs="宋体"/>
                <w:b/>
                <w:bCs/>
                <w:color w:val="auto"/>
                <w:szCs w:val="21"/>
                <w:lang w:val="en-US" w:eastAsia="zh-CN"/>
              </w:rPr>
              <w:t>（必须提供，否则响应文件按无效响应处理）</w:t>
            </w:r>
          </w:p>
          <w:p w14:paraId="7D24E66F">
            <w:pPr>
              <w:snapToGrid w:val="0"/>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8</w:t>
            </w:r>
            <w:r>
              <w:rPr>
                <w:rFonts w:hint="eastAsia" w:ascii="宋体" w:hAnsi="宋体" w:cs="宋体"/>
                <w:color w:val="auto"/>
                <w:szCs w:val="21"/>
              </w:rPr>
              <w:t>.联合体竞标协议书（格式后附）；</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如果是联合体参与竞标的必须提供，</w:t>
            </w:r>
            <w:r>
              <w:rPr>
                <w:rFonts w:hint="eastAsia" w:ascii="宋体" w:hAnsi="宋体" w:cs="宋体"/>
                <w:b/>
                <w:bCs/>
                <w:color w:val="auto"/>
                <w:szCs w:val="21"/>
                <w:lang w:val="en-US" w:eastAsia="zh-CN"/>
              </w:rPr>
              <w:t>否则响应文件按无效响应处理</w:t>
            </w:r>
            <w:r>
              <w:rPr>
                <w:rFonts w:hint="eastAsia" w:ascii="宋体" w:hAnsi="宋体" w:cs="宋体"/>
                <w:b/>
                <w:bCs/>
                <w:color w:val="auto"/>
                <w:szCs w:val="21"/>
                <w:lang w:eastAsia="zh-CN"/>
              </w:rPr>
              <w:t>）</w:t>
            </w:r>
          </w:p>
          <w:p w14:paraId="0EB128E4">
            <w:pPr>
              <w:snapToGrid w:val="0"/>
              <w:spacing w:line="400" w:lineRule="exact"/>
              <w:jc w:val="left"/>
              <w:rPr>
                <w:rFonts w:ascii="宋体" w:hAnsi="宋体" w:cs="宋体"/>
                <w:color w:val="auto"/>
                <w:szCs w:val="21"/>
              </w:rPr>
            </w:pPr>
            <w:r>
              <w:rPr>
                <w:rFonts w:hint="eastAsia" w:ascii="宋体" w:hAnsi="宋体"/>
                <w:color w:val="auto"/>
                <w:szCs w:val="21"/>
                <w:lang w:val="en-US" w:eastAsia="zh-CN"/>
              </w:rPr>
              <w:t>9</w:t>
            </w:r>
            <w:r>
              <w:rPr>
                <w:rFonts w:ascii="宋体" w:hAnsi="宋体"/>
                <w:color w:val="auto"/>
                <w:szCs w:val="21"/>
              </w:rPr>
              <w:t>.</w:t>
            </w:r>
            <w:r>
              <w:rPr>
                <w:rFonts w:hint="eastAsia" w:ascii="宋体" w:hAnsi="宋体" w:cs="宋体"/>
                <w:color w:val="auto"/>
                <w:szCs w:val="21"/>
              </w:rPr>
              <w:t>除磋商文件规定必须提供以外，供应商认为需要提供的其他证明材料</w:t>
            </w:r>
            <w:r>
              <w:rPr>
                <w:rFonts w:hint="eastAsia" w:ascii="宋体" w:hAnsi="宋体"/>
                <w:color w:val="auto"/>
                <w:szCs w:val="21"/>
              </w:rPr>
              <w:t>。（如有，请提供）</w:t>
            </w:r>
          </w:p>
          <w:p w14:paraId="3E69F062">
            <w:pPr>
              <w:snapToGrid w:val="0"/>
              <w:spacing w:line="400" w:lineRule="exact"/>
              <w:jc w:val="left"/>
              <w:rPr>
                <w:rFonts w:ascii="宋体" w:hAnsi="宋体" w:cs="宋体"/>
                <w:b/>
                <w:color w:val="auto"/>
                <w:szCs w:val="21"/>
              </w:rPr>
            </w:pPr>
            <w:r>
              <w:rPr>
                <w:rFonts w:hint="eastAsia" w:ascii="宋体" w:hAnsi="宋体" w:cs="宋体"/>
                <w:b/>
                <w:color w:val="auto"/>
                <w:szCs w:val="21"/>
              </w:rPr>
              <w:t>注：</w:t>
            </w:r>
          </w:p>
          <w:p w14:paraId="0D49CCA2">
            <w:pPr>
              <w:snapToGrid w:val="0"/>
              <w:spacing w:line="360" w:lineRule="auto"/>
              <w:ind w:firstLine="413" w:firstLineChars="196"/>
              <w:jc w:val="left"/>
              <w:rPr>
                <w:rFonts w:ascii="宋体" w:hAnsi="宋体" w:cs="宋体"/>
                <w:b/>
                <w:color w:val="auto"/>
                <w:szCs w:val="21"/>
              </w:rPr>
            </w:pPr>
            <w:r>
              <w:rPr>
                <w:rFonts w:hint="eastAsia" w:ascii="宋体" w:hAnsi="宋体" w:cs="宋体"/>
                <w:b/>
                <w:color w:val="auto"/>
                <w:szCs w:val="21"/>
              </w:rPr>
              <w:t>1</w:t>
            </w:r>
            <w:r>
              <w:rPr>
                <w:rFonts w:ascii="宋体" w:hAnsi="宋体" w:cs="宋体"/>
                <w:b/>
                <w:color w:val="auto"/>
                <w:szCs w:val="21"/>
              </w:rPr>
              <w:t>.</w:t>
            </w:r>
            <w:r>
              <w:rPr>
                <w:rFonts w:hint="eastAsia" w:ascii="宋体" w:hAnsi="宋体" w:cs="宋体"/>
                <w:b/>
                <w:color w:val="auto"/>
                <w:szCs w:val="21"/>
              </w:rPr>
              <w:t>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，否则响应文件按无效处理；格式中有要求法定代表人或者委托代理人签字的，必须按要求签字（或是电子签名），并加盖供应商电子签章，否则响应文件按无效处理。</w:t>
            </w:r>
          </w:p>
          <w:p w14:paraId="0B70DC24">
            <w:pPr>
              <w:pStyle w:val="11"/>
              <w:spacing w:line="360" w:lineRule="auto"/>
              <w:ind w:firstLine="422" w:firstLineChars="200"/>
              <w:rPr>
                <w:rFonts w:ascii="宋体" w:hAnsi="宋体" w:cs="宋体"/>
                <w:b/>
                <w:color w:val="auto"/>
                <w:szCs w:val="21"/>
              </w:rPr>
            </w:pPr>
            <w:r>
              <w:rPr>
                <w:rFonts w:hint="eastAsia" w:ascii="宋体" w:hAnsi="宋体" w:cs="宋体"/>
                <w:b/>
                <w:color w:val="auto"/>
                <w:szCs w:val="21"/>
              </w:rPr>
              <w:t>2.联合体竞标时，第1-5、8项资格证明文件联合体各方均必须分别提供，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14:paraId="7CFD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93A3379">
            <w:pPr>
              <w:spacing w:line="400" w:lineRule="exact"/>
              <w:jc w:val="center"/>
              <w:rPr>
                <w:rFonts w:ascii="宋体" w:hAnsi="宋体" w:cs="宋体"/>
                <w:color w:val="auto"/>
                <w:szCs w:val="21"/>
              </w:rPr>
            </w:pPr>
            <w:r>
              <w:rPr>
                <w:rFonts w:hint="eastAsia" w:ascii="宋体" w:hAnsi="宋体" w:cs="宋体"/>
                <w:color w:val="auto"/>
                <w:szCs w:val="21"/>
              </w:rPr>
              <w:t>12.1.2</w:t>
            </w:r>
          </w:p>
        </w:tc>
        <w:tc>
          <w:tcPr>
            <w:tcW w:w="7912" w:type="dxa"/>
            <w:vAlign w:val="center"/>
          </w:tcPr>
          <w:p w14:paraId="2D2091BC">
            <w:pPr>
              <w:spacing w:line="400" w:lineRule="exact"/>
              <w:rPr>
                <w:rFonts w:ascii="宋体" w:hAnsi="宋体" w:cs="宋体"/>
                <w:color w:val="auto"/>
                <w:szCs w:val="21"/>
              </w:rPr>
            </w:pPr>
            <w:r>
              <w:rPr>
                <w:rFonts w:hint="eastAsia" w:ascii="宋体" w:hAnsi="宋体" w:cs="宋体"/>
                <w:color w:val="auto"/>
                <w:szCs w:val="21"/>
              </w:rPr>
              <w:t>报价文件</w:t>
            </w:r>
          </w:p>
          <w:p w14:paraId="785B4567">
            <w:pPr>
              <w:numPr>
                <w:ilvl w:val="0"/>
                <w:numId w:val="0"/>
              </w:numPr>
              <w:spacing w:line="400" w:lineRule="exact"/>
              <w:rPr>
                <w:rFonts w:hint="eastAsia" w:ascii="宋体" w:hAnsi="宋体" w:cs="宋体"/>
                <w:color w:val="auto"/>
                <w:szCs w:val="21"/>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szCs w:val="21"/>
              </w:rPr>
              <w:t>竞标报价表（格式后附）；</w:t>
            </w:r>
            <w:r>
              <w:rPr>
                <w:rFonts w:hint="eastAsia" w:ascii="宋体" w:hAnsi="宋体" w:cs="宋体"/>
                <w:b/>
                <w:bCs/>
                <w:color w:val="auto"/>
                <w:szCs w:val="21"/>
              </w:rPr>
              <w:t>（必须提供，否则响应文件按无效处理）</w:t>
            </w:r>
          </w:p>
          <w:p w14:paraId="178EC368">
            <w:pPr>
              <w:numPr>
                <w:ilvl w:val="-1"/>
                <w:numId w:val="0"/>
              </w:num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olor w:val="auto"/>
                <w:szCs w:val="21"/>
              </w:rPr>
              <w:t>《中小企业声明函》或《残疾人福利性单位声明函》或监狱企业证明材料</w:t>
            </w:r>
            <w:r>
              <w:rPr>
                <w:rFonts w:hint="eastAsia" w:ascii="宋体" w:hAnsi="宋体"/>
                <w:color w:val="auto"/>
                <w:szCs w:val="21"/>
                <w:lang w:eastAsia="zh-CN"/>
              </w:rPr>
              <w:t>；（格式后附）</w:t>
            </w:r>
          </w:p>
          <w:p w14:paraId="6329CA2C">
            <w:pPr>
              <w:spacing w:line="400" w:lineRule="exact"/>
              <w:rPr>
                <w:rFonts w:ascii="宋体" w:hAnsi="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供应商认为需要提供的其他有关资料。</w:t>
            </w:r>
            <w:r>
              <w:rPr>
                <w:rFonts w:hint="eastAsia" w:ascii="宋体" w:hAnsi="宋体"/>
                <w:color w:val="auto"/>
                <w:szCs w:val="21"/>
              </w:rPr>
              <w:t>（如有，请提供）</w:t>
            </w:r>
          </w:p>
          <w:p w14:paraId="36FAA6B2">
            <w:pPr>
              <w:spacing w:line="400" w:lineRule="exact"/>
              <w:rPr>
                <w:rFonts w:ascii="宋体" w:hAnsi="宋体" w:cs="宋体"/>
                <w:color w:val="auto"/>
                <w:szCs w:val="21"/>
              </w:rPr>
            </w:pPr>
            <w:r>
              <w:rPr>
                <w:rFonts w:hint="eastAsia" w:ascii="宋体" w:hAnsi="宋体" w:cs="宋体"/>
                <w:b/>
                <w:color w:val="auto"/>
                <w:szCs w:val="21"/>
              </w:rPr>
              <w:t>注：以上标明“必须提供”的材料属于扫描件的，必须加盖供应商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，否则响应文件按无效处理；格式中有要求法定代表人或者委托代理人签字的，必须按要求签字（或是电子签名），并加盖供应商电子签章，否则响应文件按无效处理。</w:t>
            </w:r>
          </w:p>
        </w:tc>
      </w:tr>
      <w:tr w14:paraId="7CCC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jc w:val="center"/>
        </w:trPr>
        <w:tc>
          <w:tcPr>
            <w:tcW w:w="992" w:type="dxa"/>
            <w:vAlign w:val="center"/>
          </w:tcPr>
          <w:p w14:paraId="13A7C7BE">
            <w:pPr>
              <w:spacing w:line="400" w:lineRule="exact"/>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vAlign w:val="center"/>
          </w:tcPr>
          <w:p w14:paraId="5889AB42">
            <w:pPr>
              <w:spacing w:line="400" w:lineRule="exact"/>
              <w:rPr>
                <w:rFonts w:ascii="宋体" w:hAnsi="宋体" w:cs="宋体"/>
                <w:b/>
                <w:bCs/>
                <w:color w:val="auto"/>
                <w:szCs w:val="21"/>
              </w:rPr>
            </w:pPr>
            <w:r>
              <w:rPr>
                <w:rFonts w:hint="eastAsia" w:ascii="宋体" w:hAnsi="宋体" w:cs="宋体"/>
                <w:b/>
                <w:bCs/>
                <w:color w:val="auto"/>
                <w:szCs w:val="21"/>
              </w:rPr>
              <w:t>商务技术文件</w:t>
            </w:r>
          </w:p>
          <w:p w14:paraId="7F50921F">
            <w:pPr>
              <w:spacing w:line="400" w:lineRule="exact"/>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2E6E6BA">
            <w:pPr>
              <w:snapToGrid w:val="0"/>
              <w:spacing w:line="400" w:lineRule="exact"/>
              <w:jc w:val="left"/>
              <w:rPr>
                <w:rFonts w:ascii="宋体" w:hAnsi="宋体" w:cs="宋体"/>
                <w:color w:val="auto"/>
                <w:szCs w:val="21"/>
              </w:rPr>
            </w:pPr>
            <w:r>
              <w:rPr>
                <w:rFonts w:hint="eastAsia" w:ascii="宋体" w:hAnsi="宋体" w:cs="宋体"/>
                <w:color w:val="auto"/>
                <w:szCs w:val="21"/>
              </w:rPr>
              <w:t>2.法定代表人身份证明书及法定代表人有效身份证正反面扫描件（格式后附）；（</w:t>
            </w:r>
            <w:r>
              <w:rPr>
                <w:rFonts w:hint="eastAsia" w:ascii="宋体" w:hAnsi="宋体" w:cs="宋体"/>
                <w:b/>
                <w:bCs/>
                <w:color w:val="auto"/>
                <w:szCs w:val="21"/>
              </w:rPr>
              <w:t>除自然人竞标外，其他竞标人</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0C19993">
            <w:pPr>
              <w:spacing w:line="400" w:lineRule="exact"/>
              <w:rPr>
                <w:rFonts w:ascii="宋体" w:hAnsi="宋体" w:cs="宋体"/>
                <w:color w:val="auto"/>
                <w:szCs w:val="21"/>
              </w:rPr>
            </w:pPr>
            <w:r>
              <w:rPr>
                <w:rFonts w:hint="eastAsia" w:ascii="宋体" w:hAnsi="宋体" w:cs="宋体"/>
                <w:color w:val="auto"/>
                <w:szCs w:val="21"/>
              </w:rPr>
              <w:t>3.授权委托书及委托代理人有效身份证正反面扫描件（格式后附）；（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57E38DE7">
            <w:pPr>
              <w:spacing w:line="400" w:lineRule="exac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.商务要求偏离表（格式后附）；（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A595755">
            <w:pPr>
              <w:spacing w:line="400" w:lineRule="exac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.技术要求偏离表（格式后附）；（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37ED002">
            <w:pPr>
              <w:spacing w:line="400" w:lineRule="exac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.服务方案（格式自拟</w:t>
            </w:r>
            <w:r>
              <w:rPr>
                <w:rFonts w:hint="eastAsia" w:ascii="宋体" w:hAnsi="宋体" w:cs="宋体"/>
                <w:color w:val="auto"/>
                <w:szCs w:val="21"/>
                <w:lang w:eastAsia="zh-CN"/>
              </w:rPr>
              <w:t>，包含本地化服务方案</w:t>
            </w:r>
            <w:r>
              <w:rPr>
                <w:rFonts w:hint="eastAsia" w:ascii="宋体" w:hAnsi="宋体" w:cs="宋体"/>
                <w:color w:val="auto"/>
                <w:szCs w:val="21"/>
              </w:rPr>
              <w:t>）（由供应商根据本采购文件第三章“采购需求”及第四章“评标办法及评分标准”自行编制）；（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A34B026">
            <w:pPr>
              <w:spacing w:line="400" w:lineRule="exact"/>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xml:space="preserve">.项目实施人员一览表（格式后附）； </w:t>
            </w:r>
          </w:p>
          <w:p w14:paraId="63953D46">
            <w:pPr>
              <w:spacing w:line="400" w:lineRule="exact"/>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.对应采购需求的技术或服务要求、商务要求提供的其他文件资料；（如有，请提供）</w:t>
            </w:r>
          </w:p>
          <w:p w14:paraId="31637B14">
            <w:pPr>
              <w:spacing w:line="400" w:lineRule="exact"/>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.供应商认为需要提供的其他有关资料。（如有，请提供）</w:t>
            </w:r>
          </w:p>
          <w:p w14:paraId="74067D61">
            <w:pPr>
              <w:snapToGrid w:val="0"/>
              <w:spacing w:line="400" w:lineRule="exact"/>
              <w:jc w:val="left"/>
              <w:rPr>
                <w:rFonts w:ascii="宋体" w:hAnsi="宋体" w:cs="宋体"/>
                <w:b/>
                <w:color w:val="auto"/>
                <w:szCs w:val="21"/>
              </w:rPr>
            </w:pPr>
            <w:r>
              <w:rPr>
                <w:rFonts w:hint="eastAsia" w:ascii="宋体" w:hAnsi="宋体" w:cs="宋体"/>
                <w:b/>
                <w:color w:val="auto"/>
                <w:szCs w:val="21"/>
              </w:rPr>
              <w:t>注：以上标明“必须提供”的材料属于扫描件的，必须加盖供应商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，否则响应文件按无效处理；格式中有要求法定代表人或者委托代理人签字的，必须按要求签字（或是电子签名），并加盖供应商电子签章，否则响应文件按无效处理。</w:t>
            </w:r>
          </w:p>
        </w:tc>
      </w:tr>
      <w:tr w14:paraId="0144A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7997B3B">
            <w:pPr>
              <w:spacing w:line="400" w:lineRule="exact"/>
              <w:jc w:val="center"/>
              <w:rPr>
                <w:rFonts w:ascii="宋体" w:hAnsi="宋体" w:cs="宋体"/>
                <w:color w:val="auto"/>
                <w:szCs w:val="21"/>
              </w:rPr>
            </w:pPr>
            <w:r>
              <w:rPr>
                <w:rFonts w:hint="eastAsia" w:ascii="宋体" w:hAnsi="宋体" w:cs="宋体"/>
                <w:color w:val="auto"/>
                <w:szCs w:val="21"/>
              </w:rPr>
              <w:t>15.2</w:t>
            </w:r>
          </w:p>
        </w:tc>
        <w:tc>
          <w:tcPr>
            <w:tcW w:w="7912" w:type="dxa"/>
            <w:vAlign w:val="center"/>
          </w:tcPr>
          <w:p w14:paraId="0AECCEBA">
            <w:pPr>
              <w:snapToGrid w:val="0"/>
              <w:spacing w:line="400" w:lineRule="exact"/>
              <w:jc w:val="left"/>
              <w:rPr>
                <w:rFonts w:ascii="宋体" w:hAnsi="宋体" w:cs="宋体"/>
                <w:color w:val="auto"/>
                <w:szCs w:val="21"/>
              </w:rPr>
            </w:pPr>
            <w:r>
              <w:rPr>
                <w:rFonts w:hint="eastAsia" w:ascii="宋体" w:hAnsi="宋体"/>
                <w:color w:val="auto"/>
                <w:szCs w:val="21"/>
              </w:rPr>
              <w:t>竞标报价是履行合同的最终价格，本项目为整体服务包干项目，报价中包含所有服务内容，成交后采购人不再另行支付额外费用。</w:t>
            </w:r>
          </w:p>
        </w:tc>
      </w:tr>
      <w:tr w14:paraId="334FA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796806B">
            <w:pPr>
              <w:spacing w:line="400" w:lineRule="exact"/>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vAlign w:val="center"/>
          </w:tcPr>
          <w:p w14:paraId="04395370">
            <w:pPr>
              <w:pStyle w:val="9"/>
              <w:widowControl w:val="0"/>
              <w:tabs>
                <w:tab w:val="clear" w:pos="454"/>
              </w:tabs>
              <w:snapToGrid w:val="0"/>
              <w:spacing w:afterLines="0" w:line="400" w:lineRule="exact"/>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 xml:space="preserve"> 60 </w:t>
            </w:r>
            <w:r>
              <w:rPr>
                <w:rFonts w:hint="eastAsia" w:ascii="宋体" w:hAnsi="宋体" w:cs="宋体"/>
                <w:color w:val="auto"/>
                <w:kern w:val="2"/>
                <w:sz w:val="21"/>
                <w:szCs w:val="21"/>
              </w:rPr>
              <w:t>日。</w:t>
            </w:r>
          </w:p>
        </w:tc>
      </w:tr>
      <w:tr w14:paraId="7E030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0F9F464">
            <w:pPr>
              <w:spacing w:line="400" w:lineRule="exact"/>
              <w:jc w:val="center"/>
              <w:rPr>
                <w:rFonts w:ascii="宋体" w:hAnsi="宋体" w:cs="宋体"/>
                <w:color w:val="auto"/>
                <w:szCs w:val="21"/>
              </w:rPr>
            </w:pPr>
            <w:r>
              <w:rPr>
                <w:rFonts w:hint="eastAsia" w:ascii="宋体" w:hAnsi="宋体" w:cs="宋体"/>
                <w:color w:val="auto"/>
                <w:szCs w:val="21"/>
              </w:rPr>
              <w:t>17.1</w:t>
            </w:r>
          </w:p>
        </w:tc>
        <w:tc>
          <w:tcPr>
            <w:tcW w:w="7912" w:type="dxa"/>
            <w:vAlign w:val="center"/>
          </w:tcPr>
          <w:p w14:paraId="7EE315CD">
            <w:pPr>
              <w:snapToGrid w:val="0"/>
              <w:spacing w:line="400" w:lineRule="exact"/>
              <w:rPr>
                <w:rFonts w:ascii="宋体" w:hAnsi="宋体"/>
                <w:color w:val="auto"/>
                <w:szCs w:val="21"/>
              </w:rPr>
            </w:pPr>
            <w:r>
              <w:rPr>
                <w:rFonts w:hint="eastAsia" w:ascii="MS Mincho" w:hAnsi="MS Mincho" w:eastAsia="MS Mincho" w:cs="MS Mincho"/>
                <w:color w:val="auto"/>
                <w:szCs w:val="21"/>
              </w:rPr>
              <w:t>☑</w:t>
            </w:r>
            <w:r>
              <w:rPr>
                <w:rFonts w:hint="eastAsia" w:ascii="宋体" w:hAnsi="宋体"/>
                <w:color w:val="auto"/>
                <w:szCs w:val="21"/>
              </w:rPr>
              <w:t>本项目收取磋商保证金，具体规定如下：</w:t>
            </w:r>
          </w:p>
          <w:p w14:paraId="62EB242C">
            <w:pPr>
              <w:spacing w:line="400" w:lineRule="exact"/>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A分标分标磋商保证金人民币</w:t>
            </w:r>
            <w:r>
              <w:rPr>
                <w:rFonts w:hint="eastAsia" w:ascii="宋体" w:hAnsi="宋体" w:cs="宋体"/>
                <w:color w:val="auto"/>
                <w:kern w:val="0"/>
                <w:szCs w:val="21"/>
                <w:u w:val="single"/>
                <w:lang w:val="en-US" w:eastAsia="zh-CN"/>
              </w:rPr>
              <w:t>10000.00</w:t>
            </w:r>
            <w:r>
              <w:rPr>
                <w:rFonts w:hint="eastAsia" w:ascii="宋体" w:hAnsi="宋体" w:cs="宋体"/>
                <w:color w:val="auto"/>
                <w:kern w:val="0"/>
                <w:szCs w:val="21"/>
                <w:u w:val="single"/>
              </w:rPr>
              <w:t>元；</w:t>
            </w:r>
          </w:p>
          <w:p w14:paraId="72E1DAFC">
            <w:pPr>
              <w:spacing w:line="4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u w:val="single"/>
              </w:rPr>
              <w:t>B分标分标磋商保证金人民币</w:t>
            </w:r>
            <w:r>
              <w:rPr>
                <w:rFonts w:hint="eastAsia" w:ascii="宋体" w:hAnsi="宋体" w:cs="宋体"/>
                <w:color w:val="auto"/>
                <w:kern w:val="0"/>
                <w:szCs w:val="21"/>
                <w:u w:val="single"/>
                <w:lang w:val="en-US" w:eastAsia="zh-CN"/>
              </w:rPr>
              <w:t>10000.00</w:t>
            </w:r>
            <w:r>
              <w:rPr>
                <w:rFonts w:hint="eastAsia" w:ascii="宋体" w:hAnsi="宋体" w:cs="宋体"/>
                <w:color w:val="auto"/>
                <w:kern w:val="0"/>
                <w:szCs w:val="21"/>
                <w:u w:val="single"/>
              </w:rPr>
              <w:t>元</w:t>
            </w:r>
            <w:r>
              <w:rPr>
                <w:rFonts w:hint="eastAsia" w:ascii="宋体" w:hAnsi="宋体" w:cs="宋体"/>
                <w:color w:val="auto"/>
                <w:kern w:val="0"/>
                <w:szCs w:val="21"/>
                <w:u w:val="single"/>
                <w:lang w:eastAsia="zh-CN"/>
              </w:rPr>
              <w:t>。</w:t>
            </w:r>
          </w:p>
          <w:p w14:paraId="34E0DDC0">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磋商保证金的交纳方式：银行转账、支票、汇票、本票或者银行、保险机构出具的保函（含电子保函），禁止采用现钞方式。采用银行转账方式的，在响应文件提交截止时间前交至指定账户并且到账（开户银行：</w:t>
            </w:r>
            <w:r>
              <w:rPr>
                <w:rFonts w:hint="eastAsia" w:ascii="宋体" w:hAnsi="宋体" w:cs="宋体"/>
                <w:color w:val="auto"/>
                <w:kern w:val="0"/>
                <w:szCs w:val="21"/>
                <w:u w:val="single"/>
              </w:rPr>
              <w:t>中国民生银行南宁分行营业部</w:t>
            </w:r>
            <w:r>
              <w:rPr>
                <w:rFonts w:hint="eastAsia" w:ascii="宋体" w:hAnsi="宋体" w:cs="宋体"/>
                <w:color w:val="auto"/>
                <w:kern w:val="0"/>
                <w:szCs w:val="21"/>
              </w:rPr>
              <w:t>，开户名称：</w:t>
            </w:r>
            <w:r>
              <w:rPr>
                <w:rFonts w:hint="eastAsia" w:ascii="宋体" w:hAnsi="宋体" w:cs="宋体"/>
                <w:color w:val="auto"/>
                <w:kern w:val="0"/>
                <w:szCs w:val="21"/>
                <w:u w:val="single"/>
                <w:lang w:eastAsia="zh-CN"/>
              </w:rPr>
              <w:t>南宁斗方工程咨询有限公司</w:t>
            </w:r>
            <w:r>
              <w:rPr>
                <w:rFonts w:hint="eastAsia" w:ascii="宋体" w:hAnsi="宋体" w:cs="宋体"/>
                <w:color w:val="auto"/>
                <w:kern w:val="0"/>
                <w:szCs w:val="21"/>
              </w:rPr>
              <w:t>，银行账号：</w:t>
            </w:r>
            <w:r>
              <w:rPr>
                <w:rFonts w:hint="eastAsia" w:ascii="宋体" w:hAnsi="宋体" w:cs="宋体"/>
                <w:color w:val="auto"/>
                <w:kern w:val="0"/>
                <w:szCs w:val="21"/>
                <w:u w:val="single"/>
              </w:rPr>
              <w:t>162763649</w:t>
            </w:r>
            <w:r>
              <w:rPr>
                <w:rFonts w:hint="eastAsia" w:ascii="宋体" w:hAnsi="宋体" w:cs="宋体"/>
                <w:color w:val="auto"/>
                <w:kern w:val="0"/>
                <w:szCs w:val="21"/>
              </w:rPr>
              <w:t>）；采用支票、汇票、本票或者保函等方式的，在响应文件提交截止时间前，供应商必须提交单独密封的支票、汇票、本票或者保函原件。否则视为无效磋商保证金。</w:t>
            </w:r>
          </w:p>
          <w:p w14:paraId="28A5D634">
            <w:pPr>
              <w:snapToGrid w:val="0"/>
              <w:spacing w:line="400" w:lineRule="exact"/>
              <w:rPr>
                <w:rFonts w:ascii="宋体" w:hAnsi="宋体" w:cs="宋体"/>
                <w:b/>
                <w:color w:val="auto"/>
                <w:szCs w:val="21"/>
              </w:rPr>
            </w:pPr>
            <w:r>
              <w:rPr>
                <w:rFonts w:hint="eastAsia" w:ascii="宋体" w:hAnsi="宋体" w:cs="宋体"/>
                <w:b/>
                <w:color w:val="auto"/>
                <w:szCs w:val="21"/>
              </w:rPr>
              <w:t>相关要求：</w:t>
            </w:r>
          </w:p>
          <w:p w14:paraId="2AB97841">
            <w:pPr>
              <w:snapToGrid w:val="0"/>
              <w:spacing w:line="400" w:lineRule="exact"/>
              <w:rPr>
                <w:rFonts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w:t>
            </w:r>
            <w:r>
              <w:rPr>
                <w:color w:val="auto"/>
              </w:rPr>
              <w:t>办理竞标保证金手续时，请务必在银行进账单或电汇单的用途或空白栏上注明项目编号</w:t>
            </w:r>
            <w:r>
              <w:rPr>
                <w:rFonts w:hint="eastAsia"/>
                <w:color w:val="auto"/>
              </w:rPr>
              <w:t>（</w:t>
            </w:r>
            <w:r>
              <w:rPr>
                <w:color w:val="auto"/>
              </w:rPr>
              <w:t>办理竞标保证金手续时，请务必在银行进账单或电汇单的用途或空白栏上注明项目编号</w:t>
            </w:r>
            <w:r>
              <w:rPr>
                <w:rFonts w:hint="eastAsia"/>
                <w:color w:val="auto"/>
              </w:rPr>
              <w:t>）</w:t>
            </w:r>
            <w:r>
              <w:rPr>
                <w:rFonts w:hint="eastAsia" w:ascii="宋体" w:hAnsi="宋体" w:cs="宋体"/>
                <w:color w:val="auto"/>
                <w:szCs w:val="21"/>
              </w:rPr>
              <w:t>，供应商应将银行转账底单的扫描件作为磋商保证金提交凭证，放置于商务技术文件中，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14:paraId="4CDE6AA4">
            <w:pPr>
              <w:snapToGrid w:val="0"/>
              <w:spacing w:line="400" w:lineRule="exact"/>
              <w:rPr>
                <w:rFonts w:ascii="宋体" w:hAnsi="宋体"/>
                <w:color w:val="auto"/>
                <w:szCs w:val="21"/>
              </w:rPr>
            </w:pPr>
            <w:r>
              <w:rPr>
                <w:rFonts w:hint="eastAsia" w:ascii="宋体" w:hAnsi="宋体"/>
                <w:color w:val="auto"/>
                <w:szCs w:val="21"/>
              </w:rPr>
              <w:t>2.磋商保证金采用支票、汇票、本票或者银行、保险机构出具的保函</w:t>
            </w:r>
            <w:r>
              <w:rPr>
                <w:rFonts w:hint="eastAsia" w:ascii="宋体" w:hAnsi="宋体" w:cs="宋体"/>
                <w:color w:val="auto"/>
                <w:kern w:val="0"/>
                <w:szCs w:val="21"/>
              </w:rPr>
              <w:t>（含电子保函）</w:t>
            </w:r>
            <w:r>
              <w:rPr>
                <w:rFonts w:hint="eastAsia" w:ascii="宋体" w:hAnsi="宋体"/>
                <w:color w:val="auto"/>
                <w:szCs w:val="21"/>
              </w:rPr>
              <w:t>交纳方式的，供应商应将支票、汇票、本票或者银行、保险机构出具的保函</w:t>
            </w:r>
            <w:r>
              <w:rPr>
                <w:rFonts w:hint="eastAsia" w:ascii="宋体" w:hAnsi="宋体" w:cs="宋体"/>
                <w:color w:val="auto"/>
                <w:kern w:val="0"/>
                <w:szCs w:val="21"/>
              </w:rPr>
              <w:t>（含电子保函）</w:t>
            </w:r>
            <w:r>
              <w:rPr>
                <w:rFonts w:hint="eastAsia" w:ascii="宋体" w:hAnsi="宋体"/>
                <w:color w:val="auto"/>
                <w:szCs w:val="21"/>
              </w:rPr>
              <w:t>的扫描件作为磋商保证金提交凭证，放置于</w:t>
            </w:r>
            <w:r>
              <w:rPr>
                <w:rFonts w:hint="eastAsia" w:ascii="宋体" w:hAnsi="宋体" w:cs="宋体"/>
                <w:color w:val="auto"/>
                <w:szCs w:val="21"/>
              </w:rPr>
              <w:t>商务技术文件</w:t>
            </w:r>
            <w:r>
              <w:rPr>
                <w:rFonts w:hint="eastAsia" w:ascii="宋体" w:hAnsi="宋体"/>
                <w:color w:val="auto"/>
                <w:szCs w:val="21"/>
              </w:rPr>
              <w:t>中，</w:t>
            </w:r>
            <w:r>
              <w:rPr>
                <w:rFonts w:hint="eastAsia" w:ascii="宋体" w:hAnsi="宋体" w:cs="宋体"/>
                <w:b/>
                <w:color w:val="auto"/>
                <w:szCs w:val="21"/>
              </w:rPr>
              <w:t>否则响应文件按无效处理</w:t>
            </w:r>
            <w:r>
              <w:rPr>
                <w:rFonts w:hint="eastAsia" w:ascii="宋体" w:hAnsi="宋体"/>
                <w:color w:val="auto"/>
                <w:szCs w:val="21"/>
              </w:rPr>
              <w:t>。供应商必须</w:t>
            </w:r>
            <w:r>
              <w:rPr>
                <w:rFonts w:hint="eastAsia"/>
                <w:color w:val="auto"/>
              </w:rPr>
              <w:t>在响应文件提交截止时间前采用现场或邮寄方式（现场提交地址：</w:t>
            </w:r>
            <w:r>
              <w:rPr>
                <w:rFonts w:hint="eastAsia"/>
                <w:color w:val="auto"/>
                <w:u w:val="single"/>
              </w:rPr>
              <w:t>南宁市青秀区金浦路18-2号风尚80·住宅楼710号</w:t>
            </w:r>
            <w:r>
              <w:rPr>
                <w:rFonts w:hint="eastAsia"/>
                <w:color w:val="auto"/>
              </w:rPr>
              <w:t>；邮寄地址：</w:t>
            </w:r>
            <w:r>
              <w:rPr>
                <w:rFonts w:hint="eastAsia"/>
                <w:color w:val="auto"/>
                <w:u w:val="single"/>
              </w:rPr>
              <w:t>南宁市青秀区金浦路18-2号风尚80·住宅楼710号</w:t>
            </w:r>
            <w:r>
              <w:rPr>
                <w:rFonts w:hint="eastAsia"/>
                <w:color w:val="auto"/>
              </w:rPr>
              <w:t>，收件人：</w:t>
            </w:r>
            <w:r>
              <w:rPr>
                <w:rFonts w:hint="eastAsia"/>
                <w:color w:val="auto"/>
                <w:u w:val="single"/>
                <w:lang w:eastAsia="zh-CN"/>
              </w:rPr>
              <w:t>钟高同</w:t>
            </w:r>
            <w:r>
              <w:rPr>
                <w:rFonts w:hint="eastAsia"/>
                <w:color w:val="auto"/>
              </w:rPr>
              <w:t>，联系方式：</w:t>
            </w:r>
            <w:r>
              <w:rPr>
                <w:rFonts w:hint="eastAsia"/>
                <w:color w:val="auto"/>
                <w:u w:val="single"/>
                <w:lang w:val="en-US" w:eastAsia="zh-CN"/>
              </w:rPr>
              <w:t>18697967472</w:t>
            </w:r>
            <w:r>
              <w:rPr>
                <w:rFonts w:hint="eastAsia"/>
                <w:color w:val="auto"/>
              </w:rPr>
              <w:t>）</w:t>
            </w:r>
            <w:r>
              <w:rPr>
                <w:rFonts w:hint="eastAsia" w:ascii="宋体" w:hAnsi="宋体"/>
                <w:color w:val="auto"/>
                <w:szCs w:val="21"/>
              </w:rPr>
              <w:t>将</w:t>
            </w:r>
            <w:r>
              <w:rPr>
                <w:rFonts w:hint="eastAsia" w:ascii="宋体" w:hAnsi="宋体" w:cs="宋体"/>
                <w:color w:val="auto"/>
                <w:kern w:val="0"/>
                <w:szCs w:val="21"/>
              </w:rPr>
              <w:t>单独密封的</w:t>
            </w:r>
            <w:r>
              <w:rPr>
                <w:rFonts w:hint="eastAsia" w:ascii="宋体" w:hAnsi="宋体"/>
                <w:color w:val="auto"/>
                <w:szCs w:val="21"/>
              </w:rPr>
              <w:t>支票、汇票、本票或者银行、保险机构出具的保函原件提交给采购人或者采购代理机构，由采购人或者采购代理机构向供应商出具回执（邮寄方式的除外），并妥善保管。</w:t>
            </w:r>
          </w:p>
          <w:p w14:paraId="6BC9FA43">
            <w:pPr>
              <w:snapToGrid w:val="0"/>
              <w:spacing w:line="400" w:lineRule="exact"/>
              <w:rPr>
                <w:rFonts w:ascii="宋体" w:hAnsi="宋体"/>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3.供应商为联合体的，可以由联合体中的一方或者多方共同交纳磋商保证金，其交纳的保证金对联合体各方均具有约束力。（本项目不适用）</w:t>
            </w:r>
          </w:p>
          <w:p w14:paraId="78C56281">
            <w:pPr>
              <w:snapToGrid w:val="0"/>
              <w:spacing w:line="400" w:lineRule="exact"/>
              <w:rPr>
                <w:rFonts w:ascii="宋体" w:hAnsi="宋体" w:cs="宋体"/>
                <w:b/>
                <w:color w:val="auto"/>
                <w:szCs w:val="21"/>
              </w:rPr>
            </w:pPr>
            <w:r>
              <w:rPr>
                <w:rFonts w:hint="eastAsia" w:ascii="宋体" w:hAnsi="宋体" w:cs="宋体"/>
                <w:b/>
                <w:color w:val="auto"/>
                <w:szCs w:val="21"/>
              </w:rPr>
              <w:t xml:space="preserve">备注： </w:t>
            </w:r>
          </w:p>
          <w:p w14:paraId="214A0B36">
            <w:pPr>
              <w:snapToGrid w:val="0"/>
              <w:spacing w:line="400" w:lineRule="exact"/>
              <w:rPr>
                <w:rFonts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14:paraId="17AD10D3">
            <w:pPr>
              <w:snapToGrid w:val="0"/>
              <w:spacing w:line="400" w:lineRule="exact"/>
              <w:rPr>
                <w:rFonts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14:paraId="7AB2C680">
            <w:pPr>
              <w:snapToGrid w:val="0"/>
              <w:spacing w:line="400" w:lineRule="exact"/>
              <w:rPr>
                <w:rFonts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14:paraId="06043B92">
            <w:pPr>
              <w:snapToGrid w:val="0"/>
              <w:spacing w:line="400" w:lineRule="exact"/>
              <w:rPr>
                <w:rFonts w:ascii="宋体" w:hAnsi="宋体" w:cs="宋体"/>
                <w:b/>
                <w:color w:val="auto"/>
                <w:szCs w:val="21"/>
              </w:rPr>
            </w:pPr>
            <w:r>
              <w:rPr>
                <w:rFonts w:hint="eastAsia" w:ascii="宋体" w:hAnsi="宋体" w:cs="宋体"/>
                <w:b/>
                <w:color w:val="auto"/>
                <w:szCs w:val="21"/>
              </w:rPr>
              <w:t>4.保函有效期低于竞标有效期的，视为无效磋商保证金。</w:t>
            </w:r>
          </w:p>
          <w:p w14:paraId="61D7A06C">
            <w:pPr>
              <w:snapToGrid w:val="0"/>
              <w:spacing w:line="400" w:lineRule="exact"/>
              <w:rPr>
                <w:rFonts w:ascii="宋体" w:hAnsi="宋体" w:cs="宋体"/>
                <w:color w:val="auto"/>
                <w:szCs w:val="21"/>
              </w:rPr>
            </w:pPr>
            <w:r>
              <w:rPr>
                <w:rFonts w:hint="eastAsia" w:ascii="宋体" w:hAnsi="宋体" w:cs="宋体"/>
                <w:b/>
                <w:color w:val="auto"/>
                <w:szCs w:val="21"/>
              </w:rPr>
              <w:t>5.采用银行、保险机构出具保函的，必须为无条件保函，否则视为无效磋商保证金。</w:t>
            </w:r>
          </w:p>
        </w:tc>
      </w:tr>
      <w:tr w14:paraId="5C003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137D964">
            <w:pPr>
              <w:spacing w:line="400" w:lineRule="exact"/>
              <w:jc w:val="center"/>
              <w:rPr>
                <w:rFonts w:ascii="宋体" w:hAnsi="宋体" w:cs="宋体"/>
                <w:b/>
                <w:color w:val="auto"/>
                <w:szCs w:val="21"/>
              </w:rPr>
            </w:pPr>
            <w:r>
              <w:rPr>
                <w:rFonts w:ascii="宋体" w:hAnsi="宋体" w:cs="宋体"/>
                <w:b/>
                <w:color w:val="auto"/>
                <w:szCs w:val="21"/>
              </w:rPr>
              <w:t>19</w:t>
            </w:r>
          </w:p>
        </w:tc>
        <w:tc>
          <w:tcPr>
            <w:tcW w:w="7912" w:type="dxa"/>
            <w:vAlign w:val="center"/>
          </w:tcPr>
          <w:p w14:paraId="49992CAD">
            <w:pPr>
              <w:spacing w:line="400" w:lineRule="exact"/>
              <w:rPr>
                <w:rFonts w:ascii="宋体" w:hAnsi="宋体" w:cs="宋体"/>
                <w:b/>
                <w:color w:val="auto"/>
                <w:szCs w:val="21"/>
              </w:rPr>
            </w:pPr>
            <w:r>
              <w:rPr>
                <w:rFonts w:hint="eastAsia" w:ascii="宋体" w:hAnsi="宋体"/>
                <w:b/>
                <w:color w:val="auto"/>
                <w:szCs w:val="21"/>
              </w:rPr>
              <w:t>本项目不接受</w:t>
            </w:r>
            <w:r>
              <w:rPr>
                <w:rFonts w:hint="eastAsia"/>
                <w:b/>
                <w:color w:val="auto"/>
              </w:rPr>
              <w:t>电子</w:t>
            </w:r>
            <w:r>
              <w:rPr>
                <w:rFonts w:hint="eastAsia" w:ascii="宋体" w:hAnsi="宋体"/>
                <w:b/>
                <w:color w:val="auto"/>
                <w:szCs w:val="21"/>
              </w:rPr>
              <w:t>备份响应文件。</w:t>
            </w:r>
          </w:p>
        </w:tc>
      </w:tr>
      <w:tr w14:paraId="625C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B86A877">
            <w:pPr>
              <w:spacing w:line="400" w:lineRule="exact"/>
              <w:jc w:val="center"/>
              <w:rPr>
                <w:rFonts w:ascii="宋体" w:hAnsi="宋体" w:cs="宋体"/>
                <w:color w:val="auto"/>
                <w:szCs w:val="21"/>
              </w:rPr>
            </w:pPr>
            <w:r>
              <w:rPr>
                <w:rFonts w:hint="eastAsia" w:ascii="宋体" w:hAnsi="宋体" w:cs="宋体"/>
                <w:color w:val="auto"/>
                <w:szCs w:val="21"/>
              </w:rPr>
              <w:t>20.1</w:t>
            </w:r>
          </w:p>
        </w:tc>
        <w:tc>
          <w:tcPr>
            <w:tcW w:w="7912" w:type="dxa"/>
            <w:vAlign w:val="center"/>
          </w:tcPr>
          <w:p w14:paraId="5A5D845B">
            <w:pPr>
              <w:spacing w:line="400" w:lineRule="exact"/>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14:paraId="43A0ADB5">
            <w:pPr>
              <w:spacing w:line="400" w:lineRule="exact"/>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14:paraId="7472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95B2834">
            <w:pPr>
              <w:spacing w:line="400" w:lineRule="exact"/>
              <w:jc w:val="center"/>
              <w:rPr>
                <w:rFonts w:ascii="宋体" w:hAnsi="宋体" w:cs="宋体"/>
                <w:color w:val="auto"/>
                <w:szCs w:val="21"/>
              </w:rPr>
            </w:pPr>
            <w:r>
              <w:rPr>
                <w:rFonts w:hint="eastAsia" w:ascii="宋体" w:hAnsi="宋体" w:cs="宋体"/>
                <w:color w:val="auto"/>
                <w:szCs w:val="21"/>
              </w:rPr>
              <w:t>24.1</w:t>
            </w:r>
          </w:p>
        </w:tc>
        <w:tc>
          <w:tcPr>
            <w:tcW w:w="7912" w:type="dxa"/>
            <w:vAlign w:val="center"/>
          </w:tcPr>
          <w:p w14:paraId="1D6FA7ED">
            <w:pPr>
              <w:snapToGrid w:val="0"/>
              <w:spacing w:line="400" w:lineRule="exact"/>
              <w:jc w:val="left"/>
              <w:rPr>
                <w:rFonts w:ascii="宋体" w:hAnsi="宋体" w:cs="宋体"/>
                <w:color w:val="auto"/>
                <w:szCs w:val="21"/>
                <w:u w:val="single"/>
              </w:rPr>
            </w:pPr>
            <w:r>
              <w:rPr>
                <w:rFonts w:hint="eastAsia" w:ascii="宋体" w:hAnsi="宋体" w:cs="宋体"/>
                <w:color w:val="auto"/>
                <w:szCs w:val="21"/>
              </w:rPr>
              <w:t>磋商小组的人数：</w:t>
            </w:r>
            <w:r>
              <w:rPr>
                <w:rFonts w:hint="eastAsia" w:ascii="宋体" w:hAnsi="宋体" w:cs="宋体"/>
                <w:color w:val="auto"/>
                <w:szCs w:val="21"/>
                <w:u w:val="single"/>
              </w:rPr>
              <w:t xml:space="preserve"> </w:t>
            </w:r>
            <w:r>
              <w:rPr>
                <w:rFonts w:ascii="宋体" w:hAnsi="宋体" w:cs="宋体"/>
                <w:color w:val="auto"/>
                <w:szCs w:val="21"/>
                <w:u w:val="single"/>
              </w:rPr>
              <w:t>3</w:t>
            </w:r>
            <w:r>
              <w:rPr>
                <w:rFonts w:hint="eastAsia" w:ascii="宋体" w:hAnsi="宋体" w:cs="宋体"/>
                <w:color w:val="auto"/>
                <w:szCs w:val="21"/>
              </w:rPr>
              <w:t>人或以上单数。</w:t>
            </w:r>
          </w:p>
        </w:tc>
      </w:tr>
      <w:tr w14:paraId="58BC0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5111FBC">
            <w:pPr>
              <w:spacing w:line="400" w:lineRule="exact"/>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vAlign w:val="center"/>
          </w:tcPr>
          <w:p w14:paraId="17F08EF8">
            <w:pPr>
              <w:snapToGrid w:val="0"/>
              <w:spacing w:line="400" w:lineRule="exact"/>
              <w:jc w:val="left"/>
              <w:rPr>
                <w:rFonts w:ascii="宋体" w:hAnsi="宋体" w:cs="宋体"/>
                <w:color w:val="auto"/>
                <w:szCs w:val="21"/>
              </w:rPr>
            </w:pPr>
            <w:r>
              <w:rPr>
                <w:rFonts w:hint="eastAsia" w:ascii="宋体" w:hAnsi="宋体" w:cs="宋体"/>
                <w:color w:val="auto"/>
                <w:szCs w:val="21"/>
              </w:rPr>
              <w:t>首次响应文件开启时间详见“竞争性磋商公告”</w:t>
            </w:r>
          </w:p>
          <w:p w14:paraId="0CFF0A45">
            <w:pPr>
              <w:snapToGrid w:val="0"/>
              <w:spacing w:line="400" w:lineRule="exact"/>
              <w:jc w:val="left"/>
              <w:rPr>
                <w:rFonts w:ascii="宋体" w:hAnsi="宋体" w:cs="宋体"/>
                <w:color w:val="auto"/>
                <w:szCs w:val="21"/>
              </w:rPr>
            </w:pPr>
            <w:r>
              <w:rPr>
                <w:rFonts w:hint="eastAsia" w:ascii="宋体" w:hAnsi="宋体" w:cs="宋体"/>
                <w:color w:val="auto"/>
                <w:szCs w:val="21"/>
              </w:rPr>
              <w:t>首次响应文件解密时间：</w:t>
            </w:r>
            <w:r>
              <w:rPr>
                <w:rFonts w:hAnsi="宋体"/>
                <w:color w:val="auto"/>
                <w:u w:val="single"/>
              </w:rPr>
              <w:t xml:space="preserve"> 30 </w:t>
            </w:r>
            <w:r>
              <w:rPr>
                <w:rFonts w:hint="eastAsia" w:hAnsi="宋体"/>
                <w:color w:val="auto"/>
              </w:rPr>
              <w:t>分钟</w:t>
            </w:r>
          </w:p>
        </w:tc>
      </w:tr>
      <w:tr w14:paraId="76C75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1CE93F7">
            <w:pPr>
              <w:spacing w:line="400" w:lineRule="exact"/>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vAlign w:val="center"/>
          </w:tcPr>
          <w:p w14:paraId="285FCA1F">
            <w:pPr>
              <w:snapToGrid w:val="0"/>
              <w:spacing w:line="400" w:lineRule="exact"/>
              <w:rPr>
                <w:rFonts w:ascii="宋体" w:hAnsi="宋体" w:cs="宋体"/>
                <w:color w:val="auto"/>
                <w:szCs w:val="21"/>
              </w:rPr>
            </w:pPr>
            <w:r>
              <w:rPr>
                <w:rFonts w:hint="eastAsia" w:ascii="宋体" w:hAnsi="宋体" w:cs="宋体"/>
                <w:color w:val="auto"/>
                <w:szCs w:val="21"/>
              </w:rPr>
              <w:t>商务要求评审中允许负偏离的条款数为</w:t>
            </w:r>
            <w:r>
              <w:rPr>
                <w:rFonts w:hint="eastAsia" w:ascii="宋体" w:hAnsi="宋体" w:cs="宋体"/>
                <w:color w:val="auto"/>
                <w:szCs w:val="21"/>
                <w:u w:val="single"/>
              </w:rPr>
              <w:t xml:space="preserve"> </w:t>
            </w:r>
            <w:r>
              <w:rPr>
                <w:rFonts w:ascii="宋体" w:hAnsi="宋体" w:cs="宋体"/>
                <w:color w:val="auto"/>
                <w:szCs w:val="21"/>
                <w:u w:val="single"/>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7ABB9930">
            <w:pPr>
              <w:snapToGrid w:val="0"/>
              <w:spacing w:line="400" w:lineRule="exact"/>
              <w:rPr>
                <w:rFonts w:ascii="宋体" w:hAnsi="宋体" w:cs="宋体"/>
                <w:color w:val="auto"/>
                <w:szCs w:val="21"/>
              </w:rPr>
            </w:pPr>
            <w:r>
              <w:rPr>
                <w:rFonts w:hint="eastAsia" w:ascii="宋体" w:hAnsi="宋体" w:cs="宋体"/>
                <w:color w:val="auto"/>
                <w:szCs w:val="21"/>
              </w:rPr>
              <w:t>技术要求评审中允许负偏离的条款数：如有要求，具体见第三章“说明”。</w:t>
            </w:r>
          </w:p>
        </w:tc>
      </w:tr>
      <w:tr w14:paraId="3E839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9397F0F">
            <w:pPr>
              <w:spacing w:line="400" w:lineRule="exact"/>
              <w:jc w:val="center"/>
              <w:rPr>
                <w:rFonts w:ascii="宋体" w:hAnsi="宋体" w:cs="宋体"/>
                <w:color w:val="auto"/>
                <w:szCs w:val="21"/>
              </w:rPr>
            </w:pPr>
            <w:r>
              <w:rPr>
                <w:rFonts w:ascii="宋体" w:hAnsi="宋体" w:cs="宋体"/>
                <w:color w:val="auto"/>
                <w:szCs w:val="21"/>
              </w:rPr>
              <w:t>28.1</w:t>
            </w:r>
          </w:p>
        </w:tc>
        <w:tc>
          <w:tcPr>
            <w:tcW w:w="7912" w:type="dxa"/>
            <w:vAlign w:val="center"/>
          </w:tcPr>
          <w:p w14:paraId="3B0EEB35">
            <w:pPr>
              <w:autoSpaceDE w:val="0"/>
              <w:autoSpaceDN w:val="0"/>
              <w:snapToGrid w:val="0"/>
              <w:spacing w:line="400" w:lineRule="exact"/>
              <w:textAlignment w:val="bottom"/>
              <w:rPr>
                <w:rFonts w:ascii="宋体" w:hAnsi="宋体"/>
                <w:color w:val="auto"/>
                <w:szCs w:val="21"/>
              </w:rPr>
            </w:pPr>
            <w:r>
              <w:rPr>
                <w:rFonts w:hint="eastAsia" w:ascii="MS Mincho" w:hAnsi="MS Mincho" w:cs="MS Mincho"/>
                <w:color w:val="auto"/>
                <w:szCs w:val="21"/>
                <w:lang w:eastAsia="zh-CN"/>
              </w:rPr>
              <w:t>☑</w:t>
            </w:r>
            <w:r>
              <w:rPr>
                <w:rFonts w:hint="eastAsia" w:ascii="宋体" w:hAnsi="宋体"/>
                <w:color w:val="auto"/>
                <w:szCs w:val="21"/>
              </w:rPr>
              <w:t>本项目不收取履约保证金。</w:t>
            </w:r>
          </w:p>
          <w:p w14:paraId="702BCAB2">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本项目收取履约保证金，具体规定如下：</w:t>
            </w:r>
          </w:p>
          <w:p w14:paraId="4A4E1F51">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履约保证金金额：按成交金额的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%收取，于成交结果发布后1</w:t>
            </w:r>
            <w:r>
              <w:rPr>
                <w:rFonts w:ascii="宋体" w:hAnsi="宋体" w:cs="宋体"/>
                <w:color w:val="auto"/>
                <w:szCs w:val="21"/>
              </w:rPr>
              <w:t>0</w:t>
            </w:r>
            <w:r>
              <w:rPr>
                <w:rFonts w:hint="eastAsia" w:ascii="宋体" w:hAnsi="宋体" w:cs="宋体"/>
                <w:color w:val="auto"/>
                <w:szCs w:val="21"/>
              </w:rPr>
              <w:t>个工作日内提交至指定账户。</w:t>
            </w:r>
          </w:p>
          <w:p w14:paraId="23DFD1D5">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履约保证金提交方式：银行转账、支票、汇票、本票或者银行、保险机构出具的保函等非现金方式（参照竞标保证金）。</w:t>
            </w:r>
          </w:p>
          <w:p w14:paraId="2269B77D">
            <w:pPr>
              <w:spacing w:line="400" w:lineRule="exact"/>
              <w:contextualSpacing/>
              <w:rPr>
                <w:rFonts w:ascii="宋体" w:hAnsi="宋体" w:cs="宋体"/>
                <w:color w:val="auto"/>
                <w:szCs w:val="21"/>
                <w:u w:val="single"/>
              </w:rPr>
            </w:pPr>
            <w:r>
              <w:rPr>
                <w:rFonts w:hint="eastAsia" w:ascii="宋体" w:hAnsi="宋体" w:cs="宋体"/>
                <w:color w:val="auto"/>
                <w:szCs w:val="21"/>
              </w:rPr>
              <w:t>履约保证金退付方式、时间及条件：</w:t>
            </w:r>
            <w:r>
              <w:rPr>
                <w:rFonts w:hint="eastAsia" w:ascii="宋体" w:hAnsi="宋体" w:cs="宋体"/>
                <w:color w:val="auto"/>
                <w:szCs w:val="21"/>
                <w:u w:val="single"/>
              </w:rPr>
              <w:t>在成交供应商按合同履约完毕并验收合格，由成交供应商向采购人提供《政府采购项目履约保证金退付意见书》及《广西壮族自治区政府采购项目合同验收书》，采购人在收到合格材料后5个工作日内进行核对，涉及违约的违约金和损失赔偿从履约保证金中扣减，后以银行转账方式退还（不计利息）。</w:t>
            </w:r>
          </w:p>
          <w:p w14:paraId="2681461D">
            <w:pPr>
              <w:spacing w:line="400" w:lineRule="exact"/>
              <w:contextualSpacing/>
              <w:rPr>
                <w:rFonts w:hint="eastAsia" w:ascii="宋体" w:hAnsi="宋体" w:eastAsia="宋体" w:cs="宋体"/>
                <w:color w:val="auto"/>
                <w:szCs w:val="21"/>
                <w:lang w:eastAsia="zh-CN"/>
              </w:rPr>
            </w:pPr>
            <w:r>
              <w:rPr>
                <w:rFonts w:hint="eastAsia" w:ascii="宋体" w:hAnsi="宋体" w:cs="宋体"/>
                <w:color w:val="auto"/>
                <w:szCs w:val="21"/>
              </w:rPr>
              <w:t>履约保证金指定账户：</w:t>
            </w:r>
          </w:p>
          <w:p w14:paraId="79F039D7">
            <w:pPr>
              <w:spacing w:line="400" w:lineRule="exact"/>
              <w:contextualSpacing/>
              <w:rPr>
                <w:rFonts w:hint="eastAsia" w:ascii="宋体" w:hAnsi="宋体" w:eastAsia="宋体" w:cs="宋体"/>
                <w:color w:val="auto"/>
                <w:szCs w:val="21"/>
                <w:lang w:eastAsia="zh-CN"/>
              </w:rPr>
            </w:pPr>
            <w:r>
              <w:rPr>
                <w:rFonts w:hint="eastAsia" w:ascii="宋体" w:hAnsi="宋体" w:cs="宋体"/>
                <w:color w:val="auto"/>
                <w:szCs w:val="21"/>
              </w:rPr>
              <w:t>开户名称：</w:t>
            </w:r>
            <w:r>
              <w:rPr>
                <w:rFonts w:hint="eastAsia" w:ascii="宋体" w:hAnsi="宋体" w:cs="宋体"/>
                <w:color w:val="auto"/>
                <w:szCs w:val="21"/>
                <w:u w:val="single"/>
                <w:lang w:val="en-US" w:eastAsia="zh-CN"/>
              </w:rPr>
              <w:t>/</w:t>
            </w:r>
          </w:p>
          <w:p w14:paraId="6CC9C3C7">
            <w:pPr>
              <w:spacing w:line="400" w:lineRule="exact"/>
              <w:contextualSpacing/>
              <w:rPr>
                <w:rFonts w:hint="eastAsia" w:ascii="宋体" w:hAnsi="宋体" w:eastAsia="宋体" w:cs="宋体"/>
                <w:color w:val="auto"/>
                <w:szCs w:val="21"/>
                <w:lang w:eastAsia="zh-CN"/>
              </w:rPr>
            </w:pPr>
            <w:r>
              <w:rPr>
                <w:rFonts w:hint="eastAsia" w:ascii="宋体" w:hAnsi="宋体" w:cs="宋体"/>
                <w:color w:val="auto"/>
                <w:szCs w:val="21"/>
              </w:rPr>
              <w:t>开户银行：</w:t>
            </w:r>
            <w:r>
              <w:rPr>
                <w:rFonts w:hint="eastAsia" w:ascii="宋体" w:hAnsi="宋体" w:cs="宋体"/>
                <w:color w:val="auto"/>
                <w:szCs w:val="21"/>
                <w:u w:val="single"/>
                <w:lang w:val="en-US" w:eastAsia="zh-CN"/>
              </w:rPr>
              <w:t>/</w:t>
            </w:r>
          </w:p>
          <w:p w14:paraId="0D11779B">
            <w:pPr>
              <w:spacing w:line="400" w:lineRule="exact"/>
              <w:contextualSpacing/>
              <w:rPr>
                <w:rFonts w:hint="eastAsia" w:ascii="宋体" w:hAnsi="宋体" w:eastAsia="宋体" w:cs="宋体"/>
                <w:color w:val="auto"/>
                <w:szCs w:val="21"/>
                <w:lang w:eastAsia="zh-CN"/>
              </w:rPr>
            </w:pPr>
            <w:r>
              <w:rPr>
                <w:rFonts w:hint="eastAsia" w:ascii="宋体" w:hAnsi="宋体" w:cs="宋体"/>
                <w:color w:val="auto"/>
                <w:szCs w:val="21"/>
              </w:rPr>
              <w:t>银行账号：</w:t>
            </w:r>
            <w:r>
              <w:rPr>
                <w:rFonts w:hint="eastAsia" w:ascii="宋体" w:hAnsi="宋体" w:cs="宋体"/>
                <w:color w:val="auto"/>
                <w:szCs w:val="21"/>
                <w:u w:val="single"/>
                <w:lang w:val="en-US" w:eastAsia="zh-CN"/>
              </w:rPr>
              <w:t>/</w:t>
            </w:r>
          </w:p>
          <w:p w14:paraId="1C607AB0">
            <w:pPr>
              <w:spacing w:line="400" w:lineRule="exact"/>
              <w:contextualSpacing/>
              <w:rPr>
                <w:rFonts w:ascii="宋体" w:hAnsi="宋体" w:cs="宋体"/>
                <w:b/>
                <w:color w:val="auto"/>
                <w:szCs w:val="21"/>
              </w:rPr>
            </w:pPr>
            <w:r>
              <w:rPr>
                <w:rFonts w:hint="eastAsia" w:ascii="宋体" w:hAnsi="宋体" w:cs="宋体"/>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1.根据</w:t>
            </w:r>
            <w:r>
              <w:rPr>
                <w:rFonts w:hint="eastAsia" w:ascii="宋体" w:hAnsi="宋体"/>
                <w:b/>
                <w:color w:val="auto"/>
                <w:szCs w:val="21"/>
              </w:rPr>
              <w:t>《广西壮族自治区财政厅关于规范政府采购货物和服务项目保证金管理的通知》（桂财规〔2022〕8号）规定，对中小企业收取的履约保证金数额不得超过政府采购合同金额的2%</w:t>
            </w:r>
            <w:r>
              <w:rPr>
                <w:rFonts w:hint="eastAsia" w:ascii="宋体" w:hAnsi="宋体" w:cs="宋体"/>
                <w:b/>
                <w:color w:val="auto"/>
                <w:szCs w:val="21"/>
              </w:rPr>
              <w:t>。</w:t>
            </w:r>
          </w:p>
          <w:p w14:paraId="1199B444">
            <w:pPr>
              <w:spacing w:line="400" w:lineRule="exact"/>
              <w:contextualSpacing/>
              <w:rPr>
                <w:rFonts w:ascii="宋体" w:hAnsi="宋体" w:cs="宋体"/>
                <w:b/>
                <w:color w:val="auto"/>
                <w:szCs w:val="21"/>
              </w:rPr>
            </w:pPr>
            <w:r>
              <w:rPr>
                <w:rFonts w:ascii="宋体" w:hAnsi="宋体" w:cs="宋体"/>
                <w:b/>
                <w:color w:val="auto"/>
                <w:szCs w:val="21"/>
              </w:rPr>
              <w:t>2.</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履约保证金不足额缴纳的，或者银行、保险机构出具的保函额度不足的或者保函有效期低于合同履行期限（即签订采购合同之日起至履行完合同约定的权利及义务之日止）的，不予签订合同。</w:t>
            </w:r>
            <w:r>
              <w:rPr>
                <w:rFonts w:hint="eastAsia" w:ascii="宋体" w:hAnsi="宋体" w:cs="宋体"/>
                <w:b/>
                <w:color w:val="auto"/>
                <w:szCs w:val="21"/>
              </w:rPr>
              <w:br w:type="textWrapping"/>
            </w:r>
            <w:r>
              <w:rPr>
                <w:rFonts w:ascii="宋体" w:hAnsi="宋体" w:cs="宋体"/>
                <w:b/>
                <w:color w:val="auto"/>
                <w:szCs w:val="21"/>
              </w:rPr>
              <w:t>3.</w:t>
            </w:r>
            <w:r>
              <w:rPr>
                <w:rFonts w:hint="eastAsia" w:ascii="宋体" w:hAnsi="宋体" w:cs="宋体"/>
                <w:b/>
                <w:color w:val="auto"/>
                <w:szCs w:val="21"/>
              </w:rPr>
              <w:t>采用银行、保险机构出具的保函的，必须为无条件保函，否则不予签订合同。</w:t>
            </w:r>
          </w:p>
          <w:p w14:paraId="28278DE5">
            <w:pPr>
              <w:spacing w:line="400" w:lineRule="exact"/>
              <w:contextualSpacing/>
              <w:rPr>
                <w:rFonts w:ascii="宋体" w:hAnsi="宋体" w:cs="宋体"/>
                <w:color w:val="auto"/>
                <w:szCs w:val="21"/>
              </w:rPr>
            </w:pPr>
            <w:r>
              <w:rPr>
                <w:rFonts w:ascii="宋体" w:hAnsi="宋体" w:cs="宋体"/>
                <w:b/>
                <w:color w:val="auto"/>
                <w:szCs w:val="21"/>
              </w:rPr>
              <w:t>4.</w:t>
            </w:r>
            <w:r>
              <w:rPr>
                <w:rFonts w:hint="eastAsia" w:ascii="宋体" w:hAnsi="宋体" w:cs="宋体"/>
                <w:b/>
                <w:color w:val="auto"/>
                <w:szCs w:val="21"/>
              </w:rPr>
              <w:t>供应商为联合体的，由联合体任意一方按规定提交的履约保证金，视为有效履约保证金。</w:t>
            </w:r>
            <w:r>
              <w:rPr>
                <w:rFonts w:hint="eastAsia" w:ascii="宋体" w:hAnsi="宋体" w:cs="宋体"/>
                <w:color w:val="auto"/>
                <w:szCs w:val="21"/>
              </w:rPr>
              <w:t>（本项目不适用）</w:t>
            </w:r>
          </w:p>
        </w:tc>
      </w:tr>
      <w:tr w14:paraId="5603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9C67D08">
            <w:pPr>
              <w:spacing w:line="400" w:lineRule="exact"/>
              <w:jc w:val="center"/>
              <w:rPr>
                <w:rFonts w:ascii="宋体" w:hAnsi="宋体" w:cs="宋体"/>
                <w:color w:val="auto"/>
                <w:szCs w:val="21"/>
              </w:rPr>
            </w:pPr>
            <w:r>
              <w:rPr>
                <w:rFonts w:ascii="宋体" w:hAnsi="宋体" w:cs="宋体"/>
                <w:color w:val="auto"/>
                <w:szCs w:val="21"/>
              </w:rPr>
              <w:t>29.1</w:t>
            </w:r>
          </w:p>
        </w:tc>
        <w:tc>
          <w:tcPr>
            <w:tcW w:w="7912" w:type="dxa"/>
            <w:vAlign w:val="center"/>
          </w:tcPr>
          <w:p w14:paraId="67114864">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 xml:space="preserve">签订合同携带的证明材料： </w:t>
            </w:r>
          </w:p>
          <w:p w14:paraId="293B4188">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01886C86">
            <w:pPr>
              <w:snapToGrid w:val="0"/>
              <w:spacing w:line="400" w:lineRule="exact"/>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4918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B7ABDBB">
            <w:pPr>
              <w:spacing w:line="400" w:lineRule="exact"/>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vAlign w:val="center"/>
          </w:tcPr>
          <w:p w14:paraId="055F120D">
            <w:pPr>
              <w:snapToGrid w:val="0"/>
              <w:spacing w:line="400" w:lineRule="exact"/>
              <w:rPr>
                <w:rFonts w:ascii="宋体" w:hAnsi="宋体" w:cs="宋体"/>
                <w:color w:val="auto"/>
                <w:szCs w:val="21"/>
              </w:rPr>
            </w:pPr>
            <w:r>
              <w:rPr>
                <w:rFonts w:hint="eastAsia" w:ascii="宋体" w:hAnsi="宋体" w:cs="宋体"/>
                <w:color w:val="auto"/>
                <w:szCs w:val="21"/>
              </w:rPr>
              <w:t>接收质疑函方式：以书面形式。</w:t>
            </w:r>
          </w:p>
          <w:p w14:paraId="00F722DB">
            <w:pPr>
              <w:pStyle w:val="17"/>
              <w:snapToGrid w:val="0"/>
              <w:spacing w:line="400" w:lineRule="exact"/>
              <w:rPr>
                <w:rFonts w:hAnsi="宋体" w:cs="宋体"/>
                <w:color w:val="auto"/>
                <w:kern w:val="2"/>
                <w:sz w:val="21"/>
              </w:rPr>
            </w:pPr>
            <w:r>
              <w:rPr>
                <w:rFonts w:hint="eastAsia" w:hAnsi="宋体" w:cs="宋体"/>
                <w:color w:val="auto"/>
                <w:kern w:val="2"/>
                <w:sz w:val="21"/>
              </w:rPr>
              <w:t>质疑联系部门及联系方式：</w:t>
            </w:r>
            <w:r>
              <w:rPr>
                <w:rFonts w:hint="eastAsia" w:hAnsi="宋体"/>
                <w:color w:val="auto"/>
                <w:sz w:val="21"/>
                <w:u w:val="single"/>
                <w:lang w:eastAsia="zh-CN"/>
              </w:rPr>
              <w:t>南宁斗方工程咨询有限公司</w:t>
            </w:r>
            <w:r>
              <w:rPr>
                <w:rFonts w:hint="eastAsia" w:hAnsi="宋体" w:cs="宋体"/>
                <w:color w:val="auto"/>
                <w:kern w:val="2"/>
                <w:sz w:val="21"/>
              </w:rPr>
              <w:t>，联系电话18697967472、0771-3109669，通讯地址：</w:t>
            </w:r>
            <w:r>
              <w:rPr>
                <w:rFonts w:hint="eastAsia" w:hAnsi="宋体"/>
                <w:color w:val="auto"/>
                <w:sz w:val="21"/>
                <w:u w:val="single"/>
                <w:lang w:eastAsia="zh-CN"/>
              </w:rPr>
              <w:t>南宁市青秀区金浦路18-2号风尚80·住宅楼710号</w:t>
            </w:r>
            <w:r>
              <w:rPr>
                <w:rFonts w:hint="eastAsia" w:hAnsi="宋体"/>
                <w:color w:val="auto"/>
                <w:sz w:val="21"/>
                <w:u w:val="single"/>
              </w:rPr>
              <w:t>。</w:t>
            </w:r>
          </w:p>
          <w:p w14:paraId="4CEFA960">
            <w:pPr>
              <w:autoSpaceDE w:val="0"/>
              <w:autoSpaceDN w:val="0"/>
              <w:snapToGrid w:val="0"/>
              <w:spacing w:line="400" w:lineRule="exact"/>
              <w:textAlignment w:val="bottom"/>
              <w:rPr>
                <w:rFonts w:ascii="宋体" w:hAnsi="宋体"/>
                <w:color w:val="auto"/>
                <w:szCs w:val="21"/>
              </w:rPr>
            </w:pPr>
            <w:r>
              <w:rPr>
                <w:rFonts w:hint="eastAsia" w:ascii="宋体" w:hAnsi="宋体" w:cs="宋体"/>
                <w:color w:val="auto"/>
                <w:szCs w:val="21"/>
              </w:rPr>
              <w:t>业务时间：工作日每天上午</w:t>
            </w:r>
            <w:r>
              <w:rPr>
                <w:rFonts w:ascii="宋体" w:hAnsi="宋体" w:cs="宋体"/>
                <w:color w:val="auto"/>
                <w:szCs w:val="21"/>
              </w:rPr>
              <w:t>8</w:t>
            </w:r>
            <w:r>
              <w:rPr>
                <w:rFonts w:hint="eastAsia" w:ascii="宋体" w:hAnsi="宋体" w:cs="宋体"/>
                <w:color w:val="auto"/>
                <w:szCs w:val="21"/>
              </w:rPr>
              <w:t>时</w:t>
            </w:r>
            <w:r>
              <w:rPr>
                <w:rFonts w:hint="eastAsia" w:ascii="宋体" w:hAnsi="宋体" w:cs="宋体"/>
                <w:color w:val="auto"/>
                <w:szCs w:val="21"/>
                <w:lang w:val="en-US" w:eastAsia="zh-CN"/>
              </w:rPr>
              <w:t>3</w:t>
            </w:r>
            <w:r>
              <w:rPr>
                <w:rFonts w:ascii="宋体" w:hAnsi="宋体" w:cs="宋体"/>
                <w:color w:val="auto"/>
                <w:szCs w:val="21"/>
              </w:rPr>
              <w:t>0</w:t>
            </w:r>
            <w:r>
              <w:rPr>
                <w:rFonts w:hint="eastAsia" w:ascii="宋体" w:hAnsi="宋体" w:cs="宋体"/>
                <w:color w:val="auto"/>
                <w:szCs w:val="21"/>
              </w:rPr>
              <w:t>分到</w:t>
            </w:r>
            <w:r>
              <w:rPr>
                <w:rFonts w:ascii="宋体" w:hAnsi="宋体" w:cs="宋体"/>
                <w:color w:val="auto"/>
                <w:szCs w:val="21"/>
              </w:rPr>
              <w:t>12</w:t>
            </w:r>
            <w:r>
              <w:rPr>
                <w:rFonts w:hint="eastAsia" w:ascii="宋体" w:hAnsi="宋体" w:cs="宋体"/>
                <w:color w:val="auto"/>
                <w:szCs w:val="21"/>
              </w:rPr>
              <w:t>时</w:t>
            </w:r>
            <w:r>
              <w:rPr>
                <w:rFonts w:ascii="宋体" w:hAnsi="宋体" w:cs="宋体"/>
                <w:color w:val="auto"/>
                <w:szCs w:val="21"/>
              </w:rPr>
              <w:t>00</w:t>
            </w:r>
            <w:r>
              <w:rPr>
                <w:rFonts w:hint="eastAsia" w:ascii="宋体" w:hAnsi="宋体" w:cs="宋体"/>
                <w:color w:val="auto"/>
                <w:szCs w:val="21"/>
              </w:rPr>
              <w:t>分，下午</w:t>
            </w:r>
            <w:r>
              <w:rPr>
                <w:rFonts w:hint="eastAsia" w:ascii="宋体" w:hAnsi="宋体" w:cs="宋体"/>
                <w:color w:val="auto"/>
                <w:szCs w:val="21"/>
                <w:lang w:val="en-US" w:eastAsia="zh-CN"/>
              </w:rPr>
              <w:t>15</w:t>
            </w:r>
            <w:r>
              <w:rPr>
                <w:rFonts w:hint="eastAsia" w:ascii="宋体" w:hAnsi="宋体" w:cs="宋体"/>
                <w:color w:val="auto"/>
                <w:szCs w:val="21"/>
              </w:rPr>
              <w:t>时</w:t>
            </w:r>
            <w:r>
              <w:rPr>
                <w:rFonts w:ascii="宋体" w:hAnsi="宋体" w:cs="宋体"/>
                <w:color w:val="auto"/>
                <w:szCs w:val="21"/>
              </w:rPr>
              <w:t>00</w:t>
            </w:r>
            <w:r>
              <w:rPr>
                <w:rFonts w:hint="eastAsia" w:ascii="宋体" w:hAnsi="宋体" w:cs="宋体"/>
                <w:color w:val="auto"/>
                <w:szCs w:val="21"/>
              </w:rPr>
              <w:t>分到</w:t>
            </w:r>
            <w:r>
              <w:rPr>
                <w:rFonts w:hint="eastAsia" w:ascii="宋体" w:hAnsi="宋体" w:cs="宋体"/>
                <w:color w:val="auto"/>
                <w:szCs w:val="21"/>
                <w:lang w:val="en-US" w:eastAsia="zh-CN"/>
              </w:rPr>
              <w:t>18</w:t>
            </w:r>
            <w:r>
              <w:rPr>
                <w:rFonts w:hint="eastAsia" w:ascii="宋体" w:hAnsi="宋体" w:cs="宋体"/>
                <w:color w:val="auto"/>
                <w:szCs w:val="21"/>
              </w:rPr>
              <w:t>时</w:t>
            </w:r>
            <w:r>
              <w:rPr>
                <w:rFonts w:ascii="宋体" w:hAnsi="宋体" w:cs="宋体"/>
                <w:color w:val="auto"/>
                <w:szCs w:val="21"/>
              </w:rPr>
              <w:t>00</w:t>
            </w:r>
            <w:r>
              <w:rPr>
                <w:rFonts w:hint="eastAsia" w:ascii="宋体" w:hAnsi="宋体" w:cs="宋体"/>
                <w:color w:val="auto"/>
                <w:szCs w:val="21"/>
              </w:rPr>
              <w:t>分。</w:t>
            </w:r>
          </w:p>
        </w:tc>
      </w:tr>
      <w:tr w14:paraId="52C0F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465B6E1">
            <w:pPr>
              <w:spacing w:line="400" w:lineRule="exact"/>
              <w:jc w:val="center"/>
              <w:rPr>
                <w:rFonts w:ascii="宋体" w:hAnsi="宋体" w:cs="宋体"/>
                <w:color w:val="auto"/>
                <w:szCs w:val="21"/>
              </w:rPr>
            </w:pPr>
            <w:r>
              <w:rPr>
                <w:rFonts w:ascii="宋体" w:hAnsi="宋体" w:cs="宋体"/>
                <w:color w:val="auto"/>
                <w:szCs w:val="21"/>
              </w:rPr>
              <w:t>32.1</w:t>
            </w:r>
          </w:p>
        </w:tc>
        <w:tc>
          <w:tcPr>
            <w:tcW w:w="7912" w:type="dxa"/>
            <w:vAlign w:val="center"/>
          </w:tcPr>
          <w:p w14:paraId="1AD75265">
            <w:pPr>
              <w:pStyle w:val="17"/>
              <w:snapToGrid w:val="0"/>
              <w:spacing w:line="400" w:lineRule="exact"/>
              <w:rPr>
                <w:rFonts w:hAnsi="宋体" w:cs="宋体"/>
                <w:color w:val="auto"/>
                <w:sz w:val="21"/>
              </w:rPr>
            </w:pPr>
            <w:r>
              <w:rPr>
                <w:rFonts w:hint="eastAsia" w:hAnsi="宋体" w:cs="宋体"/>
                <w:color w:val="auto"/>
                <w:sz w:val="21"/>
              </w:rPr>
              <w:t>1.采购代理费及履约验收费支付方式：</w:t>
            </w:r>
          </w:p>
          <w:p w14:paraId="1AC3BC9F">
            <w:pPr>
              <w:pStyle w:val="17"/>
              <w:snapToGrid w:val="0"/>
              <w:spacing w:line="400" w:lineRule="exact"/>
              <w:rPr>
                <w:rFonts w:hAnsi="宋体" w:cs="宋体"/>
                <w:color w:val="auto"/>
                <w:sz w:val="21"/>
              </w:rPr>
            </w:pPr>
            <w:r>
              <w:rPr>
                <w:rFonts w:hint="eastAsia" w:ascii="MS Mincho" w:hAnsi="MS Mincho" w:eastAsia="MS Mincho" w:cs="MS Mincho"/>
                <w:color w:val="auto"/>
              </w:rPr>
              <w:t>☑</w:t>
            </w:r>
            <w:r>
              <w:rPr>
                <w:rFonts w:hint="eastAsia" w:hAnsi="宋体" w:cs="宋体"/>
                <w:color w:val="auto"/>
                <w:sz w:val="21"/>
              </w:rPr>
              <w:t>本项目代理服务费及履约验收费由</w:t>
            </w:r>
            <w:r>
              <w:rPr>
                <w:rFonts w:hint="eastAsia" w:hAnsi="宋体" w:cs="宋体"/>
                <w:color w:val="auto"/>
                <w:sz w:val="21"/>
                <w:u w:val="single"/>
              </w:rPr>
              <w:t>成交供应商</w:t>
            </w:r>
            <w:r>
              <w:rPr>
                <w:rFonts w:hint="eastAsia" w:hAnsi="宋体" w:cs="宋体"/>
                <w:color w:val="auto"/>
                <w:sz w:val="21"/>
              </w:rPr>
              <w:t>一次性向采购代理机构支付。</w:t>
            </w:r>
          </w:p>
          <w:p w14:paraId="37A45866">
            <w:pPr>
              <w:pStyle w:val="17"/>
              <w:snapToGrid w:val="0"/>
              <w:spacing w:line="400" w:lineRule="exact"/>
              <w:rPr>
                <w:rFonts w:hAnsi="宋体" w:cs="宋体"/>
                <w:color w:val="auto"/>
                <w:sz w:val="21"/>
              </w:rPr>
            </w:pPr>
            <w:r>
              <w:rPr>
                <w:rFonts w:hint="eastAsia" w:hAnsi="宋体" w:cs="宋体"/>
                <w:color w:val="auto"/>
                <w:sz w:val="21"/>
              </w:rPr>
              <w:t>□采购人支付。</w:t>
            </w:r>
          </w:p>
          <w:p w14:paraId="7769CA0B">
            <w:pPr>
              <w:pStyle w:val="17"/>
              <w:snapToGrid w:val="0"/>
              <w:spacing w:line="400" w:lineRule="exact"/>
              <w:rPr>
                <w:rFonts w:hAnsi="宋体" w:cs="宋体"/>
                <w:color w:val="auto"/>
                <w:sz w:val="21"/>
              </w:rPr>
            </w:pPr>
            <w:r>
              <w:rPr>
                <w:rFonts w:hint="eastAsia" w:hAnsi="宋体" w:cs="宋体"/>
                <w:color w:val="auto"/>
                <w:sz w:val="21"/>
              </w:rPr>
              <w:t>2.采购代理费收取标准：</w:t>
            </w:r>
          </w:p>
          <w:p w14:paraId="38F187D2">
            <w:pPr>
              <w:pStyle w:val="17"/>
              <w:snapToGrid w:val="0"/>
              <w:spacing w:line="400" w:lineRule="exact"/>
              <w:rPr>
                <w:rFonts w:hAnsi="宋体" w:cs="宋体"/>
                <w:color w:val="auto"/>
                <w:sz w:val="21"/>
              </w:rPr>
            </w:pPr>
            <w:r>
              <w:rPr>
                <w:rFonts w:hint="eastAsia" w:ascii="MS Mincho" w:hAnsi="MS Mincho" w:eastAsia="MS Mincho" w:cs="MS Mincho"/>
                <w:color w:val="auto"/>
              </w:rPr>
              <w:t>☑</w:t>
            </w:r>
            <w:r>
              <w:rPr>
                <w:rFonts w:hint="eastAsia" w:hAnsi="宋体" w:cs="宋体"/>
                <w:color w:val="auto"/>
                <w:sz w:val="21"/>
              </w:rPr>
              <w:t>以分标（</w:t>
            </w:r>
            <w:r>
              <w:rPr>
                <w:rFonts w:hint="eastAsia" w:ascii="MS Mincho" w:hAnsi="MS Mincho" w:eastAsia="MS Mincho" w:cs="MS Mincho"/>
                <w:color w:val="auto"/>
              </w:rPr>
              <w:t>☑</w:t>
            </w:r>
            <w:r>
              <w:rPr>
                <w:rFonts w:hint="eastAsia" w:hAnsi="宋体" w:cs="宋体"/>
                <w:color w:val="auto"/>
                <w:sz w:val="21"/>
              </w:rPr>
              <w:t>成交金额/□采购预算/□暂定成交金额/□其他</w:t>
            </w:r>
            <w:r>
              <w:rPr>
                <w:rFonts w:hint="eastAsia" w:hAnsi="宋体" w:cs="宋体"/>
                <w:color w:val="auto"/>
                <w:sz w:val="21"/>
                <w:u w:val="single"/>
              </w:rPr>
              <w:t xml:space="preserve"> </w:t>
            </w:r>
            <w:r>
              <w:rPr>
                <w:rFonts w:hAnsi="宋体" w:cs="宋体"/>
                <w:color w:val="auto"/>
                <w:sz w:val="21"/>
                <w:u w:val="single"/>
              </w:rPr>
              <w:t xml:space="preserve">/ </w:t>
            </w:r>
            <w:r>
              <w:rPr>
                <w:rFonts w:hint="eastAsia" w:hAnsi="宋体" w:cs="宋体"/>
                <w:color w:val="auto"/>
                <w:sz w:val="21"/>
              </w:rPr>
              <w:t>）为计费额，按本须知正文第</w:t>
            </w:r>
            <w:r>
              <w:rPr>
                <w:rFonts w:hAnsi="宋体" w:cs="宋体"/>
                <w:color w:val="auto"/>
                <w:sz w:val="21"/>
              </w:rPr>
              <w:t>32</w:t>
            </w:r>
            <w:r>
              <w:rPr>
                <w:rFonts w:hint="eastAsia" w:hAnsi="宋体" w:cs="宋体"/>
                <w:color w:val="auto"/>
                <w:sz w:val="21"/>
              </w:rPr>
              <w:t>.</w:t>
            </w:r>
            <w:r>
              <w:rPr>
                <w:rFonts w:hAnsi="宋体" w:cs="宋体"/>
                <w:color w:val="auto"/>
                <w:sz w:val="21"/>
              </w:rPr>
              <w:t>2</w:t>
            </w:r>
            <w:r>
              <w:rPr>
                <w:rFonts w:hint="eastAsia" w:hAnsi="宋体" w:cs="宋体"/>
                <w:color w:val="auto"/>
                <w:sz w:val="21"/>
              </w:rPr>
              <w:t>条规定的收费计算标准（□货物类/</w:t>
            </w:r>
            <w:r>
              <w:rPr>
                <w:rFonts w:hint="eastAsia" w:ascii="MS Mincho" w:hAnsi="MS Mincho" w:eastAsia="MS Mincho" w:cs="MS Mincho"/>
                <w:color w:val="auto"/>
              </w:rPr>
              <w:t>☑</w:t>
            </w:r>
            <w:r>
              <w:rPr>
                <w:rFonts w:hint="eastAsia" w:hAnsi="宋体" w:cs="宋体"/>
                <w:color w:val="auto"/>
                <w:sz w:val="21"/>
              </w:rPr>
              <w:t>服务类/□工程类）采用差额定率累进法计算出收费基准价格，采购代理收费以（</w:t>
            </w:r>
            <w:r>
              <w:rPr>
                <w:rFonts w:hint="eastAsia" w:ascii="MS Mincho" w:hAnsi="MS Mincho" w:eastAsia="MS Mincho" w:cs="MS Mincho"/>
                <w:color w:val="auto"/>
              </w:rPr>
              <w:t>☑</w:t>
            </w:r>
            <w:r>
              <w:rPr>
                <w:rFonts w:hint="eastAsia" w:hAnsi="宋体" w:cs="宋体"/>
                <w:color w:val="auto"/>
                <w:sz w:val="21"/>
              </w:rPr>
              <w:t>收费基准价格/□收费基准价格下浮</w:t>
            </w:r>
            <w:r>
              <w:rPr>
                <w:rFonts w:hint="eastAsia" w:hAnsi="宋体" w:cs="宋体"/>
                <w:color w:val="auto"/>
                <w:sz w:val="21"/>
                <w:u w:val="single"/>
              </w:rPr>
              <w:t xml:space="preserve"> </w:t>
            </w:r>
            <w:r>
              <w:rPr>
                <w:rFonts w:hAnsi="宋体" w:cs="宋体"/>
                <w:color w:val="auto"/>
                <w:sz w:val="21"/>
                <w:u w:val="single"/>
              </w:rPr>
              <w:t xml:space="preserve">/ </w:t>
            </w:r>
            <w:r>
              <w:rPr>
                <w:rFonts w:hint="eastAsia" w:hAnsi="宋体" w:cs="宋体"/>
                <w:color w:val="auto"/>
                <w:sz w:val="21"/>
                <w:u w:val="single"/>
              </w:rPr>
              <w:t>%</w:t>
            </w:r>
            <w:r>
              <w:rPr>
                <w:rFonts w:hAnsi="宋体" w:cs="宋体"/>
                <w:color w:val="auto"/>
                <w:sz w:val="21"/>
              </w:rPr>
              <w:t>/</w:t>
            </w:r>
            <w:r>
              <w:rPr>
                <w:rFonts w:hint="eastAsia" w:hAnsi="宋体" w:cs="宋体"/>
                <w:color w:val="auto"/>
                <w:sz w:val="21"/>
              </w:rPr>
              <w:t>□收费基准价格上浮</w:t>
            </w:r>
            <w:r>
              <w:rPr>
                <w:rFonts w:hint="eastAsia" w:hAnsi="宋体" w:cs="宋体"/>
                <w:color w:val="auto"/>
                <w:sz w:val="21"/>
                <w:u w:val="single"/>
              </w:rPr>
              <w:t xml:space="preserve"> </w:t>
            </w:r>
            <w:r>
              <w:rPr>
                <w:rFonts w:hAnsi="宋体" w:cs="宋体"/>
                <w:color w:val="auto"/>
                <w:sz w:val="21"/>
                <w:u w:val="single"/>
              </w:rPr>
              <w:t xml:space="preserve">/ </w:t>
            </w:r>
            <w:r>
              <w:rPr>
                <w:rFonts w:hint="eastAsia" w:hAnsi="宋体" w:cs="宋体"/>
                <w:color w:val="auto"/>
                <w:sz w:val="21"/>
                <w:u w:val="single"/>
              </w:rPr>
              <w:t>%</w:t>
            </w:r>
            <w:r>
              <w:rPr>
                <w:rFonts w:hint="eastAsia" w:hAnsi="宋体" w:cs="宋体"/>
                <w:color w:val="auto"/>
                <w:sz w:val="21"/>
              </w:rPr>
              <w:t>）收取。</w:t>
            </w:r>
          </w:p>
          <w:p w14:paraId="6E2E57F0">
            <w:pPr>
              <w:pStyle w:val="17"/>
              <w:snapToGrid w:val="0"/>
              <w:spacing w:line="400" w:lineRule="exact"/>
              <w:rPr>
                <w:rFonts w:hAnsi="宋体" w:cs="宋体"/>
                <w:color w:val="auto"/>
                <w:sz w:val="21"/>
                <w:u w:val="single"/>
              </w:rPr>
            </w:pPr>
            <w:r>
              <w:rPr>
                <w:rFonts w:hint="eastAsia" w:hAnsi="宋体" w:cs="宋体"/>
                <w:color w:val="auto"/>
                <w:sz w:val="21"/>
              </w:rPr>
              <w:t>□固定采购代理收费</w:t>
            </w:r>
            <w:r>
              <w:rPr>
                <w:rFonts w:hint="eastAsia" w:hAnsi="宋体" w:cs="宋体"/>
                <w:color w:val="auto"/>
                <w:sz w:val="21"/>
                <w:u w:val="single"/>
              </w:rPr>
              <w:t xml:space="preserve"> / </w:t>
            </w:r>
            <w:r>
              <w:rPr>
                <w:rFonts w:hint="eastAsia" w:hAnsi="宋体" w:cs="宋体"/>
                <w:color w:val="auto"/>
                <w:sz w:val="21"/>
              </w:rPr>
              <w:t>。</w:t>
            </w:r>
          </w:p>
          <w:p w14:paraId="0D1BBDCD">
            <w:pPr>
              <w:pStyle w:val="17"/>
              <w:snapToGrid w:val="0"/>
              <w:spacing w:line="400" w:lineRule="exact"/>
              <w:rPr>
                <w:rFonts w:hAnsi="宋体" w:cs="宋体"/>
                <w:color w:val="auto"/>
                <w:sz w:val="21"/>
              </w:rPr>
            </w:pPr>
            <w:r>
              <w:rPr>
                <w:rFonts w:hint="eastAsia" w:hAnsi="宋体" w:cs="宋体"/>
                <w:color w:val="auto"/>
                <w:sz w:val="21"/>
              </w:rPr>
              <w:t>3.履约验收费用按成交金额的1.2%收取。</w:t>
            </w:r>
          </w:p>
          <w:p w14:paraId="0B0D7B81">
            <w:pPr>
              <w:pStyle w:val="17"/>
              <w:snapToGrid w:val="0"/>
              <w:spacing w:line="400" w:lineRule="exact"/>
              <w:rPr>
                <w:rFonts w:hAnsi="宋体" w:cs="宋体"/>
                <w:color w:val="auto"/>
                <w:sz w:val="21"/>
              </w:rPr>
            </w:pPr>
            <w:r>
              <w:rPr>
                <w:rFonts w:hint="eastAsia" w:hAnsi="宋体" w:cs="宋体"/>
                <w:color w:val="auto"/>
                <w:sz w:val="21"/>
              </w:rPr>
              <w:t>4.采购代理费收取银行账户</w:t>
            </w:r>
          </w:p>
          <w:p w14:paraId="3B18F5ED">
            <w:pPr>
              <w:pStyle w:val="17"/>
              <w:snapToGrid w:val="0"/>
              <w:spacing w:line="400" w:lineRule="exact"/>
              <w:rPr>
                <w:rFonts w:hint="eastAsia" w:hAnsi="宋体" w:eastAsia="宋体" w:cs="宋体"/>
                <w:color w:val="auto"/>
                <w:sz w:val="21"/>
                <w:u w:val="none"/>
                <w:lang w:eastAsia="zh-CN"/>
              </w:rPr>
            </w:pPr>
            <w:r>
              <w:rPr>
                <w:rFonts w:hint="eastAsia" w:hAnsi="宋体" w:cs="宋体"/>
                <w:color w:val="auto"/>
                <w:sz w:val="21"/>
                <w:u w:val="none"/>
              </w:rPr>
              <w:t>开户名称：</w:t>
            </w:r>
            <w:r>
              <w:rPr>
                <w:rFonts w:hint="eastAsia" w:hAnsi="宋体" w:cs="宋体"/>
                <w:color w:val="auto"/>
                <w:sz w:val="21"/>
                <w:u w:val="none"/>
                <w:lang w:eastAsia="zh-CN"/>
              </w:rPr>
              <w:t>南宁斗方工程咨询有限公司</w:t>
            </w:r>
          </w:p>
          <w:p w14:paraId="1572B202">
            <w:pPr>
              <w:pStyle w:val="17"/>
              <w:snapToGrid w:val="0"/>
              <w:spacing w:line="400" w:lineRule="exact"/>
              <w:rPr>
                <w:rFonts w:hAnsi="宋体" w:cs="宋体"/>
                <w:color w:val="auto"/>
                <w:sz w:val="21"/>
                <w:u w:val="none"/>
              </w:rPr>
            </w:pPr>
            <w:r>
              <w:rPr>
                <w:rFonts w:hint="eastAsia" w:hAnsi="宋体" w:cs="宋体"/>
                <w:color w:val="auto"/>
                <w:sz w:val="21"/>
                <w:u w:val="none"/>
              </w:rPr>
              <w:t>开户银行：中国民生银行南宁分行营业部</w:t>
            </w:r>
          </w:p>
          <w:p w14:paraId="4892CC5A">
            <w:pPr>
              <w:pStyle w:val="17"/>
              <w:snapToGrid w:val="0"/>
              <w:spacing w:line="400" w:lineRule="exact"/>
              <w:rPr>
                <w:rFonts w:hAnsi="宋体" w:cs="宋体"/>
                <w:color w:val="auto"/>
                <w:sz w:val="21"/>
              </w:rPr>
            </w:pPr>
            <w:r>
              <w:rPr>
                <w:rFonts w:hint="eastAsia" w:hAnsi="宋体" w:cs="宋体"/>
                <w:color w:val="auto"/>
                <w:sz w:val="21"/>
                <w:u w:val="none"/>
              </w:rPr>
              <w:t>银行账号：162763649</w:t>
            </w:r>
          </w:p>
        </w:tc>
      </w:tr>
      <w:tr w14:paraId="29486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39D5F1B">
            <w:pPr>
              <w:spacing w:line="400" w:lineRule="exact"/>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vAlign w:val="center"/>
          </w:tcPr>
          <w:p w14:paraId="3C2B9E33">
            <w:pPr>
              <w:pStyle w:val="17"/>
              <w:snapToGrid w:val="0"/>
              <w:spacing w:line="400" w:lineRule="exact"/>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14:paraId="00A78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646F6EE">
            <w:pPr>
              <w:spacing w:line="400" w:lineRule="exact"/>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12" w:type="dxa"/>
            <w:vAlign w:val="center"/>
          </w:tcPr>
          <w:p w14:paraId="46D4289B">
            <w:pPr>
              <w:pStyle w:val="17"/>
              <w:snapToGrid w:val="0"/>
              <w:spacing w:line="400" w:lineRule="exact"/>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5E78C3D">
            <w:pPr>
              <w:pStyle w:val="17"/>
              <w:snapToGrid w:val="0"/>
              <w:spacing w:line="400" w:lineRule="exact"/>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372073FA">
            <w:pPr>
              <w:pStyle w:val="17"/>
              <w:snapToGrid w:val="0"/>
              <w:spacing w:line="400" w:lineRule="exact"/>
              <w:rPr>
                <w:rFonts w:hAnsi="宋体" w:cs="宋体"/>
                <w:bCs/>
                <w:color w:val="auto"/>
                <w:sz w:val="21"/>
              </w:rPr>
            </w:pPr>
            <w:r>
              <w:rPr>
                <w:rFonts w:hAnsi="宋体" w:cs="宋体"/>
                <w:color w:val="auto"/>
                <w:sz w:val="21"/>
              </w:rPr>
              <w:t>3</w:t>
            </w:r>
            <w:r>
              <w:rPr>
                <w:rFonts w:hint="eastAsia" w:hAnsi="宋体" w:cs="宋体"/>
                <w:color w:val="auto"/>
                <w:sz w:val="21"/>
              </w:rPr>
              <w:t>.供应商为其他组织或者自然人时，本磋商文件规定的法定代表人指负责人或者自然人。本磋商文件所称负责人是指参加竞标的其他组织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负责人，本磋商文件所称自然人指参与竞标的自然人本人，</w:t>
            </w:r>
            <w:r>
              <w:rPr>
                <w:rFonts w:hint="eastAsia" w:hAnsi="宋体" w:cs="宋体"/>
                <w:bCs/>
                <w:color w:val="auto"/>
                <w:sz w:val="21"/>
              </w:rPr>
              <w:t>且应具备独立承担民事责任能力，自然人应当为年满18岁以上成年人（十六周岁以上的未成年人，以自己的劳动收入为主要生活来源的，视为完全民事行为能力人）。</w:t>
            </w:r>
          </w:p>
          <w:p w14:paraId="65AA521B">
            <w:pPr>
              <w:pStyle w:val="17"/>
              <w:snapToGrid w:val="0"/>
              <w:spacing w:line="400" w:lineRule="exact"/>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14:paraId="447DCA49">
            <w:pPr>
              <w:pStyle w:val="17"/>
              <w:snapToGrid w:val="0"/>
              <w:spacing w:line="400" w:lineRule="exact"/>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r w14:paraId="42B0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AF3BD35">
            <w:pPr>
              <w:spacing w:line="400" w:lineRule="exact"/>
              <w:jc w:val="center"/>
              <w:rPr>
                <w:rFonts w:ascii="宋体" w:hAnsi="宋体" w:cs="宋体"/>
                <w:color w:val="auto"/>
                <w:szCs w:val="21"/>
              </w:rPr>
            </w:pPr>
            <w:r>
              <w:rPr>
                <w:rFonts w:hint="eastAsia" w:ascii="宋体" w:hAnsi="宋体" w:cs="宋体"/>
                <w:color w:val="auto"/>
                <w:szCs w:val="21"/>
              </w:rPr>
              <w:t>/</w:t>
            </w:r>
          </w:p>
        </w:tc>
        <w:tc>
          <w:tcPr>
            <w:tcW w:w="7912" w:type="dxa"/>
            <w:vAlign w:val="center"/>
          </w:tcPr>
          <w:p w14:paraId="70CBAE82">
            <w:pPr>
              <w:pStyle w:val="17"/>
              <w:snapToGrid w:val="0"/>
              <w:spacing w:line="400" w:lineRule="exact"/>
              <w:rPr>
                <w:rFonts w:hAnsi="宋体" w:cs="宋体"/>
                <w:color w:val="auto"/>
                <w:sz w:val="21"/>
              </w:rPr>
            </w:pPr>
            <w:r>
              <w:rPr>
                <w:rFonts w:hint="eastAsia" w:hAnsi="宋体" w:cs="宋体"/>
                <w:color w:val="auto"/>
                <w:sz w:val="21"/>
              </w:rPr>
              <w:t>截标后将进行谈判/磋商：</w:t>
            </w:r>
          </w:p>
          <w:p w14:paraId="6A37567B">
            <w:pPr>
              <w:pStyle w:val="17"/>
              <w:snapToGrid w:val="0"/>
              <w:spacing w:line="400" w:lineRule="exact"/>
              <w:ind w:firstLine="420" w:firstLineChars="200"/>
              <w:rPr>
                <w:rFonts w:hint="eastAsia" w:hAnsi="宋体" w:cs="宋体"/>
                <w:color w:val="auto"/>
                <w:sz w:val="21"/>
              </w:rPr>
            </w:pPr>
            <w:r>
              <w:rPr>
                <w:rFonts w:hint="eastAsia" w:hAnsi="宋体" w:cs="宋体"/>
                <w:color w:val="auto"/>
                <w:sz w:val="21"/>
              </w:rPr>
              <w:t>（1）委托代理人（法定代表人）请注意预留的手机号码中广西政府采购云平台系统发送的短信提示，并按照要求进行响应及报价。</w:t>
            </w:r>
          </w:p>
          <w:p w14:paraId="0EE8CA01">
            <w:pPr>
              <w:pStyle w:val="17"/>
              <w:snapToGrid w:val="0"/>
              <w:spacing w:line="400" w:lineRule="exact"/>
              <w:ind w:firstLine="420" w:firstLineChars="200"/>
              <w:rPr>
                <w:rFonts w:hAnsi="宋体" w:cs="宋体"/>
                <w:color w:val="auto"/>
                <w:sz w:val="21"/>
              </w:rPr>
            </w:pPr>
            <w:r>
              <w:rPr>
                <w:rFonts w:hint="eastAsia" w:hAnsi="宋体" w:cs="宋体"/>
                <w:color w:val="auto"/>
                <w:sz w:val="21"/>
              </w:rPr>
              <w:t>（2）进入</w:t>
            </w:r>
            <w:r>
              <w:rPr>
                <w:rFonts w:hint="eastAsia" w:hAnsi="宋体"/>
                <w:color w:val="auto"/>
              </w:rPr>
              <w:t>广西政府采购云平台</w:t>
            </w:r>
            <w:r>
              <w:rPr>
                <w:rFonts w:hint="eastAsia" w:hAnsi="宋体" w:cs="宋体"/>
                <w:color w:val="auto"/>
                <w:sz w:val="21"/>
              </w:rPr>
              <w:t>系统，点击页面右上角的“待办”，找到对应的项目，按系统提示操作。</w:t>
            </w:r>
          </w:p>
          <w:p w14:paraId="6B3960A2">
            <w:pPr>
              <w:pStyle w:val="17"/>
              <w:snapToGrid w:val="0"/>
              <w:spacing w:line="400" w:lineRule="exact"/>
              <w:ind w:firstLine="420" w:firstLineChars="200"/>
              <w:rPr>
                <w:rFonts w:hAnsi="宋体" w:cs="宋体"/>
                <w:color w:val="auto"/>
                <w:sz w:val="21"/>
              </w:rPr>
            </w:pPr>
            <w:r>
              <w:rPr>
                <w:rFonts w:hint="eastAsia" w:hAnsi="宋体" w:cs="宋体"/>
                <w:color w:val="auto"/>
                <w:sz w:val="21"/>
              </w:rPr>
              <w:t>（3）如仍无法找到，请电话咨询</w:t>
            </w:r>
            <w:r>
              <w:rPr>
                <w:rFonts w:hint="eastAsia" w:hAnsi="宋体" w:cs="宋体"/>
                <w:color w:val="auto"/>
                <w:sz w:val="21"/>
                <w:lang w:eastAsia="zh-CN"/>
              </w:rPr>
              <w:t>南宁斗方工程咨询有限公司</w:t>
            </w:r>
            <w:r>
              <w:rPr>
                <w:rFonts w:hint="eastAsia" w:hAnsi="宋体" w:cs="宋体"/>
                <w:color w:val="auto"/>
                <w:sz w:val="21"/>
              </w:rPr>
              <w:t>。</w:t>
            </w:r>
          </w:p>
        </w:tc>
      </w:tr>
    </w:tbl>
    <w:p w14:paraId="519B2398">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038E3079">
      <w:pPr>
        <w:spacing w:line="400" w:lineRule="exact"/>
        <w:jc w:val="center"/>
        <w:rPr>
          <w:rFonts w:ascii="宋体" w:hAnsi="宋体"/>
          <w:b/>
          <w:color w:val="auto"/>
          <w:sz w:val="32"/>
          <w:szCs w:val="32"/>
        </w:rPr>
      </w:pPr>
    </w:p>
    <w:p w14:paraId="5C419D0B">
      <w:pPr>
        <w:spacing w:line="400" w:lineRule="exact"/>
        <w:jc w:val="center"/>
        <w:rPr>
          <w:rFonts w:ascii="宋体" w:hAnsi="宋体"/>
          <w:b/>
          <w:color w:val="auto"/>
          <w:sz w:val="32"/>
          <w:szCs w:val="32"/>
        </w:rPr>
      </w:pPr>
      <w:r>
        <w:rPr>
          <w:rFonts w:hint="eastAsia" w:ascii="宋体" w:hAnsi="宋体"/>
          <w:b/>
          <w:color w:val="auto"/>
          <w:sz w:val="32"/>
          <w:szCs w:val="32"/>
        </w:rPr>
        <w:t>一、总则</w:t>
      </w:r>
    </w:p>
    <w:p w14:paraId="3A6EBE91">
      <w:pPr>
        <w:spacing w:line="400" w:lineRule="exact"/>
        <w:rPr>
          <w:rFonts w:ascii="宋体" w:hAnsi="宋体"/>
          <w:color w:val="auto"/>
          <w:szCs w:val="21"/>
        </w:rPr>
      </w:pPr>
    </w:p>
    <w:p w14:paraId="2A3C4C7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14:paraId="267D8F78">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42CA1F55">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34EEB30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14:paraId="5C44B59F">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18770373">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1CE0F252">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5C1192EC">
      <w:pPr>
        <w:spacing w:line="360" w:lineRule="auto"/>
        <w:ind w:firstLine="420" w:firstLineChars="200"/>
        <w:rPr>
          <w:rFonts w:ascii="宋体" w:hAnsi="宋体" w:cs="宋体"/>
          <w:color w:val="auto"/>
          <w:szCs w:val="21"/>
        </w:rPr>
      </w:pPr>
      <w:r>
        <w:rPr>
          <w:rFonts w:hint="eastAsia" w:ascii="宋体" w:hAnsi="宋体"/>
          <w:color w:val="auto"/>
          <w:szCs w:val="21"/>
        </w:rPr>
        <w:t>2.4“服务”是指除货物和工程以外的其他政府采购对象。</w:t>
      </w:r>
    </w:p>
    <w:p w14:paraId="06F1EB7B">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“竞标”是指供应商按照本项目竞争性磋商公告规定的方式获取磋商文件、提交响应文件并希望获得标的的行为。</w:t>
      </w:r>
    </w:p>
    <w:p w14:paraId="55C16C80">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531F65EA">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14:paraId="161E2897">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2.8“实质性要求”是指磋商文件中已经指明不满足则响应文件按无效响应处理的条款，或者不能负偏离的条款，或者采购需求中带“▲”的条款。</w:t>
      </w:r>
    </w:p>
    <w:p w14:paraId="408C5251">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0E6D678C">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364E8CD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1576B374">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15C346B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6B79FA43">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7C0E8890">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14:paraId="3505F4A6">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0F1093D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14:paraId="5B54DF97">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5567AD43">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5357E779">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81" w:name="_Hlk66782192"/>
      <w:r>
        <w:rPr>
          <w:rFonts w:hint="eastAsia" w:ascii="宋体" w:hAnsi="宋体"/>
          <w:color w:val="auto"/>
          <w:szCs w:val="21"/>
        </w:rPr>
        <w:t>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1"/>
    </w:p>
    <w:p w14:paraId="52A3895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14:paraId="408BFE40">
      <w:pPr>
        <w:pStyle w:val="6"/>
        <w:keepNext w:val="0"/>
        <w:keepLines w:val="0"/>
        <w:spacing w:before="0" w:after="0" w:line="360" w:lineRule="auto"/>
        <w:ind w:left="420" w:leftChars="200"/>
        <w:rPr>
          <w:rFonts w:ascii="宋体" w:hAnsi="宋体"/>
          <w:b w:val="0"/>
          <w:color w:val="auto"/>
          <w:sz w:val="21"/>
          <w:szCs w:val="21"/>
        </w:rPr>
      </w:pPr>
      <w:bookmarkStart w:id="82" w:name="_Toc254970673"/>
      <w:bookmarkStart w:id="83" w:name="_Toc254970532"/>
      <w:r>
        <w:rPr>
          <w:rFonts w:hint="eastAsia" w:ascii="宋体" w:hAnsi="宋体"/>
          <w:b w:val="0"/>
          <w:color w:val="auto"/>
          <w:sz w:val="21"/>
          <w:szCs w:val="21"/>
        </w:rPr>
        <w:t>6.1本项目不允许转包。</w:t>
      </w:r>
    </w:p>
    <w:p w14:paraId="168D2BD4">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0C6D19F">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ECADBBE">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82"/>
      <w:bookmarkEnd w:id="83"/>
    </w:p>
    <w:p w14:paraId="35B6064F">
      <w:pPr>
        <w:spacing w:line="360" w:lineRule="auto"/>
        <w:ind w:firstLine="420" w:firstLineChars="200"/>
        <w:rPr>
          <w:rFonts w:ascii="宋体" w:hAnsi="宋体" w:cs="宋体"/>
          <w:color w:val="auto"/>
          <w:szCs w:val="21"/>
        </w:rPr>
      </w:pPr>
      <w:bookmarkStart w:id="84" w:name="_8.1提供相同品牌产品且通过资格审查、符合性审查的不同投标人参加同一合"/>
      <w:bookmarkEnd w:id="84"/>
      <w:r>
        <w:rPr>
          <w:rFonts w:hint="eastAsia" w:ascii="宋体" w:hAnsi="宋体" w:cs="宋体"/>
          <w:color w:val="auto"/>
          <w:szCs w:val="21"/>
        </w:rPr>
        <w:t>7.</w:t>
      </w:r>
      <w:r>
        <w:rPr>
          <w:rFonts w:ascii="宋体" w:hAnsi="宋体" w:cs="宋体"/>
          <w:color w:val="auto"/>
          <w:szCs w:val="21"/>
        </w:rPr>
        <w:t>1</w:t>
      </w:r>
      <w:bookmarkStart w:id="85"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85"/>
    <w:p w14:paraId="383AE99B">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6CF2BD36">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1897F27">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00749C3D">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7AA1D967">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2BDD5077">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4334829B">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12E449CA">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1260773D">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EB6C24E">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02508B42">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1BAA2FFD">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00CC8393">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385D4252">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08AAF0BC">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7D4D76DA">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6200BC6B">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52A304DF">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4ECEC791">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0008A604">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706CE896">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4C530815">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76C4DA2A">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3298E1F5">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27C177D0">
      <w:pPr>
        <w:spacing w:line="360" w:lineRule="auto"/>
        <w:ind w:firstLine="420" w:firstLineChars="200"/>
        <w:rPr>
          <w:rFonts w:ascii="宋体" w:hAnsi="宋体" w:cs="宋体"/>
          <w:color w:val="auto"/>
          <w:szCs w:val="21"/>
        </w:rPr>
      </w:pPr>
    </w:p>
    <w:p w14:paraId="4DDD2F36">
      <w:pPr>
        <w:spacing w:line="360" w:lineRule="auto"/>
        <w:ind w:left="1" w:firstLine="417" w:firstLineChars="199"/>
        <w:jc w:val="center"/>
        <w:rPr>
          <w:rFonts w:ascii="宋体" w:hAnsi="宋体"/>
          <w:color w:val="auto"/>
        </w:rPr>
      </w:pPr>
      <w:bookmarkStart w:id="86" w:name="_Toc254970675"/>
      <w:bookmarkStart w:id="87" w:name="_Toc254970534"/>
    </w:p>
    <w:p w14:paraId="3828A7B5">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86"/>
      <w:bookmarkEnd w:id="87"/>
    </w:p>
    <w:p w14:paraId="05583B6C">
      <w:pPr>
        <w:spacing w:line="360" w:lineRule="auto"/>
        <w:rPr>
          <w:rFonts w:ascii="宋体" w:hAnsi="宋体"/>
          <w:color w:val="auto"/>
          <w:szCs w:val="21"/>
        </w:rPr>
      </w:pPr>
    </w:p>
    <w:p w14:paraId="0B8FE06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14:paraId="2B1ABCCD">
      <w:pPr>
        <w:spacing w:line="360" w:lineRule="auto"/>
        <w:ind w:firstLine="420" w:firstLineChars="200"/>
        <w:jc w:val="left"/>
        <w:rPr>
          <w:rFonts w:ascii="宋体" w:hAnsi="宋体"/>
          <w:color w:val="auto"/>
          <w:szCs w:val="21"/>
        </w:rPr>
      </w:pPr>
      <w:r>
        <w:rPr>
          <w:rFonts w:hint="eastAsia" w:ascii="宋体" w:hAnsi="宋体"/>
          <w:color w:val="auto"/>
          <w:szCs w:val="21"/>
        </w:rPr>
        <w:t>（1）竞争性磋商公告；</w:t>
      </w:r>
    </w:p>
    <w:p w14:paraId="11BEC92A">
      <w:pPr>
        <w:spacing w:line="360" w:lineRule="auto"/>
        <w:ind w:firstLine="420" w:firstLineChars="200"/>
        <w:jc w:val="left"/>
        <w:rPr>
          <w:rFonts w:ascii="宋体" w:hAnsi="宋体"/>
          <w:color w:val="auto"/>
          <w:szCs w:val="21"/>
        </w:rPr>
      </w:pPr>
      <w:r>
        <w:rPr>
          <w:rFonts w:hint="eastAsia" w:ascii="宋体" w:hAnsi="宋体"/>
          <w:color w:val="auto"/>
          <w:szCs w:val="21"/>
        </w:rPr>
        <w:t xml:space="preserve">（2）供应商须知； </w:t>
      </w:r>
    </w:p>
    <w:p w14:paraId="0D22DCBC">
      <w:pPr>
        <w:spacing w:line="360" w:lineRule="auto"/>
        <w:ind w:firstLine="420" w:firstLineChars="200"/>
        <w:jc w:val="left"/>
        <w:rPr>
          <w:rFonts w:ascii="宋体" w:hAnsi="宋体"/>
          <w:color w:val="auto"/>
          <w:szCs w:val="21"/>
        </w:rPr>
      </w:pPr>
      <w:r>
        <w:rPr>
          <w:rFonts w:hint="eastAsia" w:ascii="宋体" w:hAnsi="宋体"/>
          <w:color w:val="auto"/>
          <w:szCs w:val="21"/>
        </w:rPr>
        <w:t>（3）采购需求；</w:t>
      </w:r>
    </w:p>
    <w:p w14:paraId="50E70D22">
      <w:pPr>
        <w:spacing w:line="360" w:lineRule="auto"/>
        <w:ind w:firstLine="420" w:firstLineChars="200"/>
        <w:jc w:val="left"/>
        <w:rPr>
          <w:rFonts w:ascii="宋体" w:hAnsi="宋体"/>
          <w:color w:val="auto"/>
          <w:szCs w:val="21"/>
        </w:rPr>
      </w:pPr>
      <w:r>
        <w:rPr>
          <w:rFonts w:hint="eastAsia" w:ascii="宋体" w:hAnsi="宋体"/>
          <w:color w:val="auto"/>
          <w:szCs w:val="21"/>
        </w:rPr>
        <w:t>（4）评审程序、评审方法和评审标准；</w:t>
      </w:r>
    </w:p>
    <w:p w14:paraId="445FA4B7">
      <w:pPr>
        <w:spacing w:line="360" w:lineRule="auto"/>
        <w:ind w:firstLine="420" w:firstLineChars="200"/>
        <w:jc w:val="left"/>
        <w:rPr>
          <w:rFonts w:ascii="宋体" w:hAnsi="宋体"/>
          <w:color w:val="auto"/>
          <w:szCs w:val="21"/>
        </w:rPr>
      </w:pPr>
      <w:r>
        <w:rPr>
          <w:rFonts w:hint="eastAsia" w:ascii="宋体" w:hAnsi="宋体"/>
          <w:color w:val="auto"/>
          <w:szCs w:val="21"/>
        </w:rPr>
        <w:t>（5）响应文件格式；</w:t>
      </w:r>
    </w:p>
    <w:p w14:paraId="675CD2FB">
      <w:pPr>
        <w:spacing w:line="360" w:lineRule="auto"/>
        <w:ind w:firstLine="420" w:firstLineChars="200"/>
        <w:jc w:val="left"/>
        <w:rPr>
          <w:rFonts w:ascii="宋体" w:hAnsi="宋体"/>
          <w:color w:val="auto"/>
          <w:szCs w:val="21"/>
        </w:rPr>
      </w:pPr>
      <w:r>
        <w:rPr>
          <w:rFonts w:hint="eastAsia" w:ascii="宋体" w:hAnsi="宋体"/>
          <w:color w:val="auto"/>
          <w:szCs w:val="21"/>
        </w:rPr>
        <w:t>（6）合同文本。</w:t>
      </w:r>
    </w:p>
    <w:p w14:paraId="531CECD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14:paraId="3D5E2CEA">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019DD518">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14:paraId="1031BA39">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14:paraId="77FA3698">
      <w:pPr>
        <w:spacing w:line="360" w:lineRule="auto"/>
        <w:rPr>
          <w:rFonts w:ascii="宋体" w:hAnsi="宋体"/>
          <w:color w:val="auto"/>
          <w:szCs w:val="21"/>
        </w:rPr>
      </w:pPr>
    </w:p>
    <w:p w14:paraId="6B97A813">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14:paraId="5CE2B68E">
      <w:pPr>
        <w:spacing w:line="360" w:lineRule="auto"/>
        <w:rPr>
          <w:rFonts w:ascii="宋体" w:hAnsi="宋体"/>
          <w:color w:val="auto"/>
          <w:szCs w:val="21"/>
        </w:rPr>
      </w:pPr>
    </w:p>
    <w:p w14:paraId="6BCDDBC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14:paraId="3C0E7990">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0F89D7DB">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14:paraId="22A3922A">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14:paraId="7F388EB6">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14:paraId="19453CA4">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14:paraId="2E70A89C">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14:paraId="7497D18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14:paraId="1E907C49">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0B207C6E">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14:paraId="4E0B7742">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66030C2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14:paraId="299DF3EB">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15.1竞标报价应按磋商文件中“竞标报价表”格式填写。</w:t>
      </w:r>
    </w:p>
    <w:p w14:paraId="728BC4A5">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14:paraId="08653040">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14:paraId="450F3B09">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14:paraId="7FA03282">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771A9E1C">
      <w:pPr>
        <w:spacing w:line="360" w:lineRule="auto"/>
        <w:rPr>
          <w:rFonts w:ascii="宋体" w:hAnsi="宋体" w:cs="宋体"/>
          <w:color w:val="auto"/>
          <w:szCs w:val="21"/>
        </w:rPr>
      </w:pPr>
      <w:r>
        <w:rPr>
          <w:rFonts w:hint="eastAsia" w:ascii="宋体" w:hAnsi="宋体" w:cs="宋体"/>
          <w:color w:val="auto"/>
          <w:szCs w:val="21"/>
        </w:rPr>
        <w:t>不得存在漏项报价；</w:t>
      </w:r>
    </w:p>
    <w:p w14:paraId="182D0F87">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2BEF423D">
      <w:pPr>
        <w:spacing w:line="360" w:lineRule="auto"/>
        <w:ind w:firstLine="420" w:firstLineChars="20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14:paraId="05BACCF6">
      <w:pPr>
        <w:spacing w:line="360" w:lineRule="auto"/>
        <w:ind w:firstLine="420" w:firstLineChars="20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bookmarkStart w:id="88" w:name="_Hlk42592874"/>
      <w:r>
        <w:rPr>
          <w:rFonts w:hint="eastAsia" w:ascii="宋体" w:hAnsi="宋体" w:cs="宋体"/>
          <w:color w:val="auto"/>
          <w:szCs w:val="21"/>
        </w:rPr>
        <w:t>竞标报价（包含首次报价、最后报价）超过分项采购预算金额或者最高限价的，其响应文件将按无效处理。</w:t>
      </w:r>
    </w:p>
    <w:bookmarkEnd w:id="88"/>
    <w:p w14:paraId="465FB853">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14:paraId="32C1550C">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5B41A89F">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2B7EE99A">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14:paraId="5BFB9CD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14:paraId="48583BE1">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14:paraId="7EE7B5DB">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14:paraId="1ED9C198">
      <w:pPr>
        <w:spacing w:line="360" w:lineRule="auto"/>
        <w:ind w:firstLine="420" w:firstLineChars="200"/>
        <w:rPr>
          <w:rFonts w:ascii="宋体" w:hAnsi="宋体" w:cs="宋体"/>
          <w:color w:val="auto"/>
          <w:szCs w:val="21"/>
        </w:rPr>
      </w:pPr>
      <w:bookmarkStart w:id="89" w:name="_Hlk66782243"/>
      <w:r>
        <w:rPr>
          <w:rFonts w:hint="eastAsia" w:ascii="宋体" w:hAnsi="宋体" w:cs="宋体"/>
          <w:color w:val="auto"/>
          <w:szCs w:val="21"/>
        </w:rPr>
        <w:t>未</w:t>
      </w:r>
      <w:r>
        <w:rPr>
          <w:rFonts w:hint="eastAsia" w:ascii="宋体" w:hAnsi="宋体" w:cs="宋体"/>
          <w:color w:val="auto"/>
          <w:spacing w:val="-6"/>
          <w:szCs w:val="21"/>
        </w:rPr>
        <w:t>成交供应商的竞标保证金自成交通知书发出之日起5个工作日内退还；</w:t>
      </w:r>
      <w:r>
        <w:rPr>
          <w:rFonts w:hint="eastAsia" w:ascii="宋体" w:hAnsi="宋体" w:cs="宋体"/>
          <w:color w:val="auto"/>
          <w:szCs w:val="21"/>
        </w:rPr>
        <w:t>成交供应商的磋商保证金自签订合同之日起5个工作日内退还。</w:t>
      </w:r>
      <w:bookmarkEnd w:id="89"/>
      <w:r>
        <w:rPr>
          <w:rFonts w:hint="eastAsia" w:ascii="宋体" w:hAnsi="宋体" w:cs="宋体"/>
          <w:color w:val="auto"/>
          <w:szCs w:val="21"/>
        </w:rPr>
        <w:t xml:space="preserve"> </w:t>
      </w:r>
    </w:p>
    <w:p w14:paraId="42F6083B">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14:paraId="711C733B">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5DF1D5AE">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14:paraId="7D3CC041">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14:paraId="2031264B">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14:paraId="018199E3">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14:paraId="51B0C542">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14:paraId="4043089E">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14:paraId="7F25636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14:paraId="1798A6BE">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18.1供应商应先安装“</w:t>
      </w:r>
      <w:r>
        <w:rPr>
          <w:rFonts w:hint="eastAsia" w:ascii="宋体" w:hAnsi="宋体"/>
          <w:color w:val="auto"/>
          <w:szCs w:val="21"/>
        </w:rPr>
        <w:t>广西政府采购云平台</w:t>
      </w:r>
      <w:r>
        <w:rPr>
          <w:rFonts w:hint="eastAsia" w:ascii="宋体" w:hAnsi="宋体" w:cs="宋体"/>
          <w:color w:val="auto"/>
          <w:szCs w:val="21"/>
        </w:rPr>
        <w:t>电子交易客户端”（请自行前往</w:t>
      </w:r>
      <w:r>
        <w:rPr>
          <w:rFonts w:hint="eastAsia" w:ascii="宋体" w:hAnsi="宋体"/>
          <w:color w:val="auto"/>
          <w:szCs w:val="21"/>
        </w:rPr>
        <w:t>广西政府采购云平台</w:t>
      </w:r>
      <w:r>
        <w:rPr>
          <w:rFonts w:hint="eastAsia" w:ascii="宋体" w:hAnsi="宋体" w:cs="宋体"/>
          <w:color w:val="auto"/>
          <w:szCs w:val="21"/>
        </w:rPr>
        <w:t>进行下载），并按照本项目磋商文件规定的格式和顺序和</w:t>
      </w:r>
      <w:r>
        <w:rPr>
          <w:rFonts w:hint="eastAsia" w:ascii="宋体" w:hAnsi="宋体"/>
          <w:color w:val="auto"/>
          <w:szCs w:val="21"/>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p>
    <w:p w14:paraId="2040921D">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olor w:val="auto"/>
          <w:szCs w:val="21"/>
        </w:rPr>
        <w:t>广西政府采购云平台</w:t>
      </w:r>
      <w:r>
        <w:rPr>
          <w:rFonts w:hint="eastAsia" w:ascii="宋体" w:hAnsi="宋体" w:cs="宋体"/>
          <w:color w:val="auto"/>
          <w:szCs w:val="21"/>
        </w:rPr>
        <w:t>的身份认证，确保在电子竞标过程中能够对相关数据电文进行加密和使用电子签章。</w:t>
      </w:r>
    </w:p>
    <w:p w14:paraId="03912B4B">
      <w:pPr>
        <w:spacing w:line="360" w:lineRule="auto"/>
        <w:ind w:firstLine="420" w:firstLineChars="200"/>
        <w:rPr>
          <w:rFonts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14:paraId="3F14D003">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64AE42CA">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FE4B1C9">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14:paraId="5045AB89">
      <w:pPr>
        <w:spacing w:line="360" w:lineRule="auto"/>
        <w:ind w:firstLine="420" w:firstLineChars="200"/>
        <w:rPr>
          <w:rFonts w:ascii="宋体" w:hAnsi="宋体" w:cs="宋体"/>
          <w:color w:val="auto"/>
          <w:szCs w:val="21"/>
        </w:rPr>
      </w:pPr>
      <w:r>
        <w:rPr>
          <w:rFonts w:hint="eastAsia"/>
          <w:color w:val="auto"/>
        </w:rPr>
        <w:t>电子备份响应文件是指通过“</w:t>
      </w:r>
      <w:r>
        <w:rPr>
          <w:rFonts w:hint="eastAsia" w:ascii="宋体" w:hAnsi="宋体"/>
          <w:color w:val="auto"/>
          <w:szCs w:val="21"/>
        </w:rPr>
        <w:t>广西政府采购云平台</w:t>
      </w:r>
      <w:r>
        <w:rPr>
          <w:rFonts w:hint="eastAsia"/>
          <w:color w:val="auto"/>
        </w:rPr>
        <w:t>电子投标客户端”在线编制生成且后缀名为“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14:paraId="15A62AF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14:paraId="5843625F">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olor w:val="auto"/>
          <w:szCs w:val="21"/>
        </w:rPr>
        <w:t>广西政府采购云平台</w:t>
      </w:r>
      <w:r>
        <w:rPr>
          <w:rFonts w:hint="eastAsia" w:hAnsi="宋体"/>
          <w:bCs/>
          <w:color w:val="auto"/>
          <w:szCs w:val="21"/>
        </w:rPr>
        <w:t xml:space="preserve">。 </w:t>
      </w:r>
      <w:r>
        <w:rPr>
          <w:rFonts w:hint="eastAsia" w:hAnsi="宋体"/>
          <w:b/>
          <w:color w:val="auto"/>
        </w:rPr>
        <w:t xml:space="preserve"> </w:t>
      </w:r>
    </w:p>
    <w:p w14:paraId="1D862897">
      <w:pPr>
        <w:spacing w:line="360" w:lineRule="auto"/>
        <w:ind w:firstLine="422" w:firstLineChars="200"/>
        <w:rPr>
          <w:rFonts w:ascii="宋体" w:hAnsi="宋体" w:cs="宋体"/>
          <w:color w:val="auto"/>
          <w:szCs w:val="21"/>
        </w:rPr>
      </w:pPr>
      <w:r>
        <w:rPr>
          <w:rFonts w:hint="eastAsia" w:ascii="宋体" w:hAnsi="宋体"/>
          <w:b/>
          <w:color w:val="auto"/>
          <w:szCs w:val="21"/>
        </w:rPr>
        <w:t>20.</w:t>
      </w:r>
      <w:r>
        <w:rPr>
          <w:rFonts w:ascii="宋体" w:hAnsi="宋体"/>
          <w:b/>
          <w:color w:val="auto"/>
          <w:szCs w:val="21"/>
        </w:rPr>
        <w:t>2</w:t>
      </w:r>
      <w:r>
        <w:rPr>
          <w:rFonts w:hint="eastAsia" w:ascii="宋体" w:hAnsi="宋体"/>
          <w:b/>
          <w:color w:val="auto"/>
          <w:szCs w:val="21"/>
        </w:rPr>
        <w:t>未在规定时间内提交或者未按照磋商文件要求加密的电子响应文件，广西政府采购云平台将拒收。</w:t>
      </w:r>
    </w:p>
    <w:p w14:paraId="5D6C183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1D82A31E">
      <w:pPr>
        <w:snapToGrid w:val="0"/>
        <w:spacing w:line="360" w:lineRule="auto"/>
        <w:ind w:firstLine="420"/>
        <w:jc w:val="left"/>
        <w:rPr>
          <w:rFonts w:ascii="宋体" w:hAnsi="宋体"/>
          <w:color w:val="auto"/>
          <w:szCs w:val="21"/>
        </w:rPr>
      </w:pPr>
      <w:bookmarkStart w:id="90" w:name="_Toc254970543"/>
      <w:bookmarkStart w:id="91" w:name="_Toc254970684"/>
      <w:r>
        <w:rPr>
          <w:rFonts w:ascii="宋体" w:hAnsi="宋体" w:cs="宋体"/>
          <w:color w:val="auto"/>
          <w:szCs w:val="21"/>
        </w:rPr>
        <w:t>2</w:t>
      </w:r>
      <w:r>
        <w:rPr>
          <w:rFonts w:hint="eastAsia" w:ascii="宋体" w:hAnsi="宋体" w:cs="宋体"/>
          <w:color w:val="auto"/>
          <w:szCs w:val="21"/>
        </w:rPr>
        <w:t>1.1</w:t>
      </w:r>
      <w:r>
        <w:rPr>
          <w:rFonts w:hint="eastAsia" w:ascii="宋体" w:hAnsi="宋体"/>
          <w:bCs/>
          <w:color w:val="auto"/>
          <w:szCs w:val="21"/>
        </w:rPr>
        <w:t>供应商应当在</w:t>
      </w:r>
      <w:r>
        <w:rPr>
          <w:rFonts w:hint="eastAsia" w:hAnsi="宋体"/>
          <w:bCs/>
          <w:color w:val="auto"/>
          <w:szCs w:val="21"/>
        </w:rPr>
        <w:t>提交响应文件截止</w:t>
      </w:r>
      <w:r>
        <w:rPr>
          <w:rFonts w:hAnsi="宋体"/>
          <w:bCs/>
          <w:color w:val="auto"/>
          <w:szCs w:val="21"/>
        </w:rPr>
        <w:t>时间</w:t>
      </w:r>
      <w:r>
        <w:rPr>
          <w:rFonts w:hint="eastAsia" w:ascii="宋体" w:hAnsi="宋体"/>
          <w:bCs/>
          <w:color w:val="auto"/>
          <w:szCs w:val="21"/>
        </w:rPr>
        <w:t>前完成电子响应文件的提交（上传），</w:t>
      </w:r>
      <w:r>
        <w:rPr>
          <w:rFonts w:hint="eastAsia" w:hAnsi="宋体"/>
          <w:bCs/>
          <w:color w:val="auto"/>
          <w:szCs w:val="21"/>
        </w:rPr>
        <w:t>提交响应文件截止</w:t>
      </w:r>
      <w:r>
        <w:rPr>
          <w:rFonts w:hAnsi="宋体"/>
          <w:bCs/>
          <w:color w:val="auto"/>
          <w:szCs w:val="21"/>
        </w:rPr>
        <w:t>时间</w:t>
      </w:r>
      <w:r>
        <w:rPr>
          <w:rFonts w:hint="eastAsia" w:hAnsi="宋体"/>
          <w:bCs/>
          <w:color w:val="auto"/>
          <w:szCs w:val="21"/>
        </w:rPr>
        <w:t>前</w:t>
      </w:r>
      <w:r>
        <w:rPr>
          <w:rFonts w:hint="eastAsia" w:ascii="宋体" w:hAnsi="宋体"/>
          <w:bCs/>
          <w:color w:val="auto"/>
          <w:szCs w:val="21"/>
        </w:rPr>
        <w:t>可以补充、修改或者撤回响应文件。补充或者修改响应文件的，应当先行撤回原响应文件，补充、修改后重新提交（上传），</w:t>
      </w:r>
      <w:r>
        <w:rPr>
          <w:rFonts w:hint="eastAsia" w:hAnsi="宋体"/>
          <w:bCs/>
          <w:color w:val="auto"/>
          <w:szCs w:val="21"/>
        </w:rPr>
        <w:t>提交响应文件截止</w:t>
      </w:r>
      <w:r>
        <w:rPr>
          <w:rFonts w:hAnsi="宋体"/>
          <w:bCs/>
          <w:color w:val="auto"/>
          <w:szCs w:val="21"/>
        </w:rPr>
        <w:t>时间</w:t>
      </w:r>
      <w:r>
        <w:rPr>
          <w:rFonts w:hint="eastAsia" w:hAnsi="宋体"/>
          <w:bCs/>
          <w:color w:val="auto"/>
          <w:szCs w:val="21"/>
        </w:rPr>
        <w:t>前</w:t>
      </w:r>
      <w:r>
        <w:rPr>
          <w:rFonts w:hint="eastAsia" w:ascii="宋体" w:hAnsi="宋体"/>
          <w:bCs/>
          <w:color w:val="auto"/>
          <w:szCs w:val="21"/>
        </w:rPr>
        <w:t>未完成提交（上传）的，视为撤回响应文件。</w:t>
      </w:r>
      <w:r>
        <w:rPr>
          <w:rFonts w:hint="eastAsia" w:hAnsi="宋体"/>
          <w:bCs/>
          <w:color w:val="auto"/>
          <w:szCs w:val="21"/>
        </w:rPr>
        <w:t>提交响应文件截止</w:t>
      </w:r>
      <w:r>
        <w:rPr>
          <w:rFonts w:hAnsi="宋体"/>
          <w:bCs/>
          <w:color w:val="auto"/>
          <w:szCs w:val="21"/>
        </w:rPr>
        <w:t>时间</w:t>
      </w:r>
      <w:r>
        <w:rPr>
          <w:rFonts w:hint="eastAsia" w:ascii="宋体" w:hAnsi="宋体"/>
          <w:bCs/>
          <w:color w:val="auto"/>
          <w:szCs w:val="21"/>
        </w:rPr>
        <w:t>以后提交（上传）的响应文件，广西政府采购云平台将予以拒收。</w:t>
      </w:r>
      <w:r>
        <w:rPr>
          <w:rFonts w:hint="eastAsia" w:ascii="宋体" w:hAnsi="宋体" w:cs="宋体"/>
          <w:color w:val="auto"/>
          <w:szCs w:val="21"/>
        </w:rPr>
        <w:t>（补充、修改或者撤回方式可</w:t>
      </w:r>
      <w:r>
        <w:rPr>
          <w:rFonts w:hint="eastAsia" w:ascii="宋体" w:hAnsi="宋体"/>
          <w:color w:val="auto"/>
          <w:szCs w:val="21"/>
        </w:rPr>
        <w:t>登录</w:t>
      </w:r>
      <w:r>
        <w:rPr>
          <w:rFonts w:hint="eastAsia" w:ascii="宋体" w:hAnsi="宋体" w:cs="宋体"/>
          <w:color w:val="auto"/>
          <w:kern w:val="0"/>
          <w:szCs w:val="21"/>
        </w:rPr>
        <w:t>广西政府采购云平台，</w:t>
      </w:r>
      <w:r>
        <w:rPr>
          <w:rFonts w:hint="eastAsia" w:ascii="宋体" w:hAnsi="宋体"/>
          <w:color w:val="auto"/>
          <w:szCs w:val="21"/>
        </w:rPr>
        <w:t>进入“服务中心”中查看</w:t>
      </w:r>
      <w:r>
        <w:rPr>
          <w:rFonts w:hint="eastAsia" w:ascii="宋体" w:hAnsi="宋体" w:cs="宋体"/>
          <w:color w:val="auto"/>
          <w:szCs w:val="21"/>
        </w:rPr>
        <w:t xml:space="preserve"> “电子投标文件制作与投送教程”）</w:t>
      </w:r>
    </w:p>
    <w:bookmarkEnd w:id="90"/>
    <w:bookmarkEnd w:id="91"/>
    <w:p w14:paraId="18C0F4AE">
      <w:pPr>
        <w:pStyle w:val="70"/>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14:paraId="26B47DC4">
      <w:pPr>
        <w:spacing w:line="360" w:lineRule="auto"/>
        <w:ind w:firstLine="482" w:firstLineChars="200"/>
        <w:rPr>
          <w:rFonts w:ascii="黑体" w:hAnsi="黑体" w:eastAsia="黑体" w:cs="宋体"/>
          <w:b/>
          <w:bCs/>
          <w:color w:val="auto"/>
          <w:sz w:val="24"/>
        </w:rPr>
      </w:pPr>
      <w:bookmarkStart w:id="92" w:name="_Hlk45702405"/>
      <w:r>
        <w:rPr>
          <w:rFonts w:hint="eastAsia" w:ascii="黑体" w:hAnsi="黑体" w:eastAsia="黑体" w:cs="宋体"/>
          <w:b/>
          <w:bCs/>
          <w:color w:val="auto"/>
          <w:sz w:val="24"/>
        </w:rPr>
        <w:t>22.响应文件的退回</w:t>
      </w:r>
    </w:p>
    <w:p w14:paraId="64EEF27A">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14:paraId="41F1D260">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14:paraId="4FA5409E">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供应商在响应文件提交截止时间后向采购人、采购代理机构书面申请撤回响应文件的，将根据本须知正文17.4的规定不予退还其磋商保证金。</w:t>
      </w:r>
    </w:p>
    <w:bookmarkEnd w:id="92"/>
    <w:p w14:paraId="57A5CCEA">
      <w:pPr>
        <w:spacing w:line="360" w:lineRule="auto"/>
        <w:rPr>
          <w:rFonts w:ascii="宋体" w:hAnsi="宋体"/>
          <w:color w:val="auto"/>
          <w:szCs w:val="21"/>
        </w:rPr>
      </w:pPr>
    </w:p>
    <w:p w14:paraId="1B8123A0">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14:paraId="443DCF85">
      <w:pPr>
        <w:spacing w:line="360" w:lineRule="auto"/>
        <w:ind w:left="420" w:firstLine="420"/>
        <w:rPr>
          <w:rFonts w:ascii="宋体" w:hAnsi="宋体"/>
          <w:color w:val="auto"/>
          <w:szCs w:val="21"/>
        </w:rPr>
      </w:pPr>
    </w:p>
    <w:p w14:paraId="50FD0E4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14:paraId="1C6577EF">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03114F">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1611CC1">
      <w:pPr>
        <w:spacing w:line="360" w:lineRule="auto"/>
        <w:ind w:firstLine="420" w:firstLineChars="200"/>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基于广西政府采购云平台</w:t>
      </w:r>
      <w:r>
        <w:rPr>
          <w:rFonts w:hint="eastAsia" w:hAnsi="宋体"/>
          <w:bCs/>
          <w:color w:val="auto"/>
        </w:rPr>
        <w:t>抽（选）取</w:t>
      </w:r>
      <w:r>
        <w:rPr>
          <w:rFonts w:hint="eastAsia" w:hAnsi="宋体"/>
          <w:bCs/>
          <w:color w:val="auto"/>
          <w:szCs w:val="21"/>
        </w:rPr>
        <w:t>评审专家。</w:t>
      </w:r>
    </w:p>
    <w:p w14:paraId="5AC03C46">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14:paraId="57D2E20C">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rPr>
        <w:t>采购代理机构依托广西政府采购云平台向各供应商发出电子加密响应文件【开始解密】通知，由供应商按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的响应文件作无效处理</w:t>
      </w:r>
      <w:r>
        <w:rPr>
          <w:b/>
          <w:color w:val="auto"/>
        </w:rPr>
        <w:t>。</w:t>
      </w:r>
    </w:p>
    <w:p w14:paraId="0A3C0112">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3309F16B">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0EB90B9B">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2F8CA316">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14:paraId="045885C4">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6DA5567">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14:paraId="68D247E7">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14:paraId="657C8A29">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14:paraId="31BFA9E9">
      <w:pPr>
        <w:spacing w:line="360" w:lineRule="auto"/>
        <w:ind w:firstLine="420" w:firstLineChars="200"/>
        <w:rPr>
          <w:rFonts w:hAnsi="宋体"/>
          <w:color w:val="auto"/>
        </w:rPr>
      </w:pPr>
      <w:r>
        <w:rPr>
          <w:rFonts w:hint="eastAsia" w:hAnsi="宋体"/>
          <w:color w:val="auto"/>
        </w:rPr>
        <w:t>（3）电子交易平台发现严重安全漏洞，有潜在泄密危险的；</w:t>
      </w:r>
    </w:p>
    <w:p w14:paraId="68B3A131">
      <w:pPr>
        <w:spacing w:line="360" w:lineRule="auto"/>
        <w:ind w:firstLine="420" w:firstLineChars="200"/>
        <w:rPr>
          <w:rFonts w:hAnsi="宋体"/>
          <w:color w:val="auto"/>
        </w:rPr>
      </w:pPr>
      <w:r>
        <w:rPr>
          <w:rFonts w:hint="eastAsia" w:hAnsi="宋体"/>
          <w:color w:val="auto"/>
        </w:rPr>
        <w:t xml:space="preserve">（4）病毒发作导致不能进行正常操作的； </w:t>
      </w:r>
    </w:p>
    <w:p w14:paraId="2C6192DA">
      <w:pPr>
        <w:spacing w:line="360" w:lineRule="auto"/>
        <w:ind w:firstLine="420" w:firstLineChars="200"/>
        <w:rPr>
          <w:rFonts w:hAnsi="宋体"/>
          <w:color w:val="auto"/>
        </w:rPr>
      </w:pPr>
      <w:r>
        <w:rPr>
          <w:rFonts w:hint="eastAsia" w:hAnsi="宋体"/>
          <w:color w:val="auto"/>
        </w:rPr>
        <w:t>（5）其他无法保证电子交易的公平、公正和安全的情况。</w:t>
      </w:r>
    </w:p>
    <w:p w14:paraId="5415EF39">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ABEB91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12E0A237">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30CB50">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93"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93"/>
    </w:p>
    <w:p w14:paraId="3E152BC8">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14:paraId="26CF570A">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14:paraId="61D2511F">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14:paraId="30264B3D">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14:paraId="13027257">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14:paraId="52E55B7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29B44D84">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14:paraId="151F68A1">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.2在履约保证金退还日期前，若成交供应商的开户名称、开户银行、账号有变动的，请以书面形式通知履约保证金收取单位，否则由此产生的后果由成交供应商自行承担。</w:t>
      </w:r>
    </w:p>
    <w:p w14:paraId="0B0B55FF">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40F39959">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w:t>
      </w:r>
    </w:p>
    <w:p w14:paraId="3551BA9C">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14:paraId="2F7EE4C8">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14:paraId="55126C93">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9EF2801">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8CED16F">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14:paraId="2B6290EB">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14:paraId="0FA0354A">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590DF8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5A93163C">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A030DCB">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4163FF6D">
      <w:pPr>
        <w:pStyle w:val="2"/>
        <w:spacing w:line="400" w:lineRule="exact"/>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7F925808">
      <w:pPr>
        <w:spacing w:line="40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5880056B">
      <w:pPr>
        <w:spacing w:line="400" w:lineRule="exact"/>
        <w:ind w:firstLine="420"/>
        <w:rPr>
          <w:rFonts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43400C7C">
      <w:pPr>
        <w:spacing w:line="400" w:lineRule="exact"/>
        <w:ind w:firstLine="420"/>
        <w:rPr>
          <w:rFonts w:ascii="宋体" w:hAnsi="宋体" w:cs="宋体"/>
          <w:color w:val="auto"/>
        </w:rPr>
      </w:pPr>
      <w:r>
        <w:rPr>
          <w:rFonts w:hint="eastAsia" w:ascii="宋体" w:hAnsi="宋体" w:cs="宋体"/>
          <w:color w:val="auto"/>
        </w:rPr>
        <w:t>（2）对采购过程提出质疑的，为各采购程序环节结束之日；</w:t>
      </w:r>
    </w:p>
    <w:p w14:paraId="3F7F35E5">
      <w:pPr>
        <w:spacing w:line="400" w:lineRule="exact"/>
        <w:ind w:firstLine="420"/>
        <w:rPr>
          <w:rFonts w:ascii="宋体" w:hAnsi="宋体" w:cs="宋体"/>
          <w:color w:val="auto"/>
        </w:rPr>
      </w:pPr>
      <w:r>
        <w:rPr>
          <w:rFonts w:hint="eastAsia" w:ascii="宋体" w:hAnsi="宋体" w:cs="宋体"/>
          <w:color w:val="auto"/>
        </w:rPr>
        <w:t>（3）对成交结果提出质疑的，为成交结果公告期限届满之日。</w:t>
      </w:r>
    </w:p>
    <w:p w14:paraId="72A9320F">
      <w:pPr>
        <w:spacing w:line="40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0B48F39">
      <w:pPr>
        <w:spacing w:line="40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2A3D0A38">
      <w:pPr>
        <w:spacing w:line="400" w:lineRule="exact"/>
        <w:ind w:firstLine="420"/>
        <w:rPr>
          <w:rFonts w:ascii="宋体" w:hAnsi="宋体" w:cs="宋体"/>
          <w:color w:val="auto"/>
        </w:rPr>
      </w:pPr>
      <w:r>
        <w:rPr>
          <w:rFonts w:hint="eastAsia" w:ascii="宋体" w:hAnsi="宋体" w:cs="宋体"/>
          <w:color w:val="auto"/>
        </w:rPr>
        <w:t>（1）供应商的姓名或者名称、地址、邮编、联系人及联系电话；</w:t>
      </w:r>
    </w:p>
    <w:p w14:paraId="3F85707F">
      <w:pPr>
        <w:spacing w:line="400" w:lineRule="exact"/>
        <w:ind w:firstLine="420"/>
        <w:rPr>
          <w:rFonts w:ascii="宋体" w:hAnsi="宋体" w:cs="宋体"/>
          <w:color w:val="auto"/>
        </w:rPr>
      </w:pPr>
      <w:r>
        <w:rPr>
          <w:rFonts w:hint="eastAsia" w:ascii="宋体" w:hAnsi="宋体" w:cs="宋体"/>
          <w:color w:val="auto"/>
        </w:rPr>
        <w:t>（2）质疑项目的名称、编号；</w:t>
      </w:r>
    </w:p>
    <w:p w14:paraId="674EC153">
      <w:pPr>
        <w:spacing w:line="400" w:lineRule="exact"/>
        <w:ind w:firstLine="420"/>
        <w:rPr>
          <w:rFonts w:ascii="宋体" w:hAnsi="宋体" w:cs="宋体"/>
          <w:color w:val="auto"/>
        </w:rPr>
      </w:pPr>
      <w:r>
        <w:rPr>
          <w:rFonts w:hint="eastAsia" w:ascii="宋体" w:hAnsi="宋体" w:cs="宋体"/>
          <w:color w:val="auto"/>
        </w:rPr>
        <w:t>（3）具体、明确的质疑事项和与质疑事项相关的请求；</w:t>
      </w:r>
    </w:p>
    <w:p w14:paraId="61F9918D">
      <w:pPr>
        <w:spacing w:line="400" w:lineRule="exact"/>
        <w:ind w:firstLine="420"/>
        <w:rPr>
          <w:rFonts w:ascii="宋体" w:hAnsi="宋体" w:cs="宋体"/>
          <w:color w:val="auto"/>
        </w:rPr>
      </w:pPr>
      <w:r>
        <w:rPr>
          <w:rFonts w:hint="eastAsia" w:ascii="宋体" w:hAnsi="宋体" w:cs="宋体"/>
          <w:color w:val="auto"/>
        </w:rPr>
        <w:t>（4）事实依据；</w:t>
      </w:r>
    </w:p>
    <w:p w14:paraId="32888E37">
      <w:pPr>
        <w:spacing w:line="400" w:lineRule="exact"/>
        <w:ind w:firstLine="420"/>
        <w:rPr>
          <w:rFonts w:ascii="宋体" w:hAnsi="宋体" w:cs="宋体"/>
          <w:color w:val="auto"/>
        </w:rPr>
      </w:pPr>
      <w:r>
        <w:rPr>
          <w:rFonts w:hint="eastAsia" w:ascii="宋体" w:hAnsi="宋体" w:cs="宋体"/>
          <w:color w:val="auto"/>
        </w:rPr>
        <w:t>（5）必要的法律依据；</w:t>
      </w:r>
    </w:p>
    <w:p w14:paraId="41EA3E81">
      <w:pPr>
        <w:spacing w:line="400" w:lineRule="exact"/>
        <w:ind w:firstLine="420"/>
        <w:rPr>
          <w:rFonts w:ascii="宋体" w:hAnsi="宋体" w:cs="宋体"/>
          <w:color w:val="auto"/>
        </w:rPr>
      </w:pPr>
      <w:r>
        <w:rPr>
          <w:rFonts w:hint="eastAsia" w:ascii="宋体" w:hAnsi="宋体" w:cs="宋体"/>
          <w:color w:val="auto"/>
        </w:rPr>
        <w:t>（6）提出质疑的日期。</w:t>
      </w:r>
    </w:p>
    <w:p w14:paraId="72020A0B">
      <w:pPr>
        <w:spacing w:line="400" w:lineRule="exact"/>
        <w:ind w:firstLine="42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5ED52EC8">
      <w:pPr>
        <w:spacing w:line="400" w:lineRule="exact"/>
        <w:ind w:firstLine="42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2EBB6EE3">
      <w:pPr>
        <w:spacing w:line="400" w:lineRule="exact"/>
        <w:ind w:firstLine="42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0E6DE4CF">
      <w:pPr>
        <w:spacing w:line="400" w:lineRule="exact"/>
        <w:ind w:firstLine="42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32AC08EE">
      <w:pPr>
        <w:spacing w:line="400" w:lineRule="exact"/>
        <w:ind w:firstLine="42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06C8EAD8">
      <w:pPr>
        <w:spacing w:line="400" w:lineRule="exact"/>
        <w:ind w:firstLine="42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00F73D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14:paraId="0970B09A">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w:t>
      </w:r>
    </w:p>
    <w:p w14:paraId="532AB7B5">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2.2</w:t>
      </w:r>
      <w:r>
        <w:rPr>
          <w:rFonts w:hint="eastAsia" w:ascii="宋体" w:hAnsi="宋体" w:cs="宋体"/>
          <w:color w:val="auto"/>
          <w:szCs w:val="21"/>
        </w:rPr>
        <w:t>收费标准：</w:t>
      </w:r>
    </w:p>
    <w:tbl>
      <w:tblPr>
        <w:tblStyle w:val="25"/>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5"/>
        <w:gridCol w:w="1781"/>
        <w:gridCol w:w="1810"/>
        <w:gridCol w:w="1779"/>
      </w:tblGrid>
      <w:tr w14:paraId="5614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tcBorders>
              <w:tl2br w:val="single" w:color="auto" w:sz="4" w:space="0"/>
            </w:tcBorders>
          </w:tcPr>
          <w:p w14:paraId="0F928963">
            <w:pPr>
              <w:spacing w:line="400" w:lineRule="exact"/>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费率</w:t>
            </w:r>
          </w:p>
          <w:p w14:paraId="23FE6B54">
            <w:pPr>
              <w:spacing w:line="400" w:lineRule="exact"/>
              <w:rPr>
                <w:rFonts w:ascii="宋体" w:hAnsi="宋体"/>
                <w:color w:val="auto"/>
                <w:szCs w:val="21"/>
              </w:rPr>
            </w:pPr>
            <w:r>
              <w:rPr>
                <w:rFonts w:hint="eastAsia" w:ascii="宋体" w:hAnsi="宋体"/>
                <w:color w:val="auto"/>
                <w:szCs w:val="21"/>
              </w:rPr>
              <w:t>金额</w:t>
            </w:r>
          </w:p>
        </w:tc>
        <w:tc>
          <w:tcPr>
            <w:tcW w:w="1781" w:type="dxa"/>
            <w:vAlign w:val="center"/>
          </w:tcPr>
          <w:p w14:paraId="08797ABD">
            <w:pPr>
              <w:spacing w:line="400" w:lineRule="exact"/>
              <w:ind w:firstLine="105" w:firstLineChars="50"/>
              <w:jc w:val="center"/>
              <w:rPr>
                <w:rFonts w:ascii="宋体" w:hAnsi="宋体"/>
                <w:color w:val="auto"/>
                <w:szCs w:val="21"/>
              </w:rPr>
            </w:pPr>
            <w:r>
              <w:rPr>
                <w:rFonts w:hint="eastAsia" w:ascii="宋体" w:hAnsi="宋体"/>
                <w:color w:val="auto"/>
                <w:szCs w:val="21"/>
              </w:rPr>
              <w:t>货物类</w:t>
            </w:r>
          </w:p>
        </w:tc>
        <w:tc>
          <w:tcPr>
            <w:tcW w:w="1810" w:type="dxa"/>
            <w:vAlign w:val="center"/>
          </w:tcPr>
          <w:p w14:paraId="022ACC06">
            <w:pPr>
              <w:spacing w:line="400" w:lineRule="exact"/>
              <w:jc w:val="center"/>
              <w:rPr>
                <w:rFonts w:ascii="宋体" w:hAnsi="宋体"/>
                <w:color w:val="auto"/>
                <w:szCs w:val="21"/>
              </w:rPr>
            </w:pPr>
            <w:r>
              <w:rPr>
                <w:rFonts w:hint="eastAsia" w:ascii="宋体" w:hAnsi="宋体"/>
                <w:color w:val="auto"/>
                <w:szCs w:val="21"/>
              </w:rPr>
              <w:t>服务类</w:t>
            </w:r>
          </w:p>
        </w:tc>
        <w:tc>
          <w:tcPr>
            <w:tcW w:w="1779" w:type="dxa"/>
            <w:vAlign w:val="center"/>
          </w:tcPr>
          <w:p w14:paraId="1EA95E6E">
            <w:pPr>
              <w:spacing w:line="400" w:lineRule="exact"/>
              <w:jc w:val="center"/>
              <w:rPr>
                <w:rFonts w:ascii="宋体" w:hAnsi="宋体"/>
                <w:color w:val="auto"/>
                <w:szCs w:val="21"/>
              </w:rPr>
            </w:pPr>
            <w:r>
              <w:rPr>
                <w:rFonts w:hint="eastAsia" w:ascii="宋体" w:hAnsi="宋体"/>
                <w:color w:val="auto"/>
                <w:szCs w:val="21"/>
              </w:rPr>
              <w:t>工程类</w:t>
            </w:r>
          </w:p>
        </w:tc>
      </w:tr>
      <w:tr w14:paraId="0FEB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6D0326C9">
            <w:pPr>
              <w:spacing w:line="360" w:lineRule="auto"/>
              <w:rPr>
                <w:rFonts w:ascii="宋体" w:hAnsi="宋体"/>
                <w:color w:val="auto"/>
                <w:szCs w:val="21"/>
              </w:rPr>
            </w:pPr>
            <w:r>
              <w:rPr>
                <w:rFonts w:hint="eastAsia" w:ascii="宋体" w:hAnsi="宋体"/>
                <w:color w:val="auto"/>
                <w:szCs w:val="21"/>
              </w:rPr>
              <w:t>100万元以下</w:t>
            </w:r>
          </w:p>
        </w:tc>
        <w:tc>
          <w:tcPr>
            <w:tcW w:w="1781" w:type="dxa"/>
            <w:vAlign w:val="center"/>
          </w:tcPr>
          <w:p w14:paraId="3FB8350C">
            <w:pPr>
              <w:spacing w:line="360" w:lineRule="auto"/>
              <w:jc w:val="center"/>
              <w:rPr>
                <w:rFonts w:ascii="宋体" w:hAnsi="宋体"/>
                <w:color w:val="auto"/>
                <w:szCs w:val="21"/>
              </w:rPr>
            </w:pPr>
            <w:r>
              <w:rPr>
                <w:rFonts w:ascii="宋体" w:hAnsi="宋体" w:cs="宋体"/>
                <w:color w:val="auto"/>
                <w:kern w:val="0"/>
                <w:szCs w:val="21"/>
              </w:rPr>
              <w:t>1.5%</w:t>
            </w:r>
          </w:p>
        </w:tc>
        <w:tc>
          <w:tcPr>
            <w:tcW w:w="1810" w:type="dxa"/>
            <w:vAlign w:val="center"/>
          </w:tcPr>
          <w:p w14:paraId="077C2606">
            <w:pPr>
              <w:spacing w:line="360" w:lineRule="auto"/>
              <w:jc w:val="center"/>
              <w:rPr>
                <w:rFonts w:ascii="宋体" w:hAnsi="宋体"/>
                <w:color w:val="auto"/>
                <w:szCs w:val="21"/>
              </w:rPr>
            </w:pPr>
            <w:r>
              <w:rPr>
                <w:rFonts w:ascii="宋体" w:hAnsi="宋体" w:cs="宋体"/>
                <w:color w:val="auto"/>
                <w:kern w:val="0"/>
                <w:szCs w:val="21"/>
              </w:rPr>
              <w:t>1.5%</w:t>
            </w:r>
          </w:p>
        </w:tc>
        <w:tc>
          <w:tcPr>
            <w:tcW w:w="1779" w:type="dxa"/>
            <w:vAlign w:val="center"/>
          </w:tcPr>
          <w:p w14:paraId="5B546EBF">
            <w:pPr>
              <w:spacing w:line="360" w:lineRule="auto"/>
              <w:jc w:val="center"/>
              <w:rPr>
                <w:rFonts w:ascii="宋体" w:hAnsi="宋体"/>
                <w:color w:val="auto"/>
                <w:szCs w:val="21"/>
              </w:rPr>
            </w:pPr>
            <w:r>
              <w:rPr>
                <w:rFonts w:ascii="宋体" w:hAnsi="宋体" w:cs="宋体"/>
                <w:color w:val="auto"/>
                <w:kern w:val="0"/>
                <w:szCs w:val="21"/>
              </w:rPr>
              <w:t>1.0%</w:t>
            </w:r>
          </w:p>
        </w:tc>
      </w:tr>
      <w:tr w14:paraId="11AD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098377CB">
            <w:pPr>
              <w:spacing w:line="360" w:lineRule="auto"/>
              <w:rPr>
                <w:rFonts w:ascii="宋体" w:hAnsi="宋体"/>
                <w:color w:val="auto"/>
                <w:szCs w:val="21"/>
              </w:rPr>
            </w:pPr>
            <w:r>
              <w:rPr>
                <w:rFonts w:hint="eastAsia" w:ascii="宋体" w:hAnsi="宋体"/>
                <w:color w:val="auto"/>
                <w:szCs w:val="21"/>
              </w:rPr>
              <w:t>100万元～500万元</w:t>
            </w:r>
          </w:p>
        </w:tc>
        <w:tc>
          <w:tcPr>
            <w:tcW w:w="1781" w:type="dxa"/>
            <w:vAlign w:val="center"/>
          </w:tcPr>
          <w:p w14:paraId="4FB6E1FB">
            <w:pPr>
              <w:spacing w:line="360" w:lineRule="auto"/>
              <w:jc w:val="center"/>
              <w:rPr>
                <w:rFonts w:ascii="宋体" w:hAnsi="宋体"/>
                <w:color w:val="auto"/>
                <w:szCs w:val="21"/>
              </w:rPr>
            </w:pPr>
            <w:r>
              <w:rPr>
                <w:rFonts w:ascii="宋体" w:hAnsi="宋体" w:cs="宋体"/>
                <w:color w:val="auto"/>
                <w:kern w:val="0"/>
                <w:szCs w:val="21"/>
              </w:rPr>
              <w:t>1.1%</w:t>
            </w:r>
          </w:p>
        </w:tc>
        <w:tc>
          <w:tcPr>
            <w:tcW w:w="1810" w:type="dxa"/>
            <w:vAlign w:val="center"/>
          </w:tcPr>
          <w:p w14:paraId="2B938E62">
            <w:pPr>
              <w:spacing w:line="360" w:lineRule="auto"/>
              <w:jc w:val="center"/>
              <w:rPr>
                <w:rFonts w:ascii="宋体" w:hAnsi="宋体"/>
                <w:color w:val="auto"/>
                <w:szCs w:val="21"/>
              </w:rPr>
            </w:pPr>
            <w:r>
              <w:rPr>
                <w:rFonts w:ascii="宋体" w:hAnsi="宋体" w:cs="宋体"/>
                <w:color w:val="auto"/>
                <w:kern w:val="0"/>
                <w:szCs w:val="21"/>
              </w:rPr>
              <w:t>0.8%</w:t>
            </w:r>
          </w:p>
        </w:tc>
        <w:tc>
          <w:tcPr>
            <w:tcW w:w="1779" w:type="dxa"/>
            <w:vAlign w:val="center"/>
          </w:tcPr>
          <w:p w14:paraId="5C13A1CE">
            <w:pPr>
              <w:spacing w:line="360" w:lineRule="auto"/>
              <w:jc w:val="center"/>
              <w:rPr>
                <w:rFonts w:ascii="宋体" w:hAnsi="宋体"/>
                <w:color w:val="auto"/>
                <w:szCs w:val="21"/>
              </w:rPr>
            </w:pPr>
            <w:r>
              <w:rPr>
                <w:rFonts w:ascii="宋体" w:hAnsi="宋体" w:cs="宋体"/>
                <w:color w:val="auto"/>
                <w:kern w:val="0"/>
                <w:szCs w:val="21"/>
              </w:rPr>
              <w:t>0.7%</w:t>
            </w:r>
          </w:p>
        </w:tc>
      </w:tr>
      <w:tr w14:paraId="1DC3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4B476CA7">
            <w:pPr>
              <w:spacing w:line="360" w:lineRule="auto"/>
              <w:rPr>
                <w:rFonts w:ascii="宋体" w:hAnsi="宋体"/>
                <w:color w:val="auto"/>
                <w:szCs w:val="21"/>
              </w:rPr>
            </w:pPr>
            <w:r>
              <w:rPr>
                <w:rFonts w:hint="eastAsia" w:ascii="宋体" w:hAnsi="宋体"/>
                <w:color w:val="auto"/>
                <w:szCs w:val="21"/>
              </w:rPr>
              <w:t>500万元～1000万元</w:t>
            </w:r>
          </w:p>
        </w:tc>
        <w:tc>
          <w:tcPr>
            <w:tcW w:w="1781" w:type="dxa"/>
            <w:vAlign w:val="center"/>
          </w:tcPr>
          <w:p w14:paraId="17DAB7B5">
            <w:pPr>
              <w:spacing w:line="360" w:lineRule="auto"/>
              <w:jc w:val="center"/>
              <w:rPr>
                <w:rFonts w:ascii="宋体" w:hAnsi="宋体"/>
                <w:color w:val="auto"/>
                <w:szCs w:val="21"/>
              </w:rPr>
            </w:pPr>
            <w:r>
              <w:rPr>
                <w:rFonts w:ascii="宋体" w:hAnsi="宋体" w:cs="宋体"/>
                <w:color w:val="auto"/>
                <w:kern w:val="0"/>
                <w:szCs w:val="21"/>
              </w:rPr>
              <w:t>0.8%</w:t>
            </w:r>
          </w:p>
        </w:tc>
        <w:tc>
          <w:tcPr>
            <w:tcW w:w="1810" w:type="dxa"/>
            <w:vAlign w:val="center"/>
          </w:tcPr>
          <w:p w14:paraId="7DF858AC">
            <w:pPr>
              <w:spacing w:line="360" w:lineRule="auto"/>
              <w:jc w:val="center"/>
              <w:rPr>
                <w:rFonts w:ascii="宋体" w:hAnsi="宋体"/>
                <w:color w:val="auto"/>
                <w:szCs w:val="21"/>
              </w:rPr>
            </w:pPr>
            <w:r>
              <w:rPr>
                <w:rFonts w:ascii="宋体" w:hAnsi="宋体" w:cs="宋体"/>
                <w:color w:val="auto"/>
                <w:kern w:val="0"/>
                <w:szCs w:val="21"/>
              </w:rPr>
              <w:t>0.45%</w:t>
            </w:r>
          </w:p>
        </w:tc>
        <w:tc>
          <w:tcPr>
            <w:tcW w:w="1779" w:type="dxa"/>
            <w:vAlign w:val="center"/>
          </w:tcPr>
          <w:p w14:paraId="490E3863">
            <w:pPr>
              <w:spacing w:line="360" w:lineRule="auto"/>
              <w:jc w:val="center"/>
              <w:rPr>
                <w:rFonts w:ascii="宋体" w:hAnsi="宋体"/>
                <w:color w:val="auto"/>
                <w:szCs w:val="21"/>
              </w:rPr>
            </w:pPr>
            <w:r>
              <w:rPr>
                <w:rFonts w:ascii="宋体" w:hAnsi="宋体" w:cs="宋体"/>
                <w:color w:val="auto"/>
                <w:kern w:val="0"/>
                <w:szCs w:val="21"/>
              </w:rPr>
              <w:t>0.55%</w:t>
            </w:r>
          </w:p>
        </w:tc>
      </w:tr>
      <w:tr w14:paraId="5660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10D8D057">
            <w:pPr>
              <w:spacing w:line="360" w:lineRule="auto"/>
              <w:rPr>
                <w:rFonts w:ascii="宋体" w:hAnsi="宋体"/>
                <w:color w:val="auto"/>
                <w:szCs w:val="21"/>
              </w:rPr>
            </w:pPr>
            <w:r>
              <w:rPr>
                <w:rFonts w:hint="eastAsia" w:ascii="宋体" w:hAnsi="宋体"/>
                <w:color w:val="auto"/>
                <w:szCs w:val="21"/>
              </w:rPr>
              <w:t>1000万元～5000万元</w:t>
            </w:r>
          </w:p>
        </w:tc>
        <w:tc>
          <w:tcPr>
            <w:tcW w:w="1781" w:type="dxa"/>
            <w:vAlign w:val="center"/>
          </w:tcPr>
          <w:p w14:paraId="652C0DD2">
            <w:pPr>
              <w:spacing w:line="360" w:lineRule="auto"/>
              <w:jc w:val="center"/>
              <w:rPr>
                <w:rFonts w:ascii="宋体" w:hAnsi="宋体"/>
                <w:color w:val="auto"/>
                <w:szCs w:val="21"/>
              </w:rPr>
            </w:pPr>
            <w:r>
              <w:rPr>
                <w:rFonts w:ascii="宋体" w:hAnsi="宋体" w:cs="宋体"/>
                <w:color w:val="auto"/>
                <w:kern w:val="0"/>
                <w:szCs w:val="21"/>
              </w:rPr>
              <w:t>0.5%</w:t>
            </w:r>
          </w:p>
        </w:tc>
        <w:tc>
          <w:tcPr>
            <w:tcW w:w="1810" w:type="dxa"/>
            <w:vAlign w:val="center"/>
          </w:tcPr>
          <w:p w14:paraId="44267F09">
            <w:pPr>
              <w:spacing w:line="360" w:lineRule="auto"/>
              <w:jc w:val="center"/>
              <w:rPr>
                <w:rFonts w:ascii="宋体" w:hAnsi="宋体"/>
                <w:color w:val="auto"/>
                <w:szCs w:val="21"/>
              </w:rPr>
            </w:pPr>
            <w:r>
              <w:rPr>
                <w:rFonts w:ascii="宋体" w:hAnsi="宋体" w:cs="宋体"/>
                <w:color w:val="auto"/>
                <w:kern w:val="0"/>
                <w:szCs w:val="21"/>
              </w:rPr>
              <w:t>0.25%</w:t>
            </w:r>
          </w:p>
        </w:tc>
        <w:tc>
          <w:tcPr>
            <w:tcW w:w="1779" w:type="dxa"/>
            <w:vAlign w:val="center"/>
          </w:tcPr>
          <w:p w14:paraId="5BD135CD">
            <w:pPr>
              <w:spacing w:line="360" w:lineRule="auto"/>
              <w:jc w:val="center"/>
              <w:rPr>
                <w:rFonts w:ascii="宋体" w:hAnsi="宋体"/>
                <w:color w:val="auto"/>
                <w:szCs w:val="21"/>
              </w:rPr>
            </w:pPr>
            <w:r>
              <w:rPr>
                <w:rFonts w:ascii="宋体" w:hAnsi="宋体" w:cs="宋体"/>
                <w:color w:val="auto"/>
                <w:kern w:val="0"/>
                <w:szCs w:val="21"/>
              </w:rPr>
              <w:t>0.35%</w:t>
            </w:r>
          </w:p>
        </w:tc>
      </w:tr>
      <w:tr w14:paraId="0AF2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605BF8EE">
            <w:pPr>
              <w:spacing w:line="360" w:lineRule="auto"/>
              <w:rPr>
                <w:rFonts w:ascii="宋体" w:hAnsi="宋体"/>
                <w:color w:val="auto"/>
                <w:szCs w:val="21"/>
              </w:rPr>
            </w:pPr>
            <w:r>
              <w:rPr>
                <w:rFonts w:hint="eastAsia" w:ascii="宋体" w:hAnsi="宋体"/>
                <w:color w:val="auto"/>
                <w:szCs w:val="21"/>
              </w:rPr>
              <w:t>5000万元～1亿元</w:t>
            </w:r>
          </w:p>
        </w:tc>
        <w:tc>
          <w:tcPr>
            <w:tcW w:w="1781" w:type="dxa"/>
            <w:vAlign w:val="center"/>
          </w:tcPr>
          <w:p w14:paraId="7A0E73CC">
            <w:pPr>
              <w:spacing w:line="360" w:lineRule="auto"/>
              <w:jc w:val="center"/>
              <w:rPr>
                <w:rFonts w:ascii="宋体" w:hAnsi="宋体"/>
                <w:color w:val="auto"/>
                <w:szCs w:val="21"/>
              </w:rPr>
            </w:pPr>
            <w:r>
              <w:rPr>
                <w:rFonts w:ascii="宋体" w:hAnsi="宋体" w:cs="宋体"/>
                <w:color w:val="auto"/>
                <w:kern w:val="0"/>
                <w:szCs w:val="21"/>
              </w:rPr>
              <w:t>0.25%</w:t>
            </w:r>
          </w:p>
        </w:tc>
        <w:tc>
          <w:tcPr>
            <w:tcW w:w="1810" w:type="dxa"/>
            <w:vAlign w:val="center"/>
          </w:tcPr>
          <w:p w14:paraId="21D799CC">
            <w:pPr>
              <w:spacing w:line="360" w:lineRule="auto"/>
              <w:jc w:val="center"/>
              <w:rPr>
                <w:rFonts w:ascii="宋体" w:hAnsi="宋体"/>
                <w:color w:val="auto"/>
                <w:szCs w:val="21"/>
              </w:rPr>
            </w:pPr>
            <w:r>
              <w:rPr>
                <w:rFonts w:ascii="宋体" w:hAnsi="宋体" w:cs="宋体"/>
                <w:color w:val="auto"/>
                <w:kern w:val="0"/>
                <w:szCs w:val="21"/>
              </w:rPr>
              <w:t>0.1%</w:t>
            </w:r>
          </w:p>
        </w:tc>
        <w:tc>
          <w:tcPr>
            <w:tcW w:w="1779" w:type="dxa"/>
            <w:vAlign w:val="center"/>
          </w:tcPr>
          <w:p w14:paraId="39C8BD31">
            <w:pPr>
              <w:spacing w:line="360" w:lineRule="auto"/>
              <w:jc w:val="center"/>
              <w:rPr>
                <w:rFonts w:ascii="宋体" w:hAnsi="宋体"/>
                <w:color w:val="auto"/>
                <w:szCs w:val="21"/>
              </w:rPr>
            </w:pPr>
            <w:r>
              <w:rPr>
                <w:rFonts w:ascii="宋体" w:hAnsi="宋体" w:cs="宋体"/>
                <w:color w:val="auto"/>
                <w:kern w:val="0"/>
                <w:szCs w:val="21"/>
              </w:rPr>
              <w:t>0.2%</w:t>
            </w:r>
          </w:p>
        </w:tc>
      </w:tr>
      <w:tr w14:paraId="4209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5EFE9E52">
            <w:pPr>
              <w:spacing w:line="360" w:lineRule="auto"/>
              <w:rPr>
                <w:rFonts w:ascii="宋体" w:hAnsi="宋体"/>
                <w:color w:val="auto"/>
                <w:szCs w:val="21"/>
              </w:rPr>
            </w:pPr>
            <w:r>
              <w:rPr>
                <w:rFonts w:hint="eastAsia" w:ascii="宋体" w:hAnsi="宋体"/>
                <w:color w:val="auto"/>
                <w:szCs w:val="21"/>
              </w:rPr>
              <w:t>1亿元～5亿元</w:t>
            </w:r>
          </w:p>
        </w:tc>
        <w:tc>
          <w:tcPr>
            <w:tcW w:w="1781" w:type="dxa"/>
            <w:vAlign w:val="center"/>
          </w:tcPr>
          <w:p w14:paraId="0B849102">
            <w:pPr>
              <w:spacing w:line="360" w:lineRule="auto"/>
              <w:jc w:val="center"/>
              <w:rPr>
                <w:rFonts w:ascii="宋体" w:hAnsi="宋体"/>
                <w:color w:val="auto"/>
                <w:szCs w:val="21"/>
              </w:rPr>
            </w:pPr>
            <w:r>
              <w:rPr>
                <w:rFonts w:hint="eastAsia" w:ascii="宋体" w:hAnsi="宋体"/>
                <w:color w:val="auto"/>
                <w:szCs w:val="21"/>
              </w:rPr>
              <w:t>0.05%</w:t>
            </w:r>
          </w:p>
        </w:tc>
        <w:tc>
          <w:tcPr>
            <w:tcW w:w="1810" w:type="dxa"/>
            <w:vAlign w:val="center"/>
          </w:tcPr>
          <w:p w14:paraId="75B776C7">
            <w:pPr>
              <w:spacing w:line="360" w:lineRule="auto"/>
              <w:jc w:val="center"/>
              <w:rPr>
                <w:rFonts w:ascii="宋体" w:hAnsi="宋体"/>
                <w:color w:val="auto"/>
                <w:szCs w:val="21"/>
              </w:rPr>
            </w:pPr>
            <w:r>
              <w:rPr>
                <w:rFonts w:hint="eastAsia" w:ascii="宋体" w:hAnsi="宋体"/>
                <w:color w:val="auto"/>
                <w:szCs w:val="21"/>
              </w:rPr>
              <w:t>0.05%</w:t>
            </w:r>
          </w:p>
        </w:tc>
        <w:tc>
          <w:tcPr>
            <w:tcW w:w="1779" w:type="dxa"/>
            <w:vAlign w:val="center"/>
          </w:tcPr>
          <w:p w14:paraId="7DE91D87">
            <w:pPr>
              <w:spacing w:line="360" w:lineRule="auto"/>
              <w:jc w:val="center"/>
              <w:rPr>
                <w:rFonts w:ascii="宋体" w:hAnsi="宋体"/>
                <w:color w:val="auto"/>
                <w:szCs w:val="21"/>
              </w:rPr>
            </w:pPr>
            <w:r>
              <w:rPr>
                <w:rFonts w:hint="eastAsia" w:ascii="宋体" w:hAnsi="宋体"/>
                <w:color w:val="auto"/>
                <w:szCs w:val="21"/>
              </w:rPr>
              <w:t>0.05%</w:t>
            </w:r>
          </w:p>
        </w:tc>
      </w:tr>
      <w:tr w14:paraId="45A6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44631E5C">
            <w:pPr>
              <w:spacing w:line="360" w:lineRule="auto"/>
              <w:rPr>
                <w:rFonts w:ascii="宋体" w:hAnsi="宋体"/>
                <w:color w:val="auto"/>
                <w:szCs w:val="21"/>
              </w:rPr>
            </w:pPr>
            <w:r>
              <w:rPr>
                <w:rFonts w:hint="eastAsia" w:ascii="宋体" w:hAnsi="宋体"/>
                <w:color w:val="auto"/>
                <w:szCs w:val="21"/>
              </w:rPr>
              <w:t>5亿元～10亿元</w:t>
            </w:r>
          </w:p>
        </w:tc>
        <w:tc>
          <w:tcPr>
            <w:tcW w:w="1781" w:type="dxa"/>
            <w:vAlign w:val="center"/>
          </w:tcPr>
          <w:p w14:paraId="05C5D41D">
            <w:pPr>
              <w:spacing w:line="360" w:lineRule="auto"/>
              <w:jc w:val="center"/>
              <w:rPr>
                <w:rFonts w:ascii="宋体" w:hAnsi="宋体"/>
                <w:color w:val="auto"/>
                <w:szCs w:val="21"/>
              </w:rPr>
            </w:pPr>
            <w:r>
              <w:rPr>
                <w:rFonts w:hint="eastAsia" w:ascii="宋体" w:hAnsi="宋体"/>
                <w:color w:val="auto"/>
                <w:szCs w:val="21"/>
              </w:rPr>
              <w:t>0.035%</w:t>
            </w:r>
          </w:p>
        </w:tc>
        <w:tc>
          <w:tcPr>
            <w:tcW w:w="1810" w:type="dxa"/>
            <w:vAlign w:val="center"/>
          </w:tcPr>
          <w:p w14:paraId="31BD9EE8">
            <w:pPr>
              <w:spacing w:line="360" w:lineRule="auto"/>
              <w:jc w:val="center"/>
              <w:rPr>
                <w:rFonts w:ascii="宋体" w:hAnsi="宋体"/>
                <w:color w:val="auto"/>
                <w:szCs w:val="21"/>
              </w:rPr>
            </w:pPr>
            <w:r>
              <w:rPr>
                <w:rFonts w:hint="eastAsia" w:ascii="宋体" w:hAnsi="宋体"/>
                <w:color w:val="auto"/>
                <w:szCs w:val="21"/>
              </w:rPr>
              <w:t>0.035%</w:t>
            </w:r>
          </w:p>
        </w:tc>
        <w:tc>
          <w:tcPr>
            <w:tcW w:w="1779" w:type="dxa"/>
            <w:vAlign w:val="center"/>
          </w:tcPr>
          <w:p w14:paraId="0539509D">
            <w:pPr>
              <w:spacing w:line="360" w:lineRule="auto"/>
              <w:jc w:val="center"/>
              <w:rPr>
                <w:rFonts w:ascii="宋体" w:hAnsi="宋体"/>
                <w:color w:val="auto"/>
                <w:szCs w:val="21"/>
              </w:rPr>
            </w:pPr>
            <w:r>
              <w:rPr>
                <w:rFonts w:hint="eastAsia" w:ascii="宋体" w:hAnsi="宋体"/>
                <w:color w:val="auto"/>
                <w:szCs w:val="21"/>
              </w:rPr>
              <w:t>0.035%</w:t>
            </w:r>
          </w:p>
        </w:tc>
      </w:tr>
      <w:tr w14:paraId="362B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351DCFA0">
            <w:pPr>
              <w:spacing w:line="360" w:lineRule="auto"/>
              <w:rPr>
                <w:rFonts w:ascii="宋体" w:hAnsi="宋体"/>
                <w:color w:val="auto"/>
                <w:szCs w:val="21"/>
              </w:rPr>
            </w:pPr>
            <w:r>
              <w:rPr>
                <w:rFonts w:hint="eastAsia" w:ascii="宋体" w:hAnsi="宋体"/>
                <w:color w:val="auto"/>
                <w:szCs w:val="21"/>
              </w:rPr>
              <w:t>10亿元～50亿元</w:t>
            </w:r>
          </w:p>
        </w:tc>
        <w:tc>
          <w:tcPr>
            <w:tcW w:w="1781" w:type="dxa"/>
            <w:vAlign w:val="center"/>
          </w:tcPr>
          <w:p w14:paraId="38F8C28E">
            <w:pPr>
              <w:spacing w:line="360" w:lineRule="auto"/>
              <w:jc w:val="center"/>
              <w:rPr>
                <w:rFonts w:ascii="宋体" w:hAnsi="宋体"/>
                <w:color w:val="auto"/>
                <w:szCs w:val="21"/>
              </w:rPr>
            </w:pPr>
            <w:r>
              <w:rPr>
                <w:rFonts w:hint="eastAsia" w:ascii="宋体" w:hAnsi="宋体"/>
                <w:color w:val="auto"/>
                <w:szCs w:val="21"/>
              </w:rPr>
              <w:t>0.008%</w:t>
            </w:r>
          </w:p>
        </w:tc>
        <w:tc>
          <w:tcPr>
            <w:tcW w:w="1810" w:type="dxa"/>
            <w:vAlign w:val="center"/>
          </w:tcPr>
          <w:p w14:paraId="58D41E7C">
            <w:pPr>
              <w:spacing w:line="360" w:lineRule="auto"/>
              <w:jc w:val="center"/>
              <w:rPr>
                <w:rFonts w:ascii="宋体" w:hAnsi="宋体"/>
                <w:color w:val="auto"/>
                <w:szCs w:val="21"/>
              </w:rPr>
            </w:pPr>
            <w:r>
              <w:rPr>
                <w:rFonts w:hint="eastAsia" w:ascii="宋体" w:hAnsi="宋体"/>
                <w:color w:val="auto"/>
                <w:szCs w:val="21"/>
              </w:rPr>
              <w:t>0.008%</w:t>
            </w:r>
          </w:p>
        </w:tc>
        <w:tc>
          <w:tcPr>
            <w:tcW w:w="1779" w:type="dxa"/>
            <w:vAlign w:val="center"/>
          </w:tcPr>
          <w:p w14:paraId="3EAE946E">
            <w:pPr>
              <w:spacing w:line="360" w:lineRule="auto"/>
              <w:jc w:val="center"/>
              <w:rPr>
                <w:rFonts w:ascii="宋体" w:hAnsi="宋体"/>
                <w:color w:val="auto"/>
                <w:szCs w:val="21"/>
              </w:rPr>
            </w:pPr>
            <w:r>
              <w:rPr>
                <w:rFonts w:hint="eastAsia" w:ascii="宋体" w:hAnsi="宋体"/>
                <w:color w:val="auto"/>
                <w:szCs w:val="21"/>
              </w:rPr>
              <w:t>0.008%</w:t>
            </w:r>
          </w:p>
        </w:tc>
      </w:tr>
      <w:tr w14:paraId="6468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4AF8A1C9">
            <w:pPr>
              <w:spacing w:line="360" w:lineRule="auto"/>
              <w:rPr>
                <w:rFonts w:ascii="宋体" w:hAnsi="宋体"/>
                <w:color w:val="auto"/>
                <w:szCs w:val="21"/>
              </w:rPr>
            </w:pPr>
            <w:r>
              <w:rPr>
                <w:rFonts w:hint="eastAsia" w:ascii="宋体" w:hAnsi="宋体"/>
                <w:color w:val="auto"/>
                <w:szCs w:val="21"/>
              </w:rPr>
              <w:t>50亿元～100亿元</w:t>
            </w:r>
          </w:p>
        </w:tc>
        <w:tc>
          <w:tcPr>
            <w:tcW w:w="1781" w:type="dxa"/>
            <w:vAlign w:val="center"/>
          </w:tcPr>
          <w:p w14:paraId="6ACA6C49">
            <w:pPr>
              <w:spacing w:line="360" w:lineRule="auto"/>
              <w:jc w:val="center"/>
              <w:rPr>
                <w:rFonts w:ascii="宋体" w:hAnsi="宋体"/>
                <w:color w:val="auto"/>
                <w:szCs w:val="21"/>
              </w:rPr>
            </w:pPr>
            <w:r>
              <w:rPr>
                <w:rFonts w:hint="eastAsia" w:ascii="宋体" w:hAnsi="宋体"/>
                <w:color w:val="auto"/>
                <w:szCs w:val="21"/>
              </w:rPr>
              <w:t>0.006%</w:t>
            </w:r>
          </w:p>
        </w:tc>
        <w:tc>
          <w:tcPr>
            <w:tcW w:w="1810" w:type="dxa"/>
            <w:vAlign w:val="center"/>
          </w:tcPr>
          <w:p w14:paraId="36B318CD">
            <w:pPr>
              <w:spacing w:line="360" w:lineRule="auto"/>
              <w:jc w:val="center"/>
              <w:rPr>
                <w:rFonts w:ascii="宋体" w:hAnsi="宋体"/>
                <w:color w:val="auto"/>
                <w:szCs w:val="21"/>
              </w:rPr>
            </w:pPr>
            <w:r>
              <w:rPr>
                <w:rFonts w:hint="eastAsia" w:ascii="宋体" w:hAnsi="宋体"/>
                <w:color w:val="auto"/>
                <w:szCs w:val="21"/>
              </w:rPr>
              <w:t>0.006%</w:t>
            </w:r>
          </w:p>
        </w:tc>
        <w:tc>
          <w:tcPr>
            <w:tcW w:w="1779" w:type="dxa"/>
            <w:vAlign w:val="center"/>
          </w:tcPr>
          <w:p w14:paraId="49352C48">
            <w:pPr>
              <w:spacing w:line="360" w:lineRule="auto"/>
              <w:jc w:val="center"/>
              <w:rPr>
                <w:rFonts w:ascii="宋体" w:hAnsi="宋体"/>
                <w:color w:val="auto"/>
                <w:szCs w:val="21"/>
              </w:rPr>
            </w:pPr>
            <w:r>
              <w:rPr>
                <w:rFonts w:hint="eastAsia" w:ascii="宋体" w:hAnsi="宋体"/>
                <w:color w:val="auto"/>
                <w:szCs w:val="21"/>
              </w:rPr>
              <w:t>0.006%</w:t>
            </w:r>
          </w:p>
        </w:tc>
      </w:tr>
      <w:tr w14:paraId="2797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5" w:type="dxa"/>
            <w:vAlign w:val="center"/>
          </w:tcPr>
          <w:p w14:paraId="3F5716C3">
            <w:pPr>
              <w:spacing w:line="360" w:lineRule="auto"/>
              <w:rPr>
                <w:rFonts w:ascii="宋体" w:hAnsi="宋体"/>
                <w:color w:val="auto"/>
                <w:szCs w:val="21"/>
              </w:rPr>
            </w:pPr>
            <w:r>
              <w:rPr>
                <w:rFonts w:hint="eastAsia" w:ascii="宋体" w:hAnsi="宋体"/>
                <w:color w:val="auto"/>
                <w:szCs w:val="21"/>
              </w:rPr>
              <w:t>100亿以上</w:t>
            </w:r>
          </w:p>
        </w:tc>
        <w:tc>
          <w:tcPr>
            <w:tcW w:w="1781" w:type="dxa"/>
            <w:vAlign w:val="center"/>
          </w:tcPr>
          <w:p w14:paraId="3F4ECA13">
            <w:pPr>
              <w:spacing w:line="360" w:lineRule="auto"/>
              <w:jc w:val="center"/>
              <w:rPr>
                <w:rFonts w:ascii="宋体" w:hAnsi="宋体"/>
                <w:color w:val="auto"/>
                <w:szCs w:val="21"/>
              </w:rPr>
            </w:pPr>
            <w:r>
              <w:rPr>
                <w:rFonts w:hint="eastAsia" w:ascii="宋体" w:hAnsi="宋体"/>
                <w:color w:val="auto"/>
                <w:szCs w:val="21"/>
              </w:rPr>
              <w:t>0.004%</w:t>
            </w:r>
          </w:p>
        </w:tc>
        <w:tc>
          <w:tcPr>
            <w:tcW w:w="1810" w:type="dxa"/>
            <w:vAlign w:val="center"/>
          </w:tcPr>
          <w:p w14:paraId="37F9906A">
            <w:pPr>
              <w:spacing w:line="360" w:lineRule="auto"/>
              <w:jc w:val="center"/>
              <w:rPr>
                <w:rFonts w:ascii="宋体" w:hAnsi="宋体"/>
                <w:color w:val="auto"/>
                <w:szCs w:val="21"/>
              </w:rPr>
            </w:pPr>
            <w:r>
              <w:rPr>
                <w:rFonts w:hint="eastAsia" w:ascii="宋体" w:hAnsi="宋体"/>
                <w:color w:val="auto"/>
                <w:szCs w:val="21"/>
              </w:rPr>
              <w:t>0.004%</w:t>
            </w:r>
          </w:p>
        </w:tc>
        <w:tc>
          <w:tcPr>
            <w:tcW w:w="1779" w:type="dxa"/>
            <w:vAlign w:val="center"/>
          </w:tcPr>
          <w:p w14:paraId="3D750F28">
            <w:pPr>
              <w:spacing w:line="360" w:lineRule="auto"/>
              <w:jc w:val="center"/>
              <w:rPr>
                <w:rFonts w:ascii="宋体" w:hAnsi="宋体"/>
                <w:color w:val="auto"/>
                <w:szCs w:val="21"/>
              </w:rPr>
            </w:pPr>
            <w:r>
              <w:rPr>
                <w:rFonts w:hint="eastAsia" w:ascii="宋体" w:hAnsi="宋体"/>
                <w:color w:val="auto"/>
                <w:szCs w:val="21"/>
              </w:rPr>
              <w:t>0.004%</w:t>
            </w:r>
          </w:p>
        </w:tc>
      </w:tr>
    </w:tbl>
    <w:p w14:paraId="5226CE82">
      <w:pPr>
        <w:pStyle w:val="17"/>
        <w:spacing w:before="120" w:after="120" w:line="400" w:lineRule="exact"/>
        <w:ind w:firstLine="420" w:firstLineChars="200"/>
        <w:contextualSpacing/>
        <w:rPr>
          <w:rFonts w:hAnsi="宋体" w:cs="宋体"/>
          <w:color w:val="auto"/>
          <w:sz w:val="21"/>
        </w:rPr>
      </w:pPr>
      <w:r>
        <w:rPr>
          <w:rFonts w:hint="eastAsia" w:hAnsi="宋体" w:cs="宋体"/>
          <w:color w:val="auto"/>
          <w:sz w:val="21"/>
        </w:rPr>
        <w:t>注：</w:t>
      </w:r>
      <w:r>
        <w:rPr>
          <w:rFonts w:hAnsi="宋体" w:cs="宋体"/>
          <w:color w:val="auto"/>
          <w:sz w:val="21"/>
        </w:rPr>
        <w:t xml:space="preserve"> </w:t>
      </w:r>
    </w:p>
    <w:p w14:paraId="0C1FE0D6">
      <w:pPr>
        <w:pStyle w:val="17"/>
        <w:spacing w:before="120" w:after="120" w:line="400" w:lineRule="exact"/>
        <w:ind w:firstLine="420" w:firstLineChars="200"/>
        <w:contextualSpacing/>
        <w:rPr>
          <w:rFonts w:hAnsi="宋体" w:cs="宋体"/>
          <w:color w:val="auto"/>
          <w:sz w:val="21"/>
        </w:rPr>
      </w:pPr>
      <w:r>
        <w:rPr>
          <w:rFonts w:hint="eastAsia" w:hAnsi="宋体" w:cs="宋体"/>
          <w:color w:val="auto"/>
          <w:sz w:val="21"/>
        </w:rPr>
        <w:t>（1）</w:t>
      </w:r>
      <w:r>
        <w:rPr>
          <w:rFonts w:hAnsi="宋体" w:cs="宋体"/>
          <w:color w:val="auto"/>
          <w:sz w:val="21"/>
        </w:rPr>
        <w:t>按本表费率计算的收费为</w:t>
      </w:r>
      <w:r>
        <w:rPr>
          <w:rFonts w:hint="eastAsia" w:hAnsi="宋体" w:cs="宋体"/>
          <w:color w:val="auto"/>
          <w:sz w:val="21"/>
        </w:rPr>
        <w:t>采购</w:t>
      </w:r>
      <w:r>
        <w:rPr>
          <w:rFonts w:hAnsi="宋体" w:cs="宋体"/>
          <w:color w:val="auto"/>
          <w:sz w:val="21"/>
        </w:rPr>
        <w:t>代理的收费基准价格</w:t>
      </w:r>
      <w:r>
        <w:rPr>
          <w:rFonts w:hint="eastAsia" w:hAnsi="宋体" w:cs="宋体"/>
          <w:color w:val="auto"/>
          <w:sz w:val="21"/>
        </w:rPr>
        <w:t>；</w:t>
      </w:r>
    </w:p>
    <w:p w14:paraId="03FE3A5E">
      <w:pPr>
        <w:pStyle w:val="17"/>
        <w:spacing w:before="120" w:after="120" w:line="400" w:lineRule="exact"/>
        <w:ind w:firstLine="420" w:firstLineChars="200"/>
        <w:contextualSpacing/>
        <w:rPr>
          <w:rFonts w:hAnsi="宋体" w:cs="宋体"/>
          <w:color w:val="auto"/>
          <w:sz w:val="21"/>
        </w:rPr>
      </w:pPr>
      <w:r>
        <w:rPr>
          <w:rFonts w:hint="eastAsia" w:hAnsi="宋体" w:cs="宋体"/>
          <w:color w:val="auto"/>
          <w:sz w:val="21"/>
        </w:rPr>
        <w:t>（2）采购</w:t>
      </w:r>
      <w:r>
        <w:rPr>
          <w:rFonts w:hAnsi="宋体" w:cs="宋体"/>
          <w:color w:val="auto"/>
          <w:sz w:val="21"/>
        </w:rPr>
        <w:t>代理收费按差额定率累进法计算。</w:t>
      </w:r>
    </w:p>
    <w:p w14:paraId="12E0802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14:paraId="37091033">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14:paraId="66AF059F">
      <w:pPr>
        <w:pStyle w:val="17"/>
        <w:spacing w:line="360" w:lineRule="auto"/>
        <w:ind w:firstLine="420" w:firstLineChars="200"/>
        <w:textAlignment w:val="center"/>
        <w:rPr>
          <w:rFonts w:hAnsi="宋体" w:cs="宋体"/>
          <w:color w:val="auto"/>
          <w:kern w:val="2"/>
          <w:sz w:val="21"/>
        </w:rPr>
      </w:pPr>
      <w:r>
        <w:rPr>
          <w:rFonts w:hAnsi="宋体" w:cs="宋体"/>
          <w:color w:val="auto"/>
          <w:kern w:val="2"/>
          <w:sz w:val="21"/>
        </w:rPr>
        <w:t>33.2</w:t>
      </w:r>
      <w:r>
        <w:rPr>
          <w:rFonts w:hint="eastAsia" w:hAnsi="宋体" w:cs="宋体"/>
          <w:color w:val="auto"/>
          <w:kern w:val="2"/>
          <w:sz w:val="21"/>
        </w:rPr>
        <w:t xml:space="preserve"> 其他事项详见“供应商须知前附表”。</w:t>
      </w:r>
    </w:p>
    <w:p w14:paraId="6352631C">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3.3</w:t>
      </w:r>
      <w:r>
        <w:rPr>
          <w:rFonts w:hint="eastAsia" w:hAnsi="宋体" w:cs="宋体"/>
          <w:color w:val="auto"/>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CF195E7">
      <w:pPr>
        <w:pStyle w:val="17"/>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4B3192AE">
      <w:pPr>
        <w:pStyle w:val="17"/>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4175CB00">
      <w:pPr>
        <w:pStyle w:val="17"/>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5A83B98D">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2083B24">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依据本磋商文件规定享受扶持政策获得政府采购合同的，小微企业不得将合同分包给大中型企业，中型企业不得将合同分包给大型企业。</w:t>
      </w:r>
    </w:p>
    <w:p w14:paraId="04017502">
      <w:pPr>
        <w:pStyle w:val="17"/>
        <w:snapToGrid w:val="0"/>
        <w:spacing w:line="360" w:lineRule="auto"/>
        <w:ind w:left="840" w:hanging="420"/>
        <w:rPr>
          <w:rFonts w:hAnsi="宋体"/>
          <w:color w:val="auto"/>
        </w:rPr>
      </w:pPr>
      <w:r>
        <w:rPr>
          <w:rFonts w:hAnsi="宋体" w:cs="宋体"/>
          <w:color w:val="auto"/>
          <w:kern w:val="2"/>
          <w:sz w:val="21"/>
        </w:rPr>
        <w:br w:type="page"/>
      </w:r>
      <w:r>
        <w:rPr>
          <w:rFonts w:hint="eastAsia" w:ascii="黑体" w:hAnsi="黑体" w:eastAsia="黑体" w:cs="黑体"/>
          <w:bCs/>
          <w:color w:val="auto"/>
          <w:sz w:val="32"/>
          <w:szCs w:val="32"/>
        </w:rPr>
        <w:t>附件1：</w:t>
      </w:r>
    </w:p>
    <w:p w14:paraId="4F6D19C1">
      <w:pPr>
        <w:widowControl/>
        <w:shd w:val="clear" w:color="auto" w:fill="FFFFFF"/>
        <w:spacing w:line="480" w:lineRule="atLeast"/>
        <w:jc w:val="center"/>
        <w:rPr>
          <w:rFonts w:ascii="仿宋" w:hAnsi="仿宋" w:eastAsia="仿宋" w:cs="宋体"/>
          <w:color w:val="auto"/>
          <w:kern w:val="0"/>
          <w:sz w:val="32"/>
          <w:szCs w:val="32"/>
        </w:rPr>
      </w:pPr>
      <w:r>
        <w:rPr>
          <w:rFonts w:hint="eastAsia" w:ascii="宋体" w:hAnsi="宋体" w:cs="宋体"/>
          <w:b/>
          <w:bCs/>
          <w:color w:val="auto"/>
          <w:kern w:val="0"/>
          <w:sz w:val="32"/>
          <w:szCs w:val="32"/>
        </w:rPr>
        <w:t>广西壮族自治区政府采购项目合同验收书（格式参考）</w:t>
      </w:r>
    </w:p>
    <w:p w14:paraId="7997110C">
      <w:pPr>
        <w:widowControl/>
        <w:shd w:val="clear" w:color="auto" w:fill="FFFFFF"/>
        <w:snapToGrid w:val="0"/>
        <w:spacing w:line="320" w:lineRule="atLeast"/>
        <w:ind w:firstLine="480"/>
        <w:jc w:val="left"/>
        <w:rPr>
          <w:rFonts w:ascii="宋体" w:hAnsi="宋体" w:cs="宋体"/>
          <w:color w:val="auto"/>
          <w:kern w:val="0"/>
          <w:szCs w:val="21"/>
        </w:rPr>
      </w:pPr>
    </w:p>
    <w:p w14:paraId="28C1FC87">
      <w:pPr>
        <w:widowControl/>
        <w:shd w:val="clear" w:color="auto" w:fill="FFFFFF"/>
        <w:snapToGrid w:val="0"/>
        <w:spacing w:line="320" w:lineRule="atLeast"/>
        <w:ind w:firstLine="48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5"/>
        <w:tblW w:w="8899" w:type="dxa"/>
        <w:jc w:val="center"/>
        <w:tblLayout w:type="fixed"/>
        <w:tblCellMar>
          <w:top w:w="0" w:type="dxa"/>
          <w:left w:w="0" w:type="dxa"/>
          <w:bottom w:w="0" w:type="dxa"/>
          <w:right w:w="0" w:type="dxa"/>
        </w:tblCellMar>
      </w:tblPr>
      <w:tblGrid>
        <w:gridCol w:w="847"/>
        <w:gridCol w:w="869"/>
        <w:gridCol w:w="1710"/>
        <w:gridCol w:w="840"/>
        <w:gridCol w:w="109"/>
        <w:gridCol w:w="2111"/>
        <w:gridCol w:w="185"/>
        <w:gridCol w:w="724"/>
        <w:gridCol w:w="1504"/>
      </w:tblGrid>
      <w:tr w14:paraId="443C2838">
        <w:tblPrEx>
          <w:tblCellMar>
            <w:top w:w="0" w:type="dxa"/>
            <w:left w:w="0" w:type="dxa"/>
            <w:bottom w:w="0" w:type="dxa"/>
            <w:right w:w="0" w:type="dxa"/>
          </w:tblCellMar>
        </w:tblPrEx>
        <w:trPr>
          <w:trHeight w:val="497" w:hRule="atLeast"/>
          <w:jc w:val="center"/>
        </w:trPr>
        <w:tc>
          <w:tcPr>
            <w:tcW w:w="3426" w:type="dxa"/>
            <w:gridSpan w:val="3"/>
            <w:tcBorders>
              <w:top w:val="single" w:color="auto" w:sz="8" w:space="0"/>
              <w:left w:val="single" w:color="auto" w:sz="8" w:space="0"/>
              <w:bottom w:val="single" w:color="auto" w:sz="8" w:space="0"/>
              <w:right w:val="single" w:color="auto" w:sz="8" w:space="0"/>
            </w:tcBorders>
            <w:vAlign w:val="center"/>
          </w:tcPr>
          <w:p w14:paraId="34782613">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ascii="宋体" w:hAnsi="宋体" w:cs="宋体"/>
                <w:color w:val="auto"/>
                <w:kern w:val="0"/>
                <w:szCs w:val="21"/>
              </w:rPr>
              <w:t>验收方式：</w:t>
            </w:r>
          </w:p>
        </w:tc>
        <w:tc>
          <w:tcPr>
            <w:tcW w:w="5473" w:type="dxa"/>
            <w:gridSpan w:val="6"/>
            <w:tcBorders>
              <w:top w:val="single" w:color="auto" w:sz="8" w:space="0"/>
              <w:left w:val="nil"/>
              <w:bottom w:val="single" w:color="auto" w:sz="8" w:space="0"/>
              <w:right w:val="single" w:color="auto" w:sz="8" w:space="0"/>
            </w:tcBorders>
            <w:vAlign w:val="center"/>
          </w:tcPr>
          <w:p w14:paraId="09DEDBA1">
            <w:pPr>
              <w:widowControl/>
              <w:snapToGrid w:val="0"/>
              <w:spacing w:before="100" w:beforeAutospacing="1" w:after="100" w:afterAutospacing="1" w:line="320" w:lineRule="atLeast"/>
              <w:jc w:val="center"/>
              <w:rPr>
                <w:rFonts w:ascii="宋体" w:hAnsi="宋体" w:cs="宋体"/>
                <w:color w:val="auto"/>
                <w:kern w:val="0"/>
                <w:szCs w:val="21"/>
              </w:rPr>
            </w:pPr>
            <w:r>
              <w:rPr>
                <w:rFonts w:ascii="宋体" w:hAnsi="宋体" w:cs="宋体"/>
                <w:color w:val="auto"/>
                <w:kern w:val="0"/>
                <w:szCs w:val="21"/>
              </w:rPr>
              <w:t>□自行验收 □委托验收</w:t>
            </w:r>
          </w:p>
        </w:tc>
      </w:tr>
      <w:tr w14:paraId="16EE397F">
        <w:tblPrEx>
          <w:tblCellMar>
            <w:top w:w="0" w:type="dxa"/>
            <w:left w:w="0" w:type="dxa"/>
            <w:bottom w:w="0" w:type="dxa"/>
            <w:right w:w="0" w:type="dxa"/>
          </w:tblCellMar>
        </w:tblPrEx>
        <w:trPr>
          <w:trHeight w:val="622" w:hRule="atLeast"/>
          <w:jc w:val="center"/>
        </w:trPr>
        <w:tc>
          <w:tcPr>
            <w:tcW w:w="847" w:type="dxa"/>
            <w:tcBorders>
              <w:top w:val="nil"/>
              <w:left w:val="single" w:color="auto" w:sz="8" w:space="0"/>
              <w:bottom w:val="single" w:color="auto" w:sz="8" w:space="0"/>
              <w:right w:val="single" w:color="auto" w:sz="8" w:space="0"/>
            </w:tcBorders>
            <w:vAlign w:val="center"/>
          </w:tcPr>
          <w:p w14:paraId="69C9873A">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序号</w:t>
            </w:r>
          </w:p>
        </w:tc>
        <w:tc>
          <w:tcPr>
            <w:tcW w:w="2579" w:type="dxa"/>
            <w:gridSpan w:val="2"/>
            <w:tcBorders>
              <w:top w:val="nil"/>
              <w:left w:val="nil"/>
              <w:bottom w:val="single" w:color="auto" w:sz="8" w:space="0"/>
              <w:right w:val="single" w:color="auto" w:sz="8" w:space="0"/>
            </w:tcBorders>
            <w:vAlign w:val="center"/>
          </w:tcPr>
          <w:p w14:paraId="4F0D395D">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名称</w:t>
            </w:r>
          </w:p>
        </w:tc>
        <w:tc>
          <w:tcPr>
            <w:tcW w:w="3060" w:type="dxa"/>
            <w:gridSpan w:val="3"/>
            <w:tcBorders>
              <w:top w:val="nil"/>
              <w:left w:val="nil"/>
              <w:bottom w:val="single" w:color="auto" w:sz="8" w:space="0"/>
              <w:right w:val="single" w:color="auto" w:sz="8" w:space="0"/>
            </w:tcBorders>
            <w:vAlign w:val="center"/>
          </w:tcPr>
          <w:p w14:paraId="6BA70364">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货物型号规格、标准及配置等（或者服务内容、标准）</w:t>
            </w:r>
          </w:p>
        </w:tc>
        <w:tc>
          <w:tcPr>
            <w:tcW w:w="909" w:type="dxa"/>
            <w:gridSpan w:val="2"/>
            <w:tcBorders>
              <w:top w:val="nil"/>
              <w:left w:val="nil"/>
              <w:bottom w:val="single" w:color="auto" w:sz="8" w:space="0"/>
              <w:right w:val="single" w:color="auto" w:sz="8" w:space="0"/>
            </w:tcBorders>
            <w:vAlign w:val="center"/>
          </w:tcPr>
          <w:p w14:paraId="621FE2AD">
            <w:pPr>
              <w:widowControl/>
              <w:snapToGrid w:val="0"/>
              <w:spacing w:before="100" w:beforeAutospacing="1" w:after="100" w:afterAutospacing="1" w:line="320" w:lineRule="atLeast"/>
              <w:jc w:val="center"/>
              <w:rPr>
                <w:rFonts w:ascii="宋体" w:hAnsi="宋体" w:cs="宋体"/>
                <w:color w:val="auto"/>
                <w:kern w:val="0"/>
                <w:szCs w:val="21"/>
              </w:rPr>
            </w:pPr>
            <w:r>
              <w:rPr>
                <w:rFonts w:ascii="宋体" w:hAnsi="宋体" w:cs="宋体"/>
                <w:color w:val="auto"/>
                <w:kern w:val="0"/>
                <w:szCs w:val="21"/>
              </w:rPr>
              <w:t>数量</w:t>
            </w:r>
          </w:p>
        </w:tc>
        <w:tc>
          <w:tcPr>
            <w:tcW w:w="1504" w:type="dxa"/>
            <w:tcBorders>
              <w:top w:val="nil"/>
              <w:left w:val="nil"/>
              <w:bottom w:val="single" w:color="auto" w:sz="8" w:space="0"/>
              <w:right w:val="single" w:color="auto" w:sz="8" w:space="0"/>
            </w:tcBorders>
            <w:vAlign w:val="center"/>
          </w:tcPr>
          <w:p w14:paraId="277D2FCF">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金额</w:t>
            </w:r>
          </w:p>
        </w:tc>
      </w:tr>
      <w:tr w14:paraId="19555921">
        <w:tblPrEx>
          <w:tblCellMar>
            <w:top w:w="0" w:type="dxa"/>
            <w:left w:w="0" w:type="dxa"/>
            <w:bottom w:w="0" w:type="dxa"/>
            <w:right w:w="0" w:type="dxa"/>
          </w:tblCellMar>
        </w:tblPrEx>
        <w:trPr>
          <w:trHeight w:val="487" w:hRule="atLeast"/>
          <w:jc w:val="center"/>
        </w:trPr>
        <w:tc>
          <w:tcPr>
            <w:tcW w:w="847" w:type="dxa"/>
            <w:tcBorders>
              <w:top w:val="nil"/>
              <w:left w:val="single" w:color="auto" w:sz="8" w:space="0"/>
              <w:bottom w:val="single" w:color="auto" w:sz="8" w:space="0"/>
              <w:right w:val="single" w:color="auto" w:sz="8" w:space="0"/>
            </w:tcBorders>
            <w:vAlign w:val="center"/>
          </w:tcPr>
          <w:p w14:paraId="00DF5501">
            <w:pPr>
              <w:widowControl/>
              <w:spacing w:before="100" w:beforeAutospacing="1" w:after="100" w:afterAutospacing="1" w:line="240" w:lineRule="atLeast"/>
              <w:jc w:val="center"/>
              <w:rPr>
                <w:rFonts w:ascii="宋体" w:hAnsi="宋体" w:cs="宋体"/>
                <w:color w:val="auto"/>
                <w:kern w:val="0"/>
                <w:szCs w:val="21"/>
              </w:rPr>
            </w:pPr>
          </w:p>
        </w:tc>
        <w:tc>
          <w:tcPr>
            <w:tcW w:w="2579" w:type="dxa"/>
            <w:gridSpan w:val="2"/>
            <w:tcBorders>
              <w:top w:val="nil"/>
              <w:left w:val="nil"/>
              <w:bottom w:val="single" w:color="auto" w:sz="8" w:space="0"/>
              <w:right w:val="single" w:color="auto" w:sz="8" w:space="0"/>
            </w:tcBorders>
            <w:vAlign w:val="center"/>
          </w:tcPr>
          <w:p w14:paraId="0ECEA256">
            <w:pPr>
              <w:widowControl/>
              <w:spacing w:before="100" w:beforeAutospacing="1" w:after="100" w:afterAutospacing="1" w:line="240" w:lineRule="atLeast"/>
              <w:jc w:val="center"/>
              <w:rPr>
                <w:rFonts w:ascii="宋体" w:hAnsi="宋体" w:cs="宋体"/>
                <w:color w:val="auto"/>
                <w:kern w:val="0"/>
                <w:szCs w:val="21"/>
              </w:rPr>
            </w:pPr>
          </w:p>
        </w:tc>
        <w:tc>
          <w:tcPr>
            <w:tcW w:w="3060" w:type="dxa"/>
            <w:gridSpan w:val="3"/>
            <w:tcBorders>
              <w:top w:val="nil"/>
              <w:left w:val="nil"/>
              <w:bottom w:val="single" w:color="auto" w:sz="8" w:space="0"/>
              <w:right w:val="single" w:color="auto" w:sz="8" w:space="0"/>
            </w:tcBorders>
            <w:vAlign w:val="center"/>
          </w:tcPr>
          <w:p w14:paraId="118FEEF5">
            <w:pPr>
              <w:widowControl/>
              <w:spacing w:before="100" w:beforeAutospacing="1" w:after="100" w:afterAutospacing="1" w:line="240" w:lineRule="atLeast"/>
              <w:jc w:val="center"/>
              <w:rPr>
                <w:rFonts w:ascii="宋体" w:hAnsi="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054030FD">
            <w:pPr>
              <w:widowControl/>
              <w:spacing w:before="100" w:beforeAutospacing="1" w:after="100" w:afterAutospacing="1" w:line="240" w:lineRule="atLeast"/>
              <w:jc w:val="center"/>
              <w:rPr>
                <w:rFonts w:ascii="宋体" w:hAnsi="宋体" w:cs="宋体"/>
                <w:color w:val="auto"/>
                <w:kern w:val="0"/>
                <w:szCs w:val="21"/>
              </w:rPr>
            </w:pPr>
          </w:p>
        </w:tc>
        <w:tc>
          <w:tcPr>
            <w:tcW w:w="1504" w:type="dxa"/>
            <w:tcBorders>
              <w:top w:val="nil"/>
              <w:left w:val="nil"/>
              <w:bottom w:val="single" w:color="auto" w:sz="8" w:space="0"/>
              <w:right w:val="single" w:color="auto" w:sz="8" w:space="0"/>
            </w:tcBorders>
            <w:vAlign w:val="center"/>
          </w:tcPr>
          <w:p w14:paraId="3C062610">
            <w:pPr>
              <w:widowControl/>
              <w:spacing w:before="100" w:beforeAutospacing="1" w:after="100" w:afterAutospacing="1" w:line="240" w:lineRule="atLeast"/>
              <w:jc w:val="center"/>
              <w:rPr>
                <w:rFonts w:ascii="宋体" w:hAnsi="宋体" w:cs="宋体"/>
                <w:color w:val="auto"/>
                <w:kern w:val="0"/>
                <w:szCs w:val="21"/>
              </w:rPr>
            </w:pPr>
          </w:p>
        </w:tc>
      </w:tr>
      <w:tr w14:paraId="153EB590">
        <w:tblPrEx>
          <w:tblCellMar>
            <w:top w:w="0" w:type="dxa"/>
            <w:left w:w="0" w:type="dxa"/>
            <w:bottom w:w="0" w:type="dxa"/>
            <w:right w:w="0" w:type="dxa"/>
          </w:tblCellMar>
        </w:tblPrEx>
        <w:trPr>
          <w:trHeight w:val="487" w:hRule="atLeast"/>
          <w:jc w:val="center"/>
        </w:trPr>
        <w:tc>
          <w:tcPr>
            <w:tcW w:w="847" w:type="dxa"/>
            <w:tcBorders>
              <w:top w:val="nil"/>
              <w:left w:val="single" w:color="auto" w:sz="8" w:space="0"/>
              <w:bottom w:val="single" w:color="auto" w:sz="8" w:space="0"/>
              <w:right w:val="single" w:color="auto" w:sz="8" w:space="0"/>
            </w:tcBorders>
            <w:vAlign w:val="center"/>
          </w:tcPr>
          <w:p w14:paraId="2B0E3F4A">
            <w:pPr>
              <w:widowControl/>
              <w:spacing w:before="100" w:beforeAutospacing="1" w:after="100" w:afterAutospacing="1" w:line="240" w:lineRule="atLeast"/>
              <w:jc w:val="center"/>
              <w:rPr>
                <w:rFonts w:ascii="宋体" w:hAnsi="宋体" w:cs="宋体"/>
                <w:color w:val="auto"/>
                <w:kern w:val="0"/>
                <w:szCs w:val="21"/>
              </w:rPr>
            </w:pPr>
          </w:p>
        </w:tc>
        <w:tc>
          <w:tcPr>
            <w:tcW w:w="2579" w:type="dxa"/>
            <w:gridSpan w:val="2"/>
            <w:tcBorders>
              <w:top w:val="nil"/>
              <w:left w:val="nil"/>
              <w:bottom w:val="single" w:color="auto" w:sz="8" w:space="0"/>
              <w:right w:val="single" w:color="auto" w:sz="8" w:space="0"/>
            </w:tcBorders>
            <w:vAlign w:val="center"/>
          </w:tcPr>
          <w:p w14:paraId="2EB257C4">
            <w:pPr>
              <w:widowControl/>
              <w:spacing w:before="100" w:beforeAutospacing="1" w:after="100" w:afterAutospacing="1" w:line="240" w:lineRule="atLeast"/>
              <w:jc w:val="center"/>
              <w:rPr>
                <w:rFonts w:ascii="宋体" w:hAnsi="宋体" w:cs="宋体"/>
                <w:color w:val="auto"/>
                <w:kern w:val="0"/>
                <w:szCs w:val="21"/>
              </w:rPr>
            </w:pPr>
          </w:p>
        </w:tc>
        <w:tc>
          <w:tcPr>
            <w:tcW w:w="3060" w:type="dxa"/>
            <w:gridSpan w:val="3"/>
            <w:tcBorders>
              <w:top w:val="nil"/>
              <w:left w:val="nil"/>
              <w:bottom w:val="single" w:color="auto" w:sz="8" w:space="0"/>
              <w:right w:val="single" w:color="auto" w:sz="8" w:space="0"/>
            </w:tcBorders>
            <w:vAlign w:val="center"/>
          </w:tcPr>
          <w:p w14:paraId="1A8BCCCB">
            <w:pPr>
              <w:widowControl/>
              <w:spacing w:before="100" w:beforeAutospacing="1" w:after="100" w:afterAutospacing="1" w:line="240" w:lineRule="atLeast"/>
              <w:jc w:val="center"/>
              <w:rPr>
                <w:rFonts w:ascii="宋体" w:hAnsi="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69A71EE9">
            <w:pPr>
              <w:widowControl/>
              <w:spacing w:before="100" w:beforeAutospacing="1" w:after="100" w:afterAutospacing="1" w:line="240" w:lineRule="atLeast"/>
              <w:jc w:val="center"/>
              <w:rPr>
                <w:rFonts w:ascii="宋体" w:hAnsi="宋体" w:cs="宋体"/>
                <w:color w:val="auto"/>
                <w:kern w:val="0"/>
                <w:szCs w:val="21"/>
              </w:rPr>
            </w:pPr>
          </w:p>
        </w:tc>
        <w:tc>
          <w:tcPr>
            <w:tcW w:w="1504" w:type="dxa"/>
            <w:tcBorders>
              <w:top w:val="nil"/>
              <w:left w:val="nil"/>
              <w:bottom w:val="single" w:color="auto" w:sz="8" w:space="0"/>
              <w:right w:val="single" w:color="auto" w:sz="8" w:space="0"/>
            </w:tcBorders>
            <w:vAlign w:val="center"/>
          </w:tcPr>
          <w:p w14:paraId="610F419A">
            <w:pPr>
              <w:widowControl/>
              <w:spacing w:before="100" w:beforeAutospacing="1" w:after="100" w:afterAutospacing="1" w:line="240" w:lineRule="atLeast"/>
              <w:jc w:val="center"/>
              <w:rPr>
                <w:rFonts w:ascii="宋体" w:hAnsi="宋体" w:cs="宋体"/>
                <w:color w:val="auto"/>
                <w:kern w:val="0"/>
                <w:szCs w:val="21"/>
              </w:rPr>
            </w:pPr>
          </w:p>
        </w:tc>
      </w:tr>
      <w:tr w14:paraId="7AC53DE5">
        <w:tblPrEx>
          <w:tblCellMar>
            <w:top w:w="0" w:type="dxa"/>
            <w:left w:w="0" w:type="dxa"/>
            <w:bottom w:w="0" w:type="dxa"/>
            <w:right w:w="0" w:type="dxa"/>
          </w:tblCellMar>
        </w:tblPrEx>
        <w:trPr>
          <w:trHeight w:val="487" w:hRule="atLeast"/>
          <w:jc w:val="center"/>
        </w:trPr>
        <w:tc>
          <w:tcPr>
            <w:tcW w:w="847" w:type="dxa"/>
            <w:tcBorders>
              <w:top w:val="nil"/>
              <w:left w:val="single" w:color="auto" w:sz="8" w:space="0"/>
              <w:bottom w:val="single" w:color="auto" w:sz="8" w:space="0"/>
              <w:right w:val="single" w:color="auto" w:sz="8" w:space="0"/>
            </w:tcBorders>
            <w:vAlign w:val="center"/>
          </w:tcPr>
          <w:p w14:paraId="267628E8">
            <w:pPr>
              <w:widowControl/>
              <w:spacing w:before="100" w:beforeAutospacing="1" w:after="100" w:afterAutospacing="1" w:line="240" w:lineRule="atLeast"/>
              <w:jc w:val="center"/>
              <w:rPr>
                <w:rFonts w:ascii="宋体" w:hAnsi="宋体" w:cs="宋体"/>
                <w:color w:val="auto"/>
                <w:kern w:val="0"/>
                <w:szCs w:val="21"/>
              </w:rPr>
            </w:pPr>
          </w:p>
        </w:tc>
        <w:tc>
          <w:tcPr>
            <w:tcW w:w="2579" w:type="dxa"/>
            <w:gridSpan w:val="2"/>
            <w:tcBorders>
              <w:top w:val="nil"/>
              <w:left w:val="nil"/>
              <w:bottom w:val="single" w:color="auto" w:sz="8" w:space="0"/>
              <w:right w:val="single" w:color="auto" w:sz="8" w:space="0"/>
            </w:tcBorders>
            <w:vAlign w:val="center"/>
          </w:tcPr>
          <w:p w14:paraId="5760C634">
            <w:pPr>
              <w:widowControl/>
              <w:spacing w:before="100" w:beforeAutospacing="1" w:after="100" w:afterAutospacing="1" w:line="240" w:lineRule="atLeast"/>
              <w:jc w:val="center"/>
              <w:rPr>
                <w:rFonts w:ascii="宋体" w:hAnsi="宋体" w:cs="宋体"/>
                <w:color w:val="auto"/>
                <w:kern w:val="0"/>
                <w:szCs w:val="21"/>
              </w:rPr>
            </w:pPr>
          </w:p>
        </w:tc>
        <w:tc>
          <w:tcPr>
            <w:tcW w:w="3060" w:type="dxa"/>
            <w:gridSpan w:val="3"/>
            <w:tcBorders>
              <w:top w:val="nil"/>
              <w:left w:val="nil"/>
              <w:bottom w:val="single" w:color="auto" w:sz="8" w:space="0"/>
              <w:right w:val="single" w:color="auto" w:sz="8" w:space="0"/>
            </w:tcBorders>
            <w:vAlign w:val="center"/>
          </w:tcPr>
          <w:p w14:paraId="6141F604">
            <w:pPr>
              <w:widowControl/>
              <w:spacing w:before="100" w:beforeAutospacing="1" w:after="100" w:afterAutospacing="1" w:line="240" w:lineRule="atLeast"/>
              <w:jc w:val="center"/>
              <w:rPr>
                <w:rFonts w:ascii="宋体" w:hAnsi="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2F88647F">
            <w:pPr>
              <w:widowControl/>
              <w:spacing w:before="100" w:beforeAutospacing="1" w:after="100" w:afterAutospacing="1" w:line="240" w:lineRule="atLeast"/>
              <w:jc w:val="center"/>
              <w:rPr>
                <w:rFonts w:ascii="宋体" w:hAnsi="宋体" w:cs="宋体"/>
                <w:color w:val="auto"/>
                <w:kern w:val="0"/>
                <w:szCs w:val="21"/>
              </w:rPr>
            </w:pPr>
          </w:p>
        </w:tc>
        <w:tc>
          <w:tcPr>
            <w:tcW w:w="1504" w:type="dxa"/>
            <w:tcBorders>
              <w:top w:val="nil"/>
              <w:left w:val="nil"/>
              <w:bottom w:val="single" w:color="auto" w:sz="8" w:space="0"/>
              <w:right w:val="single" w:color="auto" w:sz="8" w:space="0"/>
            </w:tcBorders>
            <w:vAlign w:val="center"/>
          </w:tcPr>
          <w:p w14:paraId="54D1C56E">
            <w:pPr>
              <w:widowControl/>
              <w:spacing w:before="100" w:beforeAutospacing="1" w:after="100" w:afterAutospacing="1" w:line="240" w:lineRule="atLeast"/>
              <w:jc w:val="center"/>
              <w:rPr>
                <w:rFonts w:ascii="宋体" w:hAnsi="宋体" w:cs="宋体"/>
                <w:color w:val="auto"/>
                <w:kern w:val="0"/>
                <w:szCs w:val="21"/>
              </w:rPr>
            </w:pPr>
          </w:p>
        </w:tc>
      </w:tr>
      <w:tr w14:paraId="21614815">
        <w:tblPrEx>
          <w:tblCellMar>
            <w:top w:w="0" w:type="dxa"/>
            <w:left w:w="0" w:type="dxa"/>
            <w:bottom w:w="0" w:type="dxa"/>
            <w:right w:w="0" w:type="dxa"/>
          </w:tblCellMar>
        </w:tblPrEx>
        <w:trPr>
          <w:trHeight w:val="487" w:hRule="atLeast"/>
          <w:jc w:val="center"/>
        </w:trPr>
        <w:tc>
          <w:tcPr>
            <w:tcW w:w="6486" w:type="dxa"/>
            <w:gridSpan w:val="6"/>
            <w:tcBorders>
              <w:top w:val="nil"/>
              <w:left w:val="single" w:color="auto" w:sz="8" w:space="0"/>
              <w:bottom w:val="single" w:color="auto" w:sz="8" w:space="0"/>
              <w:right w:val="single" w:color="auto" w:sz="8" w:space="0"/>
            </w:tcBorders>
            <w:vAlign w:val="center"/>
          </w:tcPr>
          <w:p w14:paraId="3BA0662B">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ascii="宋体" w:hAnsi="宋体" w:cs="宋体"/>
                <w:color w:val="auto"/>
                <w:kern w:val="0"/>
                <w:szCs w:val="21"/>
              </w:rPr>
              <w:t>合 计</w:t>
            </w:r>
          </w:p>
        </w:tc>
        <w:tc>
          <w:tcPr>
            <w:tcW w:w="909" w:type="dxa"/>
            <w:gridSpan w:val="2"/>
            <w:tcBorders>
              <w:top w:val="nil"/>
              <w:left w:val="nil"/>
              <w:bottom w:val="single" w:color="auto" w:sz="8" w:space="0"/>
              <w:right w:val="single" w:color="auto" w:sz="8" w:space="0"/>
            </w:tcBorders>
            <w:vAlign w:val="center"/>
          </w:tcPr>
          <w:p w14:paraId="0C0F158F">
            <w:pPr>
              <w:widowControl/>
              <w:spacing w:before="100" w:beforeAutospacing="1" w:after="100" w:afterAutospacing="1" w:line="240" w:lineRule="atLeast"/>
              <w:jc w:val="center"/>
              <w:rPr>
                <w:rFonts w:ascii="宋体" w:hAnsi="宋体" w:cs="宋体"/>
                <w:color w:val="auto"/>
                <w:kern w:val="0"/>
                <w:szCs w:val="21"/>
              </w:rPr>
            </w:pPr>
          </w:p>
        </w:tc>
        <w:tc>
          <w:tcPr>
            <w:tcW w:w="1504" w:type="dxa"/>
            <w:tcBorders>
              <w:top w:val="nil"/>
              <w:left w:val="nil"/>
              <w:bottom w:val="single" w:color="auto" w:sz="8" w:space="0"/>
              <w:right w:val="single" w:color="auto" w:sz="8" w:space="0"/>
            </w:tcBorders>
            <w:vAlign w:val="center"/>
          </w:tcPr>
          <w:p w14:paraId="13E03E2F">
            <w:pPr>
              <w:widowControl/>
              <w:spacing w:before="100" w:beforeAutospacing="1" w:after="100" w:afterAutospacing="1" w:line="240" w:lineRule="atLeast"/>
              <w:jc w:val="center"/>
              <w:rPr>
                <w:rFonts w:ascii="宋体" w:hAnsi="宋体" w:cs="宋体"/>
                <w:color w:val="auto"/>
                <w:kern w:val="0"/>
                <w:szCs w:val="21"/>
              </w:rPr>
            </w:pPr>
          </w:p>
        </w:tc>
      </w:tr>
      <w:tr w14:paraId="25F70635">
        <w:tblPrEx>
          <w:tblCellMar>
            <w:top w:w="0" w:type="dxa"/>
            <w:left w:w="0" w:type="dxa"/>
            <w:bottom w:w="0" w:type="dxa"/>
            <w:right w:w="0" w:type="dxa"/>
          </w:tblCellMar>
        </w:tblPrEx>
        <w:trPr>
          <w:trHeight w:val="641" w:hRule="atLeast"/>
          <w:jc w:val="center"/>
        </w:trPr>
        <w:tc>
          <w:tcPr>
            <w:tcW w:w="8899" w:type="dxa"/>
            <w:gridSpan w:val="9"/>
            <w:tcBorders>
              <w:top w:val="nil"/>
              <w:left w:val="single" w:color="auto" w:sz="8" w:space="0"/>
              <w:bottom w:val="single" w:color="auto" w:sz="8" w:space="0"/>
              <w:right w:val="single" w:color="auto" w:sz="8" w:space="0"/>
            </w:tcBorders>
            <w:vAlign w:val="center"/>
          </w:tcPr>
          <w:p w14:paraId="5E81E6F4">
            <w:pPr>
              <w:widowControl/>
              <w:snapToGrid w:val="0"/>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 xml:space="preserve">合计大写金额： </w:t>
            </w:r>
            <w:r>
              <w:rPr>
                <w:rFonts w:hint="eastAsia" w:ascii="宋体" w:hAnsi="宋体" w:cs="宋体"/>
                <w:color w:val="auto"/>
                <w:kern w:val="0"/>
                <w:szCs w:val="21"/>
              </w:rPr>
              <w:t xml:space="preserve"> </w:t>
            </w:r>
            <w:r>
              <w:rPr>
                <w:rFonts w:ascii="宋体" w:hAnsi="宋体" w:cs="宋体"/>
                <w:color w:val="auto"/>
                <w:kern w:val="0"/>
                <w:szCs w:val="21"/>
              </w:rPr>
              <w:t xml:space="preserve">仟 </w:t>
            </w:r>
            <w:r>
              <w:rPr>
                <w:rFonts w:hint="eastAsia" w:ascii="宋体" w:hAnsi="宋体" w:cs="宋体"/>
                <w:color w:val="auto"/>
                <w:kern w:val="0"/>
                <w:szCs w:val="21"/>
              </w:rPr>
              <w:t xml:space="preserve"> </w:t>
            </w:r>
            <w:r>
              <w:rPr>
                <w:rFonts w:ascii="宋体" w:hAnsi="宋体" w:cs="宋体"/>
                <w:color w:val="auto"/>
                <w:kern w:val="0"/>
                <w:szCs w:val="21"/>
              </w:rPr>
              <w:t xml:space="preserve">佰 </w:t>
            </w:r>
            <w:r>
              <w:rPr>
                <w:rFonts w:hint="eastAsia" w:ascii="宋体" w:hAnsi="宋体" w:cs="宋体"/>
                <w:color w:val="auto"/>
                <w:kern w:val="0"/>
                <w:szCs w:val="21"/>
              </w:rPr>
              <w:t xml:space="preserve"> </w:t>
            </w:r>
            <w:r>
              <w:rPr>
                <w:rFonts w:ascii="宋体" w:hAnsi="宋体" w:cs="宋体"/>
                <w:color w:val="auto"/>
                <w:kern w:val="0"/>
                <w:szCs w:val="21"/>
              </w:rPr>
              <w:t xml:space="preserve">拾 </w:t>
            </w:r>
            <w:r>
              <w:rPr>
                <w:rFonts w:hint="eastAsia" w:ascii="宋体" w:hAnsi="宋体" w:cs="宋体"/>
                <w:color w:val="auto"/>
                <w:kern w:val="0"/>
                <w:szCs w:val="21"/>
              </w:rPr>
              <w:t xml:space="preserve"> </w:t>
            </w:r>
            <w:r>
              <w:rPr>
                <w:rFonts w:ascii="宋体" w:hAnsi="宋体" w:cs="宋体"/>
                <w:color w:val="auto"/>
                <w:kern w:val="0"/>
                <w:szCs w:val="21"/>
              </w:rPr>
              <w:t xml:space="preserve">万 </w:t>
            </w:r>
            <w:r>
              <w:rPr>
                <w:rFonts w:hint="eastAsia" w:ascii="宋体" w:hAnsi="宋体" w:cs="宋体"/>
                <w:color w:val="auto"/>
                <w:kern w:val="0"/>
                <w:szCs w:val="21"/>
              </w:rPr>
              <w:t xml:space="preserve"> </w:t>
            </w:r>
            <w:r>
              <w:rPr>
                <w:rFonts w:ascii="宋体" w:hAnsi="宋体" w:cs="宋体"/>
                <w:color w:val="auto"/>
                <w:kern w:val="0"/>
                <w:szCs w:val="21"/>
              </w:rPr>
              <w:t xml:space="preserve">仟 </w:t>
            </w:r>
            <w:r>
              <w:rPr>
                <w:rFonts w:hint="eastAsia" w:ascii="宋体" w:hAnsi="宋体" w:cs="宋体"/>
                <w:color w:val="auto"/>
                <w:kern w:val="0"/>
                <w:szCs w:val="21"/>
              </w:rPr>
              <w:t xml:space="preserve"> </w:t>
            </w:r>
            <w:r>
              <w:rPr>
                <w:rFonts w:ascii="宋体" w:hAnsi="宋体" w:cs="宋体"/>
                <w:color w:val="auto"/>
                <w:kern w:val="0"/>
                <w:szCs w:val="21"/>
              </w:rPr>
              <w:t xml:space="preserve">佰 </w:t>
            </w:r>
            <w:r>
              <w:rPr>
                <w:rFonts w:hint="eastAsia" w:ascii="宋体" w:hAnsi="宋体" w:cs="宋体"/>
                <w:color w:val="auto"/>
                <w:kern w:val="0"/>
                <w:szCs w:val="21"/>
              </w:rPr>
              <w:t xml:space="preserve"> </w:t>
            </w:r>
            <w:r>
              <w:rPr>
                <w:rFonts w:ascii="宋体" w:hAnsi="宋体" w:cs="宋体"/>
                <w:color w:val="auto"/>
                <w:kern w:val="0"/>
                <w:szCs w:val="21"/>
              </w:rPr>
              <w:t xml:space="preserve">拾 </w:t>
            </w:r>
            <w:r>
              <w:rPr>
                <w:rFonts w:hint="eastAsia" w:ascii="宋体" w:hAnsi="宋体" w:cs="宋体"/>
                <w:color w:val="auto"/>
                <w:kern w:val="0"/>
                <w:szCs w:val="21"/>
              </w:rPr>
              <w:t xml:space="preserve"> </w:t>
            </w:r>
            <w:r>
              <w:rPr>
                <w:rFonts w:ascii="宋体" w:hAnsi="宋体" w:cs="宋体"/>
                <w:color w:val="auto"/>
                <w:kern w:val="0"/>
                <w:szCs w:val="21"/>
              </w:rPr>
              <w:t>元</w:t>
            </w:r>
          </w:p>
        </w:tc>
      </w:tr>
      <w:tr w14:paraId="07E49218">
        <w:tblPrEx>
          <w:tblCellMar>
            <w:top w:w="0" w:type="dxa"/>
            <w:left w:w="0" w:type="dxa"/>
            <w:bottom w:w="0" w:type="dxa"/>
            <w:right w:w="0" w:type="dxa"/>
          </w:tblCellMar>
        </w:tblPrEx>
        <w:trPr>
          <w:trHeight w:val="641" w:hRule="atLeast"/>
          <w:jc w:val="center"/>
        </w:trPr>
        <w:tc>
          <w:tcPr>
            <w:tcW w:w="1716" w:type="dxa"/>
            <w:gridSpan w:val="2"/>
            <w:tcBorders>
              <w:top w:val="nil"/>
              <w:left w:val="single" w:color="auto" w:sz="8" w:space="0"/>
              <w:bottom w:val="single" w:color="auto" w:sz="8" w:space="0"/>
              <w:right w:val="single" w:color="auto" w:sz="8" w:space="0"/>
            </w:tcBorders>
            <w:vAlign w:val="center"/>
          </w:tcPr>
          <w:p w14:paraId="750E6455">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实际供货日期</w:t>
            </w:r>
          </w:p>
        </w:tc>
        <w:tc>
          <w:tcPr>
            <w:tcW w:w="2550" w:type="dxa"/>
            <w:gridSpan w:val="2"/>
            <w:tcBorders>
              <w:top w:val="nil"/>
              <w:left w:val="nil"/>
              <w:bottom w:val="single" w:color="auto" w:sz="8" w:space="0"/>
              <w:right w:val="single" w:color="auto" w:sz="8" w:space="0"/>
            </w:tcBorders>
            <w:vAlign w:val="center"/>
          </w:tcPr>
          <w:p w14:paraId="49B4193D">
            <w:pPr>
              <w:widowControl/>
              <w:spacing w:before="100" w:beforeAutospacing="1" w:after="100" w:afterAutospacing="1" w:line="240" w:lineRule="atLeast"/>
              <w:jc w:val="center"/>
              <w:rPr>
                <w:rFonts w:ascii="宋体" w:hAnsi="宋体" w:cs="宋体"/>
                <w:color w:val="auto"/>
                <w:kern w:val="0"/>
                <w:szCs w:val="21"/>
              </w:rPr>
            </w:pPr>
          </w:p>
        </w:tc>
        <w:tc>
          <w:tcPr>
            <w:tcW w:w="2405" w:type="dxa"/>
            <w:gridSpan w:val="3"/>
            <w:tcBorders>
              <w:top w:val="nil"/>
              <w:left w:val="nil"/>
              <w:bottom w:val="single" w:color="auto" w:sz="8" w:space="0"/>
              <w:right w:val="single" w:color="auto" w:sz="8" w:space="0"/>
            </w:tcBorders>
            <w:vAlign w:val="center"/>
          </w:tcPr>
          <w:p w14:paraId="06F459C3">
            <w:pPr>
              <w:widowControl/>
              <w:snapToGrid w:val="0"/>
              <w:spacing w:before="100" w:beforeAutospacing="1" w:after="100" w:afterAutospacing="1" w:line="320" w:lineRule="atLeast"/>
              <w:ind w:firstLine="46"/>
              <w:jc w:val="center"/>
              <w:rPr>
                <w:rFonts w:ascii="宋体" w:hAnsi="宋体" w:cs="宋体"/>
                <w:color w:val="auto"/>
                <w:kern w:val="0"/>
                <w:szCs w:val="21"/>
              </w:rPr>
            </w:pPr>
            <w:r>
              <w:rPr>
                <w:rFonts w:ascii="宋体" w:hAnsi="宋体" w:cs="宋体"/>
                <w:color w:val="auto"/>
                <w:kern w:val="0"/>
                <w:szCs w:val="21"/>
              </w:rPr>
              <w:t>合同交货验收日期</w:t>
            </w:r>
          </w:p>
        </w:tc>
        <w:tc>
          <w:tcPr>
            <w:tcW w:w="2228" w:type="dxa"/>
            <w:gridSpan w:val="2"/>
            <w:tcBorders>
              <w:top w:val="nil"/>
              <w:left w:val="nil"/>
              <w:bottom w:val="single" w:color="auto" w:sz="8" w:space="0"/>
              <w:right w:val="single" w:color="auto" w:sz="8" w:space="0"/>
            </w:tcBorders>
            <w:vAlign w:val="center"/>
          </w:tcPr>
          <w:p w14:paraId="28730CB1">
            <w:pPr>
              <w:widowControl/>
              <w:spacing w:before="100" w:beforeAutospacing="1" w:after="100" w:afterAutospacing="1" w:line="240" w:lineRule="atLeast"/>
              <w:jc w:val="center"/>
              <w:rPr>
                <w:rFonts w:ascii="宋体" w:hAnsi="宋体" w:cs="宋体"/>
                <w:color w:val="auto"/>
                <w:kern w:val="0"/>
                <w:szCs w:val="21"/>
              </w:rPr>
            </w:pPr>
          </w:p>
        </w:tc>
      </w:tr>
      <w:tr w14:paraId="5AAF95DA">
        <w:tblPrEx>
          <w:tblCellMar>
            <w:top w:w="0" w:type="dxa"/>
            <w:left w:w="0" w:type="dxa"/>
            <w:bottom w:w="0" w:type="dxa"/>
            <w:right w:w="0" w:type="dxa"/>
          </w:tblCellMar>
        </w:tblPrEx>
        <w:trPr>
          <w:trHeight w:val="394" w:hRule="atLeast"/>
          <w:jc w:val="center"/>
        </w:trPr>
        <w:tc>
          <w:tcPr>
            <w:tcW w:w="1716" w:type="dxa"/>
            <w:gridSpan w:val="2"/>
            <w:tcBorders>
              <w:top w:val="nil"/>
              <w:left w:val="single" w:color="auto" w:sz="8" w:space="0"/>
              <w:bottom w:val="single" w:color="auto" w:sz="8" w:space="0"/>
              <w:right w:val="single" w:color="auto" w:sz="8" w:space="0"/>
            </w:tcBorders>
            <w:vAlign w:val="center"/>
          </w:tcPr>
          <w:p w14:paraId="5AD09B43">
            <w:pPr>
              <w:widowControl/>
              <w:spacing w:before="100" w:beforeAutospacing="1" w:after="100" w:afterAutospacing="1" w:line="240" w:lineRule="atLeast"/>
              <w:jc w:val="center"/>
              <w:rPr>
                <w:rFonts w:ascii="宋体" w:hAnsi="宋体" w:cs="宋体"/>
                <w:color w:val="auto"/>
                <w:kern w:val="0"/>
                <w:szCs w:val="21"/>
              </w:rPr>
            </w:pPr>
          </w:p>
        </w:tc>
        <w:tc>
          <w:tcPr>
            <w:tcW w:w="2550" w:type="dxa"/>
            <w:gridSpan w:val="2"/>
            <w:tcBorders>
              <w:top w:val="nil"/>
              <w:left w:val="nil"/>
              <w:bottom w:val="single" w:color="auto" w:sz="8" w:space="0"/>
              <w:right w:val="single" w:color="auto" w:sz="8" w:space="0"/>
            </w:tcBorders>
            <w:vAlign w:val="center"/>
          </w:tcPr>
          <w:p w14:paraId="73F6214F">
            <w:pPr>
              <w:widowControl/>
              <w:spacing w:before="100" w:beforeAutospacing="1" w:after="100" w:afterAutospacing="1" w:line="240" w:lineRule="atLeast"/>
              <w:jc w:val="center"/>
              <w:rPr>
                <w:rFonts w:ascii="宋体" w:hAnsi="宋体" w:cs="宋体"/>
                <w:color w:val="auto"/>
                <w:kern w:val="0"/>
                <w:szCs w:val="21"/>
              </w:rPr>
            </w:pPr>
          </w:p>
        </w:tc>
        <w:tc>
          <w:tcPr>
            <w:tcW w:w="2405" w:type="dxa"/>
            <w:gridSpan w:val="3"/>
            <w:tcBorders>
              <w:top w:val="nil"/>
              <w:left w:val="nil"/>
              <w:bottom w:val="single" w:color="auto" w:sz="8" w:space="0"/>
              <w:right w:val="single" w:color="auto" w:sz="8" w:space="0"/>
            </w:tcBorders>
            <w:vAlign w:val="center"/>
          </w:tcPr>
          <w:p w14:paraId="6FD08877">
            <w:pPr>
              <w:widowControl/>
              <w:spacing w:before="100" w:beforeAutospacing="1" w:after="100" w:afterAutospacing="1" w:line="240" w:lineRule="atLeast"/>
              <w:jc w:val="center"/>
              <w:rPr>
                <w:rFonts w:ascii="宋体" w:hAnsi="宋体" w:cs="宋体"/>
                <w:color w:val="auto"/>
                <w:kern w:val="0"/>
                <w:szCs w:val="21"/>
              </w:rPr>
            </w:pPr>
          </w:p>
        </w:tc>
        <w:tc>
          <w:tcPr>
            <w:tcW w:w="2228" w:type="dxa"/>
            <w:gridSpan w:val="2"/>
            <w:tcBorders>
              <w:top w:val="nil"/>
              <w:left w:val="nil"/>
              <w:bottom w:val="single" w:color="auto" w:sz="8" w:space="0"/>
              <w:right w:val="single" w:color="auto" w:sz="8" w:space="0"/>
            </w:tcBorders>
            <w:vAlign w:val="center"/>
          </w:tcPr>
          <w:p w14:paraId="722F8589">
            <w:pPr>
              <w:widowControl/>
              <w:spacing w:before="100" w:beforeAutospacing="1" w:after="100" w:afterAutospacing="1" w:line="240" w:lineRule="atLeast"/>
              <w:jc w:val="center"/>
              <w:rPr>
                <w:rFonts w:ascii="宋体" w:hAnsi="宋体" w:cs="宋体"/>
                <w:color w:val="auto"/>
                <w:kern w:val="0"/>
                <w:szCs w:val="21"/>
              </w:rPr>
            </w:pPr>
          </w:p>
        </w:tc>
      </w:tr>
      <w:tr w14:paraId="21C0BC33">
        <w:tblPrEx>
          <w:tblCellMar>
            <w:top w:w="0" w:type="dxa"/>
            <w:left w:w="0" w:type="dxa"/>
            <w:bottom w:w="0" w:type="dxa"/>
            <w:right w:w="0" w:type="dxa"/>
          </w:tblCellMar>
        </w:tblPrEx>
        <w:trPr>
          <w:trHeight w:val="693" w:hRule="atLeast"/>
          <w:jc w:val="center"/>
        </w:trPr>
        <w:tc>
          <w:tcPr>
            <w:tcW w:w="171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80B890">
            <w:pPr>
              <w:widowControl/>
              <w:snapToGrid w:val="0"/>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验收具体内容</w:t>
            </w:r>
          </w:p>
        </w:tc>
        <w:tc>
          <w:tcPr>
            <w:tcW w:w="718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CABD18A">
            <w:pPr>
              <w:widowControl/>
              <w:snapToGrid w:val="0"/>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应按采购合同、采购文件、响应文件及验收方案等进行验收；并核对成交供应商在安装调试等方面是否违反合同约定或者服务规范要求、提供的质量保证证明材料是否齐全、应有的配件及附件是否达到合同约定等。可附件)</w:t>
            </w:r>
          </w:p>
        </w:tc>
      </w:tr>
      <w:tr w14:paraId="245FD04C">
        <w:tblPrEx>
          <w:tblCellMar>
            <w:top w:w="0" w:type="dxa"/>
            <w:left w:w="0" w:type="dxa"/>
            <w:bottom w:w="0" w:type="dxa"/>
            <w:right w:w="0" w:type="dxa"/>
          </w:tblCellMar>
        </w:tblPrEx>
        <w:trPr>
          <w:trHeight w:val="870" w:hRule="atLeast"/>
          <w:jc w:val="center"/>
        </w:trPr>
        <w:tc>
          <w:tcPr>
            <w:tcW w:w="1716"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7CD42B">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验收小组意见</w:t>
            </w:r>
          </w:p>
        </w:tc>
        <w:tc>
          <w:tcPr>
            <w:tcW w:w="7183" w:type="dxa"/>
            <w:gridSpan w:val="7"/>
            <w:tcBorders>
              <w:top w:val="nil"/>
              <w:left w:val="nil"/>
              <w:bottom w:val="single" w:color="auto" w:sz="8" w:space="0"/>
              <w:right w:val="single" w:color="auto" w:sz="8" w:space="0"/>
            </w:tcBorders>
            <w:vAlign w:val="center"/>
          </w:tcPr>
          <w:p w14:paraId="64E28222">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验收结论性意见：</w:t>
            </w:r>
          </w:p>
        </w:tc>
      </w:tr>
      <w:tr w14:paraId="4706B7E9">
        <w:tblPrEx>
          <w:tblCellMar>
            <w:top w:w="0" w:type="dxa"/>
            <w:left w:w="0" w:type="dxa"/>
            <w:bottom w:w="0" w:type="dxa"/>
            <w:right w:w="0" w:type="dxa"/>
          </w:tblCellMar>
        </w:tblPrEx>
        <w:trPr>
          <w:trHeight w:val="607" w:hRule="atLeast"/>
          <w:jc w:val="center"/>
        </w:trPr>
        <w:tc>
          <w:tcPr>
            <w:tcW w:w="1716" w:type="dxa"/>
            <w:gridSpan w:val="2"/>
            <w:vMerge w:val="continue"/>
            <w:tcBorders>
              <w:top w:val="nil"/>
              <w:left w:val="single" w:color="auto" w:sz="8" w:space="0"/>
              <w:bottom w:val="single" w:color="auto" w:sz="8" w:space="0"/>
              <w:right w:val="single" w:color="auto" w:sz="8" w:space="0"/>
            </w:tcBorders>
            <w:vAlign w:val="center"/>
          </w:tcPr>
          <w:p w14:paraId="4B2E23DF">
            <w:pPr>
              <w:widowControl/>
              <w:jc w:val="left"/>
              <w:rPr>
                <w:rFonts w:ascii="宋体" w:hAnsi="宋体" w:cs="宋体"/>
                <w:color w:val="auto"/>
                <w:kern w:val="0"/>
                <w:szCs w:val="21"/>
              </w:rPr>
            </w:pPr>
          </w:p>
        </w:tc>
        <w:tc>
          <w:tcPr>
            <w:tcW w:w="7183" w:type="dxa"/>
            <w:gridSpan w:val="7"/>
            <w:tcBorders>
              <w:top w:val="nil"/>
              <w:left w:val="nil"/>
              <w:bottom w:val="single" w:color="auto" w:sz="8" w:space="0"/>
              <w:right w:val="single" w:color="auto" w:sz="8" w:space="0"/>
            </w:tcBorders>
            <w:vAlign w:val="center"/>
          </w:tcPr>
          <w:p w14:paraId="7C569414">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有异议的意见和说明理由：</w:t>
            </w:r>
          </w:p>
          <w:p w14:paraId="0C55FFA1">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签字：</w:t>
            </w:r>
          </w:p>
        </w:tc>
      </w:tr>
      <w:tr w14:paraId="7A6D41C8">
        <w:tblPrEx>
          <w:tblCellMar>
            <w:top w:w="0" w:type="dxa"/>
            <w:left w:w="0" w:type="dxa"/>
            <w:bottom w:w="0" w:type="dxa"/>
            <w:right w:w="0" w:type="dxa"/>
          </w:tblCellMar>
        </w:tblPrEx>
        <w:trPr>
          <w:trHeight w:val="507"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780CDA">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验收小组成员签字：</w:t>
            </w:r>
          </w:p>
        </w:tc>
      </w:tr>
      <w:tr w14:paraId="3E6D7C13">
        <w:tblPrEx>
          <w:tblCellMar>
            <w:top w:w="0" w:type="dxa"/>
            <w:left w:w="0" w:type="dxa"/>
            <w:bottom w:w="0" w:type="dxa"/>
            <w:right w:w="0" w:type="dxa"/>
          </w:tblCellMar>
        </w:tblPrEx>
        <w:trPr>
          <w:trHeight w:val="736"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0AA398">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监督人员或者其他相关人员签字：</w:t>
            </w:r>
          </w:p>
          <w:p w14:paraId="48937FBC">
            <w:pPr>
              <w:widowControl/>
              <w:spacing w:before="100" w:beforeAutospacing="1" w:after="100" w:afterAutospacing="1" w:line="320" w:lineRule="atLeast"/>
              <w:ind w:firstLine="74"/>
              <w:jc w:val="left"/>
              <w:rPr>
                <w:rFonts w:ascii="宋体" w:hAnsi="宋体" w:cs="宋体"/>
                <w:color w:val="auto"/>
                <w:kern w:val="0"/>
                <w:szCs w:val="21"/>
              </w:rPr>
            </w:pPr>
            <w:r>
              <w:rPr>
                <w:rFonts w:ascii="宋体" w:hAnsi="宋体" w:cs="宋体"/>
                <w:color w:val="auto"/>
                <w:kern w:val="0"/>
                <w:szCs w:val="21"/>
              </w:rPr>
              <w:t>或者受邀机构的意见（盖章）：</w:t>
            </w:r>
          </w:p>
        </w:tc>
      </w:tr>
      <w:tr w14:paraId="5B6C8974">
        <w:tblPrEx>
          <w:tblCellMar>
            <w:top w:w="0" w:type="dxa"/>
            <w:left w:w="0" w:type="dxa"/>
            <w:bottom w:w="0" w:type="dxa"/>
            <w:right w:w="0" w:type="dxa"/>
          </w:tblCellMar>
        </w:tblPrEx>
        <w:trPr>
          <w:trHeight w:val="264" w:hRule="atLeast"/>
          <w:jc w:val="center"/>
        </w:trPr>
        <w:tc>
          <w:tcPr>
            <w:tcW w:w="4375"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BEB7335">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成交供应商负责人签字或者盖章：</w:t>
            </w:r>
          </w:p>
          <w:p w14:paraId="00B23724">
            <w:pPr>
              <w:widowControl/>
              <w:spacing w:before="100" w:beforeAutospacing="1" w:after="100" w:afterAutospacing="1" w:line="320" w:lineRule="atLeast"/>
              <w:jc w:val="left"/>
              <w:rPr>
                <w:rFonts w:ascii="宋体" w:hAnsi="宋体" w:cs="宋体"/>
                <w:color w:val="auto"/>
                <w:kern w:val="0"/>
                <w:szCs w:val="21"/>
              </w:rPr>
            </w:pPr>
          </w:p>
          <w:p w14:paraId="0FDFE990">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联系电话：</w:t>
            </w:r>
            <w:r>
              <w:rPr>
                <w:rFonts w:hint="eastAsia" w:ascii="宋体" w:hAnsi="宋体" w:cs="宋体"/>
                <w:color w:val="auto"/>
                <w:kern w:val="0"/>
                <w:szCs w:val="21"/>
              </w:rPr>
              <w:t xml:space="preserve">               </w:t>
            </w:r>
            <w:r>
              <w:rPr>
                <w:rFonts w:ascii="宋体" w:hAnsi="宋体" w:cs="宋体"/>
                <w:color w:val="auto"/>
                <w:kern w:val="0"/>
                <w:szCs w:val="21"/>
              </w:rPr>
              <w:t xml:space="preserve"> 年</w:t>
            </w:r>
            <w:r>
              <w:rPr>
                <w:rFonts w:hint="eastAsia" w:ascii="宋体" w:hAnsi="宋体" w:cs="宋体"/>
                <w:color w:val="auto"/>
                <w:kern w:val="0"/>
                <w:szCs w:val="21"/>
              </w:rPr>
              <w:t xml:space="preserve"> </w:t>
            </w:r>
            <w:r>
              <w:rPr>
                <w:rFonts w:ascii="宋体" w:hAnsi="宋体" w:cs="宋体"/>
                <w:color w:val="auto"/>
                <w:kern w:val="0"/>
                <w:szCs w:val="21"/>
              </w:rPr>
              <w:t xml:space="preserve"> 月 </w:t>
            </w:r>
            <w:r>
              <w:rPr>
                <w:rFonts w:hint="eastAsia" w:ascii="宋体" w:hAnsi="宋体" w:cs="宋体"/>
                <w:color w:val="auto"/>
                <w:kern w:val="0"/>
                <w:szCs w:val="21"/>
              </w:rPr>
              <w:t xml:space="preserve"> </w:t>
            </w:r>
            <w:r>
              <w:rPr>
                <w:rFonts w:ascii="宋体" w:hAnsi="宋体" w:cs="宋体"/>
                <w:color w:val="auto"/>
                <w:kern w:val="0"/>
                <w:szCs w:val="21"/>
              </w:rPr>
              <w:t>日</w:t>
            </w:r>
          </w:p>
        </w:tc>
        <w:tc>
          <w:tcPr>
            <w:tcW w:w="4524" w:type="dxa"/>
            <w:gridSpan w:val="4"/>
            <w:tcBorders>
              <w:top w:val="nil"/>
              <w:left w:val="nil"/>
              <w:bottom w:val="single" w:color="auto" w:sz="8" w:space="0"/>
              <w:right w:val="single" w:color="auto" w:sz="8" w:space="0"/>
            </w:tcBorders>
            <w:vAlign w:val="center"/>
          </w:tcPr>
          <w:p w14:paraId="6C5D9F7F">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采购人或者受托机构的意见（盖章）：</w:t>
            </w:r>
          </w:p>
          <w:p w14:paraId="37490E1D">
            <w:pPr>
              <w:widowControl/>
              <w:spacing w:before="100" w:beforeAutospacing="1" w:after="100" w:afterAutospacing="1" w:line="320" w:lineRule="atLeast"/>
              <w:ind w:firstLine="210" w:firstLineChars="100"/>
              <w:jc w:val="left"/>
              <w:rPr>
                <w:rFonts w:ascii="宋体" w:hAnsi="宋体" w:cs="宋体"/>
                <w:color w:val="auto"/>
                <w:kern w:val="0"/>
                <w:szCs w:val="21"/>
              </w:rPr>
            </w:pPr>
          </w:p>
          <w:p w14:paraId="7EEF20F4">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ascii="宋体" w:hAnsi="宋体" w:cs="宋体"/>
                <w:color w:val="auto"/>
                <w:kern w:val="0"/>
                <w:szCs w:val="21"/>
              </w:rPr>
              <w:t>联系电话：</w:t>
            </w:r>
            <w:r>
              <w:rPr>
                <w:rFonts w:hint="eastAsia" w:ascii="宋体" w:hAnsi="宋体" w:cs="宋体"/>
                <w:color w:val="auto"/>
                <w:kern w:val="0"/>
                <w:szCs w:val="21"/>
              </w:rPr>
              <w:t xml:space="preserve">                  </w:t>
            </w:r>
            <w:r>
              <w:rPr>
                <w:rFonts w:ascii="宋体" w:hAnsi="宋体" w:cs="宋体"/>
                <w:color w:val="auto"/>
                <w:kern w:val="0"/>
                <w:szCs w:val="21"/>
              </w:rPr>
              <w:t>年</w:t>
            </w:r>
            <w:r>
              <w:rPr>
                <w:rFonts w:hint="eastAsia" w:ascii="宋体" w:hAnsi="宋体" w:cs="宋体"/>
                <w:color w:val="auto"/>
                <w:kern w:val="0"/>
                <w:szCs w:val="21"/>
              </w:rPr>
              <w:t xml:space="preserve"> </w:t>
            </w:r>
            <w:r>
              <w:rPr>
                <w:rFonts w:ascii="宋体" w:hAnsi="宋体" w:cs="宋体"/>
                <w:color w:val="auto"/>
                <w:kern w:val="0"/>
                <w:szCs w:val="21"/>
              </w:rPr>
              <w:t xml:space="preserve"> 月</w:t>
            </w:r>
            <w:r>
              <w:rPr>
                <w:rFonts w:hint="eastAsia" w:ascii="宋体" w:hAnsi="宋体" w:cs="宋体"/>
                <w:color w:val="auto"/>
                <w:kern w:val="0"/>
                <w:szCs w:val="21"/>
              </w:rPr>
              <w:t xml:space="preserve"> </w:t>
            </w:r>
            <w:r>
              <w:rPr>
                <w:rFonts w:ascii="宋体" w:hAnsi="宋体" w:cs="宋体"/>
                <w:color w:val="auto"/>
                <w:kern w:val="0"/>
                <w:szCs w:val="21"/>
              </w:rPr>
              <w:t xml:space="preserve"> 日</w:t>
            </w:r>
          </w:p>
        </w:tc>
      </w:tr>
    </w:tbl>
    <w:p w14:paraId="2FC4D485">
      <w:pPr>
        <w:pStyle w:val="17"/>
        <w:snapToGrid w:val="0"/>
        <w:ind w:left="840" w:hanging="420"/>
        <w:rPr>
          <w:rFonts w:ascii="黑体" w:hAnsi="黑体" w:eastAsia="黑体" w:cs="黑体"/>
          <w:color w:val="auto"/>
          <w:sz w:val="32"/>
          <w:szCs w:val="32"/>
        </w:rPr>
      </w:pPr>
      <w:r>
        <w:rPr>
          <w:rFonts w:hAnsi="宋体"/>
          <w:color w:val="auto"/>
        </w:rPr>
        <w:br w:type="page"/>
      </w:r>
      <w:r>
        <w:rPr>
          <w:rFonts w:hint="eastAsia" w:ascii="黑体" w:hAnsi="黑体" w:eastAsia="黑体" w:cs="黑体"/>
          <w:color w:val="auto"/>
          <w:sz w:val="32"/>
          <w:szCs w:val="32"/>
        </w:rPr>
        <w:t>附件2：</w:t>
      </w:r>
    </w:p>
    <w:p w14:paraId="7EDB6D5D">
      <w:pPr>
        <w:jc w:val="center"/>
        <w:rPr>
          <w:rFonts w:ascii="宋体" w:hAnsi="宋体" w:cs="宋体"/>
          <w:b/>
          <w:bCs/>
          <w:color w:val="auto"/>
          <w:sz w:val="32"/>
          <w:szCs w:val="32"/>
        </w:rPr>
      </w:pPr>
      <w:r>
        <w:rPr>
          <w:rFonts w:hint="eastAsia" w:ascii="宋体" w:hAnsi="宋体" w:cs="宋体"/>
          <w:b/>
          <w:bCs/>
          <w:color w:val="auto"/>
          <w:sz w:val="32"/>
          <w:szCs w:val="32"/>
        </w:rPr>
        <w:t>政府采购项目履约保证金退付意见书</w:t>
      </w:r>
    </w:p>
    <w:p w14:paraId="5A7EF052">
      <w:pPr>
        <w:jc w:val="center"/>
        <w:rPr>
          <w:rFonts w:ascii="黑体" w:hAnsi="黑体" w:eastAsia="黑体"/>
          <w:color w:val="auto"/>
          <w:sz w:val="36"/>
          <w:szCs w:val="36"/>
        </w:rPr>
      </w:pPr>
      <w:r>
        <w:rPr>
          <w:rFonts w:hint="eastAsia" w:ascii="宋体" w:hAnsi="宋体" w:cs="宋体"/>
          <w:b/>
          <w:bCs/>
          <w:color w:val="auto"/>
          <w:kern w:val="0"/>
          <w:sz w:val="18"/>
          <w:szCs w:val="18"/>
        </w:rPr>
        <w:t>（本项目如有，可以参考使用）</w:t>
      </w:r>
    </w:p>
    <w:tbl>
      <w:tblPr>
        <w:tblStyle w:val="25"/>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B05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4C8F53B">
            <w:pPr>
              <w:spacing w:line="360" w:lineRule="exact"/>
              <w:jc w:val="center"/>
              <w:rPr>
                <w:color w:val="auto"/>
                <w:sz w:val="24"/>
              </w:rPr>
            </w:pPr>
            <w:r>
              <w:rPr>
                <w:rFonts w:hint="eastAsia"/>
                <w:color w:val="auto"/>
                <w:sz w:val="24"/>
              </w:rPr>
              <w:t>供</w:t>
            </w:r>
          </w:p>
          <w:p w14:paraId="0072E7C5">
            <w:pPr>
              <w:spacing w:line="360" w:lineRule="exact"/>
              <w:jc w:val="center"/>
              <w:rPr>
                <w:color w:val="auto"/>
                <w:sz w:val="24"/>
              </w:rPr>
            </w:pPr>
            <w:r>
              <w:rPr>
                <w:rFonts w:hint="eastAsia"/>
                <w:color w:val="auto"/>
                <w:sz w:val="24"/>
              </w:rPr>
              <w:t>应</w:t>
            </w:r>
          </w:p>
          <w:p w14:paraId="4BDDFF36">
            <w:pPr>
              <w:spacing w:line="360" w:lineRule="exact"/>
              <w:jc w:val="center"/>
              <w:rPr>
                <w:color w:val="auto"/>
                <w:sz w:val="24"/>
              </w:rPr>
            </w:pPr>
            <w:r>
              <w:rPr>
                <w:rFonts w:hint="eastAsia"/>
                <w:color w:val="auto"/>
                <w:sz w:val="24"/>
              </w:rPr>
              <w:t>商</w:t>
            </w:r>
          </w:p>
          <w:p w14:paraId="10237ACD">
            <w:pPr>
              <w:spacing w:line="360" w:lineRule="exact"/>
              <w:jc w:val="center"/>
              <w:rPr>
                <w:color w:val="auto"/>
                <w:sz w:val="24"/>
              </w:rPr>
            </w:pPr>
            <w:r>
              <w:rPr>
                <w:rFonts w:hint="eastAsia"/>
                <w:color w:val="auto"/>
                <w:sz w:val="24"/>
              </w:rPr>
              <w:t>申</w:t>
            </w:r>
          </w:p>
          <w:p w14:paraId="261148F3">
            <w:pPr>
              <w:spacing w:line="360" w:lineRule="exact"/>
              <w:jc w:val="center"/>
              <w:rPr>
                <w:color w:val="auto"/>
                <w:sz w:val="24"/>
              </w:rPr>
            </w:pPr>
            <w:r>
              <w:rPr>
                <w:rFonts w:hint="eastAsia"/>
                <w:color w:val="auto"/>
                <w:sz w:val="24"/>
              </w:rPr>
              <w:t>请</w:t>
            </w:r>
          </w:p>
        </w:tc>
        <w:tc>
          <w:tcPr>
            <w:tcW w:w="8009" w:type="dxa"/>
            <w:vAlign w:val="center"/>
          </w:tcPr>
          <w:p w14:paraId="75BB21AD">
            <w:pPr>
              <w:spacing w:line="360" w:lineRule="exact"/>
              <w:rPr>
                <w:color w:val="auto"/>
                <w:sz w:val="24"/>
              </w:rPr>
            </w:pPr>
            <w:r>
              <w:rPr>
                <w:rFonts w:hint="eastAsia"/>
                <w:color w:val="auto"/>
                <w:sz w:val="24"/>
              </w:rPr>
              <w:t>项目编号：</w:t>
            </w:r>
          </w:p>
        </w:tc>
      </w:tr>
      <w:tr w14:paraId="01FF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44725A4F">
            <w:pPr>
              <w:spacing w:line="360" w:lineRule="exact"/>
              <w:rPr>
                <w:color w:val="auto"/>
                <w:sz w:val="24"/>
              </w:rPr>
            </w:pPr>
          </w:p>
        </w:tc>
        <w:tc>
          <w:tcPr>
            <w:tcW w:w="8009" w:type="dxa"/>
            <w:vAlign w:val="center"/>
          </w:tcPr>
          <w:p w14:paraId="6E3115BD">
            <w:pPr>
              <w:spacing w:line="360" w:lineRule="exact"/>
              <w:rPr>
                <w:color w:val="auto"/>
                <w:sz w:val="24"/>
              </w:rPr>
            </w:pPr>
            <w:r>
              <w:rPr>
                <w:rFonts w:hint="eastAsia"/>
                <w:color w:val="auto"/>
                <w:sz w:val="24"/>
              </w:rPr>
              <w:t>项目名称：</w:t>
            </w:r>
          </w:p>
        </w:tc>
      </w:tr>
      <w:tr w14:paraId="6DB3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78F46EF6">
            <w:pPr>
              <w:spacing w:line="360" w:lineRule="exact"/>
              <w:rPr>
                <w:color w:val="auto"/>
                <w:sz w:val="24"/>
              </w:rPr>
            </w:pPr>
          </w:p>
        </w:tc>
        <w:tc>
          <w:tcPr>
            <w:tcW w:w="8009" w:type="dxa"/>
          </w:tcPr>
          <w:p w14:paraId="1F3CBE8F">
            <w:pPr>
              <w:spacing w:line="360" w:lineRule="exact"/>
              <w:rPr>
                <w:color w:val="auto"/>
                <w:sz w:val="24"/>
              </w:rPr>
            </w:pPr>
            <w:r>
              <w:rPr>
                <w:rFonts w:hint="eastAsia"/>
                <w:color w:val="auto"/>
                <w:sz w:val="24"/>
              </w:rPr>
              <w:t xml:space="preserve">  </w:t>
            </w:r>
          </w:p>
          <w:p w14:paraId="09F16B2A">
            <w:pPr>
              <w:spacing w:line="360" w:lineRule="exact"/>
              <w:ind w:firstLine="480" w:firstLineChars="200"/>
              <w:rPr>
                <w:color w:val="auto"/>
                <w:sz w:val="24"/>
              </w:rPr>
            </w:pPr>
            <w:r>
              <w:rPr>
                <w:rFonts w:hint="eastAsia"/>
                <w:color w:val="auto"/>
                <w:sz w:val="24"/>
              </w:rPr>
              <w:t>该项目已于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日验收并交付。根据合同规定，该项目的履约保证金期限于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日已满，请将履约保证金</w:t>
            </w:r>
          </w:p>
          <w:p w14:paraId="70C24087">
            <w:pPr>
              <w:spacing w:line="360" w:lineRule="exact"/>
              <w:rPr>
                <w:color w:val="auto"/>
                <w:sz w:val="24"/>
              </w:rPr>
            </w:pPr>
            <w:r>
              <w:rPr>
                <w:rFonts w:hint="eastAsia"/>
                <w:color w:val="auto"/>
                <w:sz w:val="24"/>
                <w:u w:val="single"/>
              </w:rPr>
              <w:t xml:space="preserve">                                      </w:t>
            </w:r>
            <w:r>
              <w:rPr>
                <w:rFonts w:hint="eastAsia"/>
                <w:color w:val="auto"/>
                <w:sz w:val="24"/>
              </w:rPr>
              <w:t>（大写）¥</w:t>
            </w:r>
            <w:r>
              <w:rPr>
                <w:rFonts w:hint="eastAsia"/>
                <w:color w:val="auto"/>
                <w:sz w:val="24"/>
                <w:u w:val="single"/>
              </w:rPr>
              <w:t xml:space="preserve">          </w:t>
            </w:r>
            <w:r>
              <w:rPr>
                <w:rFonts w:hint="eastAsia"/>
                <w:color w:val="auto"/>
                <w:sz w:val="24"/>
              </w:rPr>
              <w:t>（小写）退付到达以下账户。</w:t>
            </w:r>
          </w:p>
          <w:p w14:paraId="29EFD541">
            <w:pPr>
              <w:spacing w:line="360" w:lineRule="exact"/>
              <w:rPr>
                <w:color w:val="auto"/>
                <w:sz w:val="24"/>
              </w:rPr>
            </w:pPr>
            <w:r>
              <w:rPr>
                <w:rFonts w:hint="eastAsia"/>
                <w:color w:val="auto"/>
                <w:sz w:val="24"/>
              </w:rPr>
              <w:t>单位名称：</w:t>
            </w:r>
          </w:p>
          <w:p w14:paraId="2C60EEFB">
            <w:pPr>
              <w:spacing w:line="360" w:lineRule="exact"/>
              <w:rPr>
                <w:color w:val="auto"/>
                <w:sz w:val="24"/>
              </w:rPr>
            </w:pPr>
            <w:r>
              <w:rPr>
                <w:rFonts w:hint="eastAsia"/>
                <w:color w:val="auto"/>
                <w:sz w:val="24"/>
              </w:rPr>
              <w:t>开户银行：</w:t>
            </w:r>
          </w:p>
          <w:p w14:paraId="43D65D38">
            <w:pPr>
              <w:spacing w:line="360" w:lineRule="exact"/>
              <w:rPr>
                <w:color w:val="auto"/>
                <w:sz w:val="24"/>
              </w:rPr>
            </w:pPr>
            <w:r>
              <w:rPr>
                <w:rFonts w:hint="eastAsia"/>
                <w:color w:val="auto"/>
                <w:sz w:val="24"/>
              </w:rPr>
              <w:t>账    号：</w:t>
            </w:r>
          </w:p>
          <w:p w14:paraId="5A04EB54">
            <w:pPr>
              <w:spacing w:line="360" w:lineRule="exact"/>
              <w:rPr>
                <w:color w:val="auto"/>
                <w:sz w:val="24"/>
              </w:rPr>
            </w:pPr>
            <w:r>
              <w:rPr>
                <w:rFonts w:hint="eastAsia"/>
                <w:color w:val="auto"/>
                <w:sz w:val="24"/>
              </w:rPr>
              <w:t>联系人及电话：</w:t>
            </w:r>
          </w:p>
          <w:p w14:paraId="7E086AAD">
            <w:pPr>
              <w:spacing w:line="360" w:lineRule="exact"/>
              <w:rPr>
                <w:color w:val="auto"/>
                <w:sz w:val="24"/>
              </w:rPr>
            </w:pPr>
          </w:p>
          <w:p w14:paraId="0B54C046">
            <w:pPr>
              <w:spacing w:line="360" w:lineRule="exact"/>
              <w:jc w:val="center"/>
              <w:rPr>
                <w:color w:val="auto"/>
                <w:sz w:val="24"/>
              </w:rPr>
            </w:pPr>
            <w:r>
              <w:rPr>
                <w:rFonts w:hint="eastAsia"/>
                <w:color w:val="auto"/>
                <w:sz w:val="24"/>
              </w:rPr>
              <w:t xml:space="preserve">                           供应商公章：</w:t>
            </w:r>
          </w:p>
          <w:p w14:paraId="35558338">
            <w:pPr>
              <w:spacing w:line="360" w:lineRule="exact"/>
              <w:jc w:val="center"/>
              <w:rPr>
                <w:color w:val="auto"/>
                <w:sz w:val="24"/>
              </w:rPr>
            </w:pPr>
            <w:r>
              <w:rPr>
                <w:rFonts w:hint="eastAsia"/>
                <w:color w:val="auto"/>
                <w:sz w:val="24"/>
              </w:rPr>
              <w:t xml:space="preserve">                                                年    月    日</w:t>
            </w:r>
          </w:p>
        </w:tc>
      </w:tr>
      <w:tr w14:paraId="65B5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1591A0BC">
            <w:pPr>
              <w:spacing w:line="360" w:lineRule="exact"/>
              <w:jc w:val="center"/>
              <w:rPr>
                <w:color w:val="auto"/>
                <w:sz w:val="24"/>
              </w:rPr>
            </w:pPr>
            <w:r>
              <w:rPr>
                <w:rFonts w:hint="eastAsia"/>
                <w:color w:val="auto"/>
                <w:sz w:val="24"/>
              </w:rPr>
              <w:t>采</w:t>
            </w:r>
          </w:p>
          <w:p w14:paraId="12E53A6A">
            <w:pPr>
              <w:spacing w:line="360" w:lineRule="exact"/>
              <w:jc w:val="center"/>
              <w:rPr>
                <w:color w:val="auto"/>
                <w:sz w:val="24"/>
              </w:rPr>
            </w:pPr>
            <w:r>
              <w:rPr>
                <w:rFonts w:hint="eastAsia"/>
                <w:color w:val="auto"/>
                <w:sz w:val="24"/>
              </w:rPr>
              <w:t>购</w:t>
            </w:r>
          </w:p>
          <w:p w14:paraId="5E96FE2B">
            <w:pPr>
              <w:spacing w:line="360" w:lineRule="exact"/>
              <w:jc w:val="center"/>
              <w:rPr>
                <w:color w:val="auto"/>
                <w:sz w:val="24"/>
              </w:rPr>
            </w:pPr>
            <w:r>
              <w:rPr>
                <w:rFonts w:hint="eastAsia"/>
                <w:color w:val="auto"/>
                <w:sz w:val="24"/>
              </w:rPr>
              <w:t>单</w:t>
            </w:r>
          </w:p>
          <w:p w14:paraId="0FFDA072">
            <w:pPr>
              <w:spacing w:line="360" w:lineRule="exact"/>
              <w:jc w:val="center"/>
              <w:rPr>
                <w:color w:val="auto"/>
                <w:sz w:val="24"/>
              </w:rPr>
            </w:pPr>
            <w:r>
              <w:rPr>
                <w:rFonts w:hint="eastAsia"/>
                <w:color w:val="auto"/>
                <w:sz w:val="24"/>
              </w:rPr>
              <w:t>位</w:t>
            </w:r>
          </w:p>
          <w:p w14:paraId="5849667B">
            <w:pPr>
              <w:spacing w:line="360" w:lineRule="exact"/>
              <w:jc w:val="center"/>
              <w:rPr>
                <w:color w:val="auto"/>
                <w:sz w:val="24"/>
              </w:rPr>
            </w:pPr>
            <w:r>
              <w:rPr>
                <w:rFonts w:hint="eastAsia"/>
                <w:color w:val="auto"/>
                <w:sz w:val="24"/>
              </w:rPr>
              <w:t>意</w:t>
            </w:r>
          </w:p>
          <w:p w14:paraId="08345463">
            <w:pPr>
              <w:spacing w:line="360" w:lineRule="exact"/>
              <w:jc w:val="center"/>
              <w:rPr>
                <w:color w:val="auto"/>
                <w:sz w:val="24"/>
              </w:rPr>
            </w:pPr>
            <w:r>
              <w:rPr>
                <w:rFonts w:hint="eastAsia"/>
                <w:color w:val="auto"/>
                <w:sz w:val="24"/>
              </w:rPr>
              <w:t>见</w:t>
            </w:r>
          </w:p>
        </w:tc>
        <w:tc>
          <w:tcPr>
            <w:tcW w:w="8009" w:type="dxa"/>
          </w:tcPr>
          <w:p w14:paraId="00835FDE">
            <w:pPr>
              <w:spacing w:line="360" w:lineRule="exact"/>
              <w:rPr>
                <w:color w:val="auto"/>
                <w:sz w:val="24"/>
              </w:rPr>
            </w:pPr>
          </w:p>
          <w:p w14:paraId="43E764F9">
            <w:pPr>
              <w:spacing w:line="360" w:lineRule="exact"/>
              <w:rPr>
                <w:color w:val="auto"/>
                <w:sz w:val="24"/>
              </w:rPr>
            </w:pPr>
            <w:r>
              <w:rPr>
                <w:rFonts w:hint="eastAsia"/>
                <w:color w:val="auto"/>
                <w:sz w:val="24"/>
              </w:rPr>
              <w:t>退付意见：是否同意退付履约保证金及退付金额：</w:t>
            </w:r>
          </w:p>
          <w:p w14:paraId="5F544174">
            <w:pPr>
              <w:spacing w:line="360" w:lineRule="exact"/>
              <w:rPr>
                <w:color w:val="auto"/>
                <w:sz w:val="24"/>
              </w:rPr>
            </w:pPr>
          </w:p>
          <w:p w14:paraId="37768042">
            <w:pPr>
              <w:spacing w:line="360" w:lineRule="exact"/>
              <w:rPr>
                <w:color w:val="auto"/>
                <w:sz w:val="24"/>
              </w:rPr>
            </w:pPr>
          </w:p>
          <w:p w14:paraId="3F04BBE7">
            <w:pPr>
              <w:spacing w:line="360" w:lineRule="exact"/>
              <w:rPr>
                <w:color w:val="auto"/>
                <w:sz w:val="24"/>
              </w:rPr>
            </w:pPr>
            <w:r>
              <w:rPr>
                <w:rFonts w:hint="eastAsia"/>
                <w:color w:val="auto"/>
                <w:sz w:val="24"/>
              </w:rPr>
              <w:t xml:space="preserve">联系人及电话：                                </w:t>
            </w:r>
          </w:p>
          <w:p w14:paraId="27B48793">
            <w:pPr>
              <w:spacing w:line="360" w:lineRule="exact"/>
              <w:rPr>
                <w:color w:val="auto"/>
                <w:sz w:val="24"/>
              </w:rPr>
            </w:pPr>
          </w:p>
          <w:p w14:paraId="434FA357">
            <w:pPr>
              <w:spacing w:line="360" w:lineRule="exact"/>
              <w:ind w:firstLine="4560" w:firstLineChars="1900"/>
              <w:rPr>
                <w:color w:val="auto"/>
                <w:sz w:val="24"/>
              </w:rPr>
            </w:pPr>
            <w:r>
              <w:rPr>
                <w:rFonts w:hint="eastAsia"/>
                <w:color w:val="auto"/>
                <w:sz w:val="24"/>
              </w:rPr>
              <w:t xml:space="preserve"> 采购单位公章：</w:t>
            </w:r>
          </w:p>
          <w:p w14:paraId="6F55203E">
            <w:pPr>
              <w:spacing w:line="360" w:lineRule="exact"/>
              <w:jc w:val="center"/>
              <w:rPr>
                <w:color w:val="auto"/>
                <w:sz w:val="24"/>
              </w:rPr>
            </w:pPr>
            <w:r>
              <w:rPr>
                <w:rFonts w:hint="eastAsia"/>
                <w:color w:val="auto"/>
                <w:sz w:val="24"/>
              </w:rPr>
              <w:t xml:space="preserve">                                                年    月    日</w:t>
            </w:r>
          </w:p>
        </w:tc>
      </w:tr>
      <w:tr w14:paraId="1E79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6CC4CFA7">
            <w:pPr>
              <w:spacing w:line="360" w:lineRule="exact"/>
              <w:jc w:val="center"/>
              <w:rPr>
                <w:color w:val="auto"/>
                <w:sz w:val="24"/>
              </w:rPr>
            </w:pPr>
            <w:r>
              <w:rPr>
                <w:rFonts w:hint="eastAsia"/>
                <w:color w:val="auto"/>
                <w:sz w:val="24"/>
              </w:rPr>
              <w:t>财</w:t>
            </w:r>
          </w:p>
          <w:p w14:paraId="6EFC8959">
            <w:pPr>
              <w:spacing w:line="360" w:lineRule="exact"/>
              <w:jc w:val="center"/>
              <w:rPr>
                <w:color w:val="auto"/>
                <w:sz w:val="24"/>
              </w:rPr>
            </w:pPr>
            <w:r>
              <w:rPr>
                <w:rFonts w:hint="eastAsia"/>
                <w:color w:val="auto"/>
                <w:sz w:val="24"/>
              </w:rPr>
              <w:t>务</w:t>
            </w:r>
          </w:p>
          <w:p w14:paraId="2DE39BF4">
            <w:pPr>
              <w:spacing w:line="360" w:lineRule="exact"/>
              <w:jc w:val="center"/>
              <w:rPr>
                <w:color w:val="auto"/>
                <w:sz w:val="24"/>
              </w:rPr>
            </w:pPr>
            <w:r>
              <w:rPr>
                <w:rFonts w:hint="eastAsia"/>
                <w:color w:val="auto"/>
                <w:sz w:val="24"/>
              </w:rPr>
              <w:t>部</w:t>
            </w:r>
          </w:p>
          <w:p w14:paraId="0811AD18">
            <w:pPr>
              <w:spacing w:line="360" w:lineRule="exact"/>
              <w:jc w:val="center"/>
              <w:rPr>
                <w:color w:val="auto"/>
                <w:sz w:val="24"/>
              </w:rPr>
            </w:pPr>
            <w:r>
              <w:rPr>
                <w:rFonts w:hint="eastAsia"/>
                <w:color w:val="auto"/>
                <w:sz w:val="24"/>
              </w:rPr>
              <w:t>门</w:t>
            </w:r>
          </w:p>
          <w:p w14:paraId="0739D564">
            <w:pPr>
              <w:spacing w:line="360" w:lineRule="exact"/>
              <w:jc w:val="center"/>
              <w:rPr>
                <w:color w:val="auto"/>
                <w:sz w:val="24"/>
              </w:rPr>
            </w:pPr>
            <w:r>
              <w:rPr>
                <w:rFonts w:hint="eastAsia"/>
                <w:color w:val="auto"/>
                <w:sz w:val="24"/>
              </w:rPr>
              <w:t>意</w:t>
            </w:r>
          </w:p>
          <w:p w14:paraId="66E375AB">
            <w:pPr>
              <w:spacing w:line="360" w:lineRule="exact"/>
              <w:jc w:val="center"/>
              <w:rPr>
                <w:color w:val="auto"/>
                <w:sz w:val="24"/>
              </w:rPr>
            </w:pPr>
            <w:r>
              <w:rPr>
                <w:rFonts w:hint="eastAsia"/>
                <w:color w:val="auto"/>
                <w:sz w:val="24"/>
              </w:rPr>
              <w:t>见</w:t>
            </w:r>
          </w:p>
        </w:tc>
        <w:tc>
          <w:tcPr>
            <w:tcW w:w="8009" w:type="dxa"/>
          </w:tcPr>
          <w:p w14:paraId="0AD4E6AE">
            <w:pPr>
              <w:spacing w:line="360" w:lineRule="exact"/>
              <w:rPr>
                <w:color w:val="auto"/>
                <w:sz w:val="24"/>
              </w:rPr>
            </w:pPr>
            <w:r>
              <w:rPr>
                <w:rFonts w:hint="eastAsia"/>
                <w:color w:val="auto"/>
                <w:sz w:val="24"/>
              </w:rPr>
              <w:t>此表于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日收到。</w:t>
            </w:r>
          </w:p>
          <w:p w14:paraId="36E669D1">
            <w:pPr>
              <w:spacing w:line="360" w:lineRule="exact"/>
              <w:rPr>
                <w:color w:val="auto"/>
                <w:sz w:val="24"/>
              </w:rPr>
            </w:pPr>
          </w:p>
          <w:p w14:paraId="5CB6175F">
            <w:pPr>
              <w:spacing w:line="360" w:lineRule="exact"/>
              <w:rPr>
                <w:color w:val="auto"/>
                <w:sz w:val="24"/>
              </w:rPr>
            </w:pPr>
            <w:r>
              <w:rPr>
                <w:rFonts w:hint="eastAsia"/>
                <w:color w:val="auto"/>
                <w:sz w:val="24"/>
              </w:rPr>
              <w:t>会计审核：</w:t>
            </w:r>
          </w:p>
          <w:p w14:paraId="1AEF9F90">
            <w:pPr>
              <w:spacing w:line="360" w:lineRule="exact"/>
              <w:rPr>
                <w:color w:val="auto"/>
                <w:sz w:val="24"/>
              </w:rPr>
            </w:pPr>
          </w:p>
          <w:p w14:paraId="70615EFD">
            <w:pPr>
              <w:spacing w:line="360" w:lineRule="exact"/>
              <w:rPr>
                <w:color w:val="auto"/>
                <w:sz w:val="24"/>
              </w:rPr>
            </w:pPr>
            <w:r>
              <w:rPr>
                <w:rFonts w:hint="eastAsia"/>
                <w:color w:val="auto"/>
                <w:sz w:val="24"/>
              </w:rPr>
              <w:t>财务负责人审核：</w:t>
            </w:r>
          </w:p>
          <w:p w14:paraId="19EF08CE">
            <w:pPr>
              <w:spacing w:line="360" w:lineRule="exact"/>
              <w:rPr>
                <w:color w:val="auto"/>
                <w:sz w:val="24"/>
              </w:rPr>
            </w:pPr>
          </w:p>
          <w:p w14:paraId="2C9B93CF">
            <w:pPr>
              <w:spacing w:line="360" w:lineRule="exact"/>
              <w:rPr>
                <w:color w:val="auto"/>
                <w:sz w:val="24"/>
              </w:rPr>
            </w:pPr>
            <w:r>
              <w:rPr>
                <w:rFonts w:hint="eastAsia"/>
                <w:color w:val="auto"/>
                <w:sz w:val="24"/>
              </w:rPr>
              <w:t>单位负责人签字：</w:t>
            </w:r>
          </w:p>
          <w:p w14:paraId="0B6975AB">
            <w:pPr>
              <w:spacing w:line="360" w:lineRule="exact"/>
              <w:rPr>
                <w:color w:val="auto"/>
                <w:sz w:val="24"/>
              </w:rPr>
            </w:pPr>
          </w:p>
          <w:p w14:paraId="62F5EBE8">
            <w:pPr>
              <w:spacing w:line="360" w:lineRule="exact"/>
              <w:rPr>
                <w:color w:val="auto"/>
                <w:sz w:val="24"/>
              </w:rPr>
            </w:pPr>
            <w:r>
              <w:rPr>
                <w:rFonts w:hint="eastAsia"/>
                <w:color w:val="auto"/>
                <w:sz w:val="24"/>
              </w:rPr>
              <w:t>出纳办理转账日期：</w:t>
            </w:r>
          </w:p>
        </w:tc>
      </w:tr>
    </w:tbl>
    <w:p w14:paraId="070E8DED">
      <w:pPr>
        <w:pStyle w:val="13"/>
        <w:ind w:left="1" w:firstLine="2" w:firstLineChars="1"/>
        <w:rPr>
          <w:rFonts w:ascii="宋体"/>
          <w:b/>
          <w:bCs/>
          <w:color w:val="auto"/>
          <w:sz w:val="18"/>
          <w:szCs w:val="18"/>
        </w:rPr>
      </w:pPr>
    </w:p>
    <w:p w14:paraId="4596EF11">
      <w:pPr>
        <w:pStyle w:val="17"/>
        <w:spacing w:line="360" w:lineRule="auto"/>
        <w:ind w:firstLine="402" w:firstLineChars="200"/>
        <w:textAlignment w:val="center"/>
        <w:rPr>
          <w:rFonts w:hAnsi="宋体"/>
          <w:b/>
          <w:color w:val="auto"/>
          <w:sz w:val="32"/>
          <w:szCs w:val="32"/>
        </w:rPr>
      </w:pPr>
      <w:r>
        <w:rPr>
          <w:rFonts w:hAnsi="宋体"/>
          <w:b/>
          <w:color w:val="auto"/>
        </w:rPr>
        <w:br w:type="page"/>
      </w:r>
    </w:p>
    <w:p w14:paraId="45F42987">
      <w:pPr>
        <w:pStyle w:val="3"/>
        <w:jc w:val="center"/>
        <w:rPr>
          <w:color w:val="auto"/>
        </w:rPr>
      </w:pPr>
      <w:bookmarkStart w:id="94" w:name="_Toc74323458"/>
      <w:r>
        <w:rPr>
          <w:rFonts w:hint="eastAsia"/>
          <w:color w:val="auto"/>
        </w:rPr>
        <w:t>第三章 采购需求</w:t>
      </w:r>
      <w:bookmarkEnd w:id="94"/>
    </w:p>
    <w:p w14:paraId="6FB63973">
      <w:pPr>
        <w:spacing w:line="440" w:lineRule="exact"/>
        <w:jc w:val="center"/>
        <w:rPr>
          <w:rFonts w:ascii="宋体" w:hAnsi="宋体"/>
          <w:b/>
          <w:color w:val="auto"/>
          <w:sz w:val="32"/>
          <w:szCs w:val="32"/>
        </w:rPr>
      </w:pPr>
      <w:r>
        <w:rPr>
          <w:rFonts w:hint="eastAsia" w:ascii="宋体" w:hAnsi="宋体"/>
          <w:b/>
          <w:color w:val="auto"/>
          <w:sz w:val="32"/>
          <w:szCs w:val="32"/>
        </w:rPr>
        <w:t>采购项目技术规格、参数及要求</w:t>
      </w:r>
    </w:p>
    <w:p w14:paraId="4A76261C">
      <w:pPr>
        <w:spacing w:line="360" w:lineRule="auto"/>
        <w:jc w:val="left"/>
        <w:rPr>
          <w:rFonts w:ascii="宋体" w:hAnsi="宋体" w:cs="宋体"/>
          <w:color w:val="auto"/>
          <w:szCs w:val="21"/>
        </w:rPr>
      </w:pPr>
    </w:p>
    <w:p w14:paraId="50617C5F">
      <w:pPr>
        <w:spacing w:line="360" w:lineRule="exact"/>
        <w:jc w:val="left"/>
        <w:rPr>
          <w:rFonts w:ascii="宋体" w:hAnsi="宋体" w:cs="宋体"/>
          <w:color w:val="auto"/>
          <w:szCs w:val="21"/>
        </w:rPr>
      </w:pPr>
      <w:r>
        <w:rPr>
          <w:rFonts w:hint="eastAsia" w:ascii="宋体" w:hAnsi="宋体" w:cs="宋体"/>
          <w:color w:val="auto"/>
          <w:szCs w:val="21"/>
        </w:rPr>
        <w:t>说明：</w:t>
      </w:r>
    </w:p>
    <w:p w14:paraId="4D4454F7">
      <w:pPr>
        <w:spacing w:line="360" w:lineRule="exact"/>
        <w:ind w:firstLine="420" w:firstLineChars="200"/>
        <w:jc w:val="left"/>
        <w:rPr>
          <w:rFonts w:ascii="宋体" w:hAnsi="宋体" w:cs="宋体"/>
          <w:color w:val="auto"/>
          <w:szCs w:val="21"/>
        </w:rPr>
      </w:pPr>
      <w:r>
        <w:rPr>
          <w:rFonts w:ascii="宋体" w:hAnsi="宋体"/>
          <w:color w:val="auto"/>
        </w:rPr>
        <w:t>1.</w:t>
      </w:r>
      <w:r>
        <w:rPr>
          <w:rFonts w:hint="eastAsia"/>
          <w:color w:val="auto"/>
        </w:rPr>
        <w:t>为落实政府采购政策需满足的要求</w:t>
      </w:r>
    </w:p>
    <w:p w14:paraId="3945EE47">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本竞争性磋商采购文件所称中小企业必须符合《政府采购促进中小企业发展管理办法》（财库〔2020〕46号）的规定。</w:t>
      </w:r>
    </w:p>
    <w:p w14:paraId="3E54F8F9">
      <w:pPr>
        <w:spacing w:line="360" w:lineRule="exact"/>
        <w:ind w:firstLine="424" w:firstLineChars="202"/>
        <w:jc w:val="left"/>
        <w:rPr>
          <w:rFonts w:ascii="宋体" w:hAnsi="宋体" w:cs="宋体"/>
          <w:color w:val="auto"/>
          <w:szCs w:val="21"/>
        </w:rPr>
      </w:pPr>
      <w:r>
        <w:rPr>
          <w:rFonts w:hint="eastAsia" w:ascii="宋体" w:hAnsi="宋体" w:cs="宋体"/>
          <w:color w:val="auto"/>
          <w:szCs w:val="21"/>
        </w:rPr>
        <w:t>2.“实质性要求”是指采购需求中带“▲”的条款或者不能负偏离的条款或者已经指明不满足按响应文件按无效处理的条款。</w:t>
      </w:r>
    </w:p>
    <w:p w14:paraId="60906AF8">
      <w:pPr>
        <w:spacing w:line="360" w:lineRule="exact"/>
        <w:ind w:firstLine="426" w:firstLineChars="202"/>
        <w:jc w:val="left"/>
        <w:rPr>
          <w:rFonts w:ascii="宋体" w:hAnsi="宋体" w:cs="宋体"/>
          <w:b/>
          <w:color w:val="auto"/>
          <w:szCs w:val="21"/>
        </w:rPr>
      </w:pPr>
      <w:r>
        <w:rPr>
          <w:rFonts w:hint="eastAsia" w:ascii="宋体" w:hAnsi="宋体" w:cs="宋体"/>
          <w:b/>
          <w:color w:val="auto"/>
          <w:szCs w:val="21"/>
        </w:rPr>
        <w:t>本采购需求表凡标注“▲”的条款或要求不响应或不满足的，其响应文件即作无效竞标处理。</w:t>
      </w:r>
    </w:p>
    <w:p w14:paraId="06F23BF8">
      <w:pPr>
        <w:spacing w:line="360" w:lineRule="exact"/>
        <w:ind w:firstLine="424" w:firstLineChars="202"/>
        <w:jc w:val="left"/>
        <w:rPr>
          <w:color w:val="auto"/>
        </w:rPr>
      </w:pPr>
      <w:r>
        <w:rPr>
          <w:rFonts w:ascii="宋体" w:hAnsi="宋体" w:cs="宋体"/>
          <w:color w:val="auto"/>
          <w:szCs w:val="21"/>
        </w:rPr>
        <w:t>3</w:t>
      </w:r>
      <w:r>
        <w:rPr>
          <w:rFonts w:hint="eastAsia" w:ascii="宋体" w:hAnsi="宋体" w:cs="宋体"/>
          <w:color w:val="auto"/>
          <w:szCs w:val="21"/>
        </w:rPr>
        <w:t>.</w:t>
      </w:r>
      <w:r>
        <w:rPr>
          <w:rFonts w:hint="eastAsia"/>
          <w:color w:val="auto"/>
        </w:rPr>
        <w:t>供应商必须自行为其竞标产品侵犯他人的知识产权或者专利成果的行为承担相应法律责任。</w:t>
      </w:r>
    </w:p>
    <w:p w14:paraId="7C902E8D">
      <w:pPr>
        <w:spacing w:line="360" w:lineRule="exact"/>
        <w:ind w:firstLine="424" w:firstLineChars="202"/>
        <w:jc w:val="left"/>
        <w:rPr>
          <w:rFonts w:ascii="宋体" w:hAnsi="宋体"/>
          <w:color w:val="auto"/>
          <w:szCs w:val="21"/>
        </w:rPr>
      </w:pPr>
      <w:r>
        <w:rPr>
          <w:rFonts w:ascii="宋体" w:hAnsi="宋体"/>
          <w:color w:val="auto"/>
          <w:szCs w:val="21"/>
        </w:rPr>
        <w:t>4</w:t>
      </w:r>
      <w:r>
        <w:rPr>
          <w:rFonts w:hint="eastAsia" w:ascii="宋体" w:hAnsi="宋体"/>
          <w:color w:val="auto"/>
          <w:szCs w:val="21"/>
        </w:rPr>
        <w:t>.所属行业依照《中小企业划型标准规定》（工信部联企业〔2011〕300号）及《国民经济行业分类》（GB/T4754-2017）的有关规定执行。</w:t>
      </w:r>
    </w:p>
    <w:p w14:paraId="0F1EE53B">
      <w:pPr>
        <w:spacing w:line="360" w:lineRule="exact"/>
        <w:ind w:firstLine="426" w:firstLineChars="202"/>
        <w:jc w:val="left"/>
        <w:rPr>
          <w:rFonts w:ascii="宋体" w:hAnsi="宋体"/>
          <w:b/>
          <w:color w:val="auto"/>
          <w:szCs w:val="21"/>
          <w:u w:val="single"/>
        </w:rPr>
      </w:pPr>
      <w:r>
        <w:rPr>
          <w:rFonts w:ascii="宋体" w:hAnsi="宋体"/>
          <w:b/>
          <w:color w:val="auto"/>
          <w:szCs w:val="21"/>
        </w:rPr>
        <w:t>5</w:t>
      </w:r>
      <w:r>
        <w:rPr>
          <w:rFonts w:hint="eastAsia" w:ascii="宋体" w:hAnsi="宋体"/>
          <w:b/>
          <w:color w:val="auto"/>
          <w:szCs w:val="21"/>
        </w:rPr>
        <w:t>.</w:t>
      </w:r>
      <w:r>
        <w:rPr>
          <w:rFonts w:hint="eastAsia" w:ascii="宋体" w:hAnsi="宋体"/>
          <w:b/>
          <w:color w:val="auto"/>
          <w:szCs w:val="21"/>
          <w:u w:val="single"/>
        </w:rPr>
        <w:t>本项目采购需求表中要求提供的文件材料或承诺书，请在《技术要求偏离表》或《商务要求偏离表》中应答时，注明相关文件材料或承诺书放置的页码。</w:t>
      </w:r>
    </w:p>
    <w:p w14:paraId="23AAD68F">
      <w:pPr>
        <w:spacing w:line="360" w:lineRule="auto"/>
        <w:jc w:val="left"/>
        <w:rPr>
          <w:rFonts w:ascii="宋体" w:hAnsi="宋体" w:cs="Arial"/>
          <w:bCs/>
          <w:color w:val="auto"/>
          <w:szCs w:val="21"/>
          <w:u w:val="single"/>
        </w:rPr>
      </w:pPr>
      <w:r>
        <w:rPr>
          <w:rFonts w:hint="eastAsia"/>
          <w:color w:val="auto"/>
          <w:lang w:val="en-US" w:eastAsia="zh-CN"/>
        </w:rPr>
        <w:t xml:space="preserve">    </w:t>
      </w:r>
      <w:r>
        <w:rPr>
          <w:rFonts w:hint="eastAsia"/>
          <w:color w:val="auto"/>
          <w:lang w:eastAsia="zh-CN"/>
        </w:rPr>
        <w:t>项目所属行业：</w:t>
      </w:r>
      <w:r>
        <w:rPr>
          <w:rFonts w:hint="eastAsia" w:ascii="宋体" w:hAnsi="宋体" w:cs="宋体"/>
          <w:color w:val="auto"/>
          <w:szCs w:val="21"/>
          <w:lang w:eastAsia="zh-CN"/>
        </w:rPr>
        <w:t>其他未列明行业</w:t>
      </w:r>
    </w:p>
    <w:p w14:paraId="271B381D">
      <w:pPr>
        <w:spacing w:line="360" w:lineRule="auto"/>
        <w:ind w:firstLine="308" w:firstLineChars="147"/>
        <w:jc w:val="left"/>
        <w:rPr>
          <w:rFonts w:ascii="宋体" w:hAnsi="宋体" w:cs="Arial"/>
          <w:bCs/>
          <w:color w:val="auto"/>
          <w:szCs w:val="21"/>
          <w:u w:val="single"/>
        </w:rPr>
      </w:pPr>
      <w:bookmarkStart w:id="95" w:name="_Hlk161733416"/>
      <w:r>
        <w:rPr>
          <w:rFonts w:hint="eastAsia" w:ascii="宋体" w:hAnsi="宋体" w:cs="Arial"/>
          <w:bCs/>
          <w:color w:val="auto"/>
          <w:szCs w:val="21"/>
          <w:u w:val="single"/>
        </w:rPr>
        <w:t xml:space="preserve"> </w:t>
      </w:r>
      <w:r>
        <w:rPr>
          <w:rFonts w:ascii="宋体" w:hAnsi="宋体" w:cs="Arial"/>
          <w:bCs/>
          <w:color w:val="auto"/>
          <w:szCs w:val="21"/>
          <w:u w:val="single"/>
        </w:rPr>
        <w:t>A</w:t>
      </w:r>
      <w:r>
        <w:rPr>
          <w:rFonts w:hint="eastAsia" w:ascii="宋体" w:hAnsi="宋体" w:cs="Arial"/>
          <w:bCs/>
          <w:color w:val="auto"/>
          <w:szCs w:val="21"/>
          <w:u w:val="single"/>
        </w:rPr>
        <w:t xml:space="preserve"> </w:t>
      </w:r>
      <w:r>
        <w:rPr>
          <w:rFonts w:hint="eastAsia" w:ascii="宋体" w:hAnsi="宋体"/>
          <w:b/>
          <w:color w:val="auto"/>
          <w:szCs w:val="21"/>
        </w:rPr>
        <w:t>分标   采购预算：</w:t>
      </w:r>
      <w:r>
        <w:rPr>
          <w:rFonts w:hint="eastAsia" w:ascii="宋体" w:hAnsi="宋体"/>
          <w:iCs/>
          <w:color w:val="auto"/>
          <w:szCs w:val="21"/>
          <w:u w:val="single"/>
          <w:lang w:eastAsia="zh-CN"/>
        </w:rPr>
        <w:t>100.00</w:t>
      </w:r>
      <w:r>
        <w:rPr>
          <w:rFonts w:hint="eastAsia" w:ascii="宋体" w:hAnsi="宋体" w:cs="Arial"/>
          <w:bCs/>
          <w:color w:val="auto"/>
          <w:szCs w:val="21"/>
          <w:u w:val="single"/>
        </w:rPr>
        <w:t xml:space="preserve">万元 </w:t>
      </w:r>
    </w:p>
    <w:tbl>
      <w:tblPr>
        <w:tblStyle w:val="2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414"/>
        <w:gridCol w:w="854"/>
        <w:gridCol w:w="851"/>
        <w:gridCol w:w="5014"/>
      </w:tblGrid>
      <w:tr w14:paraId="63AD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vAlign w:val="center"/>
          </w:tcPr>
          <w:p w14:paraId="6877E073">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序号</w:t>
            </w:r>
          </w:p>
        </w:tc>
        <w:tc>
          <w:tcPr>
            <w:tcW w:w="1414" w:type="dxa"/>
            <w:vAlign w:val="center"/>
          </w:tcPr>
          <w:p w14:paraId="160BEE1B">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标的的名称</w:t>
            </w:r>
          </w:p>
        </w:tc>
        <w:tc>
          <w:tcPr>
            <w:tcW w:w="854" w:type="dxa"/>
            <w:vAlign w:val="center"/>
          </w:tcPr>
          <w:p w14:paraId="554437F8">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数量及单位</w:t>
            </w:r>
          </w:p>
        </w:tc>
        <w:tc>
          <w:tcPr>
            <w:tcW w:w="851" w:type="dxa"/>
            <w:vAlign w:val="center"/>
          </w:tcPr>
          <w:p w14:paraId="34F8CF3D">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所属</w:t>
            </w:r>
          </w:p>
          <w:p w14:paraId="61D05BE6">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行业</w:t>
            </w:r>
          </w:p>
        </w:tc>
        <w:tc>
          <w:tcPr>
            <w:tcW w:w="5014" w:type="dxa"/>
            <w:vAlign w:val="center"/>
          </w:tcPr>
          <w:p w14:paraId="2FB13B23">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技术或服务要求</w:t>
            </w:r>
          </w:p>
        </w:tc>
      </w:tr>
      <w:tr w14:paraId="07376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0FF59EDB">
            <w:pPr>
              <w:jc w:val="center"/>
              <w:rPr>
                <w:rFonts w:ascii="微软雅黑" w:hAnsi="微软雅黑" w:eastAsia="微软雅黑" w:cs="宋体"/>
                <w:color w:val="auto"/>
                <w:sz w:val="20"/>
                <w:szCs w:val="20"/>
              </w:rPr>
            </w:pPr>
            <w:bookmarkStart w:id="96" w:name="_Hlk150242885"/>
            <w:r>
              <w:rPr>
                <w:rFonts w:hint="eastAsia" w:ascii="微软雅黑" w:hAnsi="微软雅黑" w:eastAsia="微软雅黑" w:cs="微软雅黑"/>
                <w:color w:val="auto"/>
                <w:kern w:val="0"/>
                <w:sz w:val="20"/>
                <w:szCs w:val="20"/>
              </w:rPr>
              <w:t>1</w:t>
            </w:r>
          </w:p>
        </w:tc>
        <w:tc>
          <w:tcPr>
            <w:tcW w:w="1414" w:type="dxa"/>
            <w:vAlign w:val="center"/>
          </w:tcPr>
          <w:p w14:paraId="1E473256">
            <w:pPr>
              <w:jc w:val="center"/>
              <w:rPr>
                <w:rFonts w:ascii="宋体" w:hAnsi="宋体" w:cs="宋体"/>
                <w:color w:val="auto"/>
                <w:sz w:val="22"/>
                <w:szCs w:val="22"/>
              </w:rPr>
            </w:pPr>
            <w:r>
              <w:rPr>
                <w:rFonts w:hint="eastAsia" w:ascii="宋体" w:hAnsi="宋体"/>
                <w:color w:val="auto"/>
                <w:szCs w:val="21"/>
                <w:lang w:eastAsia="zh-CN"/>
              </w:rPr>
              <w:t>2024年建筑业企业“走出去”宣传活动（一片区）</w:t>
            </w:r>
          </w:p>
        </w:tc>
        <w:tc>
          <w:tcPr>
            <w:tcW w:w="854" w:type="dxa"/>
            <w:vAlign w:val="center"/>
          </w:tcPr>
          <w:p w14:paraId="774D1700">
            <w:pPr>
              <w:jc w:val="center"/>
              <w:rPr>
                <w:rFonts w:ascii="宋体" w:hAnsi="宋体" w:cs="宋体"/>
                <w:color w:val="auto"/>
                <w:sz w:val="22"/>
                <w:szCs w:val="22"/>
              </w:rPr>
            </w:pPr>
            <w:r>
              <w:rPr>
                <w:rFonts w:hint="eastAsia"/>
                <w:color w:val="auto"/>
                <w:sz w:val="22"/>
                <w:szCs w:val="22"/>
                <w:lang w:val="en-US" w:eastAsia="zh-CN"/>
              </w:rPr>
              <w:t>1项</w:t>
            </w:r>
          </w:p>
        </w:tc>
        <w:tc>
          <w:tcPr>
            <w:tcW w:w="851" w:type="dxa"/>
            <w:vAlign w:val="center"/>
          </w:tcPr>
          <w:p w14:paraId="6494D61C">
            <w:pPr>
              <w:tabs>
                <w:tab w:val="left" w:pos="180"/>
                <w:tab w:val="left" w:pos="1620"/>
              </w:tabs>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其他未列明行业</w:t>
            </w:r>
          </w:p>
        </w:tc>
        <w:tc>
          <w:tcPr>
            <w:tcW w:w="5014" w:type="dxa"/>
            <w:vAlign w:val="center"/>
          </w:tcPr>
          <w:p w14:paraId="1987A14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为认真贯彻</w:t>
            </w:r>
            <w:r>
              <w:rPr>
                <w:rFonts w:hint="eastAsia" w:ascii="宋体" w:hAnsi="宋体" w:cs="宋体"/>
                <w:color w:val="auto"/>
                <w:sz w:val="24"/>
                <w:szCs w:val="24"/>
                <w:lang w:val="en-US" w:eastAsia="zh-CN"/>
              </w:rPr>
              <w:t>落实</w:t>
            </w:r>
            <w:r>
              <w:rPr>
                <w:rFonts w:hint="eastAsia" w:ascii="宋体" w:hAnsi="宋体" w:cs="宋体"/>
                <w:color w:val="auto"/>
                <w:sz w:val="24"/>
                <w:szCs w:val="24"/>
              </w:rPr>
              <w:t>党的二十大和中央、全区经济工作会议精神，落实全国、全区住房城乡建设工作会议有关部署，</w:t>
            </w:r>
            <w:r>
              <w:rPr>
                <w:rFonts w:hint="eastAsia" w:ascii="宋体" w:hAnsi="宋体" w:cs="宋体"/>
                <w:color w:val="auto"/>
                <w:sz w:val="24"/>
                <w:szCs w:val="24"/>
                <w:lang w:val="en-US" w:eastAsia="zh-CN"/>
              </w:rPr>
              <w:t>擦亮</w:t>
            </w:r>
            <w:r>
              <w:rPr>
                <w:rFonts w:hint="eastAsia" w:ascii="宋体" w:hAnsi="宋体" w:cs="宋体"/>
                <w:color w:val="auto"/>
                <w:sz w:val="24"/>
                <w:szCs w:val="24"/>
              </w:rPr>
              <w:t>“广西建造”品牌，塑造广西建筑业企业良好形象，推动广西建筑业企业</w:t>
            </w:r>
            <w:r>
              <w:rPr>
                <w:rFonts w:hint="eastAsia" w:ascii="宋体" w:hAnsi="宋体" w:cs="宋体"/>
                <w:color w:val="auto"/>
                <w:sz w:val="24"/>
                <w:szCs w:val="24"/>
                <w:lang w:eastAsia="zh-CN"/>
              </w:rPr>
              <w:t>“</w:t>
            </w:r>
            <w:r>
              <w:rPr>
                <w:rFonts w:hint="eastAsia" w:ascii="宋体" w:hAnsi="宋体" w:cs="宋体"/>
                <w:color w:val="auto"/>
                <w:sz w:val="24"/>
                <w:szCs w:val="24"/>
              </w:rPr>
              <w:t>走出去</w:t>
            </w:r>
            <w:r>
              <w:rPr>
                <w:rFonts w:hint="eastAsia" w:ascii="宋体" w:hAnsi="宋体" w:cs="宋体"/>
                <w:color w:val="auto"/>
                <w:sz w:val="24"/>
                <w:szCs w:val="24"/>
                <w:lang w:eastAsia="zh-CN"/>
              </w:rPr>
              <w:t>”</w:t>
            </w:r>
            <w:r>
              <w:rPr>
                <w:rFonts w:hint="eastAsia" w:ascii="宋体" w:hAnsi="宋体" w:cs="宋体"/>
                <w:color w:val="auto"/>
                <w:sz w:val="24"/>
                <w:szCs w:val="24"/>
              </w:rPr>
              <w:t>，拓展</w:t>
            </w:r>
            <w:r>
              <w:rPr>
                <w:rFonts w:hint="eastAsia" w:ascii="宋体" w:hAnsi="宋体" w:cs="宋体"/>
                <w:color w:val="auto"/>
                <w:sz w:val="24"/>
                <w:szCs w:val="24"/>
                <w:lang w:val="en-US" w:eastAsia="zh-CN"/>
              </w:rPr>
              <w:t>区外</w:t>
            </w:r>
            <w:r>
              <w:rPr>
                <w:rFonts w:hint="eastAsia" w:ascii="宋体" w:hAnsi="宋体" w:cs="宋体"/>
                <w:color w:val="auto"/>
                <w:sz w:val="24"/>
                <w:szCs w:val="24"/>
              </w:rPr>
              <w:t>市场，拟组织开展2024年广西建筑业企业“走出去”宣传活动。</w:t>
            </w:r>
          </w:p>
          <w:p w14:paraId="0AC31115">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bCs/>
                <w:color w:val="auto"/>
                <w:sz w:val="24"/>
                <w:szCs w:val="24"/>
              </w:rPr>
            </w:pPr>
            <w:r>
              <w:rPr>
                <w:rFonts w:hint="eastAsia" w:ascii="宋体" w:hAnsi="宋体" w:cs="宋体"/>
                <w:b/>
                <w:color w:val="auto"/>
                <w:szCs w:val="21"/>
              </w:rPr>
              <w:t>▲</w:t>
            </w:r>
            <w:r>
              <w:rPr>
                <w:rFonts w:hint="eastAsia" w:ascii="宋体" w:hAnsi="宋体" w:cs="宋体"/>
                <w:b/>
                <w:bCs/>
                <w:color w:val="auto"/>
                <w:sz w:val="24"/>
                <w:szCs w:val="24"/>
              </w:rPr>
              <w:t>一、</w:t>
            </w:r>
            <w:r>
              <w:rPr>
                <w:rFonts w:hint="eastAsia" w:ascii="宋体" w:hAnsi="宋体" w:cs="宋体"/>
                <w:b/>
                <w:bCs/>
                <w:color w:val="auto"/>
                <w:sz w:val="24"/>
                <w:szCs w:val="24"/>
                <w:lang w:val="en-US" w:eastAsia="zh-CN"/>
              </w:rPr>
              <w:t>活动</w:t>
            </w:r>
            <w:r>
              <w:rPr>
                <w:rFonts w:hint="eastAsia" w:ascii="宋体" w:hAnsi="宋体" w:cs="宋体"/>
                <w:b/>
                <w:bCs/>
                <w:color w:val="auto"/>
                <w:sz w:val="24"/>
                <w:szCs w:val="24"/>
              </w:rPr>
              <w:t>背景</w:t>
            </w:r>
          </w:p>
          <w:p w14:paraId="19DE749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建筑业是经济发展的支柱产业，在当前经济下行背景下，建筑行业总体增速逐步放缓。随着全国统一大市场新要求不断落地实施，建筑业企业创新求变，开拓区外市场，提高外向度，深挖新增长点，是新形势下生存和发展的重要举措。为塑造“广西建造”良好形象，助推广西建筑企业“走出去”，打开全国市场，拟组织开展系列宣传推介活动。</w:t>
            </w:r>
          </w:p>
          <w:p w14:paraId="3DFD2B28">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bCs/>
                <w:color w:val="auto"/>
                <w:sz w:val="24"/>
                <w:szCs w:val="24"/>
              </w:rPr>
            </w:pPr>
            <w:r>
              <w:rPr>
                <w:rFonts w:hint="eastAsia" w:ascii="宋体" w:hAnsi="宋体" w:cs="宋体"/>
                <w:b/>
                <w:color w:val="auto"/>
                <w:szCs w:val="21"/>
              </w:rPr>
              <w:t>▲</w:t>
            </w:r>
            <w:r>
              <w:rPr>
                <w:rFonts w:hint="eastAsia" w:ascii="宋体" w:hAnsi="宋体" w:cs="宋体"/>
                <w:b/>
                <w:bCs/>
                <w:color w:val="auto"/>
                <w:sz w:val="24"/>
                <w:szCs w:val="24"/>
              </w:rPr>
              <w:t>二、总体思路</w:t>
            </w:r>
          </w:p>
          <w:p w14:paraId="07073A5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本次宣传活动主要目的是扩大广西建筑企业知名度，提升“广西建造”在全国特别是在重点地区的的美誉度，擦亮“广西建造”名片，促成交流合作，助力企业“走出去”。计划通过组织广西重点建筑业企业赴江苏南京、江西南昌、湖北武汉、浙江杭州等</w:t>
            </w:r>
            <w:r>
              <w:rPr>
                <w:rFonts w:hint="eastAsia" w:ascii="宋体" w:hAnsi="宋体" w:cs="宋体"/>
                <w:color w:val="auto"/>
                <w:sz w:val="24"/>
                <w:szCs w:val="24"/>
                <w:lang w:val="en-US" w:eastAsia="zh-CN"/>
              </w:rPr>
              <w:t>4</w:t>
            </w:r>
            <w:r>
              <w:rPr>
                <w:rFonts w:hint="eastAsia" w:ascii="宋体" w:hAnsi="宋体" w:cs="宋体"/>
                <w:color w:val="auto"/>
                <w:sz w:val="24"/>
                <w:szCs w:val="24"/>
              </w:rPr>
              <w:t>个市场潜力较大的城市举办推介会的形式，开展系列宣传推广活动，通过图片、文字、视频多种</w:t>
            </w:r>
            <w:r>
              <w:rPr>
                <w:rFonts w:hint="eastAsia" w:ascii="宋体" w:hAnsi="宋体" w:cs="宋体"/>
                <w:color w:val="auto"/>
                <w:sz w:val="24"/>
                <w:szCs w:val="24"/>
                <w:lang w:val="en-US" w:eastAsia="zh-CN"/>
              </w:rPr>
              <w:t>媒介</w:t>
            </w:r>
            <w:r>
              <w:rPr>
                <w:rFonts w:hint="eastAsia" w:ascii="宋体" w:hAnsi="宋体" w:cs="宋体"/>
                <w:color w:val="auto"/>
                <w:sz w:val="24"/>
                <w:szCs w:val="24"/>
              </w:rPr>
              <w:t>，主要面向全国行业受众和推介地区，兼顾区内受众，有重点、有步骤在主流媒体机构和有影响力的新媒体平台进行宣传推广，以取得精准传播效果。</w:t>
            </w:r>
          </w:p>
          <w:p w14:paraId="0D58710C">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cs="宋体"/>
                <w:b/>
                <w:color w:val="auto"/>
                <w:szCs w:val="21"/>
              </w:rPr>
              <w:t>▲</w:t>
            </w:r>
            <w:r>
              <w:rPr>
                <w:rFonts w:hint="eastAsia" w:ascii="宋体" w:hAnsi="宋体" w:cs="宋体"/>
                <w:b/>
                <w:bCs/>
                <w:color w:val="auto"/>
                <w:sz w:val="24"/>
                <w:szCs w:val="24"/>
              </w:rPr>
              <w:t>三、宣传时间</w:t>
            </w:r>
          </w:p>
          <w:p w14:paraId="6E1B304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2024年9月-2024年11月</w:t>
            </w:r>
          </w:p>
          <w:p w14:paraId="43498ADD">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bCs/>
                <w:color w:val="auto"/>
                <w:sz w:val="24"/>
                <w:szCs w:val="24"/>
              </w:rPr>
            </w:pPr>
            <w:r>
              <w:rPr>
                <w:rFonts w:hint="eastAsia" w:ascii="宋体" w:hAnsi="宋体" w:cs="宋体"/>
                <w:b/>
                <w:color w:val="auto"/>
                <w:szCs w:val="21"/>
              </w:rPr>
              <w:t>▲</w:t>
            </w:r>
            <w:r>
              <w:rPr>
                <w:rFonts w:hint="eastAsia" w:ascii="宋体" w:hAnsi="宋体" w:cs="宋体"/>
                <w:b/>
                <w:bCs/>
                <w:color w:val="auto"/>
                <w:sz w:val="24"/>
                <w:szCs w:val="24"/>
              </w:rPr>
              <w:t>四、宣传形式</w:t>
            </w:r>
          </w:p>
          <w:p w14:paraId="05DCE1A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（一）线下活动。组织广西重点建筑业企业赴江苏南京、江西南昌、湖北武汉、浙江杭州等</w:t>
            </w:r>
            <w:r>
              <w:rPr>
                <w:rFonts w:hint="eastAsia" w:ascii="宋体" w:hAnsi="宋体" w:cs="宋体"/>
                <w:color w:val="auto"/>
                <w:sz w:val="24"/>
                <w:szCs w:val="24"/>
                <w:lang w:val="en-US" w:eastAsia="zh-CN"/>
              </w:rPr>
              <w:t>4</w:t>
            </w:r>
            <w:r>
              <w:rPr>
                <w:rFonts w:hint="eastAsia" w:ascii="宋体" w:hAnsi="宋体" w:cs="宋体"/>
                <w:color w:val="auto"/>
                <w:sz w:val="24"/>
                <w:szCs w:val="24"/>
              </w:rPr>
              <w:t>个市场潜力较大的地区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以采购人批准的</w:t>
            </w:r>
            <w:r>
              <w:rPr>
                <w:rFonts w:hint="eastAsia" w:ascii="宋体" w:hAnsi="宋体" w:cs="宋体"/>
                <w:color w:val="auto"/>
                <w:sz w:val="24"/>
                <w:szCs w:val="24"/>
              </w:rPr>
              <w:t>宣传推广</w:t>
            </w:r>
            <w:r>
              <w:rPr>
                <w:rFonts w:hint="eastAsia" w:ascii="宋体" w:hAnsi="宋体" w:cs="宋体"/>
                <w:color w:val="auto"/>
                <w:sz w:val="24"/>
                <w:szCs w:val="24"/>
                <w:lang w:val="en-US" w:eastAsia="zh-CN"/>
              </w:rPr>
              <w:t>方案为准</w:t>
            </w:r>
            <w:r>
              <w:rPr>
                <w:rFonts w:hint="eastAsia" w:ascii="宋体" w:hAnsi="宋体" w:cs="宋体"/>
                <w:color w:val="auto"/>
                <w:sz w:val="24"/>
                <w:szCs w:val="24"/>
                <w:lang w:eastAsia="zh-CN"/>
              </w:rPr>
              <w:t>）</w:t>
            </w:r>
            <w:r>
              <w:rPr>
                <w:rFonts w:hint="eastAsia" w:ascii="宋体" w:hAnsi="宋体" w:cs="宋体"/>
                <w:color w:val="auto"/>
                <w:sz w:val="24"/>
                <w:szCs w:val="24"/>
              </w:rPr>
              <w:t>开展“</w:t>
            </w:r>
            <w:r>
              <w:rPr>
                <w:rFonts w:hint="eastAsia" w:ascii="宋体" w:hAnsi="宋体" w:cs="宋体"/>
                <w:color w:val="auto"/>
                <w:sz w:val="24"/>
                <w:szCs w:val="24"/>
                <w:lang w:eastAsia="zh-CN"/>
              </w:rPr>
              <w:t>广西建筑业优秀企业推介会</w:t>
            </w:r>
            <w:r>
              <w:rPr>
                <w:rFonts w:hint="eastAsia" w:ascii="宋体" w:hAnsi="宋体" w:cs="宋体"/>
                <w:color w:val="auto"/>
                <w:sz w:val="24"/>
                <w:szCs w:val="24"/>
              </w:rPr>
              <w:t>”，介绍区内外由广西建筑业企业参与建设的重大项目、重点</w:t>
            </w:r>
            <w:r>
              <w:rPr>
                <w:rFonts w:hint="eastAsia" w:ascii="宋体" w:hAnsi="宋体" w:cs="宋体"/>
                <w:color w:val="auto"/>
                <w:sz w:val="24"/>
                <w:szCs w:val="24"/>
                <w:lang w:val="en-US" w:eastAsia="zh-CN"/>
              </w:rPr>
              <w:t>工程</w:t>
            </w:r>
            <w:r>
              <w:rPr>
                <w:rFonts w:hint="eastAsia" w:ascii="宋体" w:hAnsi="宋体" w:cs="宋体"/>
                <w:color w:val="auto"/>
                <w:sz w:val="24"/>
                <w:szCs w:val="24"/>
              </w:rPr>
              <w:t>，展示广西建筑业企业的建造优势。</w:t>
            </w:r>
          </w:p>
          <w:p w14:paraId="4B263A3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（二）宣传短片。制作广西建筑业宣传短片，重点介绍广西建筑业</w:t>
            </w:r>
            <w:r>
              <w:rPr>
                <w:rFonts w:hint="eastAsia" w:ascii="宋体" w:hAnsi="宋体" w:cs="宋体"/>
                <w:color w:val="auto"/>
                <w:sz w:val="24"/>
                <w:szCs w:val="24"/>
                <w:lang w:val="en-US" w:eastAsia="zh-CN"/>
              </w:rPr>
              <w:t>发展成果</w:t>
            </w:r>
            <w:r>
              <w:rPr>
                <w:rFonts w:hint="eastAsia" w:ascii="宋体" w:hAnsi="宋体" w:cs="宋体"/>
                <w:color w:val="auto"/>
                <w:sz w:val="24"/>
                <w:szCs w:val="24"/>
              </w:rPr>
              <w:t>、企业实力、代表性工程等。</w:t>
            </w:r>
          </w:p>
          <w:p w14:paraId="66E1FD1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（三）新闻报道。联合中央级媒体、全国性行业权威媒体和推介地主流媒体开展系列新闻报道。</w:t>
            </w:r>
          </w:p>
          <w:p w14:paraId="35EF7C9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default" w:ascii="Times New Roman" w:hAnsi="Times New Roman" w:cs="Times New Roman"/>
                <w:color w:val="auto"/>
                <w:sz w:val="24"/>
                <w:szCs w:val="24"/>
              </w:rPr>
              <w:t>（四）短视频推广。选择微信公众号等新媒体平台，以短视频、动画等形式向推介会召开地的目标群体进行宣传内容投放。</w:t>
            </w:r>
          </w:p>
          <w:p w14:paraId="7A3DE224">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bCs/>
                <w:color w:val="auto"/>
                <w:sz w:val="24"/>
                <w:szCs w:val="24"/>
              </w:rPr>
            </w:pPr>
            <w:r>
              <w:rPr>
                <w:rFonts w:hint="eastAsia" w:ascii="宋体" w:hAnsi="宋体" w:cs="宋体"/>
                <w:b/>
                <w:color w:val="auto"/>
                <w:szCs w:val="21"/>
              </w:rPr>
              <w:t>▲</w:t>
            </w:r>
            <w:r>
              <w:rPr>
                <w:rFonts w:hint="eastAsia" w:ascii="宋体" w:hAnsi="宋体" w:cs="宋体"/>
                <w:b/>
                <w:bCs/>
                <w:color w:val="auto"/>
                <w:sz w:val="24"/>
                <w:szCs w:val="24"/>
              </w:rPr>
              <w:t>五、宣传平台及内容安排</w:t>
            </w:r>
          </w:p>
          <w:p w14:paraId="15E8DF2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拟选择以下宣传平台进行内容投放：</w:t>
            </w:r>
          </w:p>
          <w:p w14:paraId="47803B3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（一）在中央级媒体或全国性行业权威媒体上推送宣传稿件，同时在同等级媒体的新媒体平台上（微信号、网站等）进行消息推送；</w:t>
            </w:r>
          </w:p>
          <w:p w14:paraId="4DCBF20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（二）每次推介会选择与当地主流媒体合作进行宣传推广，委托当地媒体结合推介会，采写与当地有关的广西建筑业稿件。</w:t>
            </w:r>
          </w:p>
          <w:p w14:paraId="1AB3B20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（三）在自治区主流媒体进行纸媒宣传，面向自治区有影响力的人群，分专题宣传广西建筑业</w:t>
            </w:r>
            <w:r>
              <w:rPr>
                <w:rFonts w:hint="eastAsia" w:ascii="宋体" w:hAnsi="宋体" w:cs="宋体"/>
                <w:color w:val="auto"/>
                <w:sz w:val="24"/>
                <w:szCs w:val="24"/>
                <w:lang w:val="en-US" w:eastAsia="zh-CN"/>
              </w:rPr>
              <w:t>发展成果</w:t>
            </w:r>
            <w:r>
              <w:rPr>
                <w:rFonts w:hint="eastAsia" w:ascii="宋体" w:hAnsi="宋体" w:cs="宋体"/>
                <w:color w:val="auto"/>
                <w:sz w:val="24"/>
                <w:szCs w:val="24"/>
              </w:rPr>
              <w:t>，扩大知晓度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美誉度</w:t>
            </w:r>
            <w:r>
              <w:rPr>
                <w:rFonts w:hint="eastAsia" w:ascii="宋体" w:hAnsi="宋体" w:cs="宋体"/>
                <w:color w:val="auto"/>
                <w:sz w:val="24"/>
                <w:szCs w:val="24"/>
              </w:rPr>
              <w:t>。</w:t>
            </w:r>
          </w:p>
          <w:p w14:paraId="1B1BC07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（四）选择</w:t>
            </w:r>
            <w:r>
              <w:rPr>
                <w:rFonts w:hint="eastAsia" w:ascii="宋体" w:hAnsi="宋体" w:cs="宋体"/>
                <w:color w:val="auto"/>
                <w:sz w:val="24"/>
                <w:szCs w:val="24"/>
                <w:lang w:val="en-US" w:eastAsia="zh-CN"/>
              </w:rPr>
              <w:t>有影响力的</w:t>
            </w:r>
            <w:r>
              <w:rPr>
                <w:rFonts w:hint="eastAsia" w:ascii="宋体" w:hAnsi="宋体" w:cs="宋体"/>
                <w:color w:val="auto"/>
                <w:sz w:val="24"/>
                <w:szCs w:val="24"/>
              </w:rPr>
              <w:t>新媒体平台，以短视频、动画等形式向推介会召开地的目标群体进行宣传内容投放。</w:t>
            </w:r>
          </w:p>
          <w:p w14:paraId="02BC5EC1">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bCs/>
                <w:color w:val="auto"/>
                <w:sz w:val="24"/>
                <w:szCs w:val="24"/>
              </w:rPr>
            </w:pPr>
            <w:r>
              <w:rPr>
                <w:rFonts w:hint="eastAsia" w:ascii="宋体" w:hAnsi="宋体" w:cs="宋体"/>
                <w:b/>
                <w:color w:val="auto"/>
                <w:szCs w:val="21"/>
              </w:rPr>
              <w:t>▲</w:t>
            </w:r>
            <w:r>
              <w:rPr>
                <w:rFonts w:hint="eastAsia" w:ascii="宋体" w:hAnsi="宋体" w:cs="宋体"/>
                <w:b/>
                <w:bCs/>
                <w:color w:val="auto"/>
                <w:sz w:val="24"/>
                <w:szCs w:val="24"/>
              </w:rPr>
              <w:t>六、时间安排和实施步骤</w:t>
            </w:r>
          </w:p>
          <w:p w14:paraId="4F6B191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（一）筹备策划阶段（2024年</w:t>
            </w:r>
            <w:r>
              <w:rPr>
                <w:rFonts w:hint="eastAsia" w:ascii="宋体" w:hAnsi="宋体" w:cs="宋体"/>
                <w:color w:val="auto"/>
                <w:sz w:val="24"/>
                <w:szCs w:val="24"/>
                <w:lang w:val="en-US" w:eastAsia="zh-CN"/>
              </w:rPr>
              <w:t>9</w:t>
            </w:r>
            <w:r>
              <w:rPr>
                <w:rFonts w:hint="eastAsia" w:ascii="宋体" w:hAnsi="宋体" w:cs="宋体"/>
                <w:color w:val="auto"/>
                <w:sz w:val="24"/>
                <w:szCs w:val="24"/>
              </w:rPr>
              <w:t>月）明确工作任务，编制宣传策划方案。</w:t>
            </w:r>
          </w:p>
          <w:p w14:paraId="67DC4BA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（二）宣传动员阶段（2024年</w:t>
            </w:r>
            <w:r>
              <w:rPr>
                <w:rFonts w:hint="eastAsia" w:ascii="宋体" w:hAnsi="宋体" w:cs="宋体"/>
                <w:color w:val="auto"/>
                <w:sz w:val="24"/>
                <w:szCs w:val="24"/>
                <w:lang w:val="en-US" w:eastAsia="zh-CN"/>
              </w:rPr>
              <w:t>10</w:t>
            </w:r>
            <w:r>
              <w:rPr>
                <w:rFonts w:hint="eastAsia" w:ascii="宋体" w:hAnsi="宋体" w:cs="宋体"/>
                <w:color w:val="auto"/>
                <w:sz w:val="24"/>
                <w:szCs w:val="24"/>
              </w:rPr>
              <w:t>月）收集材料，制作广西建筑业宣传短片。</w:t>
            </w:r>
          </w:p>
          <w:p w14:paraId="100D6AC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（三）推介会实施阶段（2024年10月-11月）分别在江苏</w:t>
            </w:r>
            <w:r>
              <w:rPr>
                <w:rFonts w:hint="eastAsia" w:ascii="宋体" w:hAnsi="宋体" w:cs="宋体"/>
                <w:color w:val="auto"/>
                <w:sz w:val="24"/>
                <w:szCs w:val="24"/>
                <w:lang w:val="en-US" w:eastAsia="zh-CN"/>
              </w:rPr>
              <w:t>省</w:t>
            </w:r>
            <w:r>
              <w:rPr>
                <w:rFonts w:hint="eastAsia" w:ascii="宋体" w:hAnsi="宋体" w:cs="宋体"/>
                <w:color w:val="auto"/>
                <w:sz w:val="24"/>
                <w:szCs w:val="24"/>
              </w:rPr>
              <w:t>南京</w:t>
            </w:r>
            <w:r>
              <w:rPr>
                <w:rFonts w:hint="eastAsia" w:ascii="宋体" w:hAnsi="宋体" w:cs="宋体"/>
                <w:color w:val="auto"/>
                <w:sz w:val="24"/>
                <w:szCs w:val="24"/>
                <w:lang w:val="en-US" w:eastAsia="zh-CN"/>
              </w:rPr>
              <w:t>市</w:t>
            </w:r>
            <w:r>
              <w:rPr>
                <w:rFonts w:hint="eastAsia" w:ascii="宋体" w:hAnsi="宋体" w:cs="宋体"/>
                <w:color w:val="auto"/>
                <w:sz w:val="24"/>
                <w:szCs w:val="24"/>
              </w:rPr>
              <w:t>、江西</w:t>
            </w:r>
            <w:r>
              <w:rPr>
                <w:rFonts w:hint="eastAsia" w:ascii="宋体" w:hAnsi="宋体" w:cs="宋体"/>
                <w:color w:val="auto"/>
                <w:sz w:val="24"/>
                <w:szCs w:val="24"/>
                <w:lang w:val="en-US" w:eastAsia="zh-CN"/>
              </w:rPr>
              <w:t>省</w:t>
            </w:r>
            <w:r>
              <w:rPr>
                <w:rFonts w:hint="eastAsia" w:ascii="宋体" w:hAnsi="宋体" w:cs="宋体"/>
                <w:color w:val="auto"/>
                <w:sz w:val="24"/>
                <w:szCs w:val="24"/>
              </w:rPr>
              <w:t>南昌</w:t>
            </w:r>
            <w:r>
              <w:rPr>
                <w:rFonts w:hint="eastAsia" w:ascii="宋体" w:hAnsi="宋体" w:cs="宋体"/>
                <w:color w:val="auto"/>
                <w:sz w:val="24"/>
                <w:szCs w:val="24"/>
                <w:lang w:val="en-US" w:eastAsia="zh-CN"/>
              </w:rPr>
              <w:t>市</w:t>
            </w:r>
            <w:r>
              <w:rPr>
                <w:rFonts w:hint="eastAsia" w:ascii="宋体" w:hAnsi="宋体" w:cs="宋体"/>
                <w:color w:val="auto"/>
                <w:sz w:val="24"/>
                <w:szCs w:val="24"/>
              </w:rPr>
              <w:t>、湖北</w:t>
            </w:r>
            <w:r>
              <w:rPr>
                <w:rFonts w:hint="eastAsia" w:ascii="宋体" w:hAnsi="宋体" w:cs="宋体"/>
                <w:color w:val="auto"/>
                <w:sz w:val="24"/>
                <w:szCs w:val="24"/>
                <w:lang w:val="en-US" w:eastAsia="zh-CN"/>
              </w:rPr>
              <w:t>省</w:t>
            </w:r>
            <w:r>
              <w:rPr>
                <w:rFonts w:hint="eastAsia" w:ascii="宋体" w:hAnsi="宋体" w:cs="宋体"/>
                <w:color w:val="auto"/>
                <w:sz w:val="24"/>
                <w:szCs w:val="24"/>
              </w:rPr>
              <w:t>武汉</w:t>
            </w:r>
            <w:r>
              <w:rPr>
                <w:rFonts w:hint="eastAsia" w:ascii="宋体" w:hAnsi="宋体" w:cs="宋体"/>
                <w:color w:val="auto"/>
                <w:sz w:val="24"/>
                <w:szCs w:val="24"/>
                <w:lang w:val="en-US" w:eastAsia="zh-CN"/>
              </w:rPr>
              <w:t>市、浙江省杭州市</w:t>
            </w:r>
            <w:r>
              <w:rPr>
                <w:rFonts w:hint="eastAsia" w:ascii="宋体" w:hAnsi="宋体" w:cs="宋体"/>
                <w:color w:val="auto"/>
                <w:sz w:val="24"/>
                <w:szCs w:val="24"/>
              </w:rPr>
              <w:t>落地</w:t>
            </w:r>
            <w:r>
              <w:rPr>
                <w:rFonts w:hint="eastAsia" w:ascii="宋体" w:hAnsi="宋体" w:cs="宋体"/>
                <w:color w:val="auto"/>
                <w:sz w:val="24"/>
                <w:szCs w:val="24"/>
                <w:lang w:val="en-US" w:eastAsia="zh-CN"/>
              </w:rPr>
              <w:t>召开</w:t>
            </w:r>
            <w:r>
              <w:rPr>
                <w:rFonts w:hint="eastAsia" w:ascii="宋体" w:hAnsi="宋体" w:cs="宋体"/>
                <w:color w:val="auto"/>
                <w:sz w:val="24"/>
                <w:szCs w:val="24"/>
              </w:rPr>
              <w:t>推介会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w:t>
            </w:r>
            <w:r>
              <w:rPr>
                <w:rFonts w:hint="eastAsia" w:ascii="宋体" w:hAnsi="宋体" w:cs="宋体"/>
                <w:color w:val="auto"/>
                <w:sz w:val="24"/>
                <w:szCs w:val="24"/>
              </w:rPr>
              <w:t>安排各媒体配合做好宣传，营造气氛。</w:t>
            </w:r>
          </w:p>
          <w:p w14:paraId="411D716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（四）总结阶段（202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cs="宋体"/>
                <w:color w:val="auto"/>
                <w:sz w:val="24"/>
                <w:szCs w:val="24"/>
              </w:rPr>
              <w:t>月）对宣传推广工作进行复盘，总结经验教训，资料整理归档</w:t>
            </w:r>
            <w:r>
              <w:rPr>
                <w:rFonts w:hint="eastAsia" w:ascii="宋体" w:hAnsi="宋体" w:cs="宋体"/>
                <w:color w:val="auto"/>
                <w:sz w:val="24"/>
                <w:szCs w:val="24"/>
                <w:lang w:eastAsia="zh-CN"/>
              </w:rPr>
              <w:t>。</w:t>
            </w:r>
          </w:p>
          <w:p w14:paraId="46FAD430">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cs="宋体"/>
                <w:b/>
                <w:bCs/>
                <w:color w:val="auto"/>
                <w:sz w:val="24"/>
                <w:szCs w:val="24"/>
              </w:rPr>
            </w:pPr>
            <w:r>
              <w:rPr>
                <w:rFonts w:hint="eastAsia" w:ascii="宋体" w:hAnsi="宋体" w:cs="宋体"/>
                <w:b/>
                <w:color w:val="auto"/>
                <w:szCs w:val="21"/>
              </w:rPr>
              <w:t>▲</w:t>
            </w:r>
            <w:r>
              <w:rPr>
                <w:rFonts w:hint="eastAsia" w:ascii="宋体" w:hAnsi="宋体" w:cs="宋体"/>
                <w:b/>
                <w:bCs/>
                <w:color w:val="auto"/>
                <w:sz w:val="24"/>
                <w:szCs w:val="24"/>
              </w:rPr>
              <w:t>七、工作分工</w:t>
            </w:r>
          </w:p>
          <w:p w14:paraId="3FB5A21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（一）推介会</w:t>
            </w:r>
          </w:p>
          <w:p w14:paraId="6BE948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1、采购单位负责</w:t>
            </w:r>
            <w:r>
              <w:rPr>
                <w:rFonts w:hint="eastAsia" w:ascii="宋体" w:hAnsi="宋体" w:cs="宋体"/>
                <w:color w:val="auto"/>
                <w:sz w:val="24"/>
                <w:szCs w:val="24"/>
                <w:lang w:val="en-US" w:eastAsia="zh-CN"/>
              </w:rPr>
              <w:t>确认</w:t>
            </w:r>
            <w:r>
              <w:rPr>
                <w:rFonts w:hint="eastAsia" w:ascii="宋体" w:hAnsi="宋体" w:cs="宋体"/>
                <w:color w:val="auto"/>
                <w:sz w:val="24"/>
                <w:szCs w:val="24"/>
              </w:rPr>
              <w:t>推介</w:t>
            </w:r>
            <w:r>
              <w:rPr>
                <w:rFonts w:hint="eastAsia" w:ascii="宋体" w:hAnsi="宋体" w:cs="宋体"/>
                <w:color w:val="auto"/>
                <w:sz w:val="24"/>
                <w:szCs w:val="24"/>
                <w:lang w:val="en-US" w:eastAsia="zh-CN"/>
              </w:rPr>
              <w:t>地区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审核</w:t>
            </w:r>
            <w:r>
              <w:rPr>
                <w:rFonts w:hint="eastAsia" w:ascii="宋体" w:hAnsi="宋体" w:cs="宋体"/>
                <w:color w:val="auto"/>
                <w:sz w:val="24"/>
                <w:szCs w:val="24"/>
              </w:rPr>
              <w:t>活动</w:t>
            </w:r>
            <w:r>
              <w:rPr>
                <w:rFonts w:hint="eastAsia" w:ascii="宋体" w:hAnsi="宋体" w:cs="宋体"/>
                <w:color w:val="auto"/>
                <w:sz w:val="24"/>
                <w:szCs w:val="24"/>
                <w:lang w:val="en-US" w:eastAsia="zh-CN"/>
              </w:rPr>
              <w:t>实施方案、宣传稿件等</w:t>
            </w:r>
            <w:r>
              <w:rPr>
                <w:rFonts w:hint="eastAsia" w:ascii="宋体" w:hAnsi="宋体" w:cs="宋体"/>
                <w:color w:val="auto"/>
                <w:sz w:val="24"/>
                <w:szCs w:val="24"/>
              </w:rPr>
              <w:t>相关材料。</w:t>
            </w:r>
          </w:p>
          <w:p w14:paraId="7B2412F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2、委托机构负责在</w:t>
            </w:r>
            <w:r>
              <w:rPr>
                <w:rFonts w:hint="eastAsia" w:ascii="宋体" w:hAnsi="宋体" w:cs="宋体"/>
                <w:color w:val="auto"/>
                <w:sz w:val="24"/>
                <w:szCs w:val="24"/>
                <w:lang w:val="en-US" w:eastAsia="zh-CN"/>
              </w:rPr>
              <w:t>本次</w:t>
            </w:r>
            <w:r>
              <w:rPr>
                <w:rFonts w:hint="eastAsia" w:ascii="宋体" w:hAnsi="宋体" w:cs="宋体"/>
                <w:color w:val="auto"/>
                <w:sz w:val="24"/>
                <w:szCs w:val="24"/>
              </w:rPr>
              <w:t>活动全过程策划、统筹、项目对接</w:t>
            </w:r>
            <w:r>
              <w:rPr>
                <w:rFonts w:hint="eastAsia" w:ascii="宋体" w:hAnsi="宋体" w:cs="宋体"/>
                <w:color w:val="auto"/>
                <w:sz w:val="24"/>
                <w:szCs w:val="24"/>
                <w:lang w:eastAsia="zh-CN"/>
              </w:rPr>
              <w:t>、</w:t>
            </w:r>
            <w:r>
              <w:rPr>
                <w:rFonts w:hint="eastAsia" w:ascii="宋体" w:hAnsi="宋体" w:cs="宋体"/>
                <w:color w:val="auto"/>
                <w:sz w:val="24"/>
                <w:szCs w:val="24"/>
              </w:rPr>
              <w:t>落地执行</w:t>
            </w:r>
            <w:r>
              <w:rPr>
                <w:rFonts w:hint="eastAsia" w:ascii="宋体" w:hAnsi="宋体" w:cs="宋体"/>
                <w:color w:val="auto"/>
                <w:sz w:val="24"/>
                <w:szCs w:val="24"/>
                <w:lang w:val="en-US" w:eastAsia="zh-CN"/>
              </w:rPr>
              <w:t>等工作</w:t>
            </w:r>
            <w:r>
              <w:rPr>
                <w:rFonts w:hint="eastAsia" w:ascii="宋体" w:hAnsi="宋体" w:cs="宋体"/>
                <w:color w:val="auto"/>
                <w:sz w:val="24"/>
                <w:szCs w:val="24"/>
              </w:rPr>
              <w:t>。包括联系推介会所在地的投资企业、房地产开发相关企业、大型建筑企业等参与推介会，及落实当地媒体的宣传推广工作；推介活动的摄影、摄像、对接媒体发稿等。</w:t>
            </w:r>
          </w:p>
          <w:p w14:paraId="775A7F4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（二）宣传短片</w:t>
            </w:r>
          </w:p>
          <w:p w14:paraId="491826F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1、采购单位</w:t>
            </w:r>
            <w:r>
              <w:rPr>
                <w:rFonts w:hint="eastAsia" w:ascii="宋体" w:hAnsi="宋体" w:cs="宋体"/>
                <w:color w:val="auto"/>
                <w:sz w:val="24"/>
                <w:szCs w:val="24"/>
                <w:lang w:val="en-US" w:eastAsia="zh-CN"/>
              </w:rPr>
              <w:t>负责</w:t>
            </w:r>
            <w:r>
              <w:rPr>
                <w:rFonts w:hint="eastAsia" w:ascii="宋体" w:hAnsi="宋体" w:cs="宋体"/>
                <w:color w:val="auto"/>
                <w:sz w:val="24"/>
                <w:szCs w:val="24"/>
              </w:rPr>
              <w:t>相关文字、图片、视频等</w:t>
            </w:r>
            <w:r>
              <w:rPr>
                <w:rFonts w:hint="eastAsia" w:ascii="宋体" w:hAnsi="宋体" w:cs="宋体"/>
                <w:color w:val="auto"/>
                <w:sz w:val="24"/>
                <w:szCs w:val="24"/>
                <w:lang w:val="en-US" w:eastAsia="zh-CN"/>
              </w:rPr>
              <w:t>材料的审定</w:t>
            </w:r>
            <w:r>
              <w:rPr>
                <w:rFonts w:hint="eastAsia" w:ascii="宋体" w:hAnsi="宋体" w:cs="宋体"/>
                <w:color w:val="auto"/>
                <w:sz w:val="24"/>
                <w:szCs w:val="24"/>
              </w:rPr>
              <w:t>。</w:t>
            </w:r>
          </w:p>
          <w:p w14:paraId="614D0E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2、委托单位负责脚本编辑、拍摄、制作宣传短片。</w:t>
            </w:r>
          </w:p>
          <w:p w14:paraId="61F8FC7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（三）新闻报道</w:t>
            </w:r>
          </w:p>
          <w:p w14:paraId="3C338D2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联合媒体开展系列新闻报道。</w:t>
            </w:r>
          </w:p>
          <w:p w14:paraId="7FD2325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1、采购单位负责审定稿件。</w:t>
            </w:r>
          </w:p>
          <w:p w14:paraId="07A0DD2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2、委托机构负责新闻采写，并对接媒体刊发。</w:t>
            </w:r>
          </w:p>
          <w:p w14:paraId="6EE594D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（四）短视频推广</w:t>
            </w:r>
          </w:p>
          <w:p w14:paraId="625F9DE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1、采购单位负责</w:t>
            </w:r>
            <w:r>
              <w:rPr>
                <w:rFonts w:hint="eastAsia" w:ascii="宋体" w:hAnsi="宋体" w:cs="宋体"/>
                <w:color w:val="auto"/>
                <w:sz w:val="24"/>
                <w:szCs w:val="24"/>
                <w:lang w:val="en-US" w:eastAsia="zh-CN"/>
              </w:rPr>
              <w:t>负责</w:t>
            </w:r>
            <w:r>
              <w:rPr>
                <w:rFonts w:hint="eastAsia" w:ascii="宋体" w:hAnsi="宋体" w:cs="宋体"/>
                <w:color w:val="auto"/>
                <w:sz w:val="24"/>
                <w:szCs w:val="24"/>
              </w:rPr>
              <w:t>相关文字、图片、视频等</w:t>
            </w:r>
            <w:r>
              <w:rPr>
                <w:rFonts w:hint="eastAsia" w:ascii="宋体" w:hAnsi="宋体" w:cs="宋体"/>
                <w:color w:val="auto"/>
                <w:sz w:val="24"/>
                <w:szCs w:val="24"/>
                <w:lang w:val="en-US" w:eastAsia="zh-CN"/>
              </w:rPr>
              <w:t>材料的审定</w:t>
            </w:r>
            <w:r>
              <w:rPr>
                <w:rFonts w:hint="eastAsia" w:ascii="宋体" w:hAnsi="宋体" w:cs="宋体"/>
                <w:color w:val="auto"/>
                <w:sz w:val="24"/>
                <w:szCs w:val="24"/>
              </w:rPr>
              <w:t>。</w:t>
            </w:r>
          </w:p>
          <w:p w14:paraId="0387E6D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2、委托机构负责脚本编辑、</w:t>
            </w:r>
            <w:r>
              <w:rPr>
                <w:rFonts w:hint="eastAsia" w:ascii="宋体" w:hAnsi="宋体" w:cs="宋体"/>
                <w:color w:val="auto"/>
                <w:sz w:val="24"/>
                <w:szCs w:val="24"/>
                <w:lang w:val="en-US" w:eastAsia="zh-CN"/>
              </w:rPr>
              <w:t>素材采写拍摄、</w:t>
            </w:r>
            <w:r>
              <w:rPr>
                <w:rFonts w:hint="eastAsia" w:ascii="宋体" w:hAnsi="宋体" w:cs="宋体"/>
                <w:color w:val="auto"/>
                <w:sz w:val="24"/>
                <w:szCs w:val="24"/>
              </w:rPr>
              <w:t>视频</w:t>
            </w:r>
            <w:r>
              <w:rPr>
                <w:rFonts w:hint="eastAsia" w:ascii="宋体" w:hAnsi="宋体" w:cs="宋体"/>
                <w:color w:val="auto"/>
                <w:sz w:val="24"/>
                <w:szCs w:val="24"/>
                <w:lang w:val="en-US" w:eastAsia="zh-CN"/>
              </w:rPr>
              <w:t>编辑制作</w:t>
            </w:r>
            <w:r>
              <w:rPr>
                <w:rFonts w:hint="eastAsia" w:ascii="宋体" w:hAnsi="宋体" w:cs="宋体"/>
                <w:color w:val="auto"/>
                <w:sz w:val="24"/>
                <w:szCs w:val="24"/>
              </w:rPr>
              <w:t>、协调有关媒体推广</w:t>
            </w:r>
            <w:r>
              <w:rPr>
                <w:rFonts w:hint="eastAsia" w:ascii="宋体" w:hAnsi="宋体" w:cs="宋体"/>
                <w:color w:val="auto"/>
                <w:sz w:val="24"/>
                <w:szCs w:val="24"/>
                <w:lang w:val="en-US" w:eastAsia="zh-CN"/>
              </w:rPr>
              <w:t>投放等</w:t>
            </w:r>
            <w:r>
              <w:rPr>
                <w:rFonts w:hint="eastAsia" w:ascii="宋体" w:hAnsi="宋体" w:cs="宋体"/>
                <w:color w:val="auto"/>
                <w:sz w:val="24"/>
                <w:szCs w:val="24"/>
              </w:rPr>
              <w:t>。</w:t>
            </w:r>
          </w:p>
          <w:p w14:paraId="30B25DE7">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cs="宋体"/>
                <w:b/>
                <w:color w:val="auto"/>
                <w:szCs w:val="21"/>
              </w:rPr>
              <w:t>▲</w:t>
            </w:r>
            <w:r>
              <w:rPr>
                <w:rFonts w:hint="eastAsia" w:ascii="宋体" w:hAnsi="宋体" w:cs="宋体"/>
                <w:b/>
                <w:bCs/>
                <w:color w:val="auto"/>
                <w:sz w:val="24"/>
                <w:szCs w:val="24"/>
              </w:rPr>
              <w:t>八、</w:t>
            </w:r>
            <w:r>
              <w:rPr>
                <w:rFonts w:hint="eastAsia" w:ascii="宋体" w:hAnsi="宋体" w:cs="宋体"/>
                <w:b/>
                <w:bCs/>
                <w:color w:val="auto"/>
                <w:sz w:val="24"/>
                <w:szCs w:val="24"/>
                <w:lang w:val="en-US" w:eastAsia="zh-CN"/>
              </w:rPr>
              <w:t>服务项目</w:t>
            </w:r>
          </w:p>
          <w:p w14:paraId="0AF8C6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本次宣传活动</w:t>
            </w:r>
            <w:r>
              <w:rPr>
                <w:rFonts w:hint="eastAsia" w:ascii="宋体" w:hAnsi="宋体" w:cs="宋体"/>
                <w:color w:val="auto"/>
                <w:sz w:val="24"/>
                <w:szCs w:val="24"/>
                <w:lang w:eastAsia="zh-CN"/>
              </w:rPr>
              <w:t>采购</w:t>
            </w:r>
            <w:r>
              <w:rPr>
                <w:rFonts w:hint="eastAsia" w:ascii="宋体" w:hAnsi="宋体" w:cs="宋体"/>
                <w:color w:val="auto"/>
                <w:sz w:val="24"/>
                <w:szCs w:val="24"/>
              </w:rPr>
              <w:t>包含策划咨询、视频制作、媒体宣传推广等费用。每个片区具体项目如下：</w:t>
            </w:r>
          </w:p>
          <w:p w14:paraId="5B0B41B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1、策划咨询</w:t>
            </w:r>
            <w:r>
              <w:rPr>
                <w:rFonts w:hint="eastAsia" w:ascii="宋体" w:hAnsi="宋体" w:cs="宋体"/>
                <w:color w:val="auto"/>
                <w:sz w:val="24"/>
                <w:szCs w:val="24"/>
                <w:lang w:eastAsia="zh-CN"/>
              </w:rPr>
              <w:t>：</w:t>
            </w:r>
            <w:r>
              <w:rPr>
                <w:rFonts w:hint="eastAsia" w:ascii="宋体" w:hAnsi="宋体" w:cs="宋体"/>
                <w:color w:val="auto"/>
                <w:sz w:val="24"/>
                <w:szCs w:val="24"/>
              </w:rPr>
              <w:t>负责本项目推介活动的策划统筹</w:t>
            </w:r>
            <w:r>
              <w:rPr>
                <w:rFonts w:hint="eastAsia" w:ascii="宋体" w:hAnsi="宋体" w:cs="宋体"/>
                <w:color w:val="auto"/>
                <w:sz w:val="24"/>
                <w:szCs w:val="24"/>
                <w:lang w:eastAsia="zh-CN"/>
              </w:rPr>
              <w:t>、</w:t>
            </w:r>
            <w:r>
              <w:rPr>
                <w:rFonts w:hint="eastAsia" w:ascii="宋体" w:hAnsi="宋体" w:cs="宋体"/>
                <w:color w:val="auto"/>
                <w:sz w:val="24"/>
                <w:szCs w:val="24"/>
              </w:rPr>
              <w:t>项目对接</w:t>
            </w:r>
            <w:r>
              <w:rPr>
                <w:rFonts w:hint="eastAsia" w:ascii="宋体" w:hAnsi="宋体" w:cs="宋体"/>
                <w:color w:val="auto"/>
                <w:sz w:val="24"/>
                <w:szCs w:val="24"/>
                <w:lang w:eastAsia="zh-CN"/>
              </w:rPr>
              <w:t>、</w:t>
            </w:r>
            <w:r>
              <w:rPr>
                <w:rFonts w:hint="eastAsia" w:ascii="宋体" w:hAnsi="宋体" w:cs="宋体"/>
                <w:color w:val="auto"/>
                <w:sz w:val="24"/>
                <w:szCs w:val="24"/>
              </w:rPr>
              <w:t>参会嘉宾邀请</w:t>
            </w:r>
            <w:r>
              <w:rPr>
                <w:rFonts w:hint="eastAsia" w:ascii="宋体" w:hAnsi="宋体" w:cs="宋体"/>
                <w:color w:val="auto"/>
                <w:sz w:val="24"/>
                <w:szCs w:val="24"/>
                <w:lang w:eastAsia="zh-CN"/>
              </w:rPr>
              <w:t>、</w:t>
            </w:r>
            <w:r>
              <w:rPr>
                <w:rFonts w:hint="eastAsia" w:ascii="宋体" w:hAnsi="宋体" w:cs="宋体"/>
                <w:color w:val="auto"/>
                <w:sz w:val="24"/>
                <w:szCs w:val="24"/>
              </w:rPr>
              <w:t>媒体</w:t>
            </w:r>
            <w:r>
              <w:rPr>
                <w:rFonts w:hint="eastAsia" w:ascii="宋体" w:hAnsi="宋体" w:cs="宋体"/>
                <w:color w:val="auto"/>
                <w:sz w:val="24"/>
                <w:szCs w:val="24"/>
                <w:lang w:val="en-US" w:eastAsia="zh-CN"/>
              </w:rPr>
              <w:t>投放</w:t>
            </w:r>
            <w:r>
              <w:rPr>
                <w:rFonts w:hint="eastAsia" w:ascii="宋体" w:hAnsi="宋体" w:cs="宋体"/>
                <w:color w:val="auto"/>
                <w:sz w:val="24"/>
                <w:szCs w:val="24"/>
              </w:rPr>
              <w:t>等。</w:t>
            </w:r>
          </w:p>
          <w:p w14:paraId="48EC6CA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2、视频制作：摄制</w:t>
            </w:r>
            <w:r>
              <w:rPr>
                <w:rFonts w:hint="eastAsia" w:ascii="宋体" w:hAnsi="宋体" w:cs="宋体"/>
                <w:color w:val="auto"/>
                <w:sz w:val="24"/>
                <w:szCs w:val="24"/>
                <w:lang w:val="en-US" w:eastAsia="zh-CN"/>
              </w:rPr>
              <w:t>1条</w:t>
            </w:r>
            <w:r>
              <w:rPr>
                <w:rFonts w:hint="eastAsia" w:ascii="宋体" w:hAnsi="宋体" w:cs="宋体"/>
                <w:color w:val="auto"/>
                <w:sz w:val="24"/>
                <w:szCs w:val="24"/>
              </w:rPr>
              <w:t>广西建筑业“走出去”宣传视频，重点介绍广西建筑业</w:t>
            </w:r>
            <w:r>
              <w:rPr>
                <w:rFonts w:hint="eastAsia" w:ascii="宋体" w:hAnsi="宋体" w:cs="宋体"/>
                <w:color w:val="auto"/>
                <w:sz w:val="24"/>
                <w:szCs w:val="24"/>
                <w:lang w:val="en-US" w:eastAsia="zh-CN"/>
              </w:rPr>
              <w:t>发展成果</w:t>
            </w:r>
            <w:r>
              <w:rPr>
                <w:rFonts w:hint="eastAsia" w:ascii="宋体" w:hAnsi="宋体" w:cs="宋体"/>
                <w:color w:val="auto"/>
                <w:sz w:val="24"/>
                <w:szCs w:val="24"/>
              </w:rPr>
              <w:t>、企业实力、代表性工程、“走出去”相关政策内容等，包括后续讨论可能增加的内容。（含脚本、创意、撰写、拍摄、剪辑、配乐、特效包装合成等）。</w:t>
            </w:r>
            <w:r>
              <w:rPr>
                <w:rFonts w:hint="eastAsia" w:ascii="宋体" w:hAnsi="宋体" w:cs="宋体"/>
                <w:color w:val="auto"/>
                <w:sz w:val="24"/>
                <w:szCs w:val="24"/>
                <w:lang w:val="en-US" w:eastAsia="zh-CN"/>
              </w:rPr>
              <w:t>视频时长不少于8分钟，清晰度至少1080×1920以上。</w:t>
            </w:r>
          </w:p>
          <w:p w14:paraId="43907B5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3、召开</w:t>
            </w:r>
            <w:r>
              <w:rPr>
                <w:rFonts w:hint="eastAsia" w:ascii="宋体" w:hAnsi="宋体" w:cs="宋体"/>
                <w:color w:val="auto"/>
                <w:sz w:val="24"/>
                <w:szCs w:val="24"/>
                <w:lang w:val="en-US" w:eastAsia="zh-CN"/>
              </w:rPr>
              <w:t>4</w:t>
            </w:r>
            <w:r>
              <w:rPr>
                <w:rFonts w:hint="eastAsia" w:ascii="宋体" w:hAnsi="宋体" w:cs="宋体"/>
                <w:color w:val="auto"/>
                <w:sz w:val="24"/>
                <w:szCs w:val="24"/>
              </w:rPr>
              <w:t>场推介会</w:t>
            </w:r>
            <w:r>
              <w:rPr>
                <w:rFonts w:hint="eastAsia" w:ascii="宋体" w:hAnsi="宋体" w:cs="宋体"/>
                <w:color w:val="auto"/>
                <w:sz w:val="24"/>
                <w:szCs w:val="24"/>
                <w:lang w:eastAsia="zh-CN"/>
              </w:rPr>
              <w:t>：</w:t>
            </w:r>
            <w:r>
              <w:rPr>
                <w:rFonts w:hint="eastAsia" w:ascii="宋体" w:hAnsi="宋体" w:cs="宋体"/>
                <w:color w:val="auto"/>
                <w:sz w:val="24"/>
                <w:szCs w:val="24"/>
              </w:rPr>
              <w:t>包括活动策划、落实场地、会场布置、接待嘉宾、邀请当地平台公司、房开企业、房地产协会等参会嘉宾、邀请组织当地媒体，邀请当地建筑类及上下游企业（如文旅企业）出席等</w:t>
            </w:r>
            <w:r>
              <w:rPr>
                <w:rFonts w:hint="eastAsia" w:ascii="宋体" w:hAnsi="宋体" w:cs="宋体"/>
                <w:color w:val="auto"/>
                <w:sz w:val="24"/>
                <w:szCs w:val="24"/>
                <w:lang w:eastAsia="zh-CN"/>
              </w:rPr>
              <w:t>。</w:t>
            </w:r>
          </w:p>
          <w:p w14:paraId="5B02A73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4、媒体宣传推广。</w:t>
            </w:r>
          </w:p>
          <w:p w14:paraId="4BF5A2B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在中央级媒体或全国性行业权威媒体上对本</w:t>
            </w:r>
            <w:r>
              <w:rPr>
                <w:rFonts w:hint="eastAsia" w:ascii="宋体" w:hAnsi="宋体" w:cs="宋体"/>
                <w:color w:val="auto"/>
                <w:sz w:val="24"/>
                <w:szCs w:val="24"/>
                <w:lang w:val="en-US" w:eastAsia="zh-CN"/>
              </w:rPr>
              <w:t>标段宣传</w:t>
            </w:r>
            <w:r>
              <w:rPr>
                <w:rFonts w:hint="eastAsia" w:ascii="宋体" w:hAnsi="宋体" w:cs="宋体"/>
                <w:color w:val="auto"/>
                <w:sz w:val="24"/>
                <w:szCs w:val="24"/>
              </w:rPr>
              <w:t>活动</w:t>
            </w:r>
            <w:r>
              <w:rPr>
                <w:rFonts w:hint="eastAsia" w:ascii="宋体" w:hAnsi="宋体" w:cs="宋体"/>
                <w:color w:val="auto"/>
                <w:sz w:val="24"/>
                <w:szCs w:val="24"/>
                <w:lang w:val="en-US" w:eastAsia="zh-CN"/>
              </w:rPr>
              <w:t>进行</w:t>
            </w:r>
            <w:r>
              <w:rPr>
                <w:rFonts w:hint="eastAsia" w:ascii="宋体" w:hAnsi="宋体" w:cs="宋体"/>
                <w:color w:val="auto"/>
                <w:sz w:val="24"/>
                <w:szCs w:val="24"/>
              </w:rPr>
              <w:t>推广，内容包括：不低于</w:t>
            </w:r>
            <w:r>
              <w:rPr>
                <w:rFonts w:hint="eastAsia" w:ascii="宋体" w:hAnsi="宋体" w:cs="宋体"/>
                <w:color w:val="auto"/>
                <w:sz w:val="24"/>
                <w:szCs w:val="24"/>
                <w:lang w:val="en-US" w:eastAsia="zh-CN"/>
              </w:rPr>
              <w:t>4</w:t>
            </w:r>
            <w:r>
              <w:rPr>
                <w:rFonts w:hint="eastAsia" w:ascii="宋体" w:hAnsi="宋体" w:cs="宋体"/>
                <w:color w:val="auto"/>
                <w:sz w:val="24"/>
                <w:szCs w:val="24"/>
              </w:rPr>
              <w:t>次纸媒宣传，每次宣传稿件不低于500字；在同等级媒体的新媒体平台上（微信号、网站等）不低于</w:t>
            </w:r>
            <w:r>
              <w:rPr>
                <w:rFonts w:hint="eastAsia" w:ascii="宋体" w:hAnsi="宋体" w:cs="宋体"/>
                <w:color w:val="auto"/>
                <w:sz w:val="24"/>
                <w:szCs w:val="24"/>
                <w:lang w:val="en-US" w:eastAsia="zh-CN"/>
              </w:rPr>
              <w:t>4</w:t>
            </w:r>
            <w:r>
              <w:rPr>
                <w:rFonts w:hint="eastAsia" w:ascii="宋体" w:hAnsi="宋体" w:cs="宋体"/>
                <w:color w:val="auto"/>
                <w:sz w:val="24"/>
                <w:szCs w:val="24"/>
              </w:rPr>
              <w:t>次消息推送，稿件不低于800字且至少包含1张以上图片。</w:t>
            </w:r>
          </w:p>
          <w:p w14:paraId="6F08BFC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在</w:t>
            </w:r>
            <w:r>
              <w:rPr>
                <w:rFonts w:hint="eastAsia" w:ascii="宋体" w:hAnsi="宋体" w:cs="宋体"/>
                <w:color w:val="auto"/>
                <w:sz w:val="24"/>
                <w:szCs w:val="24"/>
                <w:lang w:val="en-US" w:eastAsia="zh-CN"/>
              </w:rPr>
              <w:t>推介会当地的</w:t>
            </w:r>
            <w:r>
              <w:rPr>
                <w:rFonts w:hint="eastAsia" w:ascii="宋体" w:hAnsi="宋体" w:cs="宋体"/>
                <w:color w:val="auto"/>
                <w:sz w:val="24"/>
                <w:szCs w:val="24"/>
              </w:rPr>
              <w:t>省级主流媒体对</w:t>
            </w:r>
            <w:r>
              <w:rPr>
                <w:rFonts w:hint="eastAsia" w:ascii="宋体" w:hAnsi="宋体" w:cs="宋体"/>
                <w:color w:val="auto"/>
                <w:sz w:val="24"/>
                <w:szCs w:val="24"/>
                <w:lang w:val="en-US" w:eastAsia="zh-CN"/>
              </w:rPr>
              <w:t>标段宣传</w:t>
            </w:r>
            <w:r>
              <w:rPr>
                <w:rFonts w:hint="eastAsia" w:ascii="宋体" w:hAnsi="宋体" w:cs="宋体"/>
                <w:color w:val="auto"/>
                <w:sz w:val="24"/>
                <w:szCs w:val="24"/>
              </w:rPr>
              <w:t>活动</w:t>
            </w:r>
            <w:r>
              <w:rPr>
                <w:rFonts w:hint="eastAsia" w:ascii="宋体" w:hAnsi="宋体" w:cs="宋体"/>
                <w:color w:val="auto"/>
                <w:sz w:val="24"/>
                <w:szCs w:val="24"/>
                <w:lang w:val="en-US" w:eastAsia="zh-CN"/>
              </w:rPr>
              <w:t>进行</w:t>
            </w:r>
            <w:r>
              <w:rPr>
                <w:rFonts w:hint="eastAsia" w:ascii="宋体" w:hAnsi="宋体" w:cs="宋体"/>
                <w:color w:val="auto"/>
                <w:sz w:val="24"/>
                <w:szCs w:val="24"/>
              </w:rPr>
              <w:t>推广，内容包括：每场推介会在当地</w:t>
            </w:r>
            <w:r>
              <w:rPr>
                <w:rFonts w:hint="eastAsia" w:ascii="宋体" w:hAnsi="宋体" w:cs="宋体"/>
                <w:color w:val="auto"/>
                <w:sz w:val="24"/>
                <w:szCs w:val="24"/>
                <w:lang w:val="en-US" w:eastAsia="zh-CN"/>
              </w:rPr>
              <w:t>至少1家</w:t>
            </w:r>
            <w:r>
              <w:rPr>
                <w:rFonts w:hint="eastAsia" w:ascii="宋体" w:hAnsi="宋体" w:cs="宋体"/>
                <w:color w:val="auto"/>
                <w:sz w:val="24"/>
                <w:szCs w:val="24"/>
              </w:rPr>
              <w:t>省级主流媒体</w:t>
            </w:r>
            <w:r>
              <w:rPr>
                <w:rFonts w:hint="eastAsia" w:ascii="宋体" w:hAnsi="宋体" w:cs="宋体"/>
                <w:color w:val="auto"/>
                <w:sz w:val="24"/>
                <w:szCs w:val="24"/>
                <w:lang w:val="en-US" w:eastAsia="zh-CN"/>
              </w:rPr>
              <w:t>上</w:t>
            </w:r>
            <w:r>
              <w:rPr>
                <w:rFonts w:hint="eastAsia" w:ascii="宋体" w:hAnsi="宋体" w:cs="宋体"/>
                <w:color w:val="auto"/>
                <w:sz w:val="24"/>
                <w:szCs w:val="24"/>
              </w:rPr>
              <w:t>（纸质媒体、新媒体平台均可）不低于1次消息推送，稿件不低于800字</w:t>
            </w:r>
            <w:r>
              <w:rPr>
                <w:rFonts w:hint="eastAsia" w:ascii="宋体" w:hAnsi="宋体" w:cs="宋体"/>
                <w:color w:val="auto"/>
                <w:sz w:val="24"/>
                <w:szCs w:val="24"/>
                <w:lang w:eastAsia="zh-CN"/>
              </w:rPr>
              <w:t>。</w:t>
            </w:r>
          </w:p>
          <w:p w14:paraId="5CA942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在</w:t>
            </w:r>
            <w:r>
              <w:rPr>
                <w:rFonts w:hint="eastAsia" w:ascii="宋体" w:hAnsi="宋体" w:cs="宋体"/>
                <w:color w:val="auto"/>
                <w:sz w:val="24"/>
                <w:szCs w:val="24"/>
                <w:lang w:val="en-US" w:eastAsia="zh-CN"/>
              </w:rPr>
              <w:t>广西主流</w:t>
            </w:r>
            <w:r>
              <w:rPr>
                <w:rFonts w:hint="eastAsia" w:ascii="宋体" w:hAnsi="宋体" w:cs="宋体"/>
                <w:color w:val="auto"/>
                <w:sz w:val="24"/>
                <w:szCs w:val="24"/>
              </w:rPr>
              <w:t>媒体平台上对本</w:t>
            </w:r>
            <w:r>
              <w:rPr>
                <w:rFonts w:hint="eastAsia" w:ascii="宋体" w:hAnsi="宋体" w:cs="宋体"/>
                <w:color w:val="auto"/>
                <w:sz w:val="24"/>
                <w:szCs w:val="24"/>
                <w:lang w:val="en-US" w:eastAsia="zh-CN"/>
              </w:rPr>
              <w:t>标段宣传</w:t>
            </w:r>
            <w:r>
              <w:rPr>
                <w:rFonts w:hint="eastAsia" w:ascii="宋体" w:hAnsi="宋体" w:cs="宋体"/>
                <w:color w:val="auto"/>
                <w:sz w:val="24"/>
                <w:szCs w:val="24"/>
              </w:rPr>
              <w:t>活动</w:t>
            </w:r>
            <w:r>
              <w:rPr>
                <w:rFonts w:hint="eastAsia" w:ascii="宋体" w:hAnsi="宋体" w:cs="宋体"/>
                <w:color w:val="auto"/>
                <w:sz w:val="24"/>
                <w:szCs w:val="24"/>
                <w:lang w:val="en-US" w:eastAsia="zh-CN"/>
              </w:rPr>
              <w:t>进行</w:t>
            </w:r>
            <w:r>
              <w:rPr>
                <w:rFonts w:hint="eastAsia" w:ascii="宋体" w:hAnsi="宋体" w:cs="宋体"/>
                <w:color w:val="auto"/>
                <w:sz w:val="24"/>
                <w:szCs w:val="24"/>
              </w:rPr>
              <w:t>宣传推广，内容包括：在广西主流媒体上不低于1次纸媒宣传，每次宣传稿件不低于800字；在同等级媒体的新媒体平台上（微信号、网站等）不低于</w:t>
            </w:r>
            <w:r>
              <w:rPr>
                <w:rFonts w:hint="eastAsia" w:ascii="宋体" w:hAnsi="宋体" w:cs="宋体"/>
                <w:color w:val="auto"/>
                <w:sz w:val="24"/>
                <w:szCs w:val="24"/>
                <w:lang w:val="en-US" w:eastAsia="zh-CN"/>
              </w:rPr>
              <w:t>4</w:t>
            </w:r>
            <w:r>
              <w:rPr>
                <w:rFonts w:hint="eastAsia" w:ascii="宋体" w:hAnsi="宋体" w:cs="宋体"/>
                <w:color w:val="auto"/>
                <w:sz w:val="24"/>
                <w:szCs w:val="24"/>
              </w:rPr>
              <w:t>次消息推送，稿件不低于800字且至少包含1张以上图片。</w:t>
            </w:r>
          </w:p>
        </w:tc>
      </w:tr>
      <w:bookmarkEnd w:id="96"/>
      <w:tr w14:paraId="3C229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tcPr>
          <w:p w14:paraId="2966E96E">
            <w:pPr>
              <w:spacing w:line="360" w:lineRule="exact"/>
              <w:rPr>
                <w:rFonts w:ascii="宋体" w:hAnsi="宋体"/>
                <w:color w:val="auto"/>
                <w:szCs w:val="21"/>
              </w:rPr>
            </w:pPr>
            <w:r>
              <w:rPr>
                <w:rFonts w:hint="eastAsia" w:ascii="宋体" w:hAnsi="宋体" w:cs="宋体"/>
                <w:color w:val="auto"/>
                <w:szCs w:val="21"/>
              </w:rPr>
              <w:t>▲</w:t>
            </w:r>
            <w:r>
              <w:rPr>
                <w:rFonts w:hint="eastAsia" w:ascii="宋体" w:hAnsi="宋体"/>
                <w:b/>
                <w:color w:val="auto"/>
                <w:szCs w:val="21"/>
              </w:rPr>
              <w:t>一、商务要求</w:t>
            </w:r>
          </w:p>
        </w:tc>
      </w:tr>
      <w:tr w14:paraId="4E90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00070027">
            <w:pPr>
              <w:spacing w:line="360" w:lineRule="exact"/>
              <w:rPr>
                <w:rFonts w:ascii="宋体" w:hAnsi="宋体" w:cs="宋体"/>
                <w:b/>
                <w:color w:val="auto"/>
                <w:szCs w:val="21"/>
              </w:rPr>
            </w:pPr>
            <w:r>
              <w:rPr>
                <w:rFonts w:hint="eastAsia" w:ascii="宋体" w:hAnsi="宋体" w:cs="宋体"/>
                <w:color w:val="auto"/>
                <w:szCs w:val="21"/>
              </w:rPr>
              <w:t>合同签订时间</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1D5DA7F2">
            <w:pPr>
              <w:spacing w:line="360" w:lineRule="exact"/>
              <w:rPr>
                <w:rFonts w:ascii="宋体" w:hAnsi="宋体" w:cs="宋体"/>
                <w:b/>
                <w:color w:val="auto"/>
                <w:szCs w:val="21"/>
              </w:rPr>
            </w:pPr>
            <w:r>
              <w:rPr>
                <w:rFonts w:hint="eastAsia" w:ascii="宋体" w:hAnsi="宋体" w:cs="宋体"/>
                <w:color w:val="auto"/>
                <w:szCs w:val="21"/>
              </w:rPr>
              <w:t>自成交通知书发出之日起</w:t>
            </w:r>
            <w:r>
              <w:rPr>
                <w:rFonts w:hint="eastAsia" w:ascii="宋体" w:hAnsi="宋体" w:cs="宋体"/>
                <w:color w:val="auto"/>
                <w:szCs w:val="21"/>
                <w:lang w:val="en-US" w:eastAsia="zh-CN"/>
              </w:rPr>
              <w:t>25</w:t>
            </w:r>
            <w:r>
              <w:rPr>
                <w:rFonts w:hint="eastAsia" w:ascii="宋体" w:hAnsi="宋体" w:cs="宋体"/>
                <w:color w:val="auto"/>
                <w:szCs w:val="21"/>
              </w:rPr>
              <w:t>个日历日内。</w:t>
            </w:r>
          </w:p>
        </w:tc>
      </w:tr>
      <w:tr w14:paraId="54B3E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10032C99">
            <w:pPr>
              <w:spacing w:line="360" w:lineRule="exact"/>
              <w:rPr>
                <w:rFonts w:ascii="宋体" w:hAnsi="宋体"/>
                <w:color w:val="auto"/>
                <w:szCs w:val="21"/>
              </w:rPr>
            </w:pPr>
            <w:r>
              <w:rPr>
                <w:rFonts w:hint="eastAsia" w:ascii="宋体" w:hAnsi="宋体"/>
                <w:color w:val="auto"/>
                <w:szCs w:val="21"/>
                <w:lang w:eastAsia="zh-CN"/>
              </w:rPr>
              <w:t>宣传时间</w:t>
            </w:r>
            <w:r>
              <w:rPr>
                <w:rFonts w:hint="eastAsia" w:ascii="宋体" w:hAnsi="宋体"/>
                <w:color w:val="auto"/>
                <w:szCs w:val="21"/>
              </w:rPr>
              <w:t>及地点</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5D8E05B6">
            <w:pPr>
              <w:spacing w:line="360" w:lineRule="exact"/>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宣传时间</w:t>
            </w:r>
            <w:r>
              <w:rPr>
                <w:rFonts w:hint="eastAsia" w:ascii="宋体" w:hAnsi="宋体"/>
                <w:color w:val="auto"/>
                <w:szCs w:val="21"/>
              </w:rPr>
              <w:t>：</w:t>
            </w:r>
            <w:r>
              <w:rPr>
                <w:rFonts w:hint="eastAsia" w:ascii="宋体" w:hAnsi="宋体"/>
                <w:color w:val="auto"/>
                <w:szCs w:val="21"/>
                <w:lang w:eastAsia="zh-CN"/>
              </w:rPr>
              <w:t>2024年9月-2024年</w:t>
            </w:r>
            <w:r>
              <w:rPr>
                <w:rFonts w:hint="eastAsia" w:ascii="宋体" w:hAnsi="宋体"/>
                <w:color w:val="auto"/>
                <w:szCs w:val="21"/>
                <w:lang w:val="en-US" w:eastAsia="zh-CN"/>
              </w:rPr>
              <w:t>12</w:t>
            </w:r>
            <w:r>
              <w:rPr>
                <w:rFonts w:hint="eastAsia" w:ascii="宋体" w:hAnsi="宋体"/>
                <w:color w:val="auto"/>
                <w:szCs w:val="21"/>
                <w:lang w:eastAsia="zh-CN"/>
              </w:rPr>
              <w:t>月</w:t>
            </w:r>
            <w:r>
              <w:rPr>
                <w:rFonts w:hint="eastAsia" w:ascii="宋体" w:hAnsi="宋体" w:cs="仿宋_GB2312"/>
                <w:color w:val="auto"/>
                <w:szCs w:val="21"/>
              </w:rPr>
              <w:t>。</w:t>
            </w:r>
          </w:p>
          <w:p w14:paraId="47AA5C25">
            <w:pPr>
              <w:spacing w:line="360" w:lineRule="exact"/>
              <w:rPr>
                <w:rFonts w:ascii="宋体" w:hAnsi="宋体"/>
                <w:color w:val="auto"/>
                <w:szCs w:val="21"/>
              </w:rPr>
            </w:pPr>
            <w:r>
              <w:rPr>
                <w:rFonts w:hint="eastAsia" w:ascii="宋体" w:hAnsi="宋体"/>
                <w:color w:val="auto"/>
                <w:szCs w:val="21"/>
              </w:rPr>
              <w:t>2.服务地点：江苏</w:t>
            </w:r>
            <w:r>
              <w:rPr>
                <w:rFonts w:hint="eastAsia" w:ascii="宋体" w:hAnsi="宋体"/>
                <w:color w:val="auto"/>
                <w:szCs w:val="21"/>
                <w:lang w:val="en-US" w:eastAsia="zh-CN"/>
              </w:rPr>
              <w:t>省</w:t>
            </w:r>
            <w:r>
              <w:rPr>
                <w:rFonts w:hint="eastAsia" w:ascii="宋体" w:hAnsi="宋体"/>
                <w:color w:val="auto"/>
                <w:szCs w:val="21"/>
              </w:rPr>
              <w:t>南京</w:t>
            </w:r>
            <w:r>
              <w:rPr>
                <w:rFonts w:hint="eastAsia" w:ascii="宋体" w:hAnsi="宋体"/>
                <w:color w:val="auto"/>
                <w:szCs w:val="21"/>
                <w:lang w:val="en-US" w:eastAsia="zh-CN"/>
              </w:rPr>
              <w:t>市</w:t>
            </w:r>
            <w:r>
              <w:rPr>
                <w:rFonts w:hint="eastAsia" w:ascii="宋体" w:hAnsi="宋体"/>
                <w:color w:val="auto"/>
                <w:szCs w:val="21"/>
              </w:rPr>
              <w:t>、江西</w:t>
            </w:r>
            <w:r>
              <w:rPr>
                <w:rFonts w:hint="eastAsia" w:ascii="宋体" w:hAnsi="宋体"/>
                <w:color w:val="auto"/>
                <w:szCs w:val="21"/>
                <w:lang w:val="en-US" w:eastAsia="zh-CN"/>
              </w:rPr>
              <w:t>省</w:t>
            </w:r>
            <w:r>
              <w:rPr>
                <w:rFonts w:hint="eastAsia" w:ascii="宋体" w:hAnsi="宋体"/>
                <w:color w:val="auto"/>
                <w:szCs w:val="21"/>
              </w:rPr>
              <w:t>南昌</w:t>
            </w:r>
            <w:r>
              <w:rPr>
                <w:rFonts w:hint="eastAsia" w:ascii="宋体" w:hAnsi="宋体"/>
                <w:color w:val="auto"/>
                <w:szCs w:val="21"/>
                <w:lang w:val="en-US" w:eastAsia="zh-CN"/>
              </w:rPr>
              <w:t>市</w:t>
            </w:r>
            <w:r>
              <w:rPr>
                <w:rFonts w:hint="eastAsia" w:ascii="宋体" w:hAnsi="宋体"/>
                <w:color w:val="auto"/>
                <w:szCs w:val="21"/>
              </w:rPr>
              <w:t>、湖北</w:t>
            </w:r>
            <w:r>
              <w:rPr>
                <w:rFonts w:hint="eastAsia" w:ascii="宋体" w:hAnsi="宋体"/>
                <w:color w:val="auto"/>
                <w:szCs w:val="21"/>
                <w:lang w:val="en-US" w:eastAsia="zh-CN"/>
              </w:rPr>
              <w:t>省</w:t>
            </w:r>
            <w:r>
              <w:rPr>
                <w:rFonts w:hint="eastAsia" w:ascii="宋体" w:hAnsi="宋体"/>
                <w:color w:val="auto"/>
                <w:szCs w:val="21"/>
              </w:rPr>
              <w:t>武汉</w:t>
            </w:r>
            <w:r>
              <w:rPr>
                <w:rFonts w:hint="eastAsia" w:ascii="宋体" w:hAnsi="宋体"/>
                <w:color w:val="auto"/>
                <w:szCs w:val="21"/>
                <w:lang w:val="en-US" w:eastAsia="zh-CN"/>
              </w:rPr>
              <w:t>市、浙江省杭州市</w:t>
            </w:r>
            <w:r>
              <w:rPr>
                <w:rFonts w:hint="eastAsia" w:ascii="宋体" w:hAnsi="宋体"/>
                <w:color w:val="auto"/>
                <w:szCs w:val="21"/>
              </w:rPr>
              <w:t>。</w:t>
            </w:r>
          </w:p>
        </w:tc>
      </w:tr>
      <w:tr w14:paraId="3FE46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42246F6A">
            <w:pPr>
              <w:spacing w:line="360" w:lineRule="exact"/>
              <w:rPr>
                <w:rFonts w:ascii="宋体" w:hAnsi="宋体"/>
                <w:color w:val="auto"/>
                <w:szCs w:val="21"/>
              </w:rPr>
            </w:pPr>
            <w:r>
              <w:rPr>
                <w:rFonts w:hint="eastAsia" w:ascii="宋体" w:hAnsi="宋体"/>
                <w:color w:val="auto"/>
                <w:szCs w:val="21"/>
              </w:rPr>
              <w:t>付款方式</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349AEE4C">
            <w:pPr>
              <w:spacing w:line="360" w:lineRule="atLeast"/>
              <w:ind w:firstLine="420"/>
              <w:rPr>
                <w:rFonts w:hint="default" w:eastAsia="仿宋_GB2312"/>
                <w:color w:val="auto"/>
                <w:lang w:val="en-US" w:eastAsia="zh-CN"/>
              </w:rPr>
            </w:pPr>
            <w:r>
              <w:rPr>
                <w:rFonts w:hint="eastAsia" w:ascii="宋体" w:hAnsi="宋体"/>
                <w:color w:val="auto"/>
                <w:szCs w:val="21"/>
                <w:lang w:eastAsia="zh-CN"/>
              </w:rPr>
              <w:t>在双方签订合同之日起</w:t>
            </w:r>
            <w:r>
              <w:rPr>
                <w:rFonts w:hint="eastAsia" w:ascii="宋体" w:hAnsi="宋体"/>
                <w:color w:val="auto"/>
                <w:szCs w:val="21"/>
                <w:lang w:val="en-US" w:eastAsia="zh-CN"/>
              </w:rPr>
              <w:t>10个工作日内</w:t>
            </w:r>
            <w:r>
              <w:rPr>
                <w:rFonts w:hint="eastAsia" w:ascii="宋体" w:hAnsi="宋体"/>
                <w:color w:val="auto"/>
                <w:szCs w:val="21"/>
                <w:lang w:eastAsia="zh-CN"/>
              </w:rPr>
              <w:t>甲方</w:t>
            </w:r>
            <w:r>
              <w:rPr>
                <w:rFonts w:hint="eastAsia" w:ascii="宋体" w:hAnsi="宋体"/>
                <w:color w:val="auto"/>
                <w:szCs w:val="21"/>
                <w:lang w:val="en-US" w:eastAsia="zh-CN"/>
              </w:rPr>
              <w:t>支付合同价款的50%给乙方，乙方完成宣传策划任务且通过甲方验收合格后10个工作日内甲方支付合同价款的50%给乙方。</w:t>
            </w:r>
          </w:p>
        </w:tc>
      </w:tr>
      <w:tr w14:paraId="0BEE4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32548D77">
            <w:pPr>
              <w:spacing w:line="360" w:lineRule="exact"/>
              <w:jc w:val="left"/>
              <w:rPr>
                <w:rFonts w:ascii="宋体" w:hAnsi="宋体"/>
                <w:color w:val="auto"/>
                <w:szCs w:val="21"/>
              </w:rPr>
            </w:pPr>
            <w:r>
              <w:rPr>
                <w:rFonts w:hint="eastAsia" w:ascii="宋体" w:hAnsi="宋体"/>
                <w:color w:val="auto"/>
                <w:szCs w:val="21"/>
              </w:rPr>
              <w:t>报价要求</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6DCBBD48">
            <w:pPr>
              <w:spacing w:line="360" w:lineRule="exact"/>
              <w:ind w:firstLine="420" w:firstLineChars="200"/>
              <w:rPr>
                <w:rFonts w:ascii="宋体" w:hAnsi="宋体"/>
                <w:color w:val="auto"/>
                <w:szCs w:val="21"/>
              </w:rPr>
            </w:pPr>
            <w:r>
              <w:rPr>
                <w:rFonts w:hint="eastAsia" w:ascii="宋体" w:hAnsi="宋体"/>
                <w:color w:val="auto"/>
                <w:szCs w:val="21"/>
              </w:rPr>
              <w:t>供应商磋商报价应包括但不限于完成本项目服务所需的劳务费、技术服务费、交通、通讯、差旅费、住宿费、办公场地、管理费、利润、税费、验收以及合同中的所有责任、义务和风险等相关一切费用，供应商都应综合考虑在报价中。</w:t>
            </w:r>
          </w:p>
        </w:tc>
      </w:tr>
      <w:tr w14:paraId="5FFEB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1CCF7B5B">
            <w:pPr>
              <w:spacing w:line="360" w:lineRule="exact"/>
              <w:rPr>
                <w:rFonts w:ascii="宋体" w:hAnsi="宋体"/>
                <w:color w:val="auto"/>
                <w:szCs w:val="21"/>
              </w:rPr>
            </w:pPr>
            <w:r>
              <w:rPr>
                <w:rFonts w:hint="eastAsia" w:ascii="宋体" w:hAnsi="宋体"/>
                <w:b/>
                <w:bCs/>
                <w:color w:val="auto"/>
                <w:szCs w:val="21"/>
              </w:rPr>
              <w:t>二、与实现项目目标相关的其他要求</w:t>
            </w:r>
          </w:p>
        </w:tc>
      </w:tr>
      <w:tr w14:paraId="3949F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40B6EC2B">
            <w:pPr>
              <w:spacing w:line="360" w:lineRule="exact"/>
              <w:rPr>
                <w:rFonts w:ascii="宋体" w:hAnsi="宋体"/>
                <w:b/>
                <w:color w:val="auto"/>
                <w:szCs w:val="21"/>
              </w:rPr>
            </w:pPr>
            <w:r>
              <w:rPr>
                <w:rFonts w:hint="eastAsia" w:ascii="宋体" w:hAnsi="宋体"/>
                <w:b/>
                <w:color w:val="auto"/>
                <w:szCs w:val="21"/>
              </w:rPr>
              <w:t>（一）供应商的履约能力要求</w:t>
            </w:r>
          </w:p>
        </w:tc>
      </w:tr>
      <w:tr w14:paraId="549FE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7EAC8CF2">
            <w:pPr>
              <w:spacing w:line="360" w:lineRule="exact"/>
              <w:rPr>
                <w:rFonts w:ascii="宋体" w:hAnsi="宋体"/>
                <w:color w:val="auto"/>
                <w:szCs w:val="21"/>
              </w:rPr>
            </w:pPr>
            <w:r>
              <w:rPr>
                <w:rFonts w:hint="eastAsia" w:ascii="宋体" w:hAnsi="宋体"/>
                <w:color w:val="auto"/>
                <w:szCs w:val="21"/>
              </w:rPr>
              <w:t>政策性加分条件</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385E421B">
            <w:pPr>
              <w:spacing w:line="360" w:lineRule="exact"/>
              <w:rPr>
                <w:rFonts w:ascii="宋体" w:hAnsi="宋体"/>
                <w:color w:val="auto"/>
                <w:szCs w:val="21"/>
              </w:rPr>
            </w:pPr>
            <w:r>
              <w:rPr>
                <w:rFonts w:hint="eastAsia" w:ascii="宋体" w:hAnsi="宋体"/>
                <w:color w:val="auto"/>
                <w:szCs w:val="21"/>
              </w:rPr>
              <w:t>见本采购文件第四章“评审程序、评审方法和评审标准”。</w:t>
            </w:r>
          </w:p>
        </w:tc>
      </w:tr>
      <w:tr w14:paraId="37D4B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5786A7E1">
            <w:pPr>
              <w:spacing w:line="360" w:lineRule="exact"/>
              <w:rPr>
                <w:rFonts w:ascii="宋体" w:hAnsi="宋体"/>
                <w:color w:val="auto"/>
                <w:szCs w:val="21"/>
              </w:rPr>
            </w:pPr>
            <w:r>
              <w:rPr>
                <w:rFonts w:hint="eastAsia" w:ascii="宋体" w:hAnsi="宋体"/>
                <w:color w:val="auto"/>
                <w:szCs w:val="21"/>
              </w:rPr>
              <w:t>质量管理体系要求</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3E6F6E28">
            <w:pPr>
              <w:spacing w:line="360" w:lineRule="exact"/>
              <w:rPr>
                <w:rFonts w:ascii="宋体" w:hAnsi="宋体"/>
                <w:color w:val="auto"/>
                <w:szCs w:val="21"/>
              </w:rPr>
            </w:pPr>
            <w:r>
              <w:rPr>
                <w:rFonts w:hint="eastAsia" w:ascii="宋体" w:hAnsi="宋体"/>
                <w:color w:val="auto"/>
                <w:szCs w:val="21"/>
              </w:rPr>
              <w:t>如有，请于响应文件中自行提供。</w:t>
            </w:r>
          </w:p>
        </w:tc>
      </w:tr>
      <w:tr w14:paraId="1F01B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11655F4A">
            <w:pPr>
              <w:spacing w:line="360" w:lineRule="exact"/>
              <w:rPr>
                <w:rFonts w:ascii="宋体" w:hAnsi="宋体"/>
                <w:color w:val="auto"/>
                <w:szCs w:val="21"/>
              </w:rPr>
            </w:pPr>
            <w:r>
              <w:rPr>
                <w:rFonts w:hint="eastAsia" w:ascii="宋体" w:hAnsi="宋体"/>
                <w:color w:val="auto"/>
                <w:szCs w:val="21"/>
              </w:rPr>
              <w:t>业绩要求</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12380B22">
            <w:pPr>
              <w:spacing w:line="360" w:lineRule="exact"/>
              <w:rPr>
                <w:rFonts w:ascii="宋体" w:hAnsi="宋体"/>
                <w:color w:val="auto"/>
                <w:szCs w:val="21"/>
              </w:rPr>
            </w:pPr>
            <w:r>
              <w:rPr>
                <w:rFonts w:hint="eastAsia" w:ascii="宋体" w:hAnsi="宋体"/>
                <w:color w:val="auto"/>
                <w:szCs w:val="21"/>
              </w:rPr>
              <w:t>如有，请于响应文件中自行提供。</w:t>
            </w:r>
          </w:p>
        </w:tc>
      </w:tr>
      <w:tr w14:paraId="7B7FC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22E265E0">
            <w:pPr>
              <w:tabs>
                <w:tab w:val="left" w:pos="180"/>
                <w:tab w:val="left" w:pos="1620"/>
              </w:tabs>
              <w:spacing w:line="360" w:lineRule="exact"/>
              <w:rPr>
                <w:rFonts w:ascii="宋体" w:hAnsi="宋体" w:cs="宋体"/>
                <w:bCs/>
                <w:color w:val="auto"/>
                <w:szCs w:val="21"/>
              </w:rPr>
            </w:pPr>
            <w:r>
              <w:rPr>
                <w:rFonts w:hint="eastAsia" w:ascii="宋体" w:hAnsi="宋体"/>
                <w:b/>
                <w:color w:val="auto"/>
                <w:szCs w:val="21"/>
              </w:rPr>
              <w:t>（二）验收标准</w:t>
            </w:r>
          </w:p>
        </w:tc>
      </w:tr>
      <w:tr w14:paraId="5CE22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059D4D6D">
            <w:pPr>
              <w:spacing w:line="36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《采购需求》表另有要求的，按要求执行。</w:t>
            </w:r>
          </w:p>
          <w:p w14:paraId="68958E38">
            <w:pPr>
              <w:spacing w:line="360" w:lineRule="exact"/>
              <w:ind w:firstLine="420" w:firstLineChars="200"/>
              <w:rPr>
                <w:rFonts w:ascii="宋体" w:hAnsi="宋体"/>
                <w:color w:val="auto"/>
                <w:szCs w:val="21"/>
              </w:rPr>
            </w:pPr>
            <w:r>
              <w:rPr>
                <w:rFonts w:hint="eastAsia" w:ascii="宋体" w:hAnsi="宋体"/>
                <w:color w:val="auto"/>
                <w:szCs w:val="21"/>
              </w:rPr>
              <w:t>2.符合现行国家相关标准、行业标准、地方标准或者其他标准、规范。</w:t>
            </w:r>
          </w:p>
          <w:p w14:paraId="1BF31AFD">
            <w:pPr>
              <w:spacing w:line="36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提供的服务内容与采购合同一致；项目完成经采购人确认后提交完善的文档</w:t>
            </w:r>
            <w:r>
              <w:rPr>
                <w:rFonts w:hint="eastAsia" w:ascii="宋体" w:hAnsi="宋体"/>
                <w:color w:val="auto"/>
                <w:szCs w:val="21"/>
                <w:lang w:eastAsia="zh-CN"/>
              </w:rPr>
              <w:t>资料</w:t>
            </w:r>
            <w:r>
              <w:rPr>
                <w:rFonts w:hint="eastAsia" w:ascii="宋体" w:hAnsi="宋体"/>
                <w:color w:val="auto"/>
                <w:szCs w:val="21"/>
              </w:rPr>
              <w:t>。</w:t>
            </w:r>
          </w:p>
          <w:p w14:paraId="33C9CD25">
            <w:pPr>
              <w:spacing w:line="360"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除另有约定的以外，验收过程中所产生的费用均由成交供应商承担。报价时应考虑相关费用。</w:t>
            </w:r>
          </w:p>
          <w:p w14:paraId="0B957133">
            <w:pPr>
              <w:spacing w:line="360" w:lineRule="exact"/>
              <w:ind w:firstLine="420" w:firstLineChars="200"/>
              <w:rPr>
                <w:rFonts w:ascii="宋体" w:hAnsi="宋体"/>
                <w:color w:val="auto"/>
                <w:szCs w:val="21"/>
              </w:rPr>
            </w:pPr>
            <w:r>
              <w:rPr>
                <w:rFonts w:hint="eastAsia" w:ascii="宋体" w:hAnsi="宋体"/>
                <w:color w:val="auto"/>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783DB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58AF9FCE">
            <w:pPr>
              <w:spacing w:line="360" w:lineRule="exact"/>
              <w:rPr>
                <w:rFonts w:ascii="宋体" w:hAnsi="宋体"/>
                <w:color w:val="auto"/>
                <w:szCs w:val="21"/>
              </w:rPr>
            </w:pPr>
            <w:r>
              <w:rPr>
                <w:rFonts w:hint="eastAsia" w:ascii="宋体" w:hAnsi="宋体"/>
                <w:b/>
                <w:color w:val="auto"/>
                <w:szCs w:val="21"/>
              </w:rPr>
              <w:t>（三）其他</w:t>
            </w:r>
          </w:p>
        </w:tc>
      </w:tr>
      <w:tr w14:paraId="2F043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111349B5">
            <w:pPr>
              <w:spacing w:line="360" w:lineRule="exact"/>
              <w:jc w:val="center"/>
              <w:rPr>
                <w:rFonts w:ascii="宋体" w:hAnsi="宋体"/>
                <w:color w:val="auto"/>
                <w:szCs w:val="21"/>
              </w:rPr>
            </w:pPr>
            <w:r>
              <w:rPr>
                <w:rFonts w:hint="eastAsia" w:ascii="宋体" w:hAnsi="宋体"/>
                <w:color w:val="auto"/>
                <w:szCs w:val="21"/>
              </w:rPr>
              <w:t>磋商说明</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7D19F8FF">
            <w:pPr>
              <w:spacing w:line="360" w:lineRule="exact"/>
              <w:rPr>
                <w:rFonts w:ascii="宋体" w:hAnsi="宋体"/>
                <w:color w:val="auto"/>
                <w:szCs w:val="21"/>
              </w:rPr>
            </w:pPr>
            <w:r>
              <w:rPr>
                <w:rFonts w:hint="eastAsia" w:ascii="宋体" w:hAnsi="宋体"/>
                <w:color w:val="auto"/>
                <w:szCs w:val="21"/>
              </w:rPr>
              <w:t>　  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tc>
      </w:tr>
      <w:tr w14:paraId="61E51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3DE05A92">
            <w:pPr>
              <w:spacing w:line="360" w:lineRule="exact"/>
              <w:jc w:val="center"/>
              <w:rPr>
                <w:rFonts w:hint="eastAsia" w:ascii="宋体" w:hAnsi="宋体" w:eastAsia="宋体"/>
                <w:color w:val="auto"/>
                <w:szCs w:val="21"/>
                <w:lang w:eastAsia="zh-CN"/>
              </w:rPr>
            </w:pPr>
            <w:r>
              <w:rPr>
                <w:rFonts w:hint="eastAsia" w:ascii="宋体" w:hAnsi="宋体" w:cs="宋体"/>
                <w:color w:val="auto"/>
                <w:szCs w:val="21"/>
              </w:rPr>
              <w:t>服务方案</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37FAF4BE">
            <w:pPr>
              <w:widowControl/>
              <w:ind w:firstLine="420" w:firstLineChars="200"/>
              <w:jc w:val="left"/>
              <w:rPr>
                <w:rFonts w:ascii="宋体" w:hAnsi="宋体"/>
                <w:bCs/>
                <w:color w:val="auto"/>
                <w:szCs w:val="21"/>
              </w:rPr>
            </w:pPr>
            <w:r>
              <w:rPr>
                <w:rFonts w:hint="eastAsia" w:ascii="宋体" w:hAnsi="宋体"/>
                <w:bCs/>
                <w:color w:val="auto"/>
                <w:szCs w:val="21"/>
              </w:rPr>
              <w:t>供应商根据自身情况，结合项目服务需求及评标办法（见采购文件第四章）提供项目</w:t>
            </w:r>
            <w:r>
              <w:rPr>
                <w:rFonts w:hint="eastAsia" w:ascii="宋体" w:hAnsi="宋体"/>
                <w:bCs/>
                <w:color w:val="auto"/>
                <w:szCs w:val="21"/>
                <w:lang w:eastAsia="zh-CN"/>
              </w:rPr>
              <w:t>服务</w:t>
            </w:r>
            <w:r>
              <w:rPr>
                <w:rFonts w:hint="eastAsia" w:ascii="宋体" w:hAnsi="宋体"/>
                <w:bCs/>
                <w:color w:val="auto"/>
                <w:szCs w:val="21"/>
              </w:rPr>
              <w:t>方案、</w:t>
            </w:r>
            <w:r>
              <w:rPr>
                <w:rFonts w:hint="eastAsia" w:ascii="宋体" w:hAnsi="宋体" w:cs="宋体"/>
                <w:color w:val="auto"/>
                <w:szCs w:val="21"/>
                <w:lang w:eastAsia="zh-CN"/>
              </w:rPr>
              <w:t>本地化服务方案、</w:t>
            </w:r>
            <w:r>
              <w:rPr>
                <w:rFonts w:hint="eastAsia" w:ascii="宋体" w:hAnsi="宋体"/>
                <w:bCs/>
                <w:color w:val="auto"/>
                <w:szCs w:val="21"/>
              </w:rPr>
              <w:t>售后服务方案、人员配备、资信、业绩等（格式自拟）。</w:t>
            </w:r>
          </w:p>
        </w:tc>
      </w:tr>
      <w:tr w14:paraId="7A11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3C85E2BA">
            <w:pPr>
              <w:spacing w:line="360" w:lineRule="exact"/>
              <w:jc w:val="center"/>
              <w:rPr>
                <w:rFonts w:ascii="宋体" w:hAnsi="宋体"/>
                <w:color w:val="auto"/>
                <w:szCs w:val="21"/>
              </w:rPr>
            </w:pPr>
            <w:r>
              <w:rPr>
                <w:rFonts w:hint="eastAsia" w:ascii="宋体" w:hAnsi="宋体"/>
                <w:color w:val="auto"/>
                <w:szCs w:val="21"/>
              </w:rPr>
              <w:t>▲最高限价</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534D4187">
            <w:pPr>
              <w:spacing w:line="360" w:lineRule="exact"/>
              <w:ind w:firstLine="420" w:firstLineChars="200"/>
              <w:rPr>
                <w:rFonts w:ascii="宋体" w:hAnsi="宋体"/>
                <w:b/>
                <w:color w:val="auto"/>
                <w:szCs w:val="21"/>
              </w:rPr>
            </w:pPr>
            <w:r>
              <w:rPr>
                <w:rFonts w:hint="eastAsia" w:ascii="宋体" w:hAnsi="宋体" w:cs="宋体"/>
                <w:color w:val="auto"/>
                <w:szCs w:val="21"/>
              </w:rPr>
              <w:t>本项目以采购预算为最高限价，</w:t>
            </w:r>
            <w:r>
              <w:rPr>
                <w:rFonts w:hint="eastAsia" w:ascii="宋体" w:hAnsi="宋体"/>
                <w:b/>
                <w:color w:val="auto"/>
                <w:szCs w:val="21"/>
                <w:u w:val="single"/>
              </w:rPr>
              <w:t>供应商竞标报价超最高限价的作无效响应处理</w:t>
            </w:r>
            <w:r>
              <w:rPr>
                <w:rFonts w:hint="eastAsia" w:ascii="宋体" w:hAnsi="宋体" w:cs="宋体"/>
                <w:color w:val="auto"/>
                <w:szCs w:val="21"/>
              </w:rPr>
              <w:t>。</w:t>
            </w:r>
          </w:p>
        </w:tc>
      </w:tr>
      <w:tr w14:paraId="6121E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4D74EE3C">
            <w:pPr>
              <w:spacing w:line="360" w:lineRule="exact"/>
              <w:jc w:val="center"/>
              <w:rPr>
                <w:rFonts w:ascii="宋体" w:hAnsi="宋体"/>
                <w:color w:val="auto"/>
                <w:szCs w:val="21"/>
              </w:rPr>
            </w:pPr>
            <w:r>
              <w:rPr>
                <w:rFonts w:hint="eastAsia" w:ascii="宋体" w:hAnsi="宋体"/>
                <w:color w:val="auto"/>
                <w:szCs w:val="21"/>
              </w:rPr>
              <w:t>其他说明</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60A32126">
            <w:pPr>
              <w:spacing w:line="360" w:lineRule="exact"/>
              <w:ind w:firstLine="420" w:firstLineChars="200"/>
              <w:rPr>
                <w:rFonts w:ascii="宋体" w:hAnsi="宋体"/>
                <w:bCs/>
                <w:color w:val="auto"/>
                <w:szCs w:val="21"/>
              </w:rPr>
            </w:pPr>
            <w:r>
              <w:rPr>
                <w:color w:val="auto"/>
              </w:rPr>
              <w:t>本项目为服务项目，</w:t>
            </w:r>
            <w:r>
              <w:rPr>
                <w:rFonts w:hint="eastAsia"/>
                <w:color w:val="auto"/>
              </w:rPr>
              <w:t>无核心产品要求。</w:t>
            </w:r>
          </w:p>
        </w:tc>
      </w:tr>
      <w:bookmarkEnd w:id="95"/>
    </w:tbl>
    <w:p w14:paraId="25C15302">
      <w:pPr>
        <w:spacing w:line="360" w:lineRule="auto"/>
        <w:jc w:val="left"/>
        <w:rPr>
          <w:rFonts w:ascii="宋体" w:hAnsi="宋体" w:cs="Arial"/>
          <w:bCs/>
          <w:color w:val="auto"/>
          <w:szCs w:val="21"/>
          <w:u w:val="single"/>
        </w:rPr>
      </w:pPr>
    </w:p>
    <w:p w14:paraId="6EBEAFF2">
      <w:pPr>
        <w:spacing w:line="360" w:lineRule="auto"/>
        <w:jc w:val="left"/>
        <w:rPr>
          <w:rFonts w:ascii="宋体" w:hAnsi="宋体" w:cs="Arial"/>
          <w:bCs/>
          <w:color w:val="auto"/>
          <w:szCs w:val="21"/>
          <w:u w:val="single"/>
        </w:rPr>
      </w:pPr>
    </w:p>
    <w:p w14:paraId="2BB37561">
      <w:pPr>
        <w:rPr>
          <w:rFonts w:hint="eastAsia" w:ascii="宋体" w:hAnsi="宋体" w:cs="Arial"/>
          <w:bCs/>
          <w:color w:val="auto"/>
          <w:szCs w:val="21"/>
          <w:u w:val="single"/>
        </w:rPr>
      </w:pPr>
      <w:r>
        <w:rPr>
          <w:rFonts w:hint="eastAsia" w:ascii="宋体" w:hAnsi="宋体" w:cs="Arial"/>
          <w:bCs/>
          <w:color w:val="auto"/>
          <w:szCs w:val="21"/>
          <w:u w:val="single"/>
        </w:rPr>
        <w:br w:type="page"/>
      </w:r>
    </w:p>
    <w:p w14:paraId="393BE2FC">
      <w:pPr>
        <w:spacing w:line="360" w:lineRule="auto"/>
        <w:ind w:firstLine="308" w:firstLineChars="147"/>
        <w:jc w:val="left"/>
        <w:rPr>
          <w:rFonts w:ascii="宋体" w:hAnsi="宋体" w:cs="Arial"/>
          <w:bCs/>
          <w:color w:val="auto"/>
          <w:szCs w:val="21"/>
          <w:u w:val="single"/>
        </w:rPr>
      </w:pPr>
      <w:r>
        <w:rPr>
          <w:rFonts w:hint="eastAsia" w:ascii="宋体" w:hAnsi="宋体" w:cs="Arial"/>
          <w:bCs/>
          <w:color w:val="auto"/>
          <w:szCs w:val="21"/>
          <w:u w:val="single"/>
        </w:rPr>
        <w:t xml:space="preserve"> </w:t>
      </w:r>
      <w:r>
        <w:rPr>
          <w:rFonts w:hint="eastAsia" w:ascii="宋体" w:hAnsi="宋体" w:cs="Arial"/>
          <w:bCs/>
          <w:color w:val="auto"/>
          <w:szCs w:val="21"/>
          <w:u w:val="single"/>
          <w:lang w:val="en-US" w:eastAsia="zh-CN"/>
        </w:rPr>
        <w:t>B</w:t>
      </w:r>
      <w:r>
        <w:rPr>
          <w:rFonts w:hint="eastAsia" w:ascii="宋体" w:hAnsi="宋体"/>
          <w:b/>
          <w:color w:val="auto"/>
          <w:szCs w:val="21"/>
        </w:rPr>
        <w:t>分标   采购预算：</w:t>
      </w:r>
      <w:r>
        <w:rPr>
          <w:rFonts w:hint="eastAsia" w:ascii="宋体" w:hAnsi="宋体"/>
          <w:iCs/>
          <w:color w:val="auto"/>
          <w:szCs w:val="21"/>
          <w:u w:val="single"/>
          <w:lang w:eastAsia="zh-CN"/>
        </w:rPr>
        <w:t>100.00</w:t>
      </w:r>
      <w:r>
        <w:rPr>
          <w:rFonts w:hint="eastAsia" w:ascii="宋体" w:hAnsi="宋体" w:cs="Arial"/>
          <w:bCs/>
          <w:color w:val="auto"/>
          <w:szCs w:val="21"/>
          <w:u w:val="single"/>
        </w:rPr>
        <w:t xml:space="preserve">万元 </w:t>
      </w:r>
    </w:p>
    <w:tbl>
      <w:tblPr>
        <w:tblStyle w:val="2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414"/>
        <w:gridCol w:w="854"/>
        <w:gridCol w:w="851"/>
        <w:gridCol w:w="5014"/>
      </w:tblGrid>
      <w:tr w14:paraId="5D24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vAlign w:val="center"/>
          </w:tcPr>
          <w:p w14:paraId="7394E8E1">
            <w:pPr>
              <w:tabs>
                <w:tab w:val="left" w:pos="180"/>
                <w:tab w:val="left" w:pos="1620"/>
              </w:tabs>
              <w:spacing w:line="360" w:lineRule="exact"/>
              <w:jc w:val="center"/>
              <w:rPr>
                <w:rFonts w:ascii="Times New Roman" w:hAnsi="Times New Roman" w:cs="Times New Roman"/>
                <w:color w:val="auto"/>
                <w:szCs w:val="21"/>
              </w:rPr>
            </w:pPr>
            <w:r>
              <w:rPr>
                <w:rFonts w:hint="default" w:ascii="Times New Roman" w:hAnsi="Times New Roman" w:cs="Times New Roman"/>
                <w:color w:val="auto"/>
                <w:szCs w:val="21"/>
              </w:rPr>
              <w:t>序号</w:t>
            </w:r>
          </w:p>
        </w:tc>
        <w:tc>
          <w:tcPr>
            <w:tcW w:w="1414" w:type="dxa"/>
            <w:vAlign w:val="center"/>
          </w:tcPr>
          <w:p w14:paraId="63464AE8">
            <w:pPr>
              <w:tabs>
                <w:tab w:val="left" w:pos="180"/>
                <w:tab w:val="left" w:pos="1620"/>
              </w:tabs>
              <w:spacing w:line="360" w:lineRule="exact"/>
              <w:jc w:val="center"/>
              <w:rPr>
                <w:rFonts w:ascii="Times New Roman" w:hAnsi="Times New Roman" w:cs="Times New Roman"/>
                <w:color w:val="auto"/>
                <w:szCs w:val="21"/>
              </w:rPr>
            </w:pPr>
            <w:r>
              <w:rPr>
                <w:rFonts w:hint="default" w:ascii="Times New Roman" w:hAnsi="Times New Roman" w:cs="Times New Roman"/>
                <w:color w:val="auto"/>
                <w:szCs w:val="21"/>
              </w:rPr>
              <w:t>标的的名称</w:t>
            </w:r>
          </w:p>
        </w:tc>
        <w:tc>
          <w:tcPr>
            <w:tcW w:w="854" w:type="dxa"/>
            <w:vAlign w:val="center"/>
          </w:tcPr>
          <w:p w14:paraId="3B61C7B8">
            <w:pPr>
              <w:tabs>
                <w:tab w:val="left" w:pos="180"/>
                <w:tab w:val="left" w:pos="1620"/>
              </w:tabs>
              <w:spacing w:line="360" w:lineRule="exact"/>
              <w:jc w:val="center"/>
              <w:rPr>
                <w:rFonts w:ascii="Times New Roman" w:hAnsi="Times New Roman" w:cs="Times New Roman"/>
                <w:color w:val="auto"/>
                <w:szCs w:val="21"/>
              </w:rPr>
            </w:pPr>
            <w:r>
              <w:rPr>
                <w:rFonts w:hint="default" w:ascii="Times New Roman" w:hAnsi="Times New Roman" w:cs="Times New Roman"/>
                <w:color w:val="auto"/>
                <w:szCs w:val="21"/>
              </w:rPr>
              <w:t>数量及单位</w:t>
            </w:r>
          </w:p>
        </w:tc>
        <w:tc>
          <w:tcPr>
            <w:tcW w:w="851" w:type="dxa"/>
            <w:vAlign w:val="center"/>
          </w:tcPr>
          <w:p w14:paraId="13179044">
            <w:pPr>
              <w:tabs>
                <w:tab w:val="left" w:pos="180"/>
                <w:tab w:val="left" w:pos="1620"/>
              </w:tabs>
              <w:spacing w:line="360" w:lineRule="exact"/>
              <w:jc w:val="center"/>
              <w:rPr>
                <w:rFonts w:ascii="Times New Roman" w:hAnsi="Times New Roman" w:cs="Times New Roman"/>
                <w:color w:val="auto"/>
                <w:szCs w:val="21"/>
              </w:rPr>
            </w:pPr>
            <w:r>
              <w:rPr>
                <w:rFonts w:hint="default" w:ascii="Times New Roman" w:hAnsi="Times New Roman" w:cs="Times New Roman"/>
                <w:color w:val="auto"/>
                <w:szCs w:val="21"/>
              </w:rPr>
              <w:t>所属</w:t>
            </w:r>
          </w:p>
          <w:p w14:paraId="3ACD7C45">
            <w:pPr>
              <w:tabs>
                <w:tab w:val="left" w:pos="180"/>
                <w:tab w:val="left" w:pos="1620"/>
              </w:tabs>
              <w:spacing w:line="360" w:lineRule="exact"/>
              <w:jc w:val="center"/>
              <w:rPr>
                <w:rFonts w:ascii="Times New Roman" w:hAnsi="Times New Roman" w:cs="Times New Roman"/>
                <w:color w:val="auto"/>
                <w:szCs w:val="21"/>
              </w:rPr>
            </w:pPr>
            <w:r>
              <w:rPr>
                <w:rFonts w:hint="default" w:ascii="Times New Roman" w:hAnsi="Times New Roman" w:cs="Times New Roman"/>
                <w:color w:val="auto"/>
                <w:szCs w:val="21"/>
              </w:rPr>
              <w:t>行业</w:t>
            </w:r>
          </w:p>
        </w:tc>
        <w:tc>
          <w:tcPr>
            <w:tcW w:w="5014" w:type="dxa"/>
            <w:vAlign w:val="center"/>
          </w:tcPr>
          <w:p w14:paraId="088941EC">
            <w:pPr>
              <w:tabs>
                <w:tab w:val="left" w:pos="180"/>
                <w:tab w:val="left" w:pos="1620"/>
              </w:tabs>
              <w:spacing w:line="360" w:lineRule="exact"/>
              <w:jc w:val="center"/>
              <w:rPr>
                <w:rFonts w:ascii="Times New Roman" w:hAnsi="Times New Roman" w:cs="Times New Roman"/>
                <w:color w:val="auto"/>
                <w:szCs w:val="21"/>
              </w:rPr>
            </w:pPr>
            <w:r>
              <w:rPr>
                <w:rFonts w:hint="default" w:ascii="Times New Roman" w:hAnsi="Times New Roman" w:cs="Times New Roman"/>
                <w:color w:val="auto"/>
                <w:szCs w:val="21"/>
              </w:rPr>
              <w:t>技术或服务要求</w:t>
            </w:r>
          </w:p>
        </w:tc>
      </w:tr>
      <w:tr w14:paraId="2B9B4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7D1232F0">
            <w:pPr>
              <w:jc w:val="center"/>
              <w:rPr>
                <w:rFonts w:ascii="Times New Roman" w:hAnsi="Times New Roman" w:eastAsia="微软雅黑" w:cs="Times New Roman"/>
                <w:color w:val="auto"/>
                <w:sz w:val="20"/>
                <w:szCs w:val="20"/>
              </w:rPr>
            </w:pPr>
            <w:r>
              <w:rPr>
                <w:rFonts w:hint="default" w:ascii="Times New Roman" w:hAnsi="Times New Roman" w:eastAsia="微软雅黑" w:cs="Times New Roman"/>
                <w:color w:val="auto"/>
                <w:kern w:val="0"/>
                <w:sz w:val="20"/>
                <w:szCs w:val="20"/>
              </w:rPr>
              <w:t>1</w:t>
            </w:r>
          </w:p>
        </w:tc>
        <w:tc>
          <w:tcPr>
            <w:tcW w:w="1414" w:type="dxa"/>
            <w:vAlign w:val="center"/>
          </w:tcPr>
          <w:p w14:paraId="65C1CB78">
            <w:pPr>
              <w:jc w:val="center"/>
              <w:rPr>
                <w:rFonts w:ascii="Times New Roman" w:hAnsi="Times New Roman" w:cs="Times New Roman"/>
                <w:color w:val="auto"/>
                <w:sz w:val="22"/>
                <w:szCs w:val="22"/>
              </w:rPr>
            </w:pPr>
            <w:r>
              <w:rPr>
                <w:rFonts w:hint="default" w:ascii="Times New Roman" w:hAnsi="Times New Roman"/>
                <w:color w:val="auto"/>
                <w:szCs w:val="21"/>
                <w:lang w:eastAsia="zh-CN"/>
              </w:rPr>
              <w:t>2024年建筑业企业“走出去”宣传活动（二片区）</w:t>
            </w:r>
          </w:p>
        </w:tc>
        <w:tc>
          <w:tcPr>
            <w:tcW w:w="854" w:type="dxa"/>
            <w:vAlign w:val="center"/>
          </w:tcPr>
          <w:p w14:paraId="5B0ADE10">
            <w:pPr>
              <w:jc w:val="center"/>
              <w:rPr>
                <w:rFonts w:ascii="Times New Roman" w:hAnsi="Times New Roman" w:cs="Times New Roman"/>
                <w:color w:val="auto"/>
                <w:sz w:val="22"/>
                <w:szCs w:val="22"/>
              </w:rPr>
            </w:pPr>
            <w:r>
              <w:rPr>
                <w:rFonts w:hint="default"/>
                <w:color w:val="auto"/>
                <w:sz w:val="22"/>
                <w:szCs w:val="22"/>
                <w:lang w:val="en-US" w:eastAsia="zh-CN"/>
              </w:rPr>
              <w:t>1项</w:t>
            </w:r>
          </w:p>
        </w:tc>
        <w:tc>
          <w:tcPr>
            <w:tcW w:w="851" w:type="dxa"/>
            <w:vAlign w:val="center"/>
          </w:tcPr>
          <w:p w14:paraId="6C8DAE07">
            <w:pPr>
              <w:tabs>
                <w:tab w:val="left" w:pos="180"/>
                <w:tab w:val="left" w:pos="1620"/>
              </w:tabs>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其他未列明行业</w:t>
            </w:r>
          </w:p>
        </w:tc>
        <w:tc>
          <w:tcPr>
            <w:tcW w:w="5014" w:type="dxa"/>
            <w:vAlign w:val="center"/>
          </w:tcPr>
          <w:p w14:paraId="39A57F4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为认真贯彻</w:t>
            </w:r>
            <w:r>
              <w:rPr>
                <w:rFonts w:hint="default" w:ascii="Times New Roman" w:hAnsi="Times New Roman" w:cs="Times New Roman"/>
                <w:color w:val="auto"/>
                <w:sz w:val="24"/>
                <w:szCs w:val="24"/>
                <w:lang w:val="en-US" w:eastAsia="zh-CN"/>
              </w:rPr>
              <w:t>落实</w:t>
            </w:r>
            <w:r>
              <w:rPr>
                <w:rFonts w:hint="default" w:ascii="Times New Roman" w:hAnsi="Times New Roman" w:cs="Times New Roman"/>
                <w:color w:val="auto"/>
                <w:sz w:val="24"/>
                <w:szCs w:val="24"/>
              </w:rPr>
              <w:t>党的二十大和中央、全区经济工作会议精神，落实全国、全区住房城乡建设工作会议有关部署，</w:t>
            </w:r>
            <w:r>
              <w:rPr>
                <w:rFonts w:hint="default" w:ascii="Times New Roman" w:hAnsi="Times New Roman" w:cs="Times New Roman"/>
                <w:color w:val="auto"/>
                <w:sz w:val="24"/>
                <w:szCs w:val="24"/>
                <w:lang w:val="en-US" w:eastAsia="zh-CN"/>
              </w:rPr>
              <w:t>擦亮</w:t>
            </w:r>
            <w:r>
              <w:rPr>
                <w:rFonts w:hint="default" w:ascii="Times New Roman" w:hAnsi="Times New Roman" w:cs="Times New Roman"/>
                <w:color w:val="auto"/>
                <w:sz w:val="24"/>
                <w:szCs w:val="24"/>
              </w:rPr>
              <w:t>“广西建造”品牌，塑造广西建筑业企业良好形象，推动广西建筑业企业</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走出去</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，拓展</w:t>
            </w:r>
            <w:r>
              <w:rPr>
                <w:rFonts w:hint="default" w:ascii="Times New Roman" w:hAnsi="Times New Roman" w:cs="Times New Roman"/>
                <w:color w:val="auto"/>
                <w:sz w:val="24"/>
                <w:szCs w:val="24"/>
                <w:lang w:val="en-US" w:eastAsia="zh-CN"/>
              </w:rPr>
              <w:t>区外</w:t>
            </w:r>
            <w:r>
              <w:rPr>
                <w:rFonts w:hint="default" w:ascii="Times New Roman" w:hAnsi="Times New Roman" w:cs="Times New Roman"/>
                <w:color w:val="auto"/>
                <w:sz w:val="24"/>
                <w:szCs w:val="24"/>
              </w:rPr>
              <w:t>市场，拟组织开展2024年广西建筑业企业“走出去”宣传活动。</w:t>
            </w:r>
          </w:p>
          <w:p w14:paraId="5F9C0C0A">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color w:val="auto"/>
                <w:szCs w:val="21"/>
              </w:rPr>
              <w:t>▲</w:t>
            </w:r>
            <w:r>
              <w:rPr>
                <w:rFonts w:hint="default" w:ascii="Times New Roman" w:hAnsi="Times New Roman" w:cs="Times New Roman"/>
                <w:b/>
                <w:bCs/>
                <w:color w:val="auto"/>
                <w:sz w:val="24"/>
                <w:szCs w:val="24"/>
              </w:rPr>
              <w:t>一、</w:t>
            </w:r>
            <w:r>
              <w:rPr>
                <w:rFonts w:hint="default" w:ascii="Times New Roman" w:hAnsi="Times New Roman" w:cs="Times New Roman"/>
                <w:b/>
                <w:bCs/>
                <w:color w:val="auto"/>
                <w:sz w:val="24"/>
                <w:szCs w:val="24"/>
                <w:lang w:val="en-US" w:eastAsia="zh-CN"/>
              </w:rPr>
              <w:t>活动</w:t>
            </w:r>
            <w:r>
              <w:rPr>
                <w:rFonts w:hint="default" w:ascii="Times New Roman" w:hAnsi="Times New Roman" w:cs="Times New Roman"/>
                <w:b/>
                <w:bCs/>
                <w:color w:val="auto"/>
                <w:sz w:val="24"/>
                <w:szCs w:val="24"/>
              </w:rPr>
              <w:t>背景</w:t>
            </w:r>
          </w:p>
          <w:p w14:paraId="1E94A69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筑业是经济发展的支柱产业，在当前经济下行背景下，建筑行业总体增速逐步放缓。随着全国统一大市场新要求不断落地实施，建筑业企业创新求变，开拓区外市场，提高外向度，深挖新增长点，是新形势下生存和发展的重要举措。为塑造“广西建造”良好形象，助推广西建筑企业“走出去”，打开全国市场，拟组织开展系列宣传推介活动。</w:t>
            </w:r>
          </w:p>
          <w:p w14:paraId="000ACC14">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color w:val="auto"/>
                <w:szCs w:val="21"/>
              </w:rPr>
              <w:t>▲</w:t>
            </w:r>
            <w:r>
              <w:rPr>
                <w:rFonts w:hint="default" w:ascii="Times New Roman" w:hAnsi="Times New Roman" w:cs="Times New Roman"/>
                <w:b/>
                <w:bCs/>
                <w:color w:val="auto"/>
                <w:sz w:val="24"/>
                <w:szCs w:val="24"/>
              </w:rPr>
              <w:t>二、总体思路</w:t>
            </w:r>
          </w:p>
          <w:p w14:paraId="29EBFF1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次宣传活动主要目的是扩大广西建筑企业知名度，提升“广西建造”在全国特别是在重点地区的的美誉度，擦亮“广西建造”名片，促成交流合作，助力企业“走出去”。计划通过组织广西重点建筑业企业赴广东广州、云南昆明、四川成都、湖南长沙等</w:t>
            </w:r>
            <w:r>
              <w:rPr>
                <w:rFonts w:hint="eastAsia" w:cs="Times New Roman"/>
                <w:color w:val="auto"/>
                <w:sz w:val="24"/>
                <w:szCs w:val="24"/>
                <w:lang w:val="en-US" w:eastAsia="zh-CN"/>
              </w:rPr>
              <w:t>4</w:t>
            </w:r>
            <w:r>
              <w:rPr>
                <w:rFonts w:hint="default" w:ascii="Times New Roman" w:hAnsi="Times New Roman" w:cs="Times New Roman"/>
                <w:color w:val="auto"/>
                <w:sz w:val="24"/>
                <w:szCs w:val="24"/>
              </w:rPr>
              <w:t>个市场潜力较大的城市举办推介会的形式，开展系列宣传推广活动，通过图片、文字、视频多种</w:t>
            </w:r>
            <w:r>
              <w:rPr>
                <w:rFonts w:hint="default" w:ascii="Times New Roman" w:hAnsi="Times New Roman" w:cs="Times New Roman"/>
                <w:color w:val="auto"/>
                <w:sz w:val="24"/>
                <w:szCs w:val="24"/>
                <w:lang w:val="en-US" w:eastAsia="zh-CN"/>
              </w:rPr>
              <w:t>媒介</w:t>
            </w:r>
            <w:r>
              <w:rPr>
                <w:rFonts w:hint="default" w:ascii="Times New Roman" w:hAnsi="Times New Roman" w:cs="Times New Roman"/>
                <w:color w:val="auto"/>
                <w:sz w:val="24"/>
                <w:szCs w:val="24"/>
              </w:rPr>
              <w:t>，主要面向全国行业受众和推介地区，兼顾区内受众，有重点、有步骤在主流媒体机构和有影响力的新媒体平台进行宣传推广，以取得精准传播效果。</w:t>
            </w:r>
          </w:p>
          <w:p w14:paraId="53D1A5A3">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color w:val="auto"/>
                <w:szCs w:val="21"/>
              </w:rPr>
              <w:t>▲</w:t>
            </w:r>
            <w:r>
              <w:rPr>
                <w:rFonts w:hint="default" w:ascii="Times New Roman" w:hAnsi="Times New Roman" w:cs="Times New Roman"/>
                <w:b/>
                <w:bCs/>
                <w:color w:val="auto"/>
                <w:sz w:val="24"/>
                <w:szCs w:val="24"/>
              </w:rPr>
              <w:t>三、宣传时间</w:t>
            </w:r>
          </w:p>
          <w:p w14:paraId="488FCFF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2024年9月-2024年11月</w:t>
            </w:r>
          </w:p>
          <w:p w14:paraId="22F4489B">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color w:val="auto"/>
                <w:szCs w:val="21"/>
              </w:rPr>
              <w:t>▲</w:t>
            </w:r>
            <w:r>
              <w:rPr>
                <w:rFonts w:hint="default" w:ascii="Times New Roman" w:hAnsi="Times New Roman" w:cs="Times New Roman"/>
                <w:b/>
                <w:bCs/>
                <w:color w:val="auto"/>
                <w:sz w:val="24"/>
                <w:szCs w:val="24"/>
              </w:rPr>
              <w:t>四、宣传形式</w:t>
            </w:r>
          </w:p>
          <w:p w14:paraId="23C12E0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（一）线下活动。组织广西重点建筑业企业赴广东广州、云南昆明、四川成都</w:t>
            </w:r>
            <w:r>
              <w:rPr>
                <w:rFonts w:hint="eastAsia" w:cs="Times New Roman"/>
                <w:color w:val="auto"/>
                <w:sz w:val="24"/>
                <w:szCs w:val="24"/>
                <w:lang w:eastAsia="zh-CN"/>
              </w:rPr>
              <w:t>、湖南长沙</w:t>
            </w:r>
            <w:r>
              <w:rPr>
                <w:rFonts w:hint="default" w:ascii="Times New Roman" w:hAnsi="Times New Roman" w:cs="Times New Roman"/>
                <w:color w:val="auto"/>
                <w:sz w:val="24"/>
                <w:szCs w:val="24"/>
              </w:rPr>
              <w:t>等</w:t>
            </w:r>
            <w:r>
              <w:rPr>
                <w:rFonts w:hint="eastAsia" w:cs="Times New Roman"/>
                <w:color w:val="auto"/>
                <w:sz w:val="24"/>
                <w:szCs w:val="24"/>
                <w:lang w:val="en-US" w:eastAsia="zh-CN"/>
              </w:rPr>
              <w:t>4</w:t>
            </w:r>
            <w:r>
              <w:rPr>
                <w:rFonts w:hint="default" w:ascii="Times New Roman" w:hAnsi="Times New Roman" w:cs="Times New Roman"/>
                <w:color w:val="auto"/>
                <w:sz w:val="24"/>
                <w:szCs w:val="24"/>
              </w:rPr>
              <w:t>个市场潜力较大的地区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以采购人批准的</w:t>
            </w:r>
            <w:r>
              <w:rPr>
                <w:rFonts w:hint="default" w:ascii="Times New Roman" w:hAnsi="Times New Roman" w:cs="Times New Roman"/>
                <w:color w:val="auto"/>
                <w:sz w:val="24"/>
                <w:szCs w:val="24"/>
              </w:rPr>
              <w:t>宣传推广</w:t>
            </w:r>
            <w:r>
              <w:rPr>
                <w:rFonts w:hint="default" w:ascii="Times New Roman" w:hAnsi="Times New Roman" w:cs="Times New Roman"/>
                <w:color w:val="auto"/>
                <w:sz w:val="24"/>
                <w:szCs w:val="24"/>
                <w:lang w:val="en-US" w:eastAsia="zh-CN"/>
              </w:rPr>
              <w:t>方案为准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开展“广西建筑业优秀企业推介会”，介绍区内外由广西建筑业企业参与建设的重大项目、重点</w:t>
            </w:r>
            <w:r>
              <w:rPr>
                <w:rFonts w:hint="default" w:ascii="Times New Roman" w:hAnsi="Times New Roman" w:cs="Times New Roman"/>
                <w:color w:val="auto"/>
                <w:sz w:val="24"/>
                <w:szCs w:val="24"/>
                <w:lang w:val="en-US" w:eastAsia="zh-CN"/>
              </w:rPr>
              <w:t>工程</w:t>
            </w:r>
            <w:r>
              <w:rPr>
                <w:rFonts w:hint="default" w:ascii="Times New Roman" w:hAnsi="Times New Roman" w:cs="Times New Roman"/>
                <w:color w:val="auto"/>
                <w:sz w:val="24"/>
                <w:szCs w:val="24"/>
              </w:rPr>
              <w:t>，展示广西建筑业企业的建造优势。</w:t>
            </w:r>
          </w:p>
          <w:p w14:paraId="7EFE8D3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宣传系列短视频。以广西建筑业品牌工程、重点工程为主要内容，制作系列宣传短视频，在有影响力的新媒体平台（如微信、抖音等）进行投放。短视频制作要结合新媒体传播特点，短小精悍，恢弘大气，画面精美震撼，时长控制在1分钟内。</w:t>
            </w:r>
          </w:p>
          <w:p w14:paraId="5486567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（三）新闻报道。联合中央级媒体、全国性行业权威媒体和推介地主流媒体开展系列新闻报道。</w:t>
            </w:r>
          </w:p>
          <w:p w14:paraId="1356816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（四）短视频推广。选择微信公众号等新媒体平台，以短视频、动画等形式向推介会召开地的目标群体进行宣传内容投放。</w:t>
            </w:r>
          </w:p>
          <w:p w14:paraId="2D48C7F7">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color w:val="auto"/>
                <w:szCs w:val="21"/>
              </w:rPr>
              <w:t>▲</w:t>
            </w:r>
            <w:r>
              <w:rPr>
                <w:rFonts w:hint="default" w:ascii="Times New Roman" w:hAnsi="Times New Roman" w:cs="Times New Roman"/>
                <w:b/>
                <w:bCs/>
                <w:color w:val="auto"/>
                <w:sz w:val="24"/>
                <w:szCs w:val="24"/>
              </w:rPr>
              <w:t>五、宣传平台及内容安排</w:t>
            </w:r>
          </w:p>
          <w:p w14:paraId="1BE46F9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拟选择以下宣传平台进行内容投放：</w:t>
            </w:r>
          </w:p>
          <w:p w14:paraId="2A13426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（一）在中央级媒体或全国性行业权威媒体上推送宣传稿件，同时在同等级媒体的新媒体平台上（微信号、网站等）进行消息推送；</w:t>
            </w:r>
          </w:p>
          <w:p w14:paraId="6EFD10E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（二）每次推介会选择与当地主流媒体合作进行宣传推广，委托当地媒体结合推介会，采写与当地有关的广西建筑业稿件。</w:t>
            </w:r>
          </w:p>
          <w:p w14:paraId="5D66D59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（三）在自治区主流媒体进行纸媒宣传，面向自治区有影响力的人群，分专题宣传广西建筑业</w:t>
            </w:r>
            <w:r>
              <w:rPr>
                <w:rFonts w:hint="eastAsia" w:ascii="宋体" w:hAnsi="宋体" w:cs="宋体"/>
                <w:color w:val="auto"/>
                <w:sz w:val="24"/>
                <w:szCs w:val="24"/>
                <w:lang w:val="en-US" w:eastAsia="zh-CN"/>
              </w:rPr>
              <w:t>发展成果</w:t>
            </w:r>
            <w:r>
              <w:rPr>
                <w:rFonts w:hint="eastAsia" w:ascii="宋体" w:hAnsi="宋体" w:cs="宋体"/>
                <w:color w:val="auto"/>
                <w:sz w:val="24"/>
                <w:szCs w:val="24"/>
              </w:rPr>
              <w:t>，扩大知晓度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美誉度</w:t>
            </w:r>
            <w:r>
              <w:rPr>
                <w:rFonts w:hint="eastAsia" w:ascii="宋体" w:hAnsi="宋体" w:cs="宋体"/>
                <w:color w:val="auto"/>
                <w:sz w:val="24"/>
                <w:szCs w:val="24"/>
              </w:rPr>
              <w:t>。</w:t>
            </w:r>
          </w:p>
          <w:p w14:paraId="70AF521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（四）选择</w:t>
            </w:r>
            <w:r>
              <w:rPr>
                <w:rFonts w:hint="eastAsia" w:ascii="宋体" w:hAnsi="宋体" w:cs="宋体"/>
                <w:color w:val="auto"/>
                <w:sz w:val="24"/>
                <w:szCs w:val="24"/>
                <w:lang w:val="en-US" w:eastAsia="zh-CN"/>
              </w:rPr>
              <w:t>有影响力的</w:t>
            </w:r>
            <w:r>
              <w:rPr>
                <w:rFonts w:hint="default" w:ascii="Times New Roman" w:hAnsi="Times New Roman" w:cs="Times New Roman"/>
                <w:color w:val="auto"/>
                <w:sz w:val="24"/>
                <w:szCs w:val="24"/>
              </w:rPr>
              <w:t>新媒体平台，以短视频、动画等形式向推介会召开地的目标群体进行宣传内容投放。</w:t>
            </w:r>
          </w:p>
          <w:p w14:paraId="3B9F3429">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color w:val="auto"/>
                <w:szCs w:val="21"/>
              </w:rPr>
              <w:t>▲</w:t>
            </w:r>
            <w:r>
              <w:rPr>
                <w:rFonts w:hint="default" w:ascii="Times New Roman" w:hAnsi="Times New Roman" w:cs="Times New Roman"/>
                <w:b/>
                <w:bCs/>
                <w:color w:val="auto"/>
                <w:sz w:val="24"/>
                <w:szCs w:val="24"/>
              </w:rPr>
              <w:t>六、时间安排和实施步骤</w:t>
            </w:r>
          </w:p>
          <w:p w14:paraId="7E7379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（一）筹备策划阶段（2024年</w:t>
            </w:r>
            <w:r>
              <w:rPr>
                <w:rFonts w:hint="eastAsia" w:cs="Times New Roman"/>
                <w:color w:val="auto"/>
                <w:sz w:val="24"/>
                <w:szCs w:val="24"/>
                <w:lang w:val="en-US" w:eastAsia="zh-CN"/>
              </w:rPr>
              <w:t>9</w:t>
            </w:r>
            <w:r>
              <w:rPr>
                <w:rFonts w:hint="default" w:ascii="Times New Roman" w:hAnsi="Times New Roman" w:cs="Times New Roman"/>
                <w:color w:val="auto"/>
                <w:sz w:val="24"/>
                <w:szCs w:val="24"/>
              </w:rPr>
              <w:t>月）明确工作任务，编制宣传策划方案。</w:t>
            </w:r>
          </w:p>
          <w:p w14:paraId="735FB0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（二）宣传动员阶段（2024年</w:t>
            </w:r>
            <w:r>
              <w:rPr>
                <w:rFonts w:hint="eastAsia" w:cs="Times New Roman"/>
                <w:color w:val="auto"/>
                <w:sz w:val="24"/>
                <w:szCs w:val="24"/>
                <w:lang w:val="en-US" w:eastAsia="zh-CN"/>
              </w:rPr>
              <w:t>10</w:t>
            </w:r>
            <w:r>
              <w:rPr>
                <w:rFonts w:hint="default" w:ascii="Times New Roman" w:hAnsi="Times New Roman" w:cs="Times New Roman"/>
                <w:color w:val="auto"/>
                <w:sz w:val="24"/>
                <w:szCs w:val="24"/>
              </w:rPr>
              <w:t>月）收集材料，分集制作系列短视频。</w:t>
            </w:r>
          </w:p>
          <w:p w14:paraId="4AA15F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（三）推介会实施阶段（2024年</w:t>
            </w:r>
            <w:r>
              <w:rPr>
                <w:rFonts w:hint="eastAsia" w:cs="Times New Roman"/>
                <w:color w:val="auto"/>
                <w:sz w:val="24"/>
                <w:szCs w:val="24"/>
                <w:lang w:val="en-US" w:eastAsia="zh-CN"/>
              </w:rPr>
              <w:t>10</w:t>
            </w:r>
            <w:r>
              <w:rPr>
                <w:rFonts w:hint="default" w:ascii="Times New Roman" w:hAnsi="Times New Roman" w:cs="Times New Roman"/>
                <w:color w:val="auto"/>
                <w:sz w:val="24"/>
                <w:szCs w:val="24"/>
              </w:rPr>
              <w:t>月-</w:t>
            </w:r>
            <w:r>
              <w:rPr>
                <w:rFonts w:hint="eastAsia" w:cs="Times New Roman"/>
                <w:color w:val="auto"/>
                <w:sz w:val="24"/>
                <w:szCs w:val="24"/>
                <w:lang w:val="en-US" w:eastAsia="zh-CN"/>
              </w:rPr>
              <w:t>11</w:t>
            </w:r>
            <w:r>
              <w:rPr>
                <w:rFonts w:hint="default" w:ascii="Times New Roman" w:hAnsi="Times New Roman" w:cs="Times New Roman"/>
                <w:color w:val="auto"/>
                <w:sz w:val="24"/>
                <w:szCs w:val="24"/>
              </w:rPr>
              <w:t>月）分别在广东</w:t>
            </w:r>
            <w:r>
              <w:rPr>
                <w:rFonts w:hint="default" w:ascii="Times New Roman" w:hAnsi="Times New Roman" w:cs="Times New Roman"/>
                <w:color w:val="auto"/>
                <w:sz w:val="24"/>
                <w:szCs w:val="24"/>
                <w:lang w:val="en-US" w:eastAsia="zh-CN"/>
              </w:rPr>
              <w:t>省</w:t>
            </w:r>
            <w:r>
              <w:rPr>
                <w:rFonts w:hint="default" w:ascii="Times New Roman" w:hAnsi="Times New Roman" w:cs="Times New Roman"/>
                <w:color w:val="auto"/>
                <w:sz w:val="24"/>
                <w:szCs w:val="24"/>
              </w:rPr>
              <w:t>广州</w:t>
            </w:r>
            <w:r>
              <w:rPr>
                <w:rFonts w:hint="default" w:ascii="Times New Roman" w:hAnsi="Times New Roman" w:cs="Times New Roman"/>
                <w:color w:val="auto"/>
                <w:sz w:val="24"/>
                <w:szCs w:val="24"/>
                <w:lang w:val="en-US" w:eastAsia="zh-CN"/>
              </w:rPr>
              <w:t>市</w:t>
            </w:r>
            <w:r>
              <w:rPr>
                <w:rFonts w:hint="default" w:ascii="Times New Roman" w:hAnsi="Times New Roman" w:cs="Times New Roman"/>
                <w:color w:val="auto"/>
                <w:sz w:val="24"/>
                <w:szCs w:val="24"/>
              </w:rPr>
              <w:t>、云南</w:t>
            </w:r>
            <w:r>
              <w:rPr>
                <w:rFonts w:hint="default" w:ascii="Times New Roman" w:hAnsi="Times New Roman" w:cs="Times New Roman"/>
                <w:color w:val="auto"/>
                <w:sz w:val="24"/>
                <w:szCs w:val="24"/>
                <w:lang w:val="en-US" w:eastAsia="zh-CN"/>
              </w:rPr>
              <w:t>省</w:t>
            </w:r>
            <w:r>
              <w:rPr>
                <w:rFonts w:hint="default" w:ascii="Times New Roman" w:hAnsi="Times New Roman" w:cs="Times New Roman"/>
                <w:color w:val="auto"/>
                <w:sz w:val="24"/>
                <w:szCs w:val="24"/>
              </w:rPr>
              <w:t>昆明</w:t>
            </w:r>
            <w:r>
              <w:rPr>
                <w:rFonts w:hint="default" w:ascii="Times New Roman" w:hAnsi="Times New Roman" w:cs="Times New Roman"/>
                <w:color w:val="auto"/>
                <w:sz w:val="24"/>
                <w:szCs w:val="24"/>
                <w:lang w:val="en-US" w:eastAsia="zh-CN"/>
              </w:rPr>
              <w:t>市</w:t>
            </w:r>
            <w:r>
              <w:rPr>
                <w:rFonts w:hint="default" w:ascii="Times New Roman" w:hAnsi="Times New Roman" w:cs="Times New Roman"/>
                <w:color w:val="auto"/>
                <w:sz w:val="24"/>
                <w:szCs w:val="24"/>
              </w:rPr>
              <w:t>、四川</w:t>
            </w:r>
            <w:r>
              <w:rPr>
                <w:rFonts w:hint="default" w:ascii="Times New Roman" w:hAnsi="Times New Roman" w:cs="Times New Roman"/>
                <w:color w:val="auto"/>
                <w:sz w:val="24"/>
                <w:szCs w:val="24"/>
                <w:lang w:val="en-US" w:eastAsia="zh-CN"/>
              </w:rPr>
              <w:t>省</w:t>
            </w:r>
            <w:r>
              <w:rPr>
                <w:rFonts w:hint="default" w:ascii="Times New Roman" w:hAnsi="Times New Roman" w:cs="Times New Roman"/>
                <w:color w:val="auto"/>
                <w:sz w:val="24"/>
                <w:szCs w:val="24"/>
              </w:rPr>
              <w:t>成都</w:t>
            </w:r>
            <w:r>
              <w:rPr>
                <w:rFonts w:hint="default" w:ascii="Times New Roman" w:hAnsi="Times New Roman" w:cs="Times New Roman"/>
                <w:color w:val="auto"/>
                <w:sz w:val="24"/>
                <w:szCs w:val="24"/>
                <w:lang w:val="en-US" w:eastAsia="zh-CN"/>
              </w:rPr>
              <w:t>市、湖南</w:t>
            </w:r>
            <w:r>
              <w:rPr>
                <w:rFonts w:hint="eastAsia" w:cs="Times New Roman"/>
                <w:color w:val="auto"/>
                <w:sz w:val="24"/>
                <w:szCs w:val="24"/>
                <w:lang w:val="en-US" w:eastAsia="zh-CN"/>
              </w:rPr>
              <w:t>省</w:t>
            </w:r>
            <w:r>
              <w:rPr>
                <w:rFonts w:hint="default" w:ascii="Times New Roman" w:hAnsi="Times New Roman" w:cs="Times New Roman"/>
                <w:color w:val="auto"/>
                <w:sz w:val="24"/>
                <w:szCs w:val="24"/>
                <w:lang w:val="en-US" w:eastAsia="zh-CN"/>
              </w:rPr>
              <w:t>长沙</w:t>
            </w:r>
            <w:r>
              <w:rPr>
                <w:rFonts w:hint="eastAsia" w:cs="Times New Roman"/>
                <w:color w:val="auto"/>
                <w:sz w:val="24"/>
                <w:szCs w:val="24"/>
                <w:lang w:val="en-US" w:eastAsia="zh-CN"/>
              </w:rPr>
              <w:t>市</w:t>
            </w:r>
            <w:r>
              <w:rPr>
                <w:rFonts w:hint="default" w:ascii="Times New Roman" w:hAnsi="Times New Roman" w:cs="Times New Roman"/>
                <w:color w:val="auto"/>
                <w:sz w:val="24"/>
                <w:szCs w:val="24"/>
              </w:rPr>
              <w:t>落地</w:t>
            </w:r>
            <w:r>
              <w:rPr>
                <w:rFonts w:hint="eastAsia" w:ascii="宋体" w:hAnsi="宋体" w:cs="宋体"/>
                <w:color w:val="auto"/>
                <w:sz w:val="24"/>
                <w:szCs w:val="24"/>
                <w:lang w:val="en-US" w:eastAsia="zh-CN"/>
              </w:rPr>
              <w:t>召开</w:t>
            </w:r>
            <w:r>
              <w:rPr>
                <w:rFonts w:hint="eastAsia" w:ascii="宋体" w:hAnsi="宋体" w:cs="宋体"/>
                <w:color w:val="auto"/>
                <w:sz w:val="24"/>
                <w:szCs w:val="24"/>
              </w:rPr>
              <w:t>推介会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w:t>
            </w:r>
            <w:r>
              <w:rPr>
                <w:rFonts w:hint="default" w:ascii="Times New Roman" w:hAnsi="Times New Roman" w:cs="Times New Roman"/>
                <w:color w:val="auto"/>
                <w:sz w:val="24"/>
                <w:szCs w:val="24"/>
              </w:rPr>
              <w:t>安排各媒体配合做好宣传，营造气氛。</w:t>
            </w:r>
          </w:p>
          <w:p w14:paraId="58B55AD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（四）总结阶段（202</w:t>
            </w:r>
            <w:r>
              <w:rPr>
                <w:rFonts w:hint="eastAsia" w:cs="Times New Roman"/>
                <w:color w:val="auto"/>
                <w:sz w:val="24"/>
                <w:szCs w:val="24"/>
                <w:lang w:val="en-US" w:eastAsia="zh-CN"/>
              </w:rPr>
              <w:t>4</w:t>
            </w:r>
            <w:r>
              <w:rPr>
                <w:rFonts w:hint="default" w:ascii="Times New Roman" w:hAnsi="Times New Roman" w:cs="Times New Roman"/>
                <w:color w:val="auto"/>
                <w:sz w:val="24"/>
                <w:szCs w:val="24"/>
              </w:rPr>
              <w:t>年</w:t>
            </w:r>
            <w:r>
              <w:rPr>
                <w:rFonts w:hint="eastAsia" w:cs="Times New Roman"/>
                <w:color w:val="auto"/>
                <w:sz w:val="24"/>
                <w:szCs w:val="24"/>
                <w:lang w:val="en-US" w:eastAsia="zh-CN"/>
              </w:rPr>
              <w:t>12</w:t>
            </w:r>
            <w:r>
              <w:rPr>
                <w:rFonts w:hint="default" w:ascii="Times New Roman" w:hAnsi="Times New Roman" w:cs="Times New Roman"/>
                <w:color w:val="auto"/>
                <w:sz w:val="24"/>
                <w:szCs w:val="24"/>
              </w:rPr>
              <w:t>月）对宣传推广工作进行复盘，总结经验教训，资料整理归档</w:t>
            </w:r>
            <w:r>
              <w:rPr>
                <w:rFonts w:hint="default" w:ascii="Times New Roman" w:hAnsi="Times New Roman" w:cs="Times New Roman"/>
                <w:color w:val="auto"/>
                <w:sz w:val="24"/>
                <w:szCs w:val="24"/>
                <w:lang w:eastAsia="zh-CN"/>
              </w:rPr>
              <w:t>。</w:t>
            </w:r>
          </w:p>
          <w:p w14:paraId="50E01E71">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color w:val="auto"/>
                <w:szCs w:val="21"/>
              </w:rPr>
              <w:t>▲</w:t>
            </w:r>
            <w:r>
              <w:rPr>
                <w:rFonts w:hint="default" w:ascii="Times New Roman" w:hAnsi="Times New Roman" w:cs="Times New Roman"/>
                <w:b/>
                <w:bCs/>
                <w:color w:val="auto"/>
                <w:sz w:val="24"/>
                <w:szCs w:val="24"/>
              </w:rPr>
              <w:t>七、工作分工</w:t>
            </w:r>
          </w:p>
          <w:p w14:paraId="7B8CF6D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（一）推介会</w:t>
            </w:r>
          </w:p>
          <w:p w14:paraId="487D445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1、采购单位负责</w:t>
            </w:r>
            <w:r>
              <w:rPr>
                <w:rFonts w:hint="eastAsia" w:ascii="宋体" w:hAnsi="宋体" w:cs="宋体"/>
                <w:color w:val="auto"/>
                <w:sz w:val="24"/>
                <w:szCs w:val="24"/>
                <w:lang w:val="en-US" w:eastAsia="zh-CN"/>
              </w:rPr>
              <w:t>确认</w:t>
            </w:r>
            <w:r>
              <w:rPr>
                <w:rFonts w:hint="eastAsia" w:ascii="宋体" w:hAnsi="宋体" w:cs="宋体"/>
                <w:color w:val="auto"/>
                <w:sz w:val="24"/>
                <w:szCs w:val="24"/>
              </w:rPr>
              <w:t>推介</w:t>
            </w:r>
            <w:r>
              <w:rPr>
                <w:rFonts w:hint="eastAsia" w:ascii="宋体" w:hAnsi="宋体" w:cs="宋体"/>
                <w:color w:val="auto"/>
                <w:sz w:val="24"/>
                <w:szCs w:val="24"/>
                <w:lang w:val="en-US" w:eastAsia="zh-CN"/>
              </w:rPr>
              <w:t>地区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审核</w:t>
            </w:r>
            <w:r>
              <w:rPr>
                <w:rFonts w:hint="eastAsia" w:ascii="宋体" w:hAnsi="宋体" w:cs="宋体"/>
                <w:color w:val="auto"/>
                <w:sz w:val="24"/>
                <w:szCs w:val="24"/>
              </w:rPr>
              <w:t>活动</w:t>
            </w:r>
            <w:r>
              <w:rPr>
                <w:rFonts w:hint="eastAsia" w:ascii="宋体" w:hAnsi="宋体" w:cs="宋体"/>
                <w:color w:val="auto"/>
                <w:sz w:val="24"/>
                <w:szCs w:val="24"/>
                <w:lang w:val="en-US" w:eastAsia="zh-CN"/>
              </w:rPr>
              <w:t>实施方案、宣传稿件等</w:t>
            </w:r>
            <w:r>
              <w:rPr>
                <w:rFonts w:hint="eastAsia" w:ascii="宋体" w:hAnsi="宋体" w:cs="宋体"/>
                <w:color w:val="auto"/>
                <w:sz w:val="24"/>
                <w:szCs w:val="24"/>
              </w:rPr>
              <w:t>相关材料。</w:t>
            </w:r>
          </w:p>
          <w:p w14:paraId="2356C9F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eastAsia" w:ascii="宋体" w:hAnsi="宋体" w:cs="宋体"/>
                <w:color w:val="auto"/>
                <w:sz w:val="24"/>
                <w:szCs w:val="24"/>
              </w:rPr>
              <w:t>2、委托机构负责在</w:t>
            </w:r>
            <w:r>
              <w:rPr>
                <w:rFonts w:hint="eastAsia" w:ascii="宋体" w:hAnsi="宋体" w:cs="宋体"/>
                <w:color w:val="auto"/>
                <w:sz w:val="24"/>
                <w:szCs w:val="24"/>
                <w:lang w:val="en-US" w:eastAsia="zh-CN"/>
              </w:rPr>
              <w:t>本次</w:t>
            </w:r>
            <w:r>
              <w:rPr>
                <w:rFonts w:hint="eastAsia" w:ascii="宋体" w:hAnsi="宋体" w:cs="宋体"/>
                <w:color w:val="auto"/>
                <w:sz w:val="24"/>
                <w:szCs w:val="24"/>
              </w:rPr>
              <w:t>活动全过程策划、统筹、项目对接</w:t>
            </w:r>
            <w:r>
              <w:rPr>
                <w:rFonts w:hint="eastAsia" w:ascii="宋体" w:hAnsi="宋体" w:cs="宋体"/>
                <w:color w:val="auto"/>
                <w:sz w:val="24"/>
                <w:szCs w:val="24"/>
                <w:lang w:eastAsia="zh-CN"/>
              </w:rPr>
              <w:t>、</w:t>
            </w:r>
            <w:r>
              <w:rPr>
                <w:rFonts w:hint="eastAsia" w:ascii="宋体" w:hAnsi="宋体" w:cs="宋体"/>
                <w:color w:val="auto"/>
                <w:sz w:val="24"/>
                <w:szCs w:val="24"/>
              </w:rPr>
              <w:t>落地执行</w:t>
            </w:r>
            <w:r>
              <w:rPr>
                <w:rFonts w:hint="eastAsia" w:ascii="宋体" w:hAnsi="宋体" w:cs="宋体"/>
                <w:color w:val="auto"/>
                <w:sz w:val="24"/>
                <w:szCs w:val="24"/>
                <w:lang w:val="en-US" w:eastAsia="zh-CN"/>
              </w:rPr>
              <w:t>等工作</w:t>
            </w:r>
            <w:r>
              <w:rPr>
                <w:rFonts w:hint="eastAsia" w:ascii="宋体" w:hAnsi="宋体" w:cs="宋体"/>
                <w:color w:val="auto"/>
                <w:sz w:val="24"/>
                <w:szCs w:val="24"/>
              </w:rPr>
              <w:t>。包括联系推介会所在地的投资企业、房地产开发相关企业、大型建筑企业等参与推介会，及落实当地媒体的宣传推广工作；推介活动的摄影、摄像、对接媒体发稿等。</w:t>
            </w:r>
          </w:p>
          <w:p w14:paraId="754A753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（二）宣传</w:t>
            </w:r>
            <w:r>
              <w:rPr>
                <w:rFonts w:hint="default" w:ascii="Times New Roman" w:hAnsi="Times New Roman" w:cs="Times New Roman"/>
                <w:color w:val="auto"/>
                <w:sz w:val="24"/>
                <w:szCs w:val="24"/>
                <w:lang w:val="en-US" w:eastAsia="zh-CN"/>
              </w:rPr>
              <w:t>系列短视频</w:t>
            </w:r>
          </w:p>
          <w:p w14:paraId="00A29E1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1、采购单位</w:t>
            </w:r>
            <w:r>
              <w:rPr>
                <w:rFonts w:hint="default" w:ascii="Times New Roman" w:hAnsi="Times New Roman" w:cs="Times New Roman"/>
                <w:color w:val="auto"/>
                <w:sz w:val="24"/>
                <w:szCs w:val="24"/>
                <w:lang w:val="en-US" w:eastAsia="zh-CN"/>
              </w:rPr>
              <w:t>负责</w:t>
            </w:r>
            <w:r>
              <w:rPr>
                <w:rFonts w:hint="default" w:ascii="Times New Roman" w:hAnsi="Times New Roman" w:cs="Times New Roman"/>
                <w:color w:val="auto"/>
                <w:sz w:val="24"/>
                <w:szCs w:val="24"/>
              </w:rPr>
              <w:t>相关文字</w:t>
            </w:r>
            <w:r>
              <w:rPr>
                <w:rFonts w:hint="default" w:ascii="Times New Roman" w:hAnsi="Times New Roman" w:cs="Times New Roman"/>
                <w:color w:val="auto"/>
                <w:sz w:val="24"/>
                <w:szCs w:val="24"/>
                <w:lang w:val="en-US" w:eastAsia="zh-CN"/>
              </w:rPr>
              <w:t>内容</w:t>
            </w:r>
            <w:r>
              <w:rPr>
                <w:rFonts w:hint="default" w:ascii="Times New Roman" w:hAnsi="Times New Roman" w:cs="Times New Roman"/>
                <w:color w:val="auto"/>
                <w:sz w:val="24"/>
                <w:szCs w:val="24"/>
              </w:rPr>
              <w:t>、图片、视频等</w:t>
            </w:r>
            <w:r>
              <w:rPr>
                <w:rFonts w:hint="eastAsia" w:ascii="宋体" w:hAnsi="宋体" w:cs="宋体"/>
                <w:color w:val="auto"/>
                <w:sz w:val="24"/>
                <w:szCs w:val="24"/>
                <w:lang w:val="en-US" w:eastAsia="zh-CN"/>
              </w:rPr>
              <w:t>材料的</w:t>
            </w:r>
            <w:r>
              <w:rPr>
                <w:rFonts w:hint="default" w:ascii="Times New Roman" w:hAnsi="Times New Roman" w:cs="Times New Roman"/>
                <w:color w:val="auto"/>
                <w:sz w:val="24"/>
                <w:szCs w:val="24"/>
                <w:lang w:val="en-US" w:eastAsia="zh-CN"/>
              </w:rPr>
              <w:t>审定</w:t>
            </w:r>
          </w:p>
          <w:p w14:paraId="72DE7DB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2、委托单位负责脚本编辑、拍摄、制作宣传</w:t>
            </w:r>
            <w:r>
              <w:rPr>
                <w:rFonts w:hint="default" w:ascii="Times New Roman" w:hAnsi="Times New Roman" w:cs="Times New Roman"/>
                <w:color w:val="auto"/>
                <w:sz w:val="24"/>
                <w:szCs w:val="24"/>
                <w:lang w:val="en-US" w:eastAsia="zh-CN"/>
              </w:rPr>
              <w:t>系列短视频</w:t>
            </w:r>
            <w:r>
              <w:rPr>
                <w:rFonts w:hint="default" w:ascii="Times New Roman" w:hAnsi="Times New Roman" w:cs="Times New Roman"/>
                <w:color w:val="auto"/>
                <w:sz w:val="24"/>
                <w:szCs w:val="24"/>
              </w:rPr>
              <w:t>。</w:t>
            </w:r>
          </w:p>
          <w:p w14:paraId="67F1727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（三）新闻报道</w:t>
            </w:r>
          </w:p>
          <w:p w14:paraId="2074AB6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联合媒体开展系列新闻报道。</w:t>
            </w:r>
          </w:p>
          <w:p w14:paraId="2C28F4A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1、采购单位负责审定稿件。</w:t>
            </w:r>
          </w:p>
          <w:p w14:paraId="40B1CB7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2、委托机构负责新闻采写，并对接媒体刊发。</w:t>
            </w:r>
          </w:p>
          <w:p w14:paraId="03E1D53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（四）短视频推广</w:t>
            </w:r>
          </w:p>
          <w:p w14:paraId="42119FA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default" w:ascii="Times New Roman" w:hAnsi="Times New Roman" w:cs="Times New Roman"/>
                <w:color w:val="auto"/>
                <w:sz w:val="24"/>
                <w:szCs w:val="24"/>
              </w:rPr>
              <w:t>1、采购单位负责</w:t>
            </w:r>
            <w:r>
              <w:rPr>
                <w:rFonts w:hint="eastAsia" w:ascii="宋体" w:hAnsi="宋体" w:cs="宋体"/>
                <w:color w:val="auto"/>
                <w:sz w:val="24"/>
                <w:szCs w:val="24"/>
                <w:lang w:val="en-US" w:eastAsia="zh-CN"/>
              </w:rPr>
              <w:t>负责</w:t>
            </w:r>
            <w:r>
              <w:rPr>
                <w:rFonts w:hint="eastAsia" w:ascii="宋体" w:hAnsi="宋体" w:cs="宋体"/>
                <w:color w:val="auto"/>
                <w:sz w:val="24"/>
                <w:szCs w:val="24"/>
              </w:rPr>
              <w:t>相关文字、图片、视频等</w:t>
            </w:r>
            <w:r>
              <w:rPr>
                <w:rFonts w:hint="eastAsia" w:ascii="宋体" w:hAnsi="宋体" w:cs="宋体"/>
                <w:color w:val="auto"/>
                <w:sz w:val="24"/>
                <w:szCs w:val="24"/>
                <w:lang w:val="en-US" w:eastAsia="zh-CN"/>
              </w:rPr>
              <w:t>材料的审定</w:t>
            </w:r>
            <w:r>
              <w:rPr>
                <w:rFonts w:hint="eastAsia" w:ascii="宋体" w:hAnsi="宋体" w:cs="宋体"/>
                <w:color w:val="auto"/>
                <w:sz w:val="24"/>
                <w:szCs w:val="24"/>
              </w:rPr>
              <w:t>。</w:t>
            </w:r>
          </w:p>
          <w:p w14:paraId="09B93DE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sz w:val="24"/>
                <w:szCs w:val="24"/>
              </w:rPr>
            </w:pPr>
            <w:r>
              <w:rPr>
                <w:rFonts w:hint="eastAsia" w:ascii="宋体" w:hAnsi="宋体" w:cs="宋体"/>
                <w:color w:val="auto"/>
                <w:sz w:val="24"/>
                <w:szCs w:val="24"/>
              </w:rPr>
              <w:t>2、委托机构负责脚本编辑、</w:t>
            </w:r>
            <w:r>
              <w:rPr>
                <w:rFonts w:hint="eastAsia" w:ascii="宋体" w:hAnsi="宋体" w:cs="宋体"/>
                <w:color w:val="auto"/>
                <w:sz w:val="24"/>
                <w:szCs w:val="24"/>
                <w:lang w:val="en-US" w:eastAsia="zh-CN"/>
              </w:rPr>
              <w:t>素材采写拍摄、</w:t>
            </w:r>
            <w:r>
              <w:rPr>
                <w:rFonts w:hint="eastAsia" w:ascii="宋体" w:hAnsi="宋体" w:cs="宋体"/>
                <w:color w:val="auto"/>
                <w:sz w:val="24"/>
                <w:szCs w:val="24"/>
              </w:rPr>
              <w:t>视频</w:t>
            </w:r>
            <w:r>
              <w:rPr>
                <w:rFonts w:hint="eastAsia" w:ascii="宋体" w:hAnsi="宋体" w:cs="宋体"/>
                <w:color w:val="auto"/>
                <w:sz w:val="24"/>
                <w:szCs w:val="24"/>
                <w:lang w:val="en-US" w:eastAsia="zh-CN"/>
              </w:rPr>
              <w:t>编辑制作</w:t>
            </w:r>
            <w:r>
              <w:rPr>
                <w:rFonts w:hint="eastAsia" w:ascii="宋体" w:hAnsi="宋体" w:cs="宋体"/>
                <w:color w:val="auto"/>
                <w:sz w:val="24"/>
                <w:szCs w:val="24"/>
              </w:rPr>
              <w:t>、协调有关媒体推广</w:t>
            </w:r>
            <w:r>
              <w:rPr>
                <w:rFonts w:hint="eastAsia" w:ascii="宋体" w:hAnsi="宋体" w:cs="宋体"/>
                <w:color w:val="auto"/>
                <w:sz w:val="24"/>
                <w:szCs w:val="24"/>
                <w:lang w:val="en-US" w:eastAsia="zh-CN"/>
              </w:rPr>
              <w:t>投放等</w:t>
            </w:r>
            <w:r>
              <w:rPr>
                <w:rFonts w:hint="eastAsia" w:ascii="宋体" w:hAnsi="宋体" w:cs="宋体"/>
                <w:color w:val="auto"/>
                <w:sz w:val="24"/>
                <w:szCs w:val="24"/>
              </w:rPr>
              <w:t>。</w:t>
            </w:r>
          </w:p>
          <w:p w14:paraId="05818F54">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cs="宋体"/>
                <w:b/>
                <w:color w:val="auto"/>
                <w:szCs w:val="21"/>
              </w:rPr>
              <w:t>▲</w:t>
            </w:r>
            <w:r>
              <w:rPr>
                <w:rFonts w:hint="eastAsia" w:ascii="宋体" w:hAnsi="宋体" w:cs="宋体"/>
                <w:b/>
                <w:bCs/>
                <w:color w:val="auto"/>
                <w:sz w:val="24"/>
                <w:szCs w:val="24"/>
              </w:rPr>
              <w:t>八、</w:t>
            </w:r>
            <w:r>
              <w:rPr>
                <w:rFonts w:hint="eastAsia" w:ascii="宋体" w:hAnsi="宋体" w:cs="宋体"/>
                <w:b/>
                <w:bCs/>
                <w:color w:val="auto"/>
                <w:sz w:val="24"/>
                <w:szCs w:val="24"/>
                <w:lang w:val="en-US" w:eastAsia="zh-CN"/>
              </w:rPr>
              <w:t>服务项目</w:t>
            </w:r>
          </w:p>
          <w:p w14:paraId="45BCA81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本次宣传活动</w:t>
            </w:r>
            <w:r>
              <w:rPr>
                <w:rFonts w:hint="eastAsia" w:ascii="宋体" w:hAnsi="宋体" w:cs="宋体"/>
                <w:color w:val="auto"/>
                <w:sz w:val="24"/>
                <w:szCs w:val="24"/>
                <w:lang w:eastAsia="zh-CN"/>
              </w:rPr>
              <w:t>采购</w:t>
            </w:r>
            <w:r>
              <w:rPr>
                <w:rFonts w:hint="eastAsia" w:ascii="宋体" w:hAnsi="宋体" w:cs="宋体"/>
                <w:color w:val="auto"/>
                <w:sz w:val="24"/>
                <w:szCs w:val="24"/>
              </w:rPr>
              <w:t>包含策划咨询、视频制作、媒体宣传推广等费用。每个片区具体项目如下：</w:t>
            </w:r>
          </w:p>
          <w:p w14:paraId="4AC7E8C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1、策划咨询</w:t>
            </w:r>
            <w:r>
              <w:rPr>
                <w:rFonts w:hint="eastAsia" w:ascii="宋体" w:hAnsi="宋体" w:cs="宋体"/>
                <w:color w:val="auto"/>
                <w:sz w:val="24"/>
                <w:szCs w:val="24"/>
                <w:lang w:eastAsia="zh-CN"/>
              </w:rPr>
              <w:t>：</w:t>
            </w:r>
            <w:r>
              <w:rPr>
                <w:rFonts w:hint="eastAsia" w:ascii="宋体" w:hAnsi="宋体" w:cs="宋体"/>
                <w:color w:val="auto"/>
                <w:sz w:val="24"/>
                <w:szCs w:val="24"/>
              </w:rPr>
              <w:t>负责本项目推介活动的策划统筹</w:t>
            </w:r>
            <w:r>
              <w:rPr>
                <w:rFonts w:hint="eastAsia" w:ascii="宋体" w:hAnsi="宋体" w:cs="宋体"/>
                <w:color w:val="auto"/>
                <w:sz w:val="24"/>
                <w:szCs w:val="24"/>
                <w:lang w:eastAsia="zh-CN"/>
              </w:rPr>
              <w:t>、</w:t>
            </w:r>
            <w:r>
              <w:rPr>
                <w:rFonts w:hint="eastAsia" w:ascii="宋体" w:hAnsi="宋体" w:cs="宋体"/>
                <w:color w:val="auto"/>
                <w:sz w:val="24"/>
                <w:szCs w:val="24"/>
              </w:rPr>
              <w:t>项目对接</w:t>
            </w:r>
            <w:r>
              <w:rPr>
                <w:rFonts w:hint="eastAsia" w:ascii="宋体" w:hAnsi="宋体" w:cs="宋体"/>
                <w:color w:val="auto"/>
                <w:sz w:val="24"/>
                <w:szCs w:val="24"/>
                <w:lang w:eastAsia="zh-CN"/>
              </w:rPr>
              <w:t>、</w:t>
            </w:r>
            <w:r>
              <w:rPr>
                <w:rFonts w:hint="eastAsia" w:ascii="宋体" w:hAnsi="宋体" w:cs="宋体"/>
                <w:color w:val="auto"/>
                <w:sz w:val="24"/>
                <w:szCs w:val="24"/>
              </w:rPr>
              <w:t>参会嘉宾邀请</w:t>
            </w:r>
            <w:r>
              <w:rPr>
                <w:rFonts w:hint="eastAsia" w:ascii="宋体" w:hAnsi="宋体" w:cs="宋体"/>
                <w:color w:val="auto"/>
                <w:sz w:val="24"/>
                <w:szCs w:val="24"/>
                <w:lang w:eastAsia="zh-CN"/>
              </w:rPr>
              <w:t>、</w:t>
            </w:r>
            <w:r>
              <w:rPr>
                <w:rFonts w:hint="eastAsia" w:ascii="宋体" w:hAnsi="宋体" w:cs="宋体"/>
                <w:color w:val="auto"/>
                <w:sz w:val="24"/>
                <w:szCs w:val="24"/>
              </w:rPr>
              <w:t>媒体</w:t>
            </w:r>
            <w:r>
              <w:rPr>
                <w:rFonts w:hint="eastAsia" w:ascii="宋体" w:hAnsi="宋体" w:cs="宋体"/>
                <w:color w:val="auto"/>
                <w:sz w:val="24"/>
                <w:szCs w:val="24"/>
                <w:lang w:val="en-US" w:eastAsia="zh-CN"/>
              </w:rPr>
              <w:t>投放</w:t>
            </w:r>
            <w:r>
              <w:rPr>
                <w:rFonts w:hint="eastAsia" w:ascii="宋体" w:hAnsi="宋体" w:cs="宋体"/>
                <w:color w:val="auto"/>
                <w:sz w:val="24"/>
                <w:szCs w:val="24"/>
              </w:rPr>
              <w:t>等。</w:t>
            </w:r>
          </w:p>
          <w:p w14:paraId="2D696E1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2、视频制作：摄制</w:t>
            </w:r>
            <w:r>
              <w:rPr>
                <w:rFonts w:hint="eastAsia" w:ascii="宋体" w:hAnsi="宋体" w:cs="宋体"/>
                <w:color w:val="auto"/>
                <w:sz w:val="24"/>
                <w:szCs w:val="24"/>
                <w:lang w:val="en-US" w:eastAsia="zh-CN"/>
              </w:rPr>
              <w:t>1条</w:t>
            </w:r>
            <w:r>
              <w:rPr>
                <w:rFonts w:hint="eastAsia" w:ascii="宋体" w:hAnsi="宋体" w:cs="宋体"/>
                <w:color w:val="auto"/>
                <w:sz w:val="24"/>
                <w:szCs w:val="24"/>
              </w:rPr>
              <w:t>广西建筑业“走出去”宣传视频，重点介绍广西建筑业</w:t>
            </w:r>
            <w:r>
              <w:rPr>
                <w:rFonts w:hint="eastAsia" w:ascii="宋体" w:hAnsi="宋体" w:cs="宋体"/>
                <w:color w:val="auto"/>
                <w:sz w:val="24"/>
                <w:szCs w:val="24"/>
                <w:lang w:val="en-US" w:eastAsia="zh-CN"/>
              </w:rPr>
              <w:t>发展成果</w:t>
            </w:r>
            <w:r>
              <w:rPr>
                <w:rFonts w:hint="eastAsia" w:ascii="宋体" w:hAnsi="宋体" w:cs="宋体"/>
                <w:color w:val="auto"/>
                <w:sz w:val="24"/>
                <w:szCs w:val="24"/>
              </w:rPr>
              <w:t>、企业实力、代表性工程、“走出去”相关政策内容等，包括后续讨论可能增加的内容。（含脚本、创意、撰写、拍摄、剪辑、配乐、特效包装合成等）。</w:t>
            </w:r>
            <w:r>
              <w:rPr>
                <w:rFonts w:hint="eastAsia" w:ascii="宋体" w:hAnsi="宋体" w:cs="宋体"/>
                <w:color w:val="auto"/>
                <w:sz w:val="24"/>
                <w:szCs w:val="24"/>
                <w:lang w:val="en-US" w:eastAsia="zh-CN"/>
              </w:rPr>
              <w:t>视频时长不少于8分钟，清晰度至少1080×1920以上。</w:t>
            </w:r>
          </w:p>
          <w:p w14:paraId="42AF5EE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3、召开</w:t>
            </w:r>
            <w:r>
              <w:rPr>
                <w:rFonts w:hint="eastAsia" w:ascii="宋体" w:hAnsi="宋体" w:cs="宋体"/>
                <w:color w:val="auto"/>
                <w:sz w:val="24"/>
                <w:szCs w:val="24"/>
                <w:lang w:val="en-US" w:eastAsia="zh-CN"/>
              </w:rPr>
              <w:t>4</w:t>
            </w:r>
            <w:r>
              <w:rPr>
                <w:rFonts w:hint="eastAsia" w:ascii="宋体" w:hAnsi="宋体" w:cs="宋体"/>
                <w:color w:val="auto"/>
                <w:sz w:val="24"/>
                <w:szCs w:val="24"/>
              </w:rPr>
              <w:t>场推介会</w:t>
            </w:r>
            <w:r>
              <w:rPr>
                <w:rFonts w:hint="eastAsia" w:ascii="宋体" w:hAnsi="宋体" w:cs="宋体"/>
                <w:color w:val="auto"/>
                <w:sz w:val="24"/>
                <w:szCs w:val="24"/>
                <w:lang w:eastAsia="zh-CN"/>
              </w:rPr>
              <w:t>：</w:t>
            </w:r>
            <w:r>
              <w:rPr>
                <w:rFonts w:hint="eastAsia" w:ascii="宋体" w:hAnsi="宋体" w:cs="宋体"/>
                <w:color w:val="auto"/>
                <w:sz w:val="24"/>
                <w:szCs w:val="24"/>
              </w:rPr>
              <w:t>包括活动策划、落实场地、会场布置、接待嘉宾、邀请当地平台公司、房开企业、房地产协会等参会嘉宾、邀请组织当地媒体，邀请当地建筑类及上下游企业（如文旅企业）出席等</w:t>
            </w:r>
            <w:r>
              <w:rPr>
                <w:rFonts w:hint="eastAsia" w:ascii="宋体" w:hAnsi="宋体" w:cs="宋体"/>
                <w:color w:val="auto"/>
                <w:sz w:val="24"/>
                <w:szCs w:val="24"/>
                <w:lang w:eastAsia="zh-CN"/>
              </w:rPr>
              <w:t>。</w:t>
            </w:r>
          </w:p>
          <w:p w14:paraId="36A84D4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4、媒体宣传推广。</w:t>
            </w:r>
          </w:p>
          <w:p w14:paraId="14FECD5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在中央级媒体或全国性行业权威媒体上对本</w:t>
            </w:r>
            <w:r>
              <w:rPr>
                <w:rFonts w:hint="eastAsia" w:ascii="宋体" w:hAnsi="宋体" w:cs="宋体"/>
                <w:color w:val="auto"/>
                <w:sz w:val="24"/>
                <w:szCs w:val="24"/>
                <w:lang w:val="en-US" w:eastAsia="zh-CN"/>
              </w:rPr>
              <w:t>标段宣传</w:t>
            </w:r>
            <w:r>
              <w:rPr>
                <w:rFonts w:hint="eastAsia" w:ascii="宋体" w:hAnsi="宋体" w:cs="宋体"/>
                <w:color w:val="auto"/>
                <w:sz w:val="24"/>
                <w:szCs w:val="24"/>
              </w:rPr>
              <w:t>活动</w:t>
            </w:r>
            <w:r>
              <w:rPr>
                <w:rFonts w:hint="eastAsia" w:ascii="宋体" w:hAnsi="宋体" w:cs="宋体"/>
                <w:color w:val="auto"/>
                <w:sz w:val="24"/>
                <w:szCs w:val="24"/>
                <w:lang w:val="en-US" w:eastAsia="zh-CN"/>
              </w:rPr>
              <w:t>进行</w:t>
            </w:r>
            <w:r>
              <w:rPr>
                <w:rFonts w:hint="eastAsia" w:ascii="宋体" w:hAnsi="宋体" w:cs="宋体"/>
                <w:color w:val="auto"/>
                <w:sz w:val="24"/>
                <w:szCs w:val="24"/>
              </w:rPr>
              <w:t>推广，内容包括：不低于</w:t>
            </w:r>
            <w:r>
              <w:rPr>
                <w:rFonts w:hint="eastAsia" w:ascii="宋体" w:hAnsi="宋体" w:cs="宋体"/>
                <w:color w:val="auto"/>
                <w:sz w:val="24"/>
                <w:szCs w:val="24"/>
                <w:lang w:val="en-US" w:eastAsia="zh-CN"/>
              </w:rPr>
              <w:t>4</w:t>
            </w:r>
            <w:r>
              <w:rPr>
                <w:rFonts w:hint="eastAsia" w:ascii="宋体" w:hAnsi="宋体" w:cs="宋体"/>
                <w:color w:val="auto"/>
                <w:sz w:val="24"/>
                <w:szCs w:val="24"/>
              </w:rPr>
              <w:t>次纸媒宣传，每次宣传稿件不低于500字；在同等级媒体的新媒体平台上（微信号、网站等）不低于</w:t>
            </w:r>
            <w:r>
              <w:rPr>
                <w:rFonts w:hint="eastAsia" w:ascii="宋体" w:hAnsi="宋体" w:cs="宋体"/>
                <w:color w:val="auto"/>
                <w:sz w:val="24"/>
                <w:szCs w:val="24"/>
                <w:lang w:val="en-US" w:eastAsia="zh-CN"/>
              </w:rPr>
              <w:t>4</w:t>
            </w:r>
            <w:r>
              <w:rPr>
                <w:rFonts w:hint="eastAsia" w:ascii="宋体" w:hAnsi="宋体" w:cs="宋体"/>
                <w:color w:val="auto"/>
                <w:sz w:val="24"/>
                <w:szCs w:val="24"/>
              </w:rPr>
              <w:t>次消息推送，稿件不低于800字且至少包含1张以上图片。</w:t>
            </w:r>
          </w:p>
          <w:p w14:paraId="4DA5B54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在</w:t>
            </w:r>
            <w:r>
              <w:rPr>
                <w:rFonts w:hint="eastAsia" w:ascii="宋体" w:hAnsi="宋体" w:cs="宋体"/>
                <w:color w:val="auto"/>
                <w:sz w:val="24"/>
                <w:szCs w:val="24"/>
                <w:lang w:val="en-US" w:eastAsia="zh-CN"/>
              </w:rPr>
              <w:t>推介会当地的</w:t>
            </w:r>
            <w:r>
              <w:rPr>
                <w:rFonts w:hint="eastAsia" w:ascii="宋体" w:hAnsi="宋体" w:cs="宋体"/>
                <w:color w:val="auto"/>
                <w:sz w:val="24"/>
                <w:szCs w:val="24"/>
              </w:rPr>
              <w:t>省级主流媒体对</w:t>
            </w:r>
            <w:r>
              <w:rPr>
                <w:rFonts w:hint="eastAsia" w:ascii="宋体" w:hAnsi="宋体" w:cs="宋体"/>
                <w:color w:val="auto"/>
                <w:sz w:val="24"/>
                <w:szCs w:val="24"/>
                <w:lang w:val="en-US" w:eastAsia="zh-CN"/>
              </w:rPr>
              <w:t>标段宣传</w:t>
            </w:r>
            <w:r>
              <w:rPr>
                <w:rFonts w:hint="eastAsia" w:ascii="宋体" w:hAnsi="宋体" w:cs="宋体"/>
                <w:color w:val="auto"/>
                <w:sz w:val="24"/>
                <w:szCs w:val="24"/>
              </w:rPr>
              <w:t>活动</w:t>
            </w:r>
            <w:r>
              <w:rPr>
                <w:rFonts w:hint="eastAsia" w:ascii="宋体" w:hAnsi="宋体" w:cs="宋体"/>
                <w:color w:val="auto"/>
                <w:sz w:val="24"/>
                <w:szCs w:val="24"/>
                <w:lang w:val="en-US" w:eastAsia="zh-CN"/>
              </w:rPr>
              <w:t>进行</w:t>
            </w:r>
            <w:r>
              <w:rPr>
                <w:rFonts w:hint="eastAsia" w:ascii="宋体" w:hAnsi="宋体" w:cs="宋体"/>
                <w:color w:val="auto"/>
                <w:sz w:val="24"/>
                <w:szCs w:val="24"/>
              </w:rPr>
              <w:t>推广，内容包括：每场推介会在当地</w:t>
            </w:r>
            <w:r>
              <w:rPr>
                <w:rFonts w:hint="eastAsia" w:ascii="宋体" w:hAnsi="宋体" w:cs="宋体"/>
                <w:color w:val="auto"/>
                <w:sz w:val="24"/>
                <w:szCs w:val="24"/>
                <w:lang w:val="en-US" w:eastAsia="zh-CN"/>
              </w:rPr>
              <w:t>至少1家</w:t>
            </w:r>
            <w:r>
              <w:rPr>
                <w:rFonts w:hint="eastAsia" w:ascii="宋体" w:hAnsi="宋体" w:cs="宋体"/>
                <w:color w:val="auto"/>
                <w:sz w:val="24"/>
                <w:szCs w:val="24"/>
              </w:rPr>
              <w:t>省级主流媒体</w:t>
            </w:r>
            <w:r>
              <w:rPr>
                <w:rFonts w:hint="eastAsia" w:ascii="宋体" w:hAnsi="宋体" w:cs="宋体"/>
                <w:color w:val="auto"/>
                <w:sz w:val="24"/>
                <w:szCs w:val="24"/>
                <w:lang w:val="en-US" w:eastAsia="zh-CN"/>
              </w:rPr>
              <w:t>上</w:t>
            </w:r>
            <w:r>
              <w:rPr>
                <w:rFonts w:hint="eastAsia" w:ascii="宋体" w:hAnsi="宋体" w:cs="宋体"/>
                <w:color w:val="auto"/>
                <w:sz w:val="24"/>
                <w:szCs w:val="24"/>
              </w:rPr>
              <w:t>（纸质媒体、新媒体平台均可）不低于1次消息推送，稿件不低于800字</w:t>
            </w:r>
            <w:r>
              <w:rPr>
                <w:rFonts w:hint="eastAsia" w:ascii="宋体" w:hAnsi="宋体" w:cs="宋体"/>
                <w:color w:val="auto"/>
                <w:sz w:val="24"/>
                <w:szCs w:val="24"/>
                <w:lang w:eastAsia="zh-CN"/>
              </w:rPr>
              <w:t>。</w:t>
            </w:r>
          </w:p>
          <w:p w14:paraId="7BA947C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auto"/>
                <w:sz w:val="24"/>
                <w:szCs w:val="24"/>
                <w:lang w:eastAsia="zh-CN"/>
              </w:rPr>
            </w:pPr>
            <w:r>
              <w:rPr>
                <w:rFonts w:hint="eastAsia" w:ascii="宋体" w:hAnsi="宋体" w:cs="宋体"/>
                <w:color w:val="auto"/>
                <w:sz w:val="24"/>
                <w:szCs w:val="24"/>
              </w:rPr>
              <w:t>在</w:t>
            </w:r>
            <w:r>
              <w:rPr>
                <w:rFonts w:hint="eastAsia" w:ascii="宋体" w:hAnsi="宋体" w:cs="宋体"/>
                <w:color w:val="auto"/>
                <w:sz w:val="24"/>
                <w:szCs w:val="24"/>
                <w:lang w:val="en-US" w:eastAsia="zh-CN"/>
              </w:rPr>
              <w:t>广西主流</w:t>
            </w:r>
            <w:r>
              <w:rPr>
                <w:rFonts w:hint="eastAsia" w:ascii="宋体" w:hAnsi="宋体" w:cs="宋体"/>
                <w:color w:val="auto"/>
                <w:sz w:val="24"/>
                <w:szCs w:val="24"/>
              </w:rPr>
              <w:t>媒体平台上对本</w:t>
            </w:r>
            <w:r>
              <w:rPr>
                <w:rFonts w:hint="eastAsia" w:ascii="宋体" w:hAnsi="宋体" w:cs="宋体"/>
                <w:color w:val="auto"/>
                <w:sz w:val="24"/>
                <w:szCs w:val="24"/>
                <w:lang w:val="en-US" w:eastAsia="zh-CN"/>
              </w:rPr>
              <w:t>标段宣传</w:t>
            </w:r>
            <w:r>
              <w:rPr>
                <w:rFonts w:hint="eastAsia" w:ascii="宋体" w:hAnsi="宋体" w:cs="宋体"/>
                <w:color w:val="auto"/>
                <w:sz w:val="24"/>
                <w:szCs w:val="24"/>
              </w:rPr>
              <w:t>活动</w:t>
            </w:r>
            <w:r>
              <w:rPr>
                <w:rFonts w:hint="eastAsia" w:ascii="宋体" w:hAnsi="宋体" w:cs="宋体"/>
                <w:color w:val="auto"/>
                <w:sz w:val="24"/>
                <w:szCs w:val="24"/>
                <w:lang w:val="en-US" w:eastAsia="zh-CN"/>
              </w:rPr>
              <w:t>进行</w:t>
            </w:r>
            <w:r>
              <w:rPr>
                <w:rFonts w:hint="eastAsia" w:ascii="宋体" w:hAnsi="宋体" w:cs="宋体"/>
                <w:color w:val="auto"/>
                <w:sz w:val="24"/>
                <w:szCs w:val="24"/>
              </w:rPr>
              <w:t>宣传推广，内容包括：在广西主流媒体上不低于1次纸媒宣传，每次宣传稿件不低于800字；在同等级媒体的新媒体平台上（微信号、网站等）不低于</w:t>
            </w:r>
            <w:r>
              <w:rPr>
                <w:rFonts w:hint="eastAsia" w:ascii="宋体" w:hAnsi="宋体" w:cs="宋体"/>
                <w:color w:val="auto"/>
                <w:sz w:val="24"/>
                <w:szCs w:val="24"/>
                <w:lang w:val="en-US" w:eastAsia="zh-CN"/>
              </w:rPr>
              <w:t>4</w:t>
            </w:r>
            <w:r>
              <w:rPr>
                <w:rFonts w:hint="eastAsia" w:ascii="宋体" w:hAnsi="宋体" w:cs="宋体"/>
                <w:color w:val="auto"/>
                <w:sz w:val="24"/>
                <w:szCs w:val="24"/>
              </w:rPr>
              <w:t>次消息推送，稿件不低于800字且至少包含1张以上图片。</w:t>
            </w:r>
          </w:p>
        </w:tc>
      </w:tr>
      <w:tr w14:paraId="7B25F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tcPr>
          <w:p w14:paraId="1DEE56E0">
            <w:pPr>
              <w:spacing w:line="360" w:lineRule="exact"/>
              <w:rPr>
                <w:rFonts w:ascii="Times New Roman" w:hAnsi="Times New Roman"/>
                <w:color w:val="auto"/>
                <w:szCs w:val="21"/>
              </w:rPr>
            </w:pPr>
            <w:r>
              <w:rPr>
                <w:rFonts w:hint="default" w:ascii="Times New Roman" w:hAnsi="Times New Roman" w:cs="Times New Roman"/>
                <w:color w:val="auto"/>
                <w:szCs w:val="21"/>
              </w:rPr>
              <w:t>▲</w:t>
            </w:r>
            <w:r>
              <w:rPr>
                <w:rFonts w:hint="default" w:ascii="Times New Roman" w:hAnsi="Times New Roman"/>
                <w:b/>
                <w:color w:val="auto"/>
                <w:szCs w:val="21"/>
              </w:rPr>
              <w:t>一、商务要求</w:t>
            </w:r>
          </w:p>
        </w:tc>
      </w:tr>
      <w:tr w14:paraId="27BF8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468C7469">
            <w:pPr>
              <w:spacing w:line="360" w:lineRule="exact"/>
              <w:rPr>
                <w:rFonts w:ascii="Times New Roman" w:hAnsi="Times New Roman" w:cs="Times New Roman"/>
                <w:b/>
                <w:color w:val="auto"/>
                <w:szCs w:val="21"/>
              </w:rPr>
            </w:pPr>
            <w:r>
              <w:rPr>
                <w:rFonts w:hint="default" w:ascii="Times New Roman" w:hAnsi="Times New Roman" w:cs="Times New Roman"/>
                <w:color w:val="auto"/>
                <w:szCs w:val="21"/>
              </w:rPr>
              <w:t>合同签订时间</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3571C46C">
            <w:pPr>
              <w:spacing w:line="360" w:lineRule="exact"/>
              <w:rPr>
                <w:rFonts w:ascii="Times New Roman" w:hAnsi="Times New Roman" w:cs="Times New Roman"/>
                <w:b/>
                <w:color w:val="auto"/>
                <w:szCs w:val="21"/>
              </w:rPr>
            </w:pPr>
            <w:r>
              <w:rPr>
                <w:rFonts w:hint="default" w:ascii="Times New Roman" w:hAnsi="Times New Roman" w:cs="Times New Roman"/>
                <w:color w:val="auto"/>
                <w:szCs w:val="21"/>
              </w:rPr>
              <w:t>自成交通知书发出之日起</w:t>
            </w:r>
            <w:r>
              <w:rPr>
                <w:rFonts w:hint="default" w:ascii="Times New Roman" w:hAnsi="Times New Roman" w:cs="Times New Roman"/>
                <w:color w:val="auto"/>
                <w:szCs w:val="21"/>
                <w:lang w:val="en-US" w:eastAsia="zh-CN"/>
              </w:rPr>
              <w:t>25</w:t>
            </w:r>
            <w:r>
              <w:rPr>
                <w:rFonts w:hint="default" w:ascii="Times New Roman" w:hAnsi="Times New Roman" w:cs="Times New Roman"/>
                <w:color w:val="auto"/>
                <w:szCs w:val="21"/>
              </w:rPr>
              <w:t>个日历日内。</w:t>
            </w:r>
          </w:p>
        </w:tc>
      </w:tr>
      <w:tr w14:paraId="575D4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0AE4520A">
            <w:pPr>
              <w:spacing w:line="360" w:lineRule="exact"/>
              <w:rPr>
                <w:rFonts w:ascii="Times New Roman" w:hAnsi="Times New Roman"/>
                <w:color w:val="auto"/>
                <w:szCs w:val="21"/>
              </w:rPr>
            </w:pPr>
            <w:r>
              <w:rPr>
                <w:rFonts w:hint="default" w:ascii="Times New Roman" w:hAnsi="Times New Roman"/>
                <w:color w:val="auto"/>
                <w:szCs w:val="21"/>
                <w:lang w:eastAsia="zh-CN"/>
              </w:rPr>
              <w:t>宣传时间</w:t>
            </w:r>
            <w:r>
              <w:rPr>
                <w:rFonts w:hint="default" w:ascii="Times New Roman" w:hAnsi="Times New Roman"/>
                <w:color w:val="auto"/>
                <w:szCs w:val="21"/>
              </w:rPr>
              <w:t>及地点</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20AE69C2">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olor w:val="auto"/>
                <w:szCs w:val="21"/>
                <w:lang w:eastAsia="zh-CN"/>
              </w:rPr>
            </w:pPr>
            <w:r>
              <w:rPr>
                <w:rFonts w:hint="default" w:ascii="Times New Roman" w:hAnsi="Times New Roman"/>
                <w:color w:val="auto"/>
                <w:szCs w:val="21"/>
              </w:rPr>
              <w:t>1.</w:t>
            </w:r>
            <w:r>
              <w:rPr>
                <w:rFonts w:hint="default" w:ascii="Times New Roman" w:hAnsi="Times New Roman"/>
                <w:color w:val="auto"/>
                <w:szCs w:val="21"/>
                <w:lang w:eastAsia="zh-CN"/>
              </w:rPr>
              <w:t>宣传时间</w:t>
            </w:r>
            <w:r>
              <w:rPr>
                <w:rFonts w:hint="default" w:ascii="Times New Roman" w:hAnsi="Times New Roman"/>
                <w:color w:val="auto"/>
                <w:szCs w:val="21"/>
              </w:rPr>
              <w:t>：</w:t>
            </w:r>
            <w:r>
              <w:rPr>
                <w:rFonts w:hint="eastAsia" w:cs="Times New Roman"/>
                <w:color w:val="auto"/>
                <w:sz w:val="24"/>
                <w:szCs w:val="24"/>
                <w:lang w:eastAsia="zh-CN"/>
              </w:rPr>
              <w:t>2024年9月-2024年</w:t>
            </w:r>
            <w:r>
              <w:rPr>
                <w:rFonts w:hint="eastAsia" w:cs="Times New Roman"/>
                <w:color w:val="auto"/>
                <w:sz w:val="24"/>
                <w:szCs w:val="24"/>
                <w:lang w:val="en-US" w:eastAsia="zh-CN"/>
              </w:rPr>
              <w:t>12</w:t>
            </w:r>
            <w:r>
              <w:rPr>
                <w:rFonts w:hint="eastAsia" w:cs="Times New Roman"/>
                <w:color w:val="auto"/>
                <w:sz w:val="24"/>
                <w:szCs w:val="24"/>
                <w:lang w:eastAsia="zh-CN"/>
              </w:rPr>
              <w:t>月</w:t>
            </w:r>
            <w:r>
              <w:rPr>
                <w:rFonts w:hint="default" w:ascii="Times New Roman" w:hAnsi="Times New Roman" w:cs="Times New Roman"/>
                <w:color w:val="auto"/>
                <w:sz w:val="24"/>
                <w:szCs w:val="24"/>
                <w:lang w:eastAsia="zh-CN"/>
              </w:rPr>
              <w:t>。</w:t>
            </w:r>
          </w:p>
          <w:p w14:paraId="0094BD6A">
            <w:pPr>
              <w:spacing w:line="360" w:lineRule="exact"/>
              <w:rPr>
                <w:rFonts w:ascii="Times New Roman" w:hAnsi="Times New Roman"/>
                <w:color w:val="auto"/>
                <w:szCs w:val="21"/>
              </w:rPr>
            </w:pPr>
            <w:r>
              <w:rPr>
                <w:rFonts w:hint="default" w:ascii="Times New Roman" w:hAnsi="Times New Roman"/>
                <w:color w:val="auto"/>
                <w:szCs w:val="21"/>
              </w:rPr>
              <w:t>2.服务地点：广东省广州市、云南省昆明市、四川省成都市、湖南省长沙市。</w:t>
            </w:r>
          </w:p>
        </w:tc>
      </w:tr>
      <w:tr w14:paraId="4B58E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62C1CC1A">
            <w:pPr>
              <w:spacing w:line="360" w:lineRule="exact"/>
              <w:rPr>
                <w:rFonts w:ascii="Times New Roman" w:hAnsi="Times New Roman"/>
                <w:color w:val="auto"/>
                <w:szCs w:val="21"/>
              </w:rPr>
            </w:pPr>
            <w:r>
              <w:rPr>
                <w:rFonts w:hint="default" w:ascii="Times New Roman" w:hAnsi="Times New Roman"/>
                <w:color w:val="auto"/>
                <w:szCs w:val="21"/>
              </w:rPr>
              <w:t>付款方式</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09469EC1">
            <w:pPr>
              <w:spacing w:line="360" w:lineRule="atLeast"/>
              <w:ind w:firstLine="420" w:firstLineChars="200"/>
              <w:rPr>
                <w:rFonts w:ascii="Times New Roman" w:hAnsi="Times New Roman"/>
                <w:b/>
                <w:color w:val="auto"/>
                <w:szCs w:val="21"/>
              </w:rPr>
            </w:pPr>
            <w:r>
              <w:rPr>
                <w:rFonts w:hint="eastAsia" w:ascii="宋体" w:hAnsi="宋体"/>
                <w:color w:val="auto"/>
                <w:szCs w:val="21"/>
                <w:lang w:eastAsia="zh-CN"/>
              </w:rPr>
              <w:t>在双方签订合同之日起</w:t>
            </w:r>
            <w:r>
              <w:rPr>
                <w:rFonts w:hint="eastAsia" w:ascii="宋体" w:hAnsi="宋体"/>
                <w:color w:val="auto"/>
                <w:szCs w:val="21"/>
                <w:lang w:val="en-US" w:eastAsia="zh-CN"/>
              </w:rPr>
              <w:t>10个工作日内</w:t>
            </w:r>
            <w:r>
              <w:rPr>
                <w:rFonts w:hint="eastAsia" w:ascii="宋体" w:hAnsi="宋体"/>
                <w:color w:val="auto"/>
                <w:szCs w:val="21"/>
                <w:lang w:eastAsia="zh-CN"/>
              </w:rPr>
              <w:t>甲方</w:t>
            </w:r>
            <w:r>
              <w:rPr>
                <w:rFonts w:hint="eastAsia" w:ascii="宋体" w:hAnsi="宋体"/>
                <w:color w:val="auto"/>
                <w:szCs w:val="21"/>
                <w:lang w:val="en-US" w:eastAsia="zh-CN"/>
              </w:rPr>
              <w:t>支付合同价款的50%给乙方，乙方完成宣传策划任务且通过甲方验收合格后10个工作日内甲方支付合同价款的50%给乙方。</w:t>
            </w:r>
          </w:p>
        </w:tc>
      </w:tr>
      <w:tr w14:paraId="437C1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7C86E98C">
            <w:pPr>
              <w:spacing w:line="360" w:lineRule="exact"/>
              <w:jc w:val="left"/>
              <w:rPr>
                <w:rFonts w:ascii="Times New Roman" w:hAnsi="Times New Roman"/>
                <w:color w:val="auto"/>
                <w:szCs w:val="21"/>
              </w:rPr>
            </w:pPr>
            <w:r>
              <w:rPr>
                <w:rFonts w:hint="default" w:ascii="Times New Roman" w:hAnsi="Times New Roman"/>
                <w:color w:val="auto"/>
                <w:szCs w:val="21"/>
              </w:rPr>
              <w:t>报价要求</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1FCB9C38">
            <w:pPr>
              <w:spacing w:line="360" w:lineRule="exact"/>
              <w:ind w:firstLine="420" w:firstLineChars="200"/>
              <w:rPr>
                <w:rFonts w:ascii="Times New Roman" w:hAnsi="Times New Roman"/>
                <w:color w:val="auto"/>
                <w:szCs w:val="21"/>
              </w:rPr>
            </w:pPr>
            <w:r>
              <w:rPr>
                <w:rFonts w:hint="default" w:ascii="Times New Roman" w:hAnsi="Times New Roman"/>
                <w:color w:val="auto"/>
                <w:szCs w:val="21"/>
              </w:rPr>
              <w:t>供应商磋商报价应包括但不限于完成本项目服务所需的劳务费、技术服务费、交通、通讯、差旅费、住宿费、办公场地、管理费、利润、税费、验收以及合同中的所有责任、义务和风险等相关一切费用，供应商都应综合考虑在报价中。</w:t>
            </w:r>
          </w:p>
        </w:tc>
      </w:tr>
      <w:tr w14:paraId="4A16A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493E9042">
            <w:pPr>
              <w:spacing w:line="360" w:lineRule="exact"/>
              <w:rPr>
                <w:rFonts w:ascii="Times New Roman" w:hAnsi="Times New Roman"/>
                <w:color w:val="auto"/>
                <w:szCs w:val="21"/>
              </w:rPr>
            </w:pPr>
            <w:r>
              <w:rPr>
                <w:rFonts w:hint="default" w:ascii="Times New Roman" w:hAnsi="Times New Roman"/>
                <w:b/>
                <w:bCs/>
                <w:color w:val="auto"/>
                <w:szCs w:val="21"/>
              </w:rPr>
              <w:t>二、与实现项目目标相关的其他要求</w:t>
            </w:r>
          </w:p>
        </w:tc>
      </w:tr>
      <w:tr w14:paraId="727B8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0CA97CD4">
            <w:pPr>
              <w:spacing w:line="360" w:lineRule="exact"/>
              <w:rPr>
                <w:rFonts w:ascii="Times New Roman" w:hAnsi="Times New Roman"/>
                <w:b/>
                <w:color w:val="auto"/>
                <w:szCs w:val="21"/>
              </w:rPr>
            </w:pPr>
            <w:r>
              <w:rPr>
                <w:rFonts w:hint="default" w:ascii="Times New Roman" w:hAnsi="Times New Roman"/>
                <w:b/>
                <w:color w:val="auto"/>
                <w:szCs w:val="21"/>
              </w:rPr>
              <w:t>（一）供应商的履约能力要求</w:t>
            </w:r>
          </w:p>
        </w:tc>
      </w:tr>
      <w:tr w14:paraId="7CCF8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7BFD31BC">
            <w:pPr>
              <w:spacing w:line="360" w:lineRule="exact"/>
              <w:rPr>
                <w:rFonts w:ascii="Times New Roman" w:hAnsi="Times New Roman"/>
                <w:color w:val="auto"/>
                <w:szCs w:val="21"/>
              </w:rPr>
            </w:pPr>
            <w:r>
              <w:rPr>
                <w:rFonts w:hint="default" w:ascii="Times New Roman" w:hAnsi="Times New Roman"/>
                <w:color w:val="auto"/>
                <w:szCs w:val="21"/>
              </w:rPr>
              <w:t>政策性加分条件</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00112F9E">
            <w:pPr>
              <w:spacing w:line="360" w:lineRule="exact"/>
              <w:rPr>
                <w:rFonts w:ascii="Times New Roman" w:hAnsi="Times New Roman"/>
                <w:color w:val="auto"/>
                <w:szCs w:val="21"/>
              </w:rPr>
            </w:pPr>
            <w:r>
              <w:rPr>
                <w:rFonts w:hint="default" w:ascii="Times New Roman" w:hAnsi="Times New Roman"/>
                <w:color w:val="auto"/>
                <w:szCs w:val="21"/>
              </w:rPr>
              <w:t>见本采购文件第四章“评审程序、评审方法和评审标准”。</w:t>
            </w:r>
          </w:p>
        </w:tc>
      </w:tr>
      <w:tr w14:paraId="72716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004830C0">
            <w:pPr>
              <w:spacing w:line="360" w:lineRule="exact"/>
              <w:rPr>
                <w:rFonts w:ascii="Times New Roman" w:hAnsi="Times New Roman"/>
                <w:color w:val="auto"/>
                <w:szCs w:val="21"/>
              </w:rPr>
            </w:pPr>
            <w:r>
              <w:rPr>
                <w:rFonts w:hint="default" w:ascii="Times New Roman" w:hAnsi="Times New Roman"/>
                <w:color w:val="auto"/>
                <w:szCs w:val="21"/>
              </w:rPr>
              <w:t>质量管理体系要求</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0F35C54C">
            <w:pPr>
              <w:spacing w:line="360" w:lineRule="exact"/>
              <w:rPr>
                <w:rFonts w:ascii="Times New Roman" w:hAnsi="Times New Roman"/>
                <w:color w:val="auto"/>
                <w:szCs w:val="21"/>
              </w:rPr>
            </w:pPr>
            <w:r>
              <w:rPr>
                <w:rFonts w:hint="default" w:ascii="Times New Roman" w:hAnsi="Times New Roman"/>
                <w:color w:val="auto"/>
                <w:szCs w:val="21"/>
              </w:rPr>
              <w:t>如有，请于响应文件中自行提供。</w:t>
            </w:r>
          </w:p>
        </w:tc>
      </w:tr>
      <w:tr w14:paraId="74894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5208FA7E">
            <w:pPr>
              <w:spacing w:line="360" w:lineRule="exact"/>
              <w:rPr>
                <w:rFonts w:ascii="Times New Roman" w:hAnsi="Times New Roman"/>
                <w:color w:val="auto"/>
                <w:szCs w:val="21"/>
              </w:rPr>
            </w:pPr>
            <w:r>
              <w:rPr>
                <w:rFonts w:hint="default" w:ascii="Times New Roman" w:hAnsi="Times New Roman"/>
                <w:color w:val="auto"/>
                <w:szCs w:val="21"/>
              </w:rPr>
              <w:t>业绩要求</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00CD48C3">
            <w:pPr>
              <w:spacing w:line="360" w:lineRule="exact"/>
              <w:rPr>
                <w:rFonts w:ascii="Times New Roman" w:hAnsi="Times New Roman"/>
                <w:color w:val="auto"/>
                <w:szCs w:val="21"/>
              </w:rPr>
            </w:pPr>
            <w:r>
              <w:rPr>
                <w:rFonts w:hint="default" w:ascii="Times New Roman" w:hAnsi="Times New Roman"/>
                <w:color w:val="auto"/>
                <w:szCs w:val="21"/>
              </w:rPr>
              <w:t>如有，请于响应文件中自行提供。</w:t>
            </w:r>
          </w:p>
        </w:tc>
      </w:tr>
      <w:tr w14:paraId="280B0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751ECF34">
            <w:pPr>
              <w:tabs>
                <w:tab w:val="left" w:pos="180"/>
                <w:tab w:val="left" w:pos="1620"/>
              </w:tabs>
              <w:spacing w:line="360" w:lineRule="exact"/>
              <w:rPr>
                <w:rFonts w:ascii="Times New Roman" w:hAnsi="Times New Roman" w:cs="Times New Roman"/>
                <w:bCs/>
                <w:color w:val="auto"/>
                <w:szCs w:val="21"/>
              </w:rPr>
            </w:pPr>
            <w:r>
              <w:rPr>
                <w:rFonts w:hint="default" w:ascii="Times New Roman" w:hAnsi="Times New Roman"/>
                <w:b/>
                <w:color w:val="auto"/>
                <w:szCs w:val="21"/>
              </w:rPr>
              <w:t>（二）验收标准</w:t>
            </w:r>
          </w:p>
        </w:tc>
      </w:tr>
      <w:tr w14:paraId="00EB0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2FCC825B">
            <w:pPr>
              <w:spacing w:line="360" w:lineRule="exact"/>
              <w:ind w:firstLine="420" w:firstLineChars="200"/>
              <w:rPr>
                <w:rFonts w:ascii="Times New Roman" w:hAnsi="Times New Roman"/>
                <w:color w:val="auto"/>
                <w:szCs w:val="21"/>
              </w:rPr>
            </w:pPr>
            <w:r>
              <w:rPr>
                <w:rFonts w:hint="default" w:ascii="Times New Roman" w:hAnsi="Times New Roman"/>
                <w:color w:val="auto"/>
                <w:szCs w:val="21"/>
              </w:rPr>
              <w:t>1</w:t>
            </w:r>
            <w:r>
              <w:rPr>
                <w:rFonts w:ascii="Times New Roman" w:hAnsi="Times New Roman"/>
                <w:color w:val="auto"/>
                <w:szCs w:val="21"/>
              </w:rPr>
              <w:t>.</w:t>
            </w:r>
            <w:r>
              <w:rPr>
                <w:rFonts w:hint="default" w:ascii="Times New Roman" w:hAnsi="Times New Roman"/>
                <w:color w:val="auto"/>
                <w:szCs w:val="21"/>
              </w:rPr>
              <w:t>《采购需求》表另有要求的，按要求执行。</w:t>
            </w:r>
          </w:p>
          <w:p w14:paraId="0D7CD112">
            <w:pPr>
              <w:spacing w:line="360" w:lineRule="exact"/>
              <w:ind w:firstLine="420" w:firstLineChars="200"/>
              <w:rPr>
                <w:rFonts w:ascii="Times New Roman" w:hAnsi="Times New Roman"/>
                <w:color w:val="auto"/>
                <w:szCs w:val="21"/>
              </w:rPr>
            </w:pPr>
            <w:r>
              <w:rPr>
                <w:rFonts w:hint="default" w:ascii="Times New Roman" w:hAnsi="Times New Roman"/>
                <w:color w:val="auto"/>
                <w:szCs w:val="21"/>
              </w:rPr>
              <w:t>2.符合现行国家相关标准、行业标准、地方标准或者其他标准、规范。</w:t>
            </w:r>
          </w:p>
          <w:p w14:paraId="47F45D1C">
            <w:pPr>
              <w:spacing w:line="360" w:lineRule="exact"/>
              <w:ind w:firstLine="420" w:firstLineChars="200"/>
              <w:rPr>
                <w:rFonts w:ascii="Times New Roman" w:hAnsi="Times New Roman"/>
                <w:color w:val="auto"/>
                <w:szCs w:val="21"/>
              </w:rPr>
            </w:pPr>
            <w:r>
              <w:rPr>
                <w:rFonts w:hint="default" w:ascii="Times New Roman" w:hAnsi="Times New Roman"/>
                <w:color w:val="auto"/>
                <w:szCs w:val="21"/>
              </w:rPr>
              <w:t>3</w:t>
            </w:r>
            <w:r>
              <w:rPr>
                <w:rFonts w:ascii="Times New Roman" w:hAnsi="Times New Roman"/>
                <w:color w:val="auto"/>
                <w:szCs w:val="21"/>
              </w:rPr>
              <w:t>.</w:t>
            </w:r>
            <w:r>
              <w:rPr>
                <w:rFonts w:hint="default" w:ascii="Times New Roman" w:hAnsi="Times New Roman"/>
                <w:color w:val="auto"/>
                <w:szCs w:val="21"/>
              </w:rPr>
              <w:t>提供的服务内容与采购合同一致；项目完成经采购人确认后提交完善的文档</w:t>
            </w:r>
            <w:r>
              <w:rPr>
                <w:rFonts w:hint="default" w:ascii="Times New Roman" w:hAnsi="Times New Roman"/>
                <w:color w:val="auto"/>
                <w:szCs w:val="21"/>
                <w:lang w:eastAsia="zh-CN"/>
              </w:rPr>
              <w:t>资料</w:t>
            </w:r>
            <w:r>
              <w:rPr>
                <w:rFonts w:hint="default" w:ascii="Times New Roman" w:hAnsi="Times New Roman"/>
                <w:color w:val="auto"/>
                <w:szCs w:val="21"/>
              </w:rPr>
              <w:t>。</w:t>
            </w:r>
          </w:p>
          <w:p w14:paraId="760880E6">
            <w:pPr>
              <w:spacing w:line="360" w:lineRule="exact"/>
              <w:ind w:firstLine="420" w:firstLineChars="200"/>
              <w:rPr>
                <w:rFonts w:ascii="Times New Roman" w:hAnsi="Times New Roman"/>
                <w:color w:val="auto"/>
                <w:szCs w:val="21"/>
              </w:rPr>
            </w:pPr>
            <w:r>
              <w:rPr>
                <w:rFonts w:hint="default" w:ascii="Times New Roman" w:hAnsi="Times New Roman"/>
                <w:color w:val="auto"/>
                <w:szCs w:val="21"/>
              </w:rPr>
              <w:t>4</w:t>
            </w:r>
            <w:r>
              <w:rPr>
                <w:rFonts w:ascii="Times New Roman" w:hAnsi="Times New Roman"/>
                <w:color w:val="auto"/>
                <w:szCs w:val="21"/>
              </w:rPr>
              <w:t>.</w:t>
            </w:r>
            <w:r>
              <w:rPr>
                <w:rFonts w:hint="default" w:ascii="Times New Roman" w:hAnsi="Times New Roman"/>
                <w:color w:val="auto"/>
                <w:szCs w:val="21"/>
              </w:rPr>
              <w:t>除另有约定的以外，验收过程中所产生的费用均由成交供应商承担。报价时应考虑相关费用。</w:t>
            </w:r>
          </w:p>
          <w:p w14:paraId="1D3A6716">
            <w:pPr>
              <w:spacing w:line="360" w:lineRule="exact"/>
              <w:ind w:firstLine="420" w:firstLineChars="200"/>
              <w:rPr>
                <w:rFonts w:ascii="Times New Roman" w:hAnsi="Times New Roman"/>
                <w:color w:val="auto"/>
                <w:szCs w:val="21"/>
              </w:rPr>
            </w:pPr>
            <w:r>
              <w:rPr>
                <w:rFonts w:hint="default" w:ascii="Times New Roman" w:hAnsi="Times New Roman"/>
                <w:color w:val="auto"/>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11FB5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62CEF8BC">
            <w:pPr>
              <w:spacing w:line="360" w:lineRule="exact"/>
              <w:rPr>
                <w:rFonts w:ascii="Times New Roman" w:hAnsi="Times New Roman"/>
                <w:color w:val="auto"/>
                <w:szCs w:val="21"/>
              </w:rPr>
            </w:pPr>
            <w:r>
              <w:rPr>
                <w:rFonts w:hint="default" w:ascii="Times New Roman" w:hAnsi="Times New Roman"/>
                <w:b/>
                <w:color w:val="auto"/>
                <w:szCs w:val="21"/>
              </w:rPr>
              <w:t>（三）其他</w:t>
            </w:r>
          </w:p>
        </w:tc>
      </w:tr>
      <w:tr w14:paraId="6BDA4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5DD01311">
            <w:pPr>
              <w:spacing w:line="360" w:lineRule="exact"/>
              <w:jc w:val="center"/>
              <w:rPr>
                <w:rFonts w:ascii="Times New Roman" w:hAnsi="Times New Roman"/>
                <w:color w:val="auto"/>
                <w:szCs w:val="21"/>
              </w:rPr>
            </w:pPr>
            <w:r>
              <w:rPr>
                <w:rFonts w:hint="default" w:ascii="Times New Roman" w:hAnsi="Times New Roman"/>
                <w:color w:val="auto"/>
                <w:szCs w:val="21"/>
              </w:rPr>
              <w:t>磋商说明</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70B027BF">
            <w:pPr>
              <w:spacing w:line="360" w:lineRule="exact"/>
              <w:rPr>
                <w:rFonts w:ascii="Times New Roman" w:hAnsi="Times New Roman"/>
                <w:color w:val="auto"/>
                <w:szCs w:val="21"/>
              </w:rPr>
            </w:pPr>
            <w:r>
              <w:rPr>
                <w:rFonts w:hint="default" w:ascii="Times New Roman" w:hAnsi="Times New Roman"/>
                <w:color w:val="auto"/>
                <w:szCs w:val="21"/>
              </w:rPr>
              <w:t>　  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tc>
      </w:tr>
      <w:tr w14:paraId="2FA0B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36DCD3DD">
            <w:pPr>
              <w:spacing w:line="360" w:lineRule="exact"/>
              <w:jc w:val="center"/>
              <w:rPr>
                <w:rFonts w:ascii="Times New Roman" w:hAnsi="Times New Roman"/>
                <w:color w:val="auto"/>
                <w:szCs w:val="21"/>
              </w:rPr>
            </w:pPr>
            <w:r>
              <w:rPr>
                <w:rFonts w:hint="default" w:ascii="Times New Roman" w:hAnsi="Times New Roman" w:cs="Times New Roman"/>
                <w:color w:val="auto"/>
                <w:szCs w:val="21"/>
              </w:rPr>
              <w:t>服务方案</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35493959">
            <w:pPr>
              <w:widowControl/>
              <w:ind w:firstLine="420" w:firstLineChars="200"/>
              <w:jc w:val="left"/>
              <w:rPr>
                <w:rFonts w:ascii="Times New Roman" w:hAnsi="Times New Roman"/>
                <w:bCs/>
                <w:color w:val="auto"/>
                <w:szCs w:val="21"/>
              </w:rPr>
            </w:pPr>
            <w:r>
              <w:rPr>
                <w:rFonts w:hint="default" w:ascii="Times New Roman" w:hAnsi="Times New Roman"/>
                <w:bCs/>
                <w:color w:val="auto"/>
                <w:szCs w:val="21"/>
              </w:rPr>
              <w:t>供应商根据自身情况，结合项目服务需求及评标办法（见采购文件第四章）提供项目</w:t>
            </w:r>
            <w:r>
              <w:rPr>
                <w:rFonts w:hint="default" w:ascii="Times New Roman" w:hAnsi="Times New Roman"/>
                <w:bCs/>
                <w:color w:val="auto"/>
                <w:szCs w:val="21"/>
                <w:lang w:eastAsia="zh-CN"/>
              </w:rPr>
              <w:t>服务</w:t>
            </w:r>
            <w:r>
              <w:rPr>
                <w:rFonts w:hint="default" w:ascii="Times New Roman" w:hAnsi="Times New Roman"/>
                <w:bCs/>
                <w:color w:val="auto"/>
                <w:szCs w:val="21"/>
              </w:rPr>
              <w:t>方案、</w:t>
            </w:r>
            <w:r>
              <w:rPr>
                <w:rFonts w:hint="eastAsia" w:ascii="宋体" w:hAnsi="宋体" w:cs="宋体"/>
                <w:color w:val="auto"/>
                <w:szCs w:val="21"/>
                <w:lang w:eastAsia="zh-CN"/>
              </w:rPr>
              <w:t>包含本地化服务方案、</w:t>
            </w:r>
            <w:r>
              <w:rPr>
                <w:rFonts w:hint="default" w:ascii="Times New Roman" w:hAnsi="Times New Roman"/>
                <w:bCs/>
                <w:color w:val="auto"/>
                <w:szCs w:val="21"/>
              </w:rPr>
              <w:t>售后服务方案、人员配备、资信、业绩等（格式自拟）。</w:t>
            </w:r>
          </w:p>
        </w:tc>
      </w:tr>
      <w:tr w14:paraId="4B5F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560E26B6">
            <w:pPr>
              <w:spacing w:line="360" w:lineRule="exact"/>
              <w:jc w:val="center"/>
              <w:rPr>
                <w:rFonts w:ascii="Times New Roman" w:hAnsi="Times New Roman"/>
                <w:color w:val="auto"/>
                <w:szCs w:val="21"/>
              </w:rPr>
            </w:pPr>
            <w:r>
              <w:rPr>
                <w:rFonts w:hint="default" w:ascii="Times New Roman" w:hAnsi="Times New Roman"/>
                <w:color w:val="auto"/>
                <w:szCs w:val="21"/>
              </w:rPr>
              <w:t>▲最高限价</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60F9FAC0">
            <w:pPr>
              <w:spacing w:line="360" w:lineRule="exact"/>
              <w:ind w:firstLine="420" w:firstLineChars="200"/>
              <w:rPr>
                <w:rFonts w:ascii="Times New Roman" w:hAnsi="Times New Roman"/>
                <w:b/>
                <w:color w:val="auto"/>
                <w:szCs w:val="21"/>
              </w:rPr>
            </w:pPr>
            <w:r>
              <w:rPr>
                <w:rFonts w:hint="default" w:ascii="Times New Roman" w:hAnsi="Times New Roman" w:cs="Times New Roman"/>
                <w:color w:val="auto"/>
                <w:szCs w:val="21"/>
              </w:rPr>
              <w:t>本项目以采购预算为最高限价，</w:t>
            </w:r>
            <w:r>
              <w:rPr>
                <w:rFonts w:hint="default" w:ascii="Times New Roman" w:hAnsi="Times New Roman"/>
                <w:b/>
                <w:color w:val="auto"/>
                <w:szCs w:val="21"/>
                <w:u w:val="single"/>
              </w:rPr>
              <w:t>供应商竞标报价超最高限价的作无效响应处理</w:t>
            </w:r>
            <w:r>
              <w:rPr>
                <w:rFonts w:hint="default" w:ascii="Times New Roman" w:hAnsi="Times New Roman" w:cs="Times New Roman"/>
                <w:color w:val="auto"/>
                <w:szCs w:val="21"/>
              </w:rPr>
              <w:t>。</w:t>
            </w:r>
          </w:p>
        </w:tc>
      </w:tr>
      <w:tr w14:paraId="64305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6" w:type="dxa"/>
            <w:gridSpan w:val="2"/>
            <w:tcBorders>
              <w:top w:val="single" w:color="auto" w:sz="4" w:space="0"/>
              <w:left w:val="single" w:color="auto" w:sz="4" w:space="0"/>
              <w:bottom w:val="single" w:color="auto" w:sz="4" w:space="0"/>
              <w:right w:val="single" w:color="auto" w:sz="4" w:space="0"/>
            </w:tcBorders>
            <w:vAlign w:val="center"/>
          </w:tcPr>
          <w:p w14:paraId="09DDA3BB">
            <w:pPr>
              <w:spacing w:line="360" w:lineRule="exact"/>
              <w:jc w:val="center"/>
              <w:rPr>
                <w:rFonts w:ascii="Times New Roman" w:hAnsi="Times New Roman"/>
                <w:color w:val="auto"/>
                <w:szCs w:val="21"/>
              </w:rPr>
            </w:pPr>
            <w:r>
              <w:rPr>
                <w:rFonts w:hint="default" w:ascii="Times New Roman" w:hAnsi="Times New Roman"/>
                <w:color w:val="auto"/>
                <w:szCs w:val="21"/>
              </w:rPr>
              <w:t>其他说明</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45A0CBE9">
            <w:pPr>
              <w:spacing w:line="360" w:lineRule="exact"/>
              <w:ind w:firstLine="420" w:firstLineChars="200"/>
              <w:rPr>
                <w:rFonts w:ascii="Times New Roman" w:hAnsi="Times New Roman"/>
                <w:bCs/>
                <w:color w:val="auto"/>
                <w:szCs w:val="21"/>
              </w:rPr>
            </w:pPr>
            <w:r>
              <w:rPr>
                <w:color w:val="auto"/>
              </w:rPr>
              <w:t>本项目为服务项目，</w:t>
            </w:r>
            <w:r>
              <w:rPr>
                <w:rFonts w:hint="default"/>
                <w:color w:val="auto"/>
              </w:rPr>
              <w:t>无核心产品要求。</w:t>
            </w:r>
          </w:p>
        </w:tc>
      </w:tr>
    </w:tbl>
    <w:p w14:paraId="063AA882">
      <w:pPr>
        <w:spacing w:line="360" w:lineRule="auto"/>
        <w:jc w:val="left"/>
        <w:rPr>
          <w:rFonts w:ascii="宋体" w:hAnsi="宋体" w:cs="Arial"/>
          <w:bCs/>
          <w:color w:val="auto"/>
          <w:szCs w:val="21"/>
          <w:u w:val="single"/>
        </w:rPr>
      </w:pPr>
    </w:p>
    <w:p w14:paraId="6306FB01">
      <w:pPr>
        <w:spacing w:line="428" w:lineRule="exact"/>
        <w:ind w:left="119"/>
        <w:rPr>
          <w:color w:val="auto"/>
        </w:rPr>
      </w:pPr>
    </w:p>
    <w:p w14:paraId="54AFBE9C">
      <w:pPr>
        <w:spacing w:line="428" w:lineRule="exact"/>
        <w:ind w:left="119"/>
        <w:rPr>
          <w:color w:val="auto"/>
        </w:rPr>
      </w:pPr>
    </w:p>
    <w:p w14:paraId="71F15415">
      <w:pPr>
        <w:spacing w:line="428" w:lineRule="exact"/>
        <w:ind w:left="119"/>
        <w:rPr>
          <w:color w:val="auto"/>
        </w:rPr>
      </w:pPr>
    </w:p>
    <w:p w14:paraId="2C7244E6">
      <w:pPr>
        <w:spacing w:line="428" w:lineRule="exact"/>
        <w:ind w:left="119"/>
        <w:rPr>
          <w:color w:val="auto"/>
        </w:rPr>
      </w:pPr>
    </w:p>
    <w:p w14:paraId="1A577F7F">
      <w:pPr>
        <w:rPr>
          <w:color w:val="auto"/>
        </w:rPr>
      </w:pPr>
      <w:r>
        <w:rPr>
          <w:color w:val="auto"/>
        </w:rPr>
        <w:br w:type="page"/>
      </w:r>
    </w:p>
    <w:p w14:paraId="1BBF31B8">
      <w:pPr>
        <w:spacing w:line="360" w:lineRule="exact"/>
        <w:ind w:left="119"/>
        <w:rPr>
          <w:rFonts w:ascii="黑体" w:hAnsi="黑体" w:eastAsia="黑体" w:cs="黑体"/>
          <w:color w:val="auto"/>
          <w:sz w:val="32"/>
          <w:szCs w:val="32"/>
        </w:rPr>
      </w:pPr>
      <w:r>
        <w:rPr>
          <w:rFonts w:hint="eastAsia" w:ascii="黑体" w:hAnsi="黑体" w:eastAsia="黑体" w:cs="黑体"/>
          <w:color w:val="auto"/>
          <w:sz w:val="32"/>
          <w:szCs w:val="32"/>
        </w:rPr>
        <w:t>附件：</w:t>
      </w:r>
    </w:p>
    <w:p w14:paraId="22643769">
      <w:pPr>
        <w:spacing w:line="380" w:lineRule="exact"/>
        <w:jc w:val="center"/>
        <w:rPr>
          <w:b/>
          <w:color w:val="auto"/>
          <w:kern w:val="0"/>
          <w:sz w:val="28"/>
          <w:szCs w:val="28"/>
        </w:rPr>
      </w:pPr>
      <w:r>
        <w:rPr>
          <w:rFonts w:hint="eastAsia"/>
          <w:b/>
          <w:color w:val="auto"/>
          <w:kern w:val="0"/>
          <w:sz w:val="28"/>
          <w:szCs w:val="28"/>
        </w:rPr>
        <w:t>中小企业划型标准规定</w:t>
      </w:r>
    </w:p>
    <w:p w14:paraId="7984C09B">
      <w:pPr>
        <w:spacing w:line="380" w:lineRule="exact"/>
        <w:jc w:val="center"/>
        <w:rPr>
          <w:rFonts w:ascii="宋体" w:hAnsi="宋体"/>
          <w:color w:val="auto"/>
          <w:kern w:val="0"/>
          <w:szCs w:val="21"/>
        </w:rPr>
      </w:pPr>
      <w:r>
        <w:rPr>
          <w:rFonts w:hint="eastAsia" w:ascii="宋体" w:hAnsi="宋体"/>
          <w:color w:val="auto"/>
          <w:kern w:val="0"/>
          <w:sz w:val="24"/>
          <w:szCs w:val="21"/>
        </w:rPr>
        <w:t>工信部联企业[2011]300号</w:t>
      </w:r>
    </w:p>
    <w:p w14:paraId="753738A7">
      <w:pPr>
        <w:spacing w:line="380" w:lineRule="exact"/>
        <w:rPr>
          <w:color w:val="auto"/>
          <w:kern w:val="0"/>
          <w:sz w:val="24"/>
          <w:szCs w:val="21"/>
        </w:rPr>
      </w:pPr>
    </w:p>
    <w:p w14:paraId="7864143F">
      <w:pPr>
        <w:spacing w:line="380" w:lineRule="exact"/>
        <w:rPr>
          <w:color w:val="auto"/>
          <w:kern w:val="0"/>
          <w:sz w:val="24"/>
          <w:szCs w:val="21"/>
        </w:rPr>
      </w:pPr>
      <w:r>
        <w:rPr>
          <w:rFonts w:hint="eastAsia"/>
          <w:color w:val="auto"/>
          <w:kern w:val="0"/>
          <w:sz w:val="24"/>
          <w:szCs w:val="21"/>
        </w:rPr>
        <w:t>　　一、根据《中华人民共和国中小企业促进法》和《国务院关于进一步促进中小企业发展的若干意见》</w:t>
      </w:r>
      <w:r>
        <w:rPr>
          <w:color w:val="auto"/>
          <w:kern w:val="0"/>
          <w:sz w:val="24"/>
          <w:szCs w:val="21"/>
        </w:rPr>
        <w:t>(</w:t>
      </w:r>
      <w:r>
        <w:rPr>
          <w:rFonts w:hint="eastAsia"/>
          <w:color w:val="auto"/>
          <w:kern w:val="0"/>
          <w:sz w:val="24"/>
          <w:szCs w:val="21"/>
        </w:rPr>
        <w:t>国发</w:t>
      </w:r>
      <w:r>
        <w:rPr>
          <w:color w:val="auto"/>
          <w:kern w:val="0"/>
          <w:sz w:val="24"/>
          <w:szCs w:val="21"/>
        </w:rPr>
        <w:t>[2009]36</w:t>
      </w:r>
      <w:r>
        <w:rPr>
          <w:rFonts w:hint="eastAsia"/>
          <w:color w:val="auto"/>
          <w:kern w:val="0"/>
          <w:sz w:val="24"/>
          <w:szCs w:val="21"/>
        </w:rPr>
        <w:t>号</w:t>
      </w:r>
      <w:r>
        <w:rPr>
          <w:color w:val="auto"/>
          <w:kern w:val="0"/>
          <w:sz w:val="24"/>
          <w:szCs w:val="21"/>
        </w:rPr>
        <w:t>)</w:t>
      </w:r>
      <w:r>
        <w:rPr>
          <w:rFonts w:hint="eastAsia"/>
          <w:color w:val="auto"/>
          <w:kern w:val="0"/>
          <w:sz w:val="24"/>
          <w:szCs w:val="21"/>
        </w:rPr>
        <w:t>，制定本规定。</w:t>
      </w:r>
    </w:p>
    <w:p w14:paraId="60D5E2DF">
      <w:pPr>
        <w:spacing w:line="380" w:lineRule="exact"/>
        <w:rPr>
          <w:color w:val="auto"/>
          <w:kern w:val="0"/>
          <w:sz w:val="24"/>
          <w:szCs w:val="21"/>
        </w:rPr>
      </w:pPr>
      <w:r>
        <w:rPr>
          <w:rFonts w:hint="eastAsia"/>
          <w:color w:val="auto"/>
          <w:kern w:val="0"/>
          <w:sz w:val="24"/>
          <w:szCs w:val="21"/>
        </w:rPr>
        <w:t>　　二、中小企业划分为中型、小型、微型三种类型，具体标准根据企业从业人员、营业收入、资产总额等指标，结合行业特点制定。</w:t>
      </w:r>
    </w:p>
    <w:p w14:paraId="3CC1DD73">
      <w:pPr>
        <w:spacing w:line="380" w:lineRule="exact"/>
        <w:rPr>
          <w:color w:val="auto"/>
          <w:kern w:val="0"/>
          <w:sz w:val="24"/>
          <w:szCs w:val="21"/>
        </w:rPr>
      </w:pPr>
      <w:r>
        <w:rPr>
          <w:rFonts w:hint="eastAsia"/>
          <w:color w:val="auto"/>
          <w:kern w:val="0"/>
          <w:sz w:val="24"/>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B9C25F">
      <w:pPr>
        <w:spacing w:line="380" w:lineRule="exact"/>
        <w:rPr>
          <w:color w:val="auto"/>
          <w:kern w:val="0"/>
          <w:sz w:val="24"/>
          <w:szCs w:val="21"/>
        </w:rPr>
      </w:pPr>
      <w:r>
        <w:rPr>
          <w:rFonts w:hint="eastAsia"/>
          <w:color w:val="auto"/>
          <w:kern w:val="0"/>
          <w:sz w:val="24"/>
          <w:szCs w:val="21"/>
        </w:rPr>
        <w:t>　　四、各行业划型标准为：</w:t>
      </w:r>
    </w:p>
    <w:p w14:paraId="0543D734">
      <w:pPr>
        <w:spacing w:line="380" w:lineRule="exact"/>
        <w:rPr>
          <w:color w:val="auto"/>
          <w:kern w:val="0"/>
          <w:sz w:val="24"/>
          <w:szCs w:val="21"/>
        </w:rPr>
      </w:pPr>
      <w:r>
        <w:rPr>
          <w:rFonts w:hint="eastAsia"/>
          <w:color w:val="auto"/>
          <w:kern w:val="0"/>
          <w:sz w:val="24"/>
          <w:szCs w:val="21"/>
        </w:rPr>
        <w:t>　　（一）农、林、牧、渔业。营业收入</w:t>
      </w:r>
      <w:r>
        <w:rPr>
          <w:color w:val="auto"/>
          <w:kern w:val="0"/>
          <w:sz w:val="24"/>
          <w:szCs w:val="21"/>
        </w:rPr>
        <w:t>20000</w:t>
      </w:r>
      <w:r>
        <w:rPr>
          <w:rFonts w:hint="eastAsia"/>
          <w:color w:val="auto"/>
          <w:kern w:val="0"/>
          <w:sz w:val="24"/>
          <w:szCs w:val="21"/>
        </w:rPr>
        <w:t>万元以下的为中小微型企业。其中，营业收入</w:t>
      </w:r>
      <w:r>
        <w:rPr>
          <w:color w:val="auto"/>
          <w:kern w:val="0"/>
          <w:sz w:val="24"/>
          <w:szCs w:val="21"/>
        </w:rPr>
        <w:t>500</w:t>
      </w:r>
      <w:r>
        <w:rPr>
          <w:rFonts w:hint="eastAsia"/>
          <w:color w:val="auto"/>
          <w:kern w:val="0"/>
          <w:sz w:val="24"/>
          <w:szCs w:val="21"/>
        </w:rPr>
        <w:t>万元及以上的为中型企业，营业收入</w:t>
      </w:r>
      <w:r>
        <w:rPr>
          <w:color w:val="auto"/>
          <w:kern w:val="0"/>
          <w:sz w:val="24"/>
          <w:szCs w:val="21"/>
        </w:rPr>
        <w:t>50</w:t>
      </w:r>
      <w:r>
        <w:rPr>
          <w:rFonts w:hint="eastAsia"/>
          <w:color w:val="auto"/>
          <w:kern w:val="0"/>
          <w:sz w:val="24"/>
          <w:szCs w:val="21"/>
        </w:rPr>
        <w:t>万元及以上的为小型企业，营业收入</w:t>
      </w:r>
      <w:r>
        <w:rPr>
          <w:color w:val="auto"/>
          <w:kern w:val="0"/>
          <w:sz w:val="24"/>
          <w:szCs w:val="21"/>
        </w:rPr>
        <w:t>50</w:t>
      </w:r>
      <w:r>
        <w:rPr>
          <w:rFonts w:hint="eastAsia"/>
          <w:color w:val="auto"/>
          <w:kern w:val="0"/>
          <w:sz w:val="24"/>
          <w:szCs w:val="21"/>
        </w:rPr>
        <w:t>万元以下的为微型企业。</w:t>
      </w:r>
    </w:p>
    <w:p w14:paraId="740EA56B">
      <w:pPr>
        <w:spacing w:line="380" w:lineRule="exact"/>
        <w:rPr>
          <w:color w:val="auto"/>
          <w:kern w:val="0"/>
          <w:sz w:val="24"/>
          <w:szCs w:val="21"/>
        </w:rPr>
      </w:pPr>
      <w:r>
        <w:rPr>
          <w:rFonts w:hint="eastAsia"/>
          <w:color w:val="auto"/>
          <w:kern w:val="0"/>
          <w:sz w:val="24"/>
          <w:szCs w:val="21"/>
        </w:rPr>
        <w:t>　　（二）工业。从业人员</w:t>
      </w:r>
      <w:r>
        <w:rPr>
          <w:color w:val="auto"/>
          <w:kern w:val="0"/>
          <w:sz w:val="24"/>
          <w:szCs w:val="21"/>
        </w:rPr>
        <w:t>1000</w:t>
      </w:r>
      <w:r>
        <w:rPr>
          <w:rFonts w:hint="eastAsia"/>
          <w:color w:val="auto"/>
          <w:kern w:val="0"/>
          <w:sz w:val="24"/>
          <w:szCs w:val="21"/>
        </w:rPr>
        <w:t>人以下或营业收入</w:t>
      </w:r>
      <w:r>
        <w:rPr>
          <w:color w:val="auto"/>
          <w:kern w:val="0"/>
          <w:sz w:val="24"/>
          <w:szCs w:val="21"/>
        </w:rPr>
        <w:t>40000</w:t>
      </w:r>
      <w:r>
        <w:rPr>
          <w:rFonts w:hint="eastAsia"/>
          <w:color w:val="auto"/>
          <w:kern w:val="0"/>
          <w:sz w:val="24"/>
          <w:szCs w:val="21"/>
        </w:rPr>
        <w:t>万元以下的为中小微型企业。其中，从业人员</w:t>
      </w:r>
      <w:r>
        <w:rPr>
          <w:color w:val="auto"/>
          <w:kern w:val="0"/>
          <w:sz w:val="24"/>
          <w:szCs w:val="21"/>
        </w:rPr>
        <w:t>300</w:t>
      </w:r>
      <w:r>
        <w:rPr>
          <w:rFonts w:hint="eastAsia"/>
          <w:color w:val="auto"/>
          <w:kern w:val="0"/>
          <w:sz w:val="24"/>
          <w:szCs w:val="21"/>
        </w:rPr>
        <w:t>人及以上，且营业收入</w:t>
      </w:r>
      <w:r>
        <w:rPr>
          <w:color w:val="auto"/>
          <w:kern w:val="0"/>
          <w:sz w:val="24"/>
          <w:szCs w:val="21"/>
        </w:rPr>
        <w:t>2000</w:t>
      </w:r>
      <w:r>
        <w:rPr>
          <w:rFonts w:hint="eastAsia"/>
          <w:color w:val="auto"/>
          <w:kern w:val="0"/>
          <w:sz w:val="24"/>
          <w:szCs w:val="21"/>
        </w:rPr>
        <w:t>万元及以上的为中型企业；从业人员</w:t>
      </w:r>
      <w:r>
        <w:rPr>
          <w:color w:val="auto"/>
          <w:kern w:val="0"/>
          <w:sz w:val="24"/>
          <w:szCs w:val="21"/>
        </w:rPr>
        <w:t>20</w:t>
      </w:r>
      <w:r>
        <w:rPr>
          <w:rFonts w:hint="eastAsia"/>
          <w:color w:val="auto"/>
          <w:kern w:val="0"/>
          <w:sz w:val="24"/>
          <w:szCs w:val="21"/>
        </w:rPr>
        <w:t>人及以上，且营业收入</w:t>
      </w:r>
      <w:r>
        <w:rPr>
          <w:color w:val="auto"/>
          <w:kern w:val="0"/>
          <w:sz w:val="24"/>
          <w:szCs w:val="21"/>
        </w:rPr>
        <w:t>300</w:t>
      </w:r>
      <w:r>
        <w:rPr>
          <w:rFonts w:hint="eastAsia"/>
          <w:color w:val="auto"/>
          <w:kern w:val="0"/>
          <w:sz w:val="24"/>
          <w:szCs w:val="21"/>
        </w:rPr>
        <w:t>万元及以上的为小型企业；从业人员</w:t>
      </w:r>
      <w:r>
        <w:rPr>
          <w:color w:val="auto"/>
          <w:kern w:val="0"/>
          <w:sz w:val="24"/>
          <w:szCs w:val="21"/>
        </w:rPr>
        <w:t>20</w:t>
      </w:r>
      <w:r>
        <w:rPr>
          <w:rFonts w:hint="eastAsia"/>
          <w:color w:val="auto"/>
          <w:kern w:val="0"/>
          <w:sz w:val="24"/>
          <w:szCs w:val="21"/>
        </w:rPr>
        <w:t>人以下或营业收入</w:t>
      </w:r>
      <w:r>
        <w:rPr>
          <w:color w:val="auto"/>
          <w:kern w:val="0"/>
          <w:sz w:val="24"/>
          <w:szCs w:val="21"/>
        </w:rPr>
        <w:t>300</w:t>
      </w:r>
      <w:r>
        <w:rPr>
          <w:rFonts w:hint="eastAsia"/>
          <w:color w:val="auto"/>
          <w:kern w:val="0"/>
          <w:sz w:val="24"/>
          <w:szCs w:val="21"/>
        </w:rPr>
        <w:t>万元以下的为微型企业。</w:t>
      </w:r>
    </w:p>
    <w:p w14:paraId="69447A96">
      <w:pPr>
        <w:spacing w:line="380" w:lineRule="exact"/>
        <w:rPr>
          <w:color w:val="auto"/>
          <w:kern w:val="0"/>
          <w:sz w:val="24"/>
          <w:szCs w:val="21"/>
        </w:rPr>
      </w:pPr>
      <w:r>
        <w:rPr>
          <w:rFonts w:hint="eastAsia"/>
          <w:color w:val="auto"/>
          <w:kern w:val="0"/>
          <w:sz w:val="24"/>
          <w:szCs w:val="21"/>
        </w:rPr>
        <w:t>　　（三）建筑业。营业收入</w:t>
      </w:r>
      <w:r>
        <w:rPr>
          <w:color w:val="auto"/>
          <w:kern w:val="0"/>
          <w:sz w:val="24"/>
          <w:szCs w:val="21"/>
        </w:rPr>
        <w:t>80000</w:t>
      </w:r>
      <w:r>
        <w:rPr>
          <w:rFonts w:hint="eastAsia"/>
          <w:color w:val="auto"/>
          <w:kern w:val="0"/>
          <w:sz w:val="24"/>
          <w:szCs w:val="21"/>
        </w:rPr>
        <w:t>万元以下或资产总额</w:t>
      </w:r>
      <w:r>
        <w:rPr>
          <w:color w:val="auto"/>
          <w:kern w:val="0"/>
          <w:sz w:val="24"/>
          <w:szCs w:val="21"/>
        </w:rPr>
        <w:t>80000</w:t>
      </w:r>
      <w:r>
        <w:rPr>
          <w:rFonts w:hint="eastAsia"/>
          <w:color w:val="auto"/>
          <w:kern w:val="0"/>
          <w:sz w:val="24"/>
          <w:szCs w:val="21"/>
        </w:rPr>
        <w:t>万元以下的为中小微型企业。其中，营业收入</w:t>
      </w:r>
      <w:r>
        <w:rPr>
          <w:color w:val="auto"/>
          <w:kern w:val="0"/>
          <w:sz w:val="24"/>
          <w:szCs w:val="21"/>
        </w:rPr>
        <w:t>6000</w:t>
      </w:r>
      <w:r>
        <w:rPr>
          <w:rFonts w:hint="eastAsia"/>
          <w:color w:val="auto"/>
          <w:kern w:val="0"/>
          <w:sz w:val="24"/>
          <w:szCs w:val="21"/>
        </w:rPr>
        <w:t>万元及以上，且资产总额</w:t>
      </w:r>
      <w:r>
        <w:rPr>
          <w:color w:val="auto"/>
          <w:kern w:val="0"/>
          <w:sz w:val="24"/>
          <w:szCs w:val="21"/>
        </w:rPr>
        <w:t>5000</w:t>
      </w:r>
      <w:r>
        <w:rPr>
          <w:rFonts w:hint="eastAsia"/>
          <w:color w:val="auto"/>
          <w:kern w:val="0"/>
          <w:sz w:val="24"/>
          <w:szCs w:val="21"/>
        </w:rPr>
        <w:t>万元及以上的为中型企业；营业收入</w:t>
      </w:r>
      <w:r>
        <w:rPr>
          <w:color w:val="auto"/>
          <w:kern w:val="0"/>
          <w:sz w:val="24"/>
          <w:szCs w:val="21"/>
        </w:rPr>
        <w:t>300</w:t>
      </w:r>
      <w:r>
        <w:rPr>
          <w:rFonts w:hint="eastAsia"/>
          <w:color w:val="auto"/>
          <w:kern w:val="0"/>
          <w:sz w:val="24"/>
          <w:szCs w:val="21"/>
        </w:rPr>
        <w:t>万元及以上，且资产总额</w:t>
      </w:r>
      <w:r>
        <w:rPr>
          <w:color w:val="auto"/>
          <w:kern w:val="0"/>
          <w:sz w:val="24"/>
          <w:szCs w:val="21"/>
        </w:rPr>
        <w:t>300</w:t>
      </w:r>
      <w:r>
        <w:rPr>
          <w:rFonts w:hint="eastAsia"/>
          <w:color w:val="auto"/>
          <w:kern w:val="0"/>
          <w:sz w:val="24"/>
          <w:szCs w:val="21"/>
        </w:rPr>
        <w:t>万元及以上的为小型企业；营业收入</w:t>
      </w:r>
      <w:r>
        <w:rPr>
          <w:color w:val="auto"/>
          <w:kern w:val="0"/>
          <w:sz w:val="24"/>
          <w:szCs w:val="21"/>
        </w:rPr>
        <w:t>300</w:t>
      </w:r>
      <w:r>
        <w:rPr>
          <w:rFonts w:hint="eastAsia"/>
          <w:color w:val="auto"/>
          <w:kern w:val="0"/>
          <w:sz w:val="24"/>
          <w:szCs w:val="21"/>
        </w:rPr>
        <w:t>万元以下或资产总额</w:t>
      </w:r>
      <w:r>
        <w:rPr>
          <w:color w:val="auto"/>
          <w:kern w:val="0"/>
          <w:sz w:val="24"/>
          <w:szCs w:val="21"/>
        </w:rPr>
        <w:t>300</w:t>
      </w:r>
      <w:r>
        <w:rPr>
          <w:rFonts w:hint="eastAsia"/>
          <w:color w:val="auto"/>
          <w:kern w:val="0"/>
          <w:sz w:val="24"/>
          <w:szCs w:val="21"/>
        </w:rPr>
        <w:t>万元以下的为微型企业。</w:t>
      </w:r>
    </w:p>
    <w:p w14:paraId="739BBEBD">
      <w:pPr>
        <w:spacing w:line="380" w:lineRule="exact"/>
        <w:rPr>
          <w:color w:val="auto"/>
          <w:kern w:val="0"/>
          <w:sz w:val="24"/>
          <w:szCs w:val="21"/>
        </w:rPr>
      </w:pPr>
      <w:r>
        <w:rPr>
          <w:rFonts w:hint="eastAsia"/>
          <w:color w:val="auto"/>
          <w:kern w:val="0"/>
          <w:sz w:val="24"/>
          <w:szCs w:val="21"/>
        </w:rPr>
        <w:t>　　（四）批发业。从业人员</w:t>
      </w:r>
      <w:r>
        <w:rPr>
          <w:color w:val="auto"/>
          <w:kern w:val="0"/>
          <w:sz w:val="24"/>
          <w:szCs w:val="21"/>
        </w:rPr>
        <w:t>200</w:t>
      </w:r>
      <w:r>
        <w:rPr>
          <w:rFonts w:hint="eastAsia"/>
          <w:color w:val="auto"/>
          <w:kern w:val="0"/>
          <w:sz w:val="24"/>
          <w:szCs w:val="21"/>
        </w:rPr>
        <w:t>人以下或营业收入</w:t>
      </w:r>
      <w:r>
        <w:rPr>
          <w:color w:val="auto"/>
          <w:kern w:val="0"/>
          <w:sz w:val="24"/>
          <w:szCs w:val="21"/>
        </w:rPr>
        <w:t>40000</w:t>
      </w:r>
      <w:r>
        <w:rPr>
          <w:rFonts w:hint="eastAsia"/>
          <w:color w:val="auto"/>
          <w:kern w:val="0"/>
          <w:sz w:val="24"/>
          <w:szCs w:val="21"/>
        </w:rPr>
        <w:t>万元以下的为中小微型企业。其中，从业人员</w:t>
      </w:r>
      <w:r>
        <w:rPr>
          <w:color w:val="auto"/>
          <w:kern w:val="0"/>
          <w:sz w:val="24"/>
          <w:szCs w:val="21"/>
        </w:rPr>
        <w:t>20</w:t>
      </w:r>
      <w:r>
        <w:rPr>
          <w:rFonts w:hint="eastAsia"/>
          <w:color w:val="auto"/>
          <w:kern w:val="0"/>
          <w:sz w:val="24"/>
          <w:szCs w:val="21"/>
        </w:rPr>
        <w:t>人及以上，且营业收入</w:t>
      </w:r>
      <w:r>
        <w:rPr>
          <w:color w:val="auto"/>
          <w:kern w:val="0"/>
          <w:sz w:val="24"/>
          <w:szCs w:val="21"/>
        </w:rPr>
        <w:t>5000</w:t>
      </w:r>
      <w:r>
        <w:rPr>
          <w:rFonts w:hint="eastAsia"/>
          <w:color w:val="auto"/>
          <w:kern w:val="0"/>
          <w:sz w:val="24"/>
          <w:szCs w:val="21"/>
        </w:rPr>
        <w:t>万元及以上的为中型企业；从业人员</w:t>
      </w:r>
      <w:r>
        <w:rPr>
          <w:color w:val="auto"/>
          <w:kern w:val="0"/>
          <w:sz w:val="24"/>
          <w:szCs w:val="21"/>
        </w:rPr>
        <w:t>5</w:t>
      </w:r>
      <w:r>
        <w:rPr>
          <w:rFonts w:hint="eastAsia"/>
          <w:color w:val="auto"/>
          <w:kern w:val="0"/>
          <w:sz w:val="24"/>
          <w:szCs w:val="21"/>
        </w:rPr>
        <w:t>人及以上，且营业收入</w:t>
      </w:r>
      <w:r>
        <w:rPr>
          <w:color w:val="auto"/>
          <w:kern w:val="0"/>
          <w:sz w:val="24"/>
          <w:szCs w:val="21"/>
        </w:rPr>
        <w:t>1000</w:t>
      </w:r>
      <w:r>
        <w:rPr>
          <w:rFonts w:hint="eastAsia"/>
          <w:color w:val="auto"/>
          <w:kern w:val="0"/>
          <w:sz w:val="24"/>
          <w:szCs w:val="21"/>
        </w:rPr>
        <w:t>万元及以上的为小型企业；从业人员</w:t>
      </w:r>
      <w:r>
        <w:rPr>
          <w:color w:val="auto"/>
          <w:kern w:val="0"/>
          <w:sz w:val="24"/>
          <w:szCs w:val="21"/>
        </w:rPr>
        <w:t>5</w:t>
      </w:r>
      <w:r>
        <w:rPr>
          <w:rFonts w:hint="eastAsia"/>
          <w:color w:val="auto"/>
          <w:kern w:val="0"/>
          <w:sz w:val="24"/>
          <w:szCs w:val="21"/>
        </w:rPr>
        <w:t>人以下或营业收入</w:t>
      </w:r>
      <w:r>
        <w:rPr>
          <w:color w:val="auto"/>
          <w:kern w:val="0"/>
          <w:sz w:val="24"/>
          <w:szCs w:val="21"/>
        </w:rPr>
        <w:t>1000</w:t>
      </w:r>
      <w:r>
        <w:rPr>
          <w:rFonts w:hint="eastAsia"/>
          <w:color w:val="auto"/>
          <w:kern w:val="0"/>
          <w:sz w:val="24"/>
          <w:szCs w:val="21"/>
        </w:rPr>
        <w:t>万元以下的为微型企业。</w:t>
      </w:r>
    </w:p>
    <w:p w14:paraId="5A851147">
      <w:pPr>
        <w:spacing w:line="380" w:lineRule="exact"/>
        <w:rPr>
          <w:color w:val="auto"/>
          <w:kern w:val="0"/>
          <w:sz w:val="24"/>
          <w:szCs w:val="21"/>
        </w:rPr>
      </w:pPr>
      <w:r>
        <w:rPr>
          <w:rFonts w:hint="eastAsia"/>
          <w:color w:val="auto"/>
          <w:kern w:val="0"/>
          <w:sz w:val="24"/>
          <w:szCs w:val="21"/>
        </w:rPr>
        <w:t>　　（五）零售业。从业人员</w:t>
      </w:r>
      <w:r>
        <w:rPr>
          <w:color w:val="auto"/>
          <w:kern w:val="0"/>
          <w:sz w:val="24"/>
          <w:szCs w:val="21"/>
        </w:rPr>
        <w:t>300</w:t>
      </w:r>
      <w:r>
        <w:rPr>
          <w:rFonts w:hint="eastAsia"/>
          <w:color w:val="auto"/>
          <w:kern w:val="0"/>
          <w:sz w:val="24"/>
          <w:szCs w:val="21"/>
        </w:rPr>
        <w:t>人以下或营业收入</w:t>
      </w:r>
      <w:r>
        <w:rPr>
          <w:color w:val="auto"/>
          <w:kern w:val="0"/>
          <w:sz w:val="24"/>
          <w:szCs w:val="21"/>
        </w:rPr>
        <w:t>20000</w:t>
      </w:r>
      <w:r>
        <w:rPr>
          <w:rFonts w:hint="eastAsia"/>
          <w:color w:val="auto"/>
          <w:kern w:val="0"/>
          <w:sz w:val="24"/>
          <w:szCs w:val="21"/>
        </w:rPr>
        <w:t>万元以下的为中小微型企业。其中，从业人员</w:t>
      </w:r>
      <w:r>
        <w:rPr>
          <w:color w:val="auto"/>
          <w:kern w:val="0"/>
          <w:sz w:val="24"/>
          <w:szCs w:val="21"/>
        </w:rPr>
        <w:t>50</w:t>
      </w:r>
      <w:r>
        <w:rPr>
          <w:rFonts w:hint="eastAsia"/>
          <w:color w:val="auto"/>
          <w:kern w:val="0"/>
          <w:sz w:val="24"/>
          <w:szCs w:val="21"/>
        </w:rPr>
        <w:t>人及以上，且营业收入</w:t>
      </w:r>
      <w:r>
        <w:rPr>
          <w:color w:val="auto"/>
          <w:kern w:val="0"/>
          <w:sz w:val="24"/>
          <w:szCs w:val="21"/>
        </w:rPr>
        <w:t>500</w:t>
      </w:r>
      <w:r>
        <w:rPr>
          <w:rFonts w:hint="eastAsia"/>
          <w:color w:val="auto"/>
          <w:kern w:val="0"/>
          <w:sz w:val="24"/>
          <w:szCs w:val="21"/>
        </w:rPr>
        <w:t>万元及以上的为中型企业；从业人员</w:t>
      </w:r>
      <w:r>
        <w:rPr>
          <w:color w:val="auto"/>
          <w:kern w:val="0"/>
          <w:sz w:val="24"/>
          <w:szCs w:val="21"/>
        </w:rPr>
        <w:t>10</w:t>
      </w:r>
      <w:r>
        <w:rPr>
          <w:rFonts w:hint="eastAsia"/>
          <w:color w:val="auto"/>
          <w:kern w:val="0"/>
          <w:sz w:val="24"/>
          <w:szCs w:val="21"/>
        </w:rPr>
        <w:t>人及以上，且营业收入</w:t>
      </w:r>
      <w:r>
        <w:rPr>
          <w:color w:val="auto"/>
          <w:kern w:val="0"/>
          <w:sz w:val="24"/>
          <w:szCs w:val="21"/>
        </w:rPr>
        <w:t>100</w:t>
      </w:r>
      <w:r>
        <w:rPr>
          <w:rFonts w:hint="eastAsia"/>
          <w:color w:val="auto"/>
          <w:kern w:val="0"/>
          <w:sz w:val="24"/>
          <w:szCs w:val="21"/>
        </w:rPr>
        <w:t>万元及以上的为小型企业；从业人员</w:t>
      </w:r>
      <w:r>
        <w:rPr>
          <w:color w:val="auto"/>
          <w:kern w:val="0"/>
          <w:sz w:val="24"/>
          <w:szCs w:val="21"/>
        </w:rPr>
        <w:t>10</w:t>
      </w:r>
      <w:r>
        <w:rPr>
          <w:rFonts w:hint="eastAsia"/>
          <w:color w:val="auto"/>
          <w:kern w:val="0"/>
          <w:sz w:val="24"/>
          <w:szCs w:val="21"/>
        </w:rPr>
        <w:t>人以下或营业收入</w:t>
      </w:r>
      <w:r>
        <w:rPr>
          <w:color w:val="auto"/>
          <w:kern w:val="0"/>
          <w:sz w:val="24"/>
          <w:szCs w:val="21"/>
        </w:rPr>
        <w:t>100</w:t>
      </w:r>
      <w:r>
        <w:rPr>
          <w:rFonts w:hint="eastAsia"/>
          <w:color w:val="auto"/>
          <w:kern w:val="0"/>
          <w:sz w:val="24"/>
          <w:szCs w:val="21"/>
        </w:rPr>
        <w:t>万元以下的为微型企业。</w:t>
      </w:r>
    </w:p>
    <w:p w14:paraId="64DAACC5">
      <w:pPr>
        <w:spacing w:line="380" w:lineRule="exact"/>
        <w:rPr>
          <w:color w:val="auto"/>
          <w:kern w:val="0"/>
          <w:sz w:val="24"/>
          <w:szCs w:val="21"/>
        </w:rPr>
      </w:pPr>
      <w:r>
        <w:rPr>
          <w:rFonts w:hint="eastAsia"/>
          <w:color w:val="auto"/>
          <w:kern w:val="0"/>
          <w:sz w:val="24"/>
          <w:szCs w:val="21"/>
        </w:rPr>
        <w:t>　　（六）交通运输业。从业人员</w:t>
      </w:r>
      <w:r>
        <w:rPr>
          <w:color w:val="auto"/>
          <w:kern w:val="0"/>
          <w:sz w:val="24"/>
          <w:szCs w:val="21"/>
        </w:rPr>
        <w:t>1000</w:t>
      </w:r>
      <w:r>
        <w:rPr>
          <w:rFonts w:hint="eastAsia"/>
          <w:color w:val="auto"/>
          <w:kern w:val="0"/>
          <w:sz w:val="24"/>
          <w:szCs w:val="21"/>
        </w:rPr>
        <w:t>人以下或营业收入</w:t>
      </w:r>
      <w:r>
        <w:rPr>
          <w:color w:val="auto"/>
          <w:kern w:val="0"/>
          <w:sz w:val="24"/>
          <w:szCs w:val="21"/>
        </w:rPr>
        <w:t>30000</w:t>
      </w:r>
      <w:r>
        <w:rPr>
          <w:rFonts w:hint="eastAsia"/>
          <w:color w:val="auto"/>
          <w:kern w:val="0"/>
          <w:sz w:val="24"/>
          <w:szCs w:val="21"/>
        </w:rPr>
        <w:t>万元以下的为中小微型企业。其中，从业人员</w:t>
      </w:r>
      <w:r>
        <w:rPr>
          <w:color w:val="auto"/>
          <w:kern w:val="0"/>
          <w:sz w:val="24"/>
          <w:szCs w:val="21"/>
        </w:rPr>
        <w:t>300</w:t>
      </w:r>
      <w:r>
        <w:rPr>
          <w:rFonts w:hint="eastAsia"/>
          <w:color w:val="auto"/>
          <w:kern w:val="0"/>
          <w:sz w:val="24"/>
          <w:szCs w:val="21"/>
        </w:rPr>
        <w:t>人及以上，且营业收入</w:t>
      </w:r>
      <w:r>
        <w:rPr>
          <w:color w:val="auto"/>
          <w:kern w:val="0"/>
          <w:sz w:val="24"/>
          <w:szCs w:val="21"/>
        </w:rPr>
        <w:t>3000</w:t>
      </w:r>
      <w:r>
        <w:rPr>
          <w:rFonts w:hint="eastAsia"/>
          <w:color w:val="auto"/>
          <w:kern w:val="0"/>
          <w:sz w:val="24"/>
          <w:szCs w:val="21"/>
        </w:rPr>
        <w:t>万元及以上的为中型企业；从业人员</w:t>
      </w:r>
      <w:r>
        <w:rPr>
          <w:color w:val="auto"/>
          <w:kern w:val="0"/>
          <w:sz w:val="24"/>
          <w:szCs w:val="21"/>
        </w:rPr>
        <w:t>20</w:t>
      </w:r>
      <w:r>
        <w:rPr>
          <w:rFonts w:hint="eastAsia"/>
          <w:color w:val="auto"/>
          <w:kern w:val="0"/>
          <w:sz w:val="24"/>
          <w:szCs w:val="21"/>
        </w:rPr>
        <w:t>人及以上，且营业收入</w:t>
      </w:r>
      <w:r>
        <w:rPr>
          <w:color w:val="auto"/>
          <w:kern w:val="0"/>
          <w:sz w:val="24"/>
          <w:szCs w:val="21"/>
        </w:rPr>
        <w:t>200</w:t>
      </w:r>
      <w:r>
        <w:rPr>
          <w:rFonts w:hint="eastAsia"/>
          <w:color w:val="auto"/>
          <w:kern w:val="0"/>
          <w:sz w:val="24"/>
          <w:szCs w:val="21"/>
        </w:rPr>
        <w:t>万元及以上的为小型企业；从业人员</w:t>
      </w:r>
      <w:r>
        <w:rPr>
          <w:color w:val="auto"/>
          <w:kern w:val="0"/>
          <w:sz w:val="24"/>
          <w:szCs w:val="21"/>
        </w:rPr>
        <w:t>20</w:t>
      </w:r>
      <w:r>
        <w:rPr>
          <w:rFonts w:hint="eastAsia"/>
          <w:color w:val="auto"/>
          <w:kern w:val="0"/>
          <w:sz w:val="24"/>
          <w:szCs w:val="21"/>
        </w:rPr>
        <w:t>人以下或营业收入</w:t>
      </w:r>
      <w:r>
        <w:rPr>
          <w:color w:val="auto"/>
          <w:kern w:val="0"/>
          <w:sz w:val="24"/>
          <w:szCs w:val="21"/>
        </w:rPr>
        <w:t>200</w:t>
      </w:r>
      <w:r>
        <w:rPr>
          <w:rFonts w:hint="eastAsia"/>
          <w:color w:val="auto"/>
          <w:kern w:val="0"/>
          <w:sz w:val="24"/>
          <w:szCs w:val="21"/>
        </w:rPr>
        <w:t>万元以下的为微型企业。</w:t>
      </w:r>
    </w:p>
    <w:p w14:paraId="62ECC133">
      <w:pPr>
        <w:spacing w:line="380" w:lineRule="exact"/>
        <w:rPr>
          <w:color w:val="auto"/>
          <w:kern w:val="0"/>
          <w:sz w:val="24"/>
          <w:szCs w:val="21"/>
        </w:rPr>
      </w:pPr>
      <w:r>
        <w:rPr>
          <w:rFonts w:hint="eastAsia"/>
          <w:color w:val="auto"/>
          <w:kern w:val="0"/>
          <w:sz w:val="24"/>
          <w:szCs w:val="21"/>
        </w:rPr>
        <w:t>　　（七）仓储业。从业人员</w:t>
      </w:r>
      <w:r>
        <w:rPr>
          <w:color w:val="auto"/>
          <w:kern w:val="0"/>
          <w:sz w:val="24"/>
          <w:szCs w:val="21"/>
        </w:rPr>
        <w:t>200</w:t>
      </w:r>
      <w:r>
        <w:rPr>
          <w:rFonts w:hint="eastAsia"/>
          <w:color w:val="auto"/>
          <w:kern w:val="0"/>
          <w:sz w:val="24"/>
          <w:szCs w:val="21"/>
        </w:rPr>
        <w:t>人以下或营业收入</w:t>
      </w:r>
      <w:r>
        <w:rPr>
          <w:color w:val="auto"/>
          <w:kern w:val="0"/>
          <w:sz w:val="24"/>
          <w:szCs w:val="21"/>
        </w:rPr>
        <w:t>30000</w:t>
      </w:r>
      <w:r>
        <w:rPr>
          <w:rFonts w:hint="eastAsia"/>
          <w:color w:val="auto"/>
          <w:kern w:val="0"/>
          <w:sz w:val="24"/>
          <w:szCs w:val="21"/>
        </w:rPr>
        <w:t>万元以下的为中小微型企业。其中，从业人员</w:t>
      </w:r>
      <w:r>
        <w:rPr>
          <w:color w:val="auto"/>
          <w:kern w:val="0"/>
          <w:sz w:val="24"/>
          <w:szCs w:val="21"/>
        </w:rPr>
        <w:t>100</w:t>
      </w:r>
      <w:r>
        <w:rPr>
          <w:rFonts w:hint="eastAsia"/>
          <w:color w:val="auto"/>
          <w:kern w:val="0"/>
          <w:sz w:val="24"/>
          <w:szCs w:val="21"/>
        </w:rPr>
        <w:t>人及以上，且营业收入</w:t>
      </w:r>
      <w:r>
        <w:rPr>
          <w:color w:val="auto"/>
          <w:kern w:val="0"/>
          <w:sz w:val="24"/>
          <w:szCs w:val="21"/>
        </w:rPr>
        <w:t>1000</w:t>
      </w:r>
      <w:r>
        <w:rPr>
          <w:rFonts w:hint="eastAsia"/>
          <w:color w:val="auto"/>
          <w:kern w:val="0"/>
          <w:sz w:val="24"/>
          <w:szCs w:val="21"/>
        </w:rPr>
        <w:t>万元及以上的为中型企业；从业人员</w:t>
      </w:r>
      <w:r>
        <w:rPr>
          <w:color w:val="auto"/>
          <w:kern w:val="0"/>
          <w:sz w:val="24"/>
          <w:szCs w:val="21"/>
        </w:rPr>
        <w:t>20</w:t>
      </w:r>
      <w:r>
        <w:rPr>
          <w:rFonts w:hint="eastAsia"/>
          <w:color w:val="auto"/>
          <w:kern w:val="0"/>
          <w:sz w:val="24"/>
          <w:szCs w:val="21"/>
        </w:rPr>
        <w:t>人及以上，且营业收入</w:t>
      </w:r>
      <w:r>
        <w:rPr>
          <w:color w:val="auto"/>
          <w:kern w:val="0"/>
          <w:sz w:val="24"/>
          <w:szCs w:val="21"/>
        </w:rPr>
        <w:t>100</w:t>
      </w:r>
      <w:r>
        <w:rPr>
          <w:rFonts w:hint="eastAsia"/>
          <w:color w:val="auto"/>
          <w:kern w:val="0"/>
          <w:sz w:val="24"/>
          <w:szCs w:val="21"/>
        </w:rPr>
        <w:t>万元及以上的为小型企业；从业人员</w:t>
      </w:r>
      <w:r>
        <w:rPr>
          <w:color w:val="auto"/>
          <w:kern w:val="0"/>
          <w:sz w:val="24"/>
          <w:szCs w:val="21"/>
        </w:rPr>
        <w:t>20</w:t>
      </w:r>
      <w:r>
        <w:rPr>
          <w:rFonts w:hint="eastAsia"/>
          <w:color w:val="auto"/>
          <w:kern w:val="0"/>
          <w:sz w:val="24"/>
          <w:szCs w:val="21"/>
        </w:rPr>
        <w:t>人以下或营业收入</w:t>
      </w:r>
      <w:r>
        <w:rPr>
          <w:color w:val="auto"/>
          <w:kern w:val="0"/>
          <w:sz w:val="24"/>
          <w:szCs w:val="21"/>
        </w:rPr>
        <w:t>100</w:t>
      </w:r>
      <w:r>
        <w:rPr>
          <w:rFonts w:hint="eastAsia"/>
          <w:color w:val="auto"/>
          <w:kern w:val="0"/>
          <w:sz w:val="24"/>
          <w:szCs w:val="21"/>
        </w:rPr>
        <w:t>万元以下的为微型企业。</w:t>
      </w:r>
    </w:p>
    <w:p w14:paraId="4F831415">
      <w:pPr>
        <w:spacing w:line="380" w:lineRule="exact"/>
        <w:rPr>
          <w:color w:val="auto"/>
          <w:kern w:val="0"/>
          <w:sz w:val="24"/>
          <w:szCs w:val="21"/>
        </w:rPr>
      </w:pPr>
      <w:r>
        <w:rPr>
          <w:rFonts w:hint="eastAsia"/>
          <w:color w:val="auto"/>
          <w:kern w:val="0"/>
          <w:sz w:val="24"/>
          <w:szCs w:val="21"/>
        </w:rPr>
        <w:t>　　（八）邮政业。从业人员</w:t>
      </w:r>
      <w:r>
        <w:rPr>
          <w:color w:val="auto"/>
          <w:kern w:val="0"/>
          <w:sz w:val="24"/>
          <w:szCs w:val="21"/>
        </w:rPr>
        <w:t>1000</w:t>
      </w:r>
      <w:r>
        <w:rPr>
          <w:rFonts w:hint="eastAsia"/>
          <w:color w:val="auto"/>
          <w:kern w:val="0"/>
          <w:sz w:val="24"/>
          <w:szCs w:val="21"/>
        </w:rPr>
        <w:t>人以下或营业收入</w:t>
      </w:r>
      <w:r>
        <w:rPr>
          <w:color w:val="auto"/>
          <w:kern w:val="0"/>
          <w:sz w:val="24"/>
          <w:szCs w:val="21"/>
        </w:rPr>
        <w:t>30000</w:t>
      </w:r>
      <w:r>
        <w:rPr>
          <w:rFonts w:hint="eastAsia"/>
          <w:color w:val="auto"/>
          <w:kern w:val="0"/>
          <w:sz w:val="24"/>
          <w:szCs w:val="21"/>
        </w:rPr>
        <w:t>万元以下的为中小微型企业。其中，从业人员</w:t>
      </w:r>
      <w:r>
        <w:rPr>
          <w:color w:val="auto"/>
          <w:kern w:val="0"/>
          <w:sz w:val="24"/>
          <w:szCs w:val="21"/>
        </w:rPr>
        <w:t>300</w:t>
      </w:r>
      <w:r>
        <w:rPr>
          <w:rFonts w:hint="eastAsia"/>
          <w:color w:val="auto"/>
          <w:kern w:val="0"/>
          <w:sz w:val="24"/>
          <w:szCs w:val="21"/>
        </w:rPr>
        <w:t>人及以上，且营业收入</w:t>
      </w:r>
      <w:r>
        <w:rPr>
          <w:color w:val="auto"/>
          <w:kern w:val="0"/>
          <w:sz w:val="24"/>
          <w:szCs w:val="21"/>
        </w:rPr>
        <w:t>2000</w:t>
      </w:r>
      <w:r>
        <w:rPr>
          <w:rFonts w:hint="eastAsia"/>
          <w:color w:val="auto"/>
          <w:kern w:val="0"/>
          <w:sz w:val="24"/>
          <w:szCs w:val="21"/>
        </w:rPr>
        <w:t>万元及以上的为中型企业；从业人员</w:t>
      </w:r>
      <w:r>
        <w:rPr>
          <w:color w:val="auto"/>
          <w:kern w:val="0"/>
          <w:sz w:val="24"/>
          <w:szCs w:val="21"/>
        </w:rPr>
        <w:t>20</w:t>
      </w:r>
      <w:r>
        <w:rPr>
          <w:rFonts w:hint="eastAsia"/>
          <w:color w:val="auto"/>
          <w:kern w:val="0"/>
          <w:sz w:val="24"/>
          <w:szCs w:val="21"/>
        </w:rPr>
        <w:t>人及以上，且营业收入</w:t>
      </w:r>
      <w:r>
        <w:rPr>
          <w:color w:val="auto"/>
          <w:kern w:val="0"/>
          <w:sz w:val="24"/>
          <w:szCs w:val="21"/>
        </w:rPr>
        <w:t>100</w:t>
      </w:r>
      <w:r>
        <w:rPr>
          <w:rFonts w:hint="eastAsia"/>
          <w:color w:val="auto"/>
          <w:kern w:val="0"/>
          <w:sz w:val="24"/>
          <w:szCs w:val="21"/>
        </w:rPr>
        <w:t>万元及以上的为小型企业；从业人员</w:t>
      </w:r>
      <w:r>
        <w:rPr>
          <w:color w:val="auto"/>
          <w:kern w:val="0"/>
          <w:sz w:val="24"/>
          <w:szCs w:val="21"/>
        </w:rPr>
        <w:t>20</w:t>
      </w:r>
      <w:r>
        <w:rPr>
          <w:rFonts w:hint="eastAsia"/>
          <w:color w:val="auto"/>
          <w:kern w:val="0"/>
          <w:sz w:val="24"/>
          <w:szCs w:val="21"/>
        </w:rPr>
        <w:t>人以下或营业收入</w:t>
      </w:r>
      <w:r>
        <w:rPr>
          <w:color w:val="auto"/>
          <w:kern w:val="0"/>
          <w:sz w:val="24"/>
          <w:szCs w:val="21"/>
        </w:rPr>
        <w:t>100</w:t>
      </w:r>
      <w:r>
        <w:rPr>
          <w:rFonts w:hint="eastAsia"/>
          <w:color w:val="auto"/>
          <w:kern w:val="0"/>
          <w:sz w:val="24"/>
          <w:szCs w:val="21"/>
        </w:rPr>
        <w:t>万元以下的为微型企业。</w:t>
      </w:r>
    </w:p>
    <w:p w14:paraId="449EFE75">
      <w:pPr>
        <w:spacing w:line="380" w:lineRule="exact"/>
        <w:rPr>
          <w:color w:val="auto"/>
          <w:kern w:val="0"/>
          <w:sz w:val="24"/>
          <w:szCs w:val="21"/>
        </w:rPr>
      </w:pPr>
      <w:r>
        <w:rPr>
          <w:rFonts w:hint="eastAsia"/>
          <w:color w:val="auto"/>
          <w:kern w:val="0"/>
          <w:sz w:val="24"/>
          <w:szCs w:val="21"/>
        </w:rPr>
        <w:t>　　（九）住宿业。从业人员</w:t>
      </w:r>
      <w:r>
        <w:rPr>
          <w:color w:val="auto"/>
          <w:kern w:val="0"/>
          <w:sz w:val="24"/>
          <w:szCs w:val="21"/>
        </w:rPr>
        <w:t>300</w:t>
      </w:r>
      <w:r>
        <w:rPr>
          <w:rFonts w:hint="eastAsia"/>
          <w:color w:val="auto"/>
          <w:kern w:val="0"/>
          <w:sz w:val="24"/>
          <w:szCs w:val="21"/>
        </w:rPr>
        <w:t>人以下或营业收入</w:t>
      </w:r>
      <w:r>
        <w:rPr>
          <w:color w:val="auto"/>
          <w:kern w:val="0"/>
          <w:sz w:val="24"/>
          <w:szCs w:val="21"/>
        </w:rPr>
        <w:t>10000</w:t>
      </w:r>
      <w:r>
        <w:rPr>
          <w:rFonts w:hint="eastAsia"/>
          <w:color w:val="auto"/>
          <w:kern w:val="0"/>
          <w:sz w:val="24"/>
          <w:szCs w:val="21"/>
        </w:rPr>
        <w:t>万元以下的为中小微型企业。其中，从业人员</w:t>
      </w:r>
      <w:r>
        <w:rPr>
          <w:color w:val="auto"/>
          <w:kern w:val="0"/>
          <w:sz w:val="24"/>
          <w:szCs w:val="21"/>
        </w:rPr>
        <w:t>100</w:t>
      </w:r>
      <w:r>
        <w:rPr>
          <w:rFonts w:hint="eastAsia"/>
          <w:color w:val="auto"/>
          <w:kern w:val="0"/>
          <w:sz w:val="24"/>
          <w:szCs w:val="21"/>
        </w:rPr>
        <w:t>人及以上，且营业收入</w:t>
      </w:r>
      <w:r>
        <w:rPr>
          <w:color w:val="auto"/>
          <w:kern w:val="0"/>
          <w:sz w:val="24"/>
          <w:szCs w:val="21"/>
        </w:rPr>
        <w:t>2000</w:t>
      </w:r>
      <w:r>
        <w:rPr>
          <w:rFonts w:hint="eastAsia"/>
          <w:color w:val="auto"/>
          <w:kern w:val="0"/>
          <w:sz w:val="24"/>
          <w:szCs w:val="21"/>
        </w:rPr>
        <w:t>万元及以上的为中型企业；从业人员</w:t>
      </w:r>
      <w:r>
        <w:rPr>
          <w:color w:val="auto"/>
          <w:kern w:val="0"/>
          <w:sz w:val="24"/>
          <w:szCs w:val="21"/>
        </w:rPr>
        <w:t>10</w:t>
      </w:r>
      <w:r>
        <w:rPr>
          <w:rFonts w:hint="eastAsia"/>
          <w:color w:val="auto"/>
          <w:kern w:val="0"/>
          <w:sz w:val="24"/>
          <w:szCs w:val="21"/>
        </w:rPr>
        <w:t>人及以上，且营业收入</w:t>
      </w:r>
      <w:r>
        <w:rPr>
          <w:color w:val="auto"/>
          <w:kern w:val="0"/>
          <w:sz w:val="24"/>
          <w:szCs w:val="21"/>
        </w:rPr>
        <w:t>100</w:t>
      </w:r>
      <w:r>
        <w:rPr>
          <w:rFonts w:hint="eastAsia"/>
          <w:color w:val="auto"/>
          <w:kern w:val="0"/>
          <w:sz w:val="24"/>
          <w:szCs w:val="21"/>
        </w:rPr>
        <w:t>万元及以上的为小型企业；从业人员</w:t>
      </w:r>
      <w:r>
        <w:rPr>
          <w:color w:val="auto"/>
          <w:kern w:val="0"/>
          <w:sz w:val="24"/>
          <w:szCs w:val="21"/>
        </w:rPr>
        <w:t>10</w:t>
      </w:r>
      <w:r>
        <w:rPr>
          <w:rFonts w:hint="eastAsia"/>
          <w:color w:val="auto"/>
          <w:kern w:val="0"/>
          <w:sz w:val="24"/>
          <w:szCs w:val="21"/>
        </w:rPr>
        <w:t>人以下或营业收入</w:t>
      </w:r>
      <w:r>
        <w:rPr>
          <w:color w:val="auto"/>
          <w:kern w:val="0"/>
          <w:sz w:val="24"/>
          <w:szCs w:val="21"/>
        </w:rPr>
        <w:t>100</w:t>
      </w:r>
      <w:r>
        <w:rPr>
          <w:rFonts w:hint="eastAsia"/>
          <w:color w:val="auto"/>
          <w:kern w:val="0"/>
          <w:sz w:val="24"/>
          <w:szCs w:val="21"/>
        </w:rPr>
        <w:t>万元以下的为微型企业。</w:t>
      </w:r>
    </w:p>
    <w:p w14:paraId="5023F68F">
      <w:pPr>
        <w:spacing w:line="380" w:lineRule="exact"/>
        <w:rPr>
          <w:color w:val="auto"/>
          <w:kern w:val="0"/>
          <w:sz w:val="24"/>
          <w:szCs w:val="21"/>
        </w:rPr>
      </w:pPr>
      <w:r>
        <w:rPr>
          <w:rFonts w:hint="eastAsia"/>
          <w:color w:val="auto"/>
          <w:kern w:val="0"/>
          <w:sz w:val="24"/>
          <w:szCs w:val="21"/>
        </w:rPr>
        <w:t>　　（十）餐饮业。从业人员</w:t>
      </w:r>
      <w:r>
        <w:rPr>
          <w:color w:val="auto"/>
          <w:kern w:val="0"/>
          <w:sz w:val="24"/>
          <w:szCs w:val="21"/>
        </w:rPr>
        <w:t>300</w:t>
      </w:r>
      <w:r>
        <w:rPr>
          <w:rFonts w:hint="eastAsia"/>
          <w:color w:val="auto"/>
          <w:kern w:val="0"/>
          <w:sz w:val="24"/>
          <w:szCs w:val="21"/>
        </w:rPr>
        <w:t>人以下或营业收入</w:t>
      </w:r>
      <w:r>
        <w:rPr>
          <w:color w:val="auto"/>
          <w:kern w:val="0"/>
          <w:sz w:val="24"/>
          <w:szCs w:val="21"/>
        </w:rPr>
        <w:t>10000</w:t>
      </w:r>
      <w:r>
        <w:rPr>
          <w:rFonts w:hint="eastAsia"/>
          <w:color w:val="auto"/>
          <w:kern w:val="0"/>
          <w:sz w:val="24"/>
          <w:szCs w:val="21"/>
        </w:rPr>
        <w:t>万元以下的为中小微型企业。其中，从业人员</w:t>
      </w:r>
      <w:r>
        <w:rPr>
          <w:color w:val="auto"/>
          <w:kern w:val="0"/>
          <w:sz w:val="24"/>
          <w:szCs w:val="21"/>
        </w:rPr>
        <w:t>100</w:t>
      </w:r>
      <w:r>
        <w:rPr>
          <w:rFonts w:hint="eastAsia"/>
          <w:color w:val="auto"/>
          <w:kern w:val="0"/>
          <w:sz w:val="24"/>
          <w:szCs w:val="21"/>
        </w:rPr>
        <w:t>人及以上，且营业收入</w:t>
      </w:r>
      <w:r>
        <w:rPr>
          <w:color w:val="auto"/>
          <w:kern w:val="0"/>
          <w:sz w:val="24"/>
          <w:szCs w:val="21"/>
        </w:rPr>
        <w:t>2000</w:t>
      </w:r>
      <w:r>
        <w:rPr>
          <w:rFonts w:hint="eastAsia"/>
          <w:color w:val="auto"/>
          <w:kern w:val="0"/>
          <w:sz w:val="24"/>
          <w:szCs w:val="21"/>
        </w:rPr>
        <w:t>万元及以上的为中型企业；从业人员</w:t>
      </w:r>
      <w:r>
        <w:rPr>
          <w:color w:val="auto"/>
          <w:kern w:val="0"/>
          <w:sz w:val="24"/>
          <w:szCs w:val="21"/>
        </w:rPr>
        <w:t>10</w:t>
      </w:r>
      <w:r>
        <w:rPr>
          <w:rFonts w:hint="eastAsia"/>
          <w:color w:val="auto"/>
          <w:kern w:val="0"/>
          <w:sz w:val="24"/>
          <w:szCs w:val="21"/>
        </w:rPr>
        <w:t>人及以上，且营业收入</w:t>
      </w:r>
      <w:r>
        <w:rPr>
          <w:color w:val="auto"/>
          <w:kern w:val="0"/>
          <w:sz w:val="24"/>
          <w:szCs w:val="21"/>
        </w:rPr>
        <w:t>100</w:t>
      </w:r>
      <w:r>
        <w:rPr>
          <w:rFonts w:hint="eastAsia"/>
          <w:color w:val="auto"/>
          <w:kern w:val="0"/>
          <w:sz w:val="24"/>
          <w:szCs w:val="21"/>
        </w:rPr>
        <w:t>万元及以上的为小型企业；从业人员</w:t>
      </w:r>
      <w:r>
        <w:rPr>
          <w:color w:val="auto"/>
          <w:kern w:val="0"/>
          <w:sz w:val="24"/>
          <w:szCs w:val="21"/>
        </w:rPr>
        <w:t>10</w:t>
      </w:r>
      <w:r>
        <w:rPr>
          <w:rFonts w:hint="eastAsia"/>
          <w:color w:val="auto"/>
          <w:kern w:val="0"/>
          <w:sz w:val="24"/>
          <w:szCs w:val="21"/>
        </w:rPr>
        <w:t>人以下或营业收入</w:t>
      </w:r>
      <w:r>
        <w:rPr>
          <w:color w:val="auto"/>
          <w:kern w:val="0"/>
          <w:sz w:val="24"/>
          <w:szCs w:val="21"/>
        </w:rPr>
        <w:t>100</w:t>
      </w:r>
      <w:r>
        <w:rPr>
          <w:rFonts w:hint="eastAsia"/>
          <w:color w:val="auto"/>
          <w:kern w:val="0"/>
          <w:sz w:val="24"/>
          <w:szCs w:val="21"/>
        </w:rPr>
        <w:t>万元以下的为微型企业。</w:t>
      </w:r>
    </w:p>
    <w:p w14:paraId="36CEB87B">
      <w:pPr>
        <w:spacing w:line="380" w:lineRule="exact"/>
        <w:rPr>
          <w:color w:val="auto"/>
          <w:kern w:val="0"/>
          <w:sz w:val="24"/>
          <w:szCs w:val="21"/>
        </w:rPr>
      </w:pPr>
      <w:r>
        <w:rPr>
          <w:rFonts w:hint="eastAsia"/>
          <w:color w:val="auto"/>
          <w:kern w:val="0"/>
          <w:sz w:val="24"/>
          <w:szCs w:val="21"/>
        </w:rPr>
        <w:t>　　（十一）信息传输业。从业人员</w:t>
      </w:r>
      <w:r>
        <w:rPr>
          <w:color w:val="auto"/>
          <w:kern w:val="0"/>
          <w:sz w:val="24"/>
          <w:szCs w:val="21"/>
        </w:rPr>
        <w:t>2000</w:t>
      </w:r>
      <w:r>
        <w:rPr>
          <w:rFonts w:hint="eastAsia"/>
          <w:color w:val="auto"/>
          <w:kern w:val="0"/>
          <w:sz w:val="24"/>
          <w:szCs w:val="21"/>
        </w:rPr>
        <w:t>人以下或营业收入</w:t>
      </w:r>
      <w:r>
        <w:rPr>
          <w:color w:val="auto"/>
          <w:kern w:val="0"/>
          <w:sz w:val="24"/>
          <w:szCs w:val="21"/>
        </w:rPr>
        <w:t>100000</w:t>
      </w:r>
      <w:r>
        <w:rPr>
          <w:rFonts w:hint="eastAsia"/>
          <w:color w:val="auto"/>
          <w:kern w:val="0"/>
          <w:sz w:val="24"/>
          <w:szCs w:val="21"/>
        </w:rPr>
        <w:t>万元以下的为中小微型企业。其中，从业人员</w:t>
      </w:r>
      <w:r>
        <w:rPr>
          <w:color w:val="auto"/>
          <w:kern w:val="0"/>
          <w:sz w:val="24"/>
          <w:szCs w:val="21"/>
        </w:rPr>
        <w:t>100</w:t>
      </w:r>
      <w:r>
        <w:rPr>
          <w:rFonts w:hint="eastAsia"/>
          <w:color w:val="auto"/>
          <w:kern w:val="0"/>
          <w:sz w:val="24"/>
          <w:szCs w:val="21"/>
        </w:rPr>
        <w:t>人及以上，且营业收入</w:t>
      </w:r>
      <w:r>
        <w:rPr>
          <w:color w:val="auto"/>
          <w:kern w:val="0"/>
          <w:sz w:val="24"/>
          <w:szCs w:val="21"/>
        </w:rPr>
        <w:t>1000</w:t>
      </w:r>
      <w:r>
        <w:rPr>
          <w:rFonts w:hint="eastAsia"/>
          <w:color w:val="auto"/>
          <w:kern w:val="0"/>
          <w:sz w:val="24"/>
          <w:szCs w:val="21"/>
        </w:rPr>
        <w:t>万元及以上的为中型企业；从业人员</w:t>
      </w:r>
      <w:r>
        <w:rPr>
          <w:color w:val="auto"/>
          <w:kern w:val="0"/>
          <w:sz w:val="24"/>
          <w:szCs w:val="21"/>
        </w:rPr>
        <w:t>10</w:t>
      </w:r>
      <w:r>
        <w:rPr>
          <w:rFonts w:hint="eastAsia"/>
          <w:color w:val="auto"/>
          <w:kern w:val="0"/>
          <w:sz w:val="24"/>
          <w:szCs w:val="21"/>
        </w:rPr>
        <w:t>人及以上，且营业收入</w:t>
      </w:r>
      <w:r>
        <w:rPr>
          <w:color w:val="auto"/>
          <w:kern w:val="0"/>
          <w:sz w:val="24"/>
          <w:szCs w:val="21"/>
        </w:rPr>
        <w:t>100</w:t>
      </w:r>
      <w:r>
        <w:rPr>
          <w:rFonts w:hint="eastAsia"/>
          <w:color w:val="auto"/>
          <w:kern w:val="0"/>
          <w:sz w:val="24"/>
          <w:szCs w:val="21"/>
        </w:rPr>
        <w:t>万元及以上的为小型企业；从业人员</w:t>
      </w:r>
      <w:r>
        <w:rPr>
          <w:color w:val="auto"/>
          <w:kern w:val="0"/>
          <w:sz w:val="24"/>
          <w:szCs w:val="21"/>
        </w:rPr>
        <w:t>10</w:t>
      </w:r>
      <w:r>
        <w:rPr>
          <w:rFonts w:hint="eastAsia"/>
          <w:color w:val="auto"/>
          <w:kern w:val="0"/>
          <w:sz w:val="24"/>
          <w:szCs w:val="21"/>
        </w:rPr>
        <w:t>人以下或营业收入</w:t>
      </w:r>
      <w:r>
        <w:rPr>
          <w:color w:val="auto"/>
          <w:kern w:val="0"/>
          <w:sz w:val="24"/>
          <w:szCs w:val="21"/>
        </w:rPr>
        <w:t>100</w:t>
      </w:r>
      <w:r>
        <w:rPr>
          <w:rFonts w:hint="eastAsia"/>
          <w:color w:val="auto"/>
          <w:kern w:val="0"/>
          <w:sz w:val="24"/>
          <w:szCs w:val="21"/>
        </w:rPr>
        <w:t>万元以下的为微型企业。</w:t>
      </w:r>
    </w:p>
    <w:p w14:paraId="13DA6FC6">
      <w:pPr>
        <w:spacing w:line="380" w:lineRule="exact"/>
        <w:rPr>
          <w:color w:val="auto"/>
          <w:kern w:val="0"/>
          <w:sz w:val="24"/>
          <w:szCs w:val="21"/>
        </w:rPr>
      </w:pPr>
      <w:r>
        <w:rPr>
          <w:rFonts w:hint="eastAsia"/>
          <w:color w:val="auto"/>
          <w:kern w:val="0"/>
          <w:sz w:val="24"/>
          <w:szCs w:val="21"/>
        </w:rPr>
        <w:t>　　（十二）软件和信息技术服务业。从业人员</w:t>
      </w:r>
      <w:r>
        <w:rPr>
          <w:color w:val="auto"/>
          <w:kern w:val="0"/>
          <w:sz w:val="24"/>
          <w:szCs w:val="21"/>
        </w:rPr>
        <w:t>300</w:t>
      </w:r>
      <w:r>
        <w:rPr>
          <w:rFonts w:hint="eastAsia"/>
          <w:color w:val="auto"/>
          <w:kern w:val="0"/>
          <w:sz w:val="24"/>
          <w:szCs w:val="21"/>
        </w:rPr>
        <w:t>人以下或营业收入</w:t>
      </w:r>
      <w:r>
        <w:rPr>
          <w:color w:val="auto"/>
          <w:kern w:val="0"/>
          <w:sz w:val="24"/>
          <w:szCs w:val="21"/>
        </w:rPr>
        <w:t>10000</w:t>
      </w:r>
      <w:r>
        <w:rPr>
          <w:rFonts w:hint="eastAsia"/>
          <w:color w:val="auto"/>
          <w:kern w:val="0"/>
          <w:sz w:val="24"/>
          <w:szCs w:val="21"/>
        </w:rPr>
        <w:t>万元以下的为中小微型企业。其中，从业人员</w:t>
      </w:r>
      <w:r>
        <w:rPr>
          <w:color w:val="auto"/>
          <w:kern w:val="0"/>
          <w:sz w:val="24"/>
          <w:szCs w:val="21"/>
        </w:rPr>
        <w:t>100</w:t>
      </w:r>
      <w:r>
        <w:rPr>
          <w:rFonts w:hint="eastAsia"/>
          <w:color w:val="auto"/>
          <w:kern w:val="0"/>
          <w:sz w:val="24"/>
          <w:szCs w:val="21"/>
        </w:rPr>
        <w:t>人及以上，且营业收入</w:t>
      </w:r>
      <w:r>
        <w:rPr>
          <w:color w:val="auto"/>
          <w:kern w:val="0"/>
          <w:sz w:val="24"/>
          <w:szCs w:val="21"/>
        </w:rPr>
        <w:t>1000</w:t>
      </w:r>
      <w:r>
        <w:rPr>
          <w:rFonts w:hint="eastAsia"/>
          <w:color w:val="auto"/>
          <w:kern w:val="0"/>
          <w:sz w:val="24"/>
          <w:szCs w:val="21"/>
        </w:rPr>
        <w:t>万元及以上的为中型企业；从业人员</w:t>
      </w:r>
      <w:r>
        <w:rPr>
          <w:color w:val="auto"/>
          <w:kern w:val="0"/>
          <w:sz w:val="24"/>
          <w:szCs w:val="21"/>
        </w:rPr>
        <w:t>10</w:t>
      </w:r>
      <w:r>
        <w:rPr>
          <w:rFonts w:hint="eastAsia"/>
          <w:color w:val="auto"/>
          <w:kern w:val="0"/>
          <w:sz w:val="24"/>
          <w:szCs w:val="21"/>
        </w:rPr>
        <w:t>人及以上，且营业收入</w:t>
      </w:r>
      <w:r>
        <w:rPr>
          <w:color w:val="auto"/>
          <w:kern w:val="0"/>
          <w:sz w:val="24"/>
          <w:szCs w:val="21"/>
        </w:rPr>
        <w:t>50</w:t>
      </w:r>
      <w:r>
        <w:rPr>
          <w:rFonts w:hint="eastAsia"/>
          <w:color w:val="auto"/>
          <w:kern w:val="0"/>
          <w:sz w:val="24"/>
          <w:szCs w:val="21"/>
        </w:rPr>
        <w:t>万元及以上的为小型企业；从业人员</w:t>
      </w:r>
      <w:r>
        <w:rPr>
          <w:color w:val="auto"/>
          <w:kern w:val="0"/>
          <w:sz w:val="24"/>
          <w:szCs w:val="21"/>
        </w:rPr>
        <w:t>10</w:t>
      </w:r>
      <w:r>
        <w:rPr>
          <w:rFonts w:hint="eastAsia"/>
          <w:color w:val="auto"/>
          <w:kern w:val="0"/>
          <w:sz w:val="24"/>
          <w:szCs w:val="21"/>
        </w:rPr>
        <w:t>人以下或营业收入</w:t>
      </w:r>
      <w:r>
        <w:rPr>
          <w:color w:val="auto"/>
          <w:kern w:val="0"/>
          <w:sz w:val="24"/>
          <w:szCs w:val="21"/>
        </w:rPr>
        <w:t>50</w:t>
      </w:r>
      <w:r>
        <w:rPr>
          <w:rFonts w:hint="eastAsia"/>
          <w:color w:val="auto"/>
          <w:kern w:val="0"/>
          <w:sz w:val="24"/>
          <w:szCs w:val="21"/>
        </w:rPr>
        <w:t>万元以下的为微型企业。</w:t>
      </w:r>
    </w:p>
    <w:p w14:paraId="535976FC">
      <w:pPr>
        <w:spacing w:line="380" w:lineRule="exact"/>
        <w:rPr>
          <w:color w:val="auto"/>
          <w:kern w:val="0"/>
          <w:sz w:val="24"/>
          <w:szCs w:val="21"/>
        </w:rPr>
      </w:pPr>
      <w:r>
        <w:rPr>
          <w:rFonts w:hint="eastAsia"/>
          <w:color w:val="auto"/>
          <w:kern w:val="0"/>
          <w:sz w:val="24"/>
          <w:szCs w:val="21"/>
        </w:rPr>
        <w:t>　　（十三）房地产开发经营。营业收入</w:t>
      </w:r>
      <w:r>
        <w:rPr>
          <w:color w:val="auto"/>
          <w:kern w:val="0"/>
          <w:sz w:val="24"/>
          <w:szCs w:val="21"/>
        </w:rPr>
        <w:t>200000</w:t>
      </w:r>
      <w:r>
        <w:rPr>
          <w:rFonts w:hint="eastAsia"/>
          <w:color w:val="auto"/>
          <w:kern w:val="0"/>
          <w:sz w:val="24"/>
          <w:szCs w:val="21"/>
        </w:rPr>
        <w:t>万元以下或资产总额</w:t>
      </w:r>
      <w:r>
        <w:rPr>
          <w:color w:val="auto"/>
          <w:kern w:val="0"/>
          <w:sz w:val="24"/>
          <w:szCs w:val="21"/>
        </w:rPr>
        <w:t>10000</w:t>
      </w:r>
      <w:r>
        <w:rPr>
          <w:rFonts w:hint="eastAsia"/>
          <w:color w:val="auto"/>
          <w:kern w:val="0"/>
          <w:sz w:val="24"/>
          <w:szCs w:val="21"/>
        </w:rPr>
        <w:t>万元以下的为中小微型企业。其中，营业收入</w:t>
      </w:r>
      <w:r>
        <w:rPr>
          <w:color w:val="auto"/>
          <w:kern w:val="0"/>
          <w:sz w:val="24"/>
          <w:szCs w:val="21"/>
        </w:rPr>
        <w:t>1000</w:t>
      </w:r>
      <w:r>
        <w:rPr>
          <w:rFonts w:hint="eastAsia"/>
          <w:color w:val="auto"/>
          <w:kern w:val="0"/>
          <w:sz w:val="24"/>
          <w:szCs w:val="21"/>
        </w:rPr>
        <w:t>万元及以上，且资产总额</w:t>
      </w:r>
      <w:r>
        <w:rPr>
          <w:color w:val="auto"/>
          <w:kern w:val="0"/>
          <w:sz w:val="24"/>
          <w:szCs w:val="21"/>
        </w:rPr>
        <w:t>5000</w:t>
      </w:r>
      <w:r>
        <w:rPr>
          <w:rFonts w:hint="eastAsia"/>
          <w:color w:val="auto"/>
          <w:kern w:val="0"/>
          <w:sz w:val="24"/>
          <w:szCs w:val="21"/>
        </w:rPr>
        <w:t>万元及以上的为中型企业；营业收入</w:t>
      </w:r>
      <w:r>
        <w:rPr>
          <w:color w:val="auto"/>
          <w:kern w:val="0"/>
          <w:sz w:val="24"/>
          <w:szCs w:val="21"/>
        </w:rPr>
        <w:t>100</w:t>
      </w:r>
      <w:r>
        <w:rPr>
          <w:rFonts w:hint="eastAsia"/>
          <w:color w:val="auto"/>
          <w:kern w:val="0"/>
          <w:sz w:val="24"/>
          <w:szCs w:val="21"/>
        </w:rPr>
        <w:t>万元及以上，且资产总额</w:t>
      </w:r>
      <w:r>
        <w:rPr>
          <w:color w:val="auto"/>
          <w:kern w:val="0"/>
          <w:sz w:val="24"/>
          <w:szCs w:val="21"/>
        </w:rPr>
        <w:t>2000</w:t>
      </w:r>
      <w:r>
        <w:rPr>
          <w:rFonts w:hint="eastAsia"/>
          <w:color w:val="auto"/>
          <w:kern w:val="0"/>
          <w:sz w:val="24"/>
          <w:szCs w:val="21"/>
        </w:rPr>
        <w:t>万元及以上的为小型企业；营业收入</w:t>
      </w:r>
      <w:r>
        <w:rPr>
          <w:color w:val="auto"/>
          <w:kern w:val="0"/>
          <w:sz w:val="24"/>
          <w:szCs w:val="21"/>
        </w:rPr>
        <w:t>100</w:t>
      </w:r>
      <w:r>
        <w:rPr>
          <w:rFonts w:hint="eastAsia"/>
          <w:color w:val="auto"/>
          <w:kern w:val="0"/>
          <w:sz w:val="24"/>
          <w:szCs w:val="21"/>
        </w:rPr>
        <w:t>万元以下或资产总额</w:t>
      </w:r>
      <w:r>
        <w:rPr>
          <w:color w:val="auto"/>
          <w:kern w:val="0"/>
          <w:sz w:val="24"/>
          <w:szCs w:val="21"/>
        </w:rPr>
        <w:t>2000</w:t>
      </w:r>
      <w:r>
        <w:rPr>
          <w:rFonts w:hint="eastAsia"/>
          <w:color w:val="auto"/>
          <w:kern w:val="0"/>
          <w:sz w:val="24"/>
          <w:szCs w:val="21"/>
        </w:rPr>
        <w:t>万元以下的为微型企业。</w:t>
      </w:r>
    </w:p>
    <w:p w14:paraId="335D557A">
      <w:pPr>
        <w:spacing w:line="380" w:lineRule="exact"/>
        <w:rPr>
          <w:color w:val="auto"/>
          <w:kern w:val="0"/>
          <w:sz w:val="24"/>
          <w:szCs w:val="21"/>
        </w:rPr>
      </w:pPr>
      <w:r>
        <w:rPr>
          <w:rFonts w:hint="eastAsia"/>
          <w:color w:val="auto"/>
          <w:kern w:val="0"/>
          <w:sz w:val="24"/>
          <w:szCs w:val="21"/>
        </w:rPr>
        <w:t>　　（十四）物业管理。从业人员</w:t>
      </w:r>
      <w:r>
        <w:rPr>
          <w:color w:val="auto"/>
          <w:kern w:val="0"/>
          <w:sz w:val="24"/>
          <w:szCs w:val="21"/>
        </w:rPr>
        <w:t>1000</w:t>
      </w:r>
      <w:r>
        <w:rPr>
          <w:rFonts w:hint="eastAsia"/>
          <w:color w:val="auto"/>
          <w:kern w:val="0"/>
          <w:sz w:val="24"/>
          <w:szCs w:val="21"/>
        </w:rPr>
        <w:t>人以下或营业收入</w:t>
      </w:r>
      <w:r>
        <w:rPr>
          <w:color w:val="auto"/>
          <w:kern w:val="0"/>
          <w:sz w:val="24"/>
          <w:szCs w:val="21"/>
        </w:rPr>
        <w:t>5000</w:t>
      </w:r>
      <w:r>
        <w:rPr>
          <w:rFonts w:hint="eastAsia"/>
          <w:color w:val="auto"/>
          <w:kern w:val="0"/>
          <w:sz w:val="24"/>
          <w:szCs w:val="21"/>
        </w:rPr>
        <w:t>万元以下的为中小微型企业。其中，从业人员</w:t>
      </w:r>
      <w:r>
        <w:rPr>
          <w:color w:val="auto"/>
          <w:kern w:val="0"/>
          <w:sz w:val="24"/>
          <w:szCs w:val="21"/>
        </w:rPr>
        <w:t>300</w:t>
      </w:r>
      <w:r>
        <w:rPr>
          <w:rFonts w:hint="eastAsia"/>
          <w:color w:val="auto"/>
          <w:kern w:val="0"/>
          <w:sz w:val="24"/>
          <w:szCs w:val="21"/>
        </w:rPr>
        <w:t>人及以上，且营业收入</w:t>
      </w:r>
      <w:r>
        <w:rPr>
          <w:color w:val="auto"/>
          <w:kern w:val="0"/>
          <w:sz w:val="24"/>
          <w:szCs w:val="21"/>
        </w:rPr>
        <w:t>1000</w:t>
      </w:r>
      <w:r>
        <w:rPr>
          <w:rFonts w:hint="eastAsia"/>
          <w:color w:val="auto"/>
          <w:kern w:val="0"/>
          <w:sz w:val="24"/>
          <w:szCs w:val="21"/>
        </w:rPr>
        <w:t>万元及以上的为中型企业；从业人员</w:t>
      </w:r>
      <w:r>
        <w:rPr>
          <w:color w:val="auto"/>
          <w:kern w:val="0"/>
          <w:sz w:val="24"/>
          <w:szCs w:val="21"/>
        </w:rPr>
        <w:t>100</w:t>
      </w:r>
      <w:r>
        <w:rPr>
          <w:rFonts w:hint="eastAsia"/>
          <w:color w:val="auto"/>
          <w:kern w:val="0"/>
          <w:sz w:val="24"/>
          <w:szCs w:val="21"/>
        </w:rPr>
        <w:t>人及以上，且营业收入</w:t>
      </w:r>
      <w:r>
        <w:rPr>
          <w:color w:val="auto"/>
          <w:kern w:val="0"/>
          <w:sz w:val="24"/>
          <w:szCs w:val="21"/>
        </w:rPr>
        <w:t>500</w:t>
      </w:r>
      <w:r>
        <w:rPr>
          <w:rFonts w:hint="eastAsia"/>
          <w:color w:val="auto"/>
          <w:kern w:val="0"/>
          <w:sz w:val="24"/>
          <w:szCs w:val="21"/>
        </w:rPr>
        <w:t>万元及以上的为小型企业；从业人员</w:t>
      </w:r>
      <w:r>
        <w:rPr>
          <w:color w:val="auto"/>
          <w:kern w:val="0"/>
          <w:sz w:val="24"/>
          <w:szCs w:val="21"/>
        </w:rPr>
        <w:t>100</w:t>
      </w:r>
      <w:r>
        <w:rPr>
          <w:rFonts w:hint="eastAsia"/>
          <w:color w:val="auto"/>
          <w:kern w:val="0"/>
          <w:sz w:val="24"/>
          <w:szCs w:val="21"/>
        </w:rPr>
        <w:t>人以下或营业收入</w:t>
      </w:r>
      <w:r>
        <w:rPr>
          <w:color w:val="auto"/>
          <w:kern w:val="0"/>
          <w:sz w:val="24"/>
          <w:szCs w:val="21"/>
        </w:rPr>
        <w:t>500</w:t>
      </w:r>
      <w:r>
        <w:rPr>
          <w:rFonts w:hint="eastAsia"/>
          <w:color w:val="auto"/>
          <w:kern w:val="0"/>
          <w:sz w:val="24"/>
          <w:szCs w:val="21"/>
        </w:rPr>
        <w:t>万元以下的为微型企业。</w:t>
      </w:r>
    </w:p>
    <w:p w14:paraId="3BE0A2FC">
      <w:pPr>
        <w:spacing w:line="380" w:lineRule="exact"/>
        <w:rPr>
          <w:color w:val="auto"/>
          <w:kern w:val="0"/>
          <w:sz w:val="24"/>
          <w:szCs w:val="21"/>
        </w:rPr>
      </w:pPr>
      <w:r>
        <w:rPr>
          <w:rFonts w:hint="eastAsia"/>
          <w:color w:val="auto"/>
          <w:kern w:val="0"/>
          <w:sz w:val="24"/>
          <w:szCs w:val="21"/>
        </w:rPr>
        <w:t>　　（十五）租赁和商务服务业。从业人员</w:t>
      </w:r>
      <w:r>
        <w:rPr>
          <w:color w:val="auto"/>
          <w:kern w:val="0"/>
          <w:sz w:val="24"/>
          <w:szCs w:val="21"/>
        </w:rPr>
        <w:t>300</w:t>
      </w:r>
      <w:r>
        <w:rPr>
          <w:rFonts w:hint="eastAsia"/>
          <w:color w:val="auto"/>
          <w:kern w:val="0"/>
          <w:sz w:val="24"/>
          <w:szCs w:val="21"/>
        </w:rPr>
        <w:t>人以下或资产总额</w:t>
      </w:r>
      <w:r>
        <w:rPr>
          <w:color w:val="auto"/>
          <w:kern w:val="0"/>
          <w:sz w:val="24"/>
          <w:szCs w:val="21"/>
        </w:rPr>
        <w:t>120000</w:t>
      </w:r>
      <w:r>
        <w:rPr>
          <w:rFonts w:hint="eastAsia"/>
          <w:color w:val="auto"/>
          <w:kern w:val="0"/>
          <w:sz w:val="24"/>
          <w:szCs w:val="21"/>
        </w:rPr>
        <w:t>万元以下的为中小微型企业。其中，从业人员</w:t>
      </w:r>
      <w:r>
        <w:rPr>
          <w:color w:val="auto"/>
          <w:kern w:val="0"/>
          <w:sz w:val="24"/>
          <w:szCs w:val="21"/>
        </w:rPr>
        <w:t>100</w:t>
      </w:r>
      <w:r>
        <w:rPr>
          <w:rFonts w:hint="eastAsia"/>
          <w:color w:val="auto"/>
          <w:kern w:val="0"/>
          <w:sz w:val="24"/>
          <w:szCs w:val="21"/>
        </w:rPr>
        <w:t>人及以上，且资产总额</w:t>
      </w:r>
      <w:r>
        <w:rPr>
          <w:color w:val="auto"/>
          <w:kern w:val="0"/>
          <w:sz w:val="24"/>
          <w:szCs w:val="21"/>
        </w:rPr>
        <w:t>8000</w:t>
      </w:r>
      <w:r>
        <w:rPr>
          <w:rFonts w:hint="eastAsia"/>
          <w:color w:val="auto"/>
          <w:kern w:val="0"/>
          <w:sz w:val="24"/>
          <w:szCs w:val="21"/>
        </w:rPr>
        <w:t>万元及以上的为中型企业；从业人员</w:t>
      </w:r>
      <w:r>
        <w:rPr>
          <w:color w:val="auto"/>
          <w:kern w:val="0"/>
          <w:sz w:val="24"/>
          <w:szCs w:val="21"/>
        </w:rPr>
        <w:t>10</w:t>
      </w:r>
      <w:r>
        <w:rPr>
          <w:rFonts w:hint="eastAsia"/>
          <w:color w:val="auto"/>
          <w:kern w:val="0"/>
          <w:sz w:val="24"/>
          <w:szCs w:val="21"/>
        </w:rPr>
        <w:t>人及以上，且资产总额</w:t>
      </w:r>
      <w:r>
        <w:rPr>
          <w:color w:val="auto"/>
          <w:kern w:val="0"/>
          <w:sz w:val="24"/>
          <w:szCs w:val="21"/>
        </w:rPr>
        <w:t>100</w:t>
      </w:r>
      <w:r>
        <w:rPr>
          <w:rFonts w:hint="eastAsia"/>
          <w:color w:val="auto"/>
          <w:kern w:val="0"/>
          <w:sz w:val="24"/>
          <w:szCs w:val="21"/>
        </w:rPr>
        <w:t>万元及以上的为小型企业；从业人员</w:t>
      </w:r>
      <w:r>
        <w:rPr>
          <w:color w:val="auto"/>
          <w:kern w:val="0"/>
          <w:sz w:val="24"/>
          <w:szCs w:val="21"/>
        </w:rPr>
        <w:t>10</w:t>
      </w:r>
      <w:r>
        <w:rPr>
          <w:rFonts w:hint="eastAsia"/>
          <w:color w:val="auto"/>
          <w:kern w:val="0"/>
          <w:sz w:val="24"/>
          <w:szCs w:val="21"/>
        </w:rPr>
        <w:t>人以下或资产总额</w:t>
      </w:r>
      <w:r>
        <w:rPr>
          <w:color w:val="auto"/>
          <w:kern w:val="0"/>
          <w:sz w:val="24"/>
          <w:szCs w:val="21"/>
        </w:rPr>
        <w:t>100</w:t>
      </w:r>
      <w:r>
        <w:rPr>
          <w:rFonts w:hint="eastAsia"/>
          <w:color w:val="auto"/>
          <w:kern w:val="0"/>
          <w:sz w:val="24"/>
          <w:szCs w:val="21"/>
        </w:rPr>
        <w:t>万元以下的为微型企业。</w:t>
      </w:r>
    </w:p>
    <w:p w14:paraId="7AA2F08B">
      <w:pPr>
        <w:spacing w:line="380" w:lineRule="exact"/>
        <w:rPr>
          <w:color w:val="auto"/>
          <w:kern w:val="0"/>
          <w:sz w:val="24"/>
          <w:szCs w:val="21"/>
        </w:rPr>
      </w:pPr>
      <w:r>
        <w:rPr>
          <w:rFonts w:hint="eastAsia"/>
          <w:color w:val="auto"/>
          <w:kern w:val="0"/>
          <w:sz w:val="24"/>
          <w:szCs w:val="21"/>
        </w:rPr>
        <w:t>　　（十六）其他未列明行业。从业人员</w:t>
      </w:r>
      <w:r>
        <w:rPr>
          <w:color w:val="auto"/>
          <w:kern w:val="0"/>
          <w:sz w:val="24"/>
          <w:szCs w:val="21"/>
        </w:rPr>
        <w:t>300</w:t>
      </w:r>
      <w:r>
        <w:rPr>
          <w:rFonts w:hint="eastAsia"/>
          <w:color w:val="auto"/>
          <w:kern w:val="0"/>
          <w:sz w:val="24"/>
          <w:szCs w:val="21"/>
        </w:rPr>
        <w:t>人以下的为中小微型企业。其中，从业人员</w:t>
      </w:r>
      <w:r>
        <w:rPr>
          <w:color w:val="auto"/>
          <w:kern w:val="0"/>
          <w:sz w:val="24"/>
          <w:szCs w:val="21"/>
        </w:rPr>
        <w:t>100</w:t>
      </w:r>
      <w:r>
        <w:rPr>
          <w:rFonts w:hint="eastAsia"/>
          <w:color w:val="auto"/>
          <w:kern w:val="0"/>
          <w:sz w:val="24"/>
          <w:szCs w:val="21"/>
        </w:rPr>
        <w:t>人及以上的为中型企业；从业人员</w:t>
      </w:r>
      <w:r>
        <w:rPr>
          <w:color w:val="auto"/>
          <w:kern w:val="0"/>
          <w:sz w:val="24"/>
          <w:szCs w:val="21"/>
        </w:rPr>
        <w:t>10</w:t>
      </w:r>
      <w:r>
        <w:rPr>
          <w:rFonts w:hint="eastAsia"/>
          <w:color w:val="auto"/>
          <w:kern w:val="0"/>
          <w:sz w:val="24"/>
          <w:szCs w:val="21"/>
        </w:rPr>
        <w:t>人及以上的为小型企业；从业人员</w:t>
      </w:r>
      <w:r>
        <w:rPr>
          <w:color w:val="auto"/>
          <w:kern w:val="0"/>
          <w:sz w:val="24"/>
          <w:szCs w:val="21"/>
        </w:rPr>
        <w:t>10</w:t>
      </w:r>
      <w:r>
        <w:rPr>
          <w:rFonts w:hint="eastAsia"/>
          <w:color w:val="auto"/>
          <w:kern w:val="0"/>
          <w:sz w:val="24"/>
          <w:szCs w:val="21"/>
        </w:rPr>
        <w:t>人以下的为微型企业。</w:t>
      </w:r>
    </w:p>
    <w:p w14:paraId="78935F5B">
      <w:pPr>
        <w:spacing w:line="380" w:lineRule="exact"/>
        <w:rPr>
          <w:color w:val="auto"/>
          <w:kern w:val="0"/>
          <w:sz w:val="24"/>
          <w:szCs w:val="21"/>
        </w:rPr>
      </w:pPr>
      <w:r>
        <w:rPr>
          <w:rFonts w:hint="eastAsia"/>
          <w:color w:val="auto"/>
          <w:kern w:val="0"/>
          <w:sz w:val="24"/>
          <w:szCs w:val="21"/>
        </w:rPr>
        <w:t>　　五、企业类型的划分以统计部门的统计数据为依据。</w:t>
      </w:r>
    </w:p>
    <w:p w14:paraId="0F74EAC0">
      <w:pPr>
        <w:spacing w:line="380" w:lineRule="exact"/>
        <w:rPr>
          <w:color w:val="auto"/>
          <w:kern w:val="0"/>
          <w:sz w:val="24"/>
          <w:szCs w:val="21"/>
        </w:rPr>
      </w:pPr>
      <w:r>
        <w:rPr>
          <w:rFonts w:hint="eastAsia"/>
          <w:color w:val="auto"/>
          <w:kern w:val="0"/>
          <w:sz w:val="24"/>
          <w:szCs w:val="21"/>
        </w:rPr>
        <w:t>　　六、本规定适用于在中华人民共和国境内依法设立的各类所有制和各种组织形式的企业。个体工商户和本规定以外的行业，参照本规定进行划型。</w:t>
      </w:r>
    </w:p>
    <w:p w14:paraId="40A07F9B">
      <w:pPr>
        <w:spacing w:line="380" w:lineRule="exact"/>
        <w:rPr>
          <w:color w:val="auto"/>
          <w:kern w:val="0"/>
          <w:sz w:val="24"/>
          <w:szCs w:val="21"/>
        </w:rPr>
      </w:pPr>
      <w:r>
        <w:rPr>
          <w:rFonts w:hint="eastAsia"/>
          <w:color w:val="auto"/>
          <w:kern w:val="0"/>
          <w:sz w:val="24"/>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31F8A3E7">
      <w:pPr>
        <w:spacing w:line="380" w:lineRule="exact"/>
        <w:rPr>
          <w:color w:val="auto"/>
          <w:kern w:val="0"/>
          <w:sz w:val="24"/>
          <w:szCs w:val="21"/>
        </w:rPr>
      </w:pPr>
      <w:r>
        <w:rPr>
          <w:rFonts w:hint="eastAsia"/>
          <w:color w:val="auto"/>
          <w:kern w:val="0"/>
          <w:sz w:val="24"/>
          <w:szCs w:val="21"/>
        </w:rPr>
        <w:t>　　八、本规定由工业和信息化部、国家统计局会同有关部门根据《国民经济行业分类》修订情况和企业发展变化情况适时修订。</w:t>
      </w:r>
    </w:p>
    <w:p w14:paraId="78F5D10B">
      <w:pPr>
        <w:spacing w:line="380" w:lineRule="exact"/>
        <w:rPr>
          <w:color w:val="auto"/>
          <w:kern w:val="0"/>
          <w:sz w:val="24"/>
          <w:szCs w:val="21"/>
        </w:rPr>
      </w:pPr>
      <w:r>
        <w:rPr>
          <w:rFonts w:hint="eastAsia"/>
          <w:color w:val="auto"/>
          <w:kern w:val="0"/>
          <w:sz w:val="24"/>
          <w:szCs w:val="21"/>
        </w:rPr>
        <w:t>　　九、本规定由工业和信息化部、国家统计局会同有关部门负责解释。</w:t>
      </w:r>
    </w:p>
    <w:p w14:paraId="47889B14">
      <w:pPr>
        <w:spacing w:line="380" w:lineRule="exact"/>
        <w:ind w:firstLine="420"/>
        <w:rPr>
          <w:color w:val="auto"/>
          <w:kern w:val="0"/>
          <w:sz w:val="24"/>
          <w:szCs w:val="21"/>
        </w:rPr>
      </w:pPr>
      <w:r>
        <w:rPr>
          <w:rFonts w:hint="eastAsia"/>
          <w:color w:val="auto"/>
          <w:kern w:val="0"/>
          <w:sz w:val="24"/>
          <w:szCs w:val="21"/>
        </w:rPr>
        <w:t>十、本规定自发布之日起执行，原国家经贸委、原国家计委、财政部和国家统计局</w:t>
      </w:r>
      <w:r>
        <w:rPr>
          <w:color w:val="auto"/>
          <w:kern w:val="0"/>
          <w:sz w:val="24"/>
          <w:szCs w:val="21"/>
        </w:rPr>
        <w:t>2003</w:t>
      </w:r>
      <w:r>
        <w:rPr>
          <w:rFonts w:hint="eastAsia"/>
          <w:color w:val="auto"/>
          <w:kern w:val="0"/>
          <w:sz w:val="24"/>
          <w:szCs w:val="21"/>
        </w:rPr>
        <w:t>年颁布的《中小企业标准暂行规定》同时废止。</w:t>
      </w:r>
    </w:p>
    <w:p w14:paraId="2E8B4B13">
      <w:pPr>
        <w:spacing w:line="528" w:lineRule="exact"/>
        <w:jc w:val="center"/>
        <w:rPr>
          <w:rFonts w:ascii="Arial Unicode MS" w:hAnsi="Arial Unicode MS" w:eastAsia="等线" w:cs="Arial Unicode MS"/>
          <w:color w:val="auto"/>
          <w:kern w:val="0"/>
          <w:sz w:val="32"/>
          <w:szCs w:val="32"/>
        </w:rPr>
      </w:pPr>
    </w:p>
    <w:p w14:paraId="0FFC47AB">
      <w:pPr>
        <w:pStyle w:val="3"/>
        <w:jc w:val="center"/>
        <w:rPr>
          <w:color w:val="auto"/>
        </w:rPr>
      </w:pPr>
      <w:r>
        <w:rPr>
          <w:rFonts w:ascii="宋体" w:hAnsi="宋体" w:cs="宋体"/>
          <w:color w:val="auto"/>
          <w:sz w:val="20"/>
          <w:szCs w:val="20"/>
        </w:rPr>
        <w:br w:type="page"/>
      </w:r>
      <w:bookmarkStart w:id="97" w:name="_Toc74323459"/>
      <w:r>
        <w:rPr>
          <w:rFonts w:hint="eastAsia"/>
          <w:color w:val="auto"/>
        </w:rPr>
        <w:t>第四章  评审程序、评审方法和评审标准</w:t>
      </w:r>
      <w:bookmarkEnd w:id="97"/>
    </w:p>
    <w:p w14:paraId="4E839DA7">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14:paraId="41A38429">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14:paraId="365B07AF">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4865ECC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14:paraId="2CFADAD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（1）查询渠道：广西政府采购云平台“信用中国”网站(www.creditchina.gov.cn)、中国政府采购网(www.ccgp.gov.cn)链接入口。</w:t>
      </w:r>
    </w:p>
    <w:p w14:paraId="3D093A4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14:paraId="3110AB2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14:paraId="4E2AC7D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4CA7521D">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5C9CB8C3">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64BE66AD">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2A2242B0">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14:paraId="3F2DEE11">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14:paraId="7EB71004">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14:paraId="2309CCA1">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4364F9E1">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4C84FDD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14:paraId="2EFAA75F">
      <w:pPr>
        <w:spacing w:line="360" w:lineRule="auto"/>
        <w:ind w:firstLine="420" w:firstLineChars="200"/>
        <w:rPr>
          <w:rFonts w:ascii="宋体" w:hAnsi="宋体" w:cs="宋体"/>
          <w:color w:val="auto"/>
          <w:szCs w:val="21"/>
        </w:rPr>
      </w:pPr>
      <w:bookmarkStart w:id="98"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98"/>
    <w:p w14:paraId="5AA9E421">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251D9F">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14:paraId="0B4C1149">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A42C17F">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089A2A18">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69B47995">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09427207">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4D77C307">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6C0C566C">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262E206A">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36B426C5">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在评审时，如发现下列情形之一的，将被视为响应文件无效处理：</w:t>
      </w:r>
    </w:p>
    <w:p w14:paraId="457BD72B">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0FBA89EE">
      <w:pPr>
        <w:spacing w:line="360" w:lineRule="auto"/>
        <w:ind w:firstLine="420" w:firstLineChars="200"/>
        <w:rPr>
          <w:rFonts w:ascii="宋体" w:hAnsi="宋体" w:cs="宋体"/>
          <w:color w:val="auto"/>
          <w:szCs w:val="21"/>
        </w:rPr>
      </w:pPr>
      <w:r>
        <w:rPr>
          <w:rFonts w:hint="eastAsia" w:ascii="宋体" w:hAnsi="宋体" w:cs="宋体"/>
          <w:color w:val="auto"/>
          <w:szCs w:val="21"/>
        </w:rPr>
        <w:t>1）响应文件未按磋商文件要求签署、盖章；</w:t>
      </w:r>
    </w:p>
    <w:p w14:paraId="2A8D5A5F">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2）委托代理人未能出具有效身份证或者出具的身份证与授权委托书中的信息不符的； </w:t>
      </w:r>
    </w:p>
    <w:p w14:paraId="27E36AFB">
      <w:pPr>
        <w:spacing w:line="360" w:lineRule="auto"/>
        <w:ind w:firstLine="420" w:firstLineChars="200"/>
        <w:rPr>
          <w:rFonts w:ascii="宋体" w:hAnsi="宋体" w:cs="宋体"/>
          <w:color w:val="auto"/>
          <w:szCs w:val="21"/>
        </w:rPr>
      </w:pPr>
      <w:r>
        <w:rPr>
          <w:rFonts w:hint="eastAsia" w:ascii="宋体" w:hAnsi="宋体" w:cs="宋体"/>
          <w:color w:val="auto"/>
          <w:szCs w:val="21"/>
        </w:rPr>
        <w:t>3）提交的磋商保证金无效的或者未按照磋商文件的规定提交磋商保证金；</w:t>
      </w:r>
    </w:p>
    <w:p w14:paraId="6B94CBCA">
      <w:pPr>
        <w:spacing w:line="360" w:lineRule="auto"/>
        <w:ind w:firstLine="420" w:firstLineChars="200"/>
        <w:rPr>
          <w:rFonts w:ascii="宋体" w:hAnsi="宋体" w:cs="宋体"/>
          <w:color w:val="auto"/>
          <w:szCs w:val="21"/>
        </w:rPr>
      </w:pPr>
      <w:r>
        <w:rPr>
          <w:rFonts w:hint="eastAsia" w:ascii="宋体" w:hAnsi="宋体" w:cs="宋体"/>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3D092DE">
      <w:pPr>
        <w:spacing w:line="360" w:lineRule="auto"/>
        <w:ind w:firstLine="420" w:firstLineChars="200"/>
        <w:rPr>
          <w:rFonts w:ascii="宋体" w:hAnsi="宋体" w:cs="宋体"/>
          <w:color w:val="auto"/>
          <w:szCs w:val="21"/>
        </w:rPr>
      </w:pPr>
      <w:r>
        <w:rPr>
          <w:rFonts w:hint="eastAsia" w:ascii="宋体" w:hAnsi="宋体" w:cs="宋体"/>
          <w:color w:val="auto"/>
          <w:szCs w:val="21"/>
        </w:rPr>
        <w:t>5）商务要求允许负偏离的条款数超过“供应商须知前附表”规定项数的；</w:t>
      </w:r>
    </w:p>
    <w:p w14:paraId="4EB09FD4">
      <w:pPr>
        <w:spacing w:line="360" w:lineRule="auto"/>
        <w:ind w:firstLine="420" w:firstLineChars="200"/>
        <w:rPr>
          <w:rFonts w:ascii="宋体" w:hAnsi="宋体" w:cs="宋体"/>
          <w:color w:val="auto"/>
          <w:szCs w:val="21"/>
        </w:rPr>
      </w:pPr>
      <w:r>
        <w:rPr>
          <w:rFonts w:hint="eastAsia" w:ascii="宋体" w:hAnsi="宋体" w:cs="宋体"/>
          <w:color w:val="auto"/>
          <w:szCs w:val="21"/>
        </w:rPr>
        <w:t>6）未对竞标有效期作出响应或者响应文件承诺的竞标有效期不满足磋商文件要求；</w:t>
      </w:r>
    </w:p>
    <w:p w14:paraId="5B0FA6B3">
      <w:pPr>
        <w:spacing w:line="360" w:lineRule="auto"/>
        <w:ind w:firstLine="420" w:firstLineChars="200"/>
        <w:rPr>
          <w:rFonts w:ascii="宋体" w:hAnsi="宋体" w:cs="宋体"/>
          <w:color w:val="auto"/>
          <w:szCs w:val="21"/>
        </w:rPr>
      </w:pPr>
      <w:r>
        <w:rPr>
          <w:rFonts w:hint="eastAsia" w:ascii="宋体" w:hAnsi="宋体" w:cs="宋体"/>
          <w:color w:val="auto"/>
          <w:szCs w:val="21"/>
        </w:rPr>
        <w:t>7）响应文件的实质性内容未使用中文表述、使用计量单位不符合磋商文件要求；</w:t>
      </w:r>
    </w:p>
    <w:p w14:paraId="440107A1">
      <w:pPr>
        <w:spacing w:line="360" w:lineRule="auto"/>
        <w:ind w:firstLine="420" w:firstLineChars="200"/>
        <w:rPr>
          <w:rFonts w:ascii="宋体" w:hAnsi="宋体" w:cs="宋体"/>
          <w:color w:val="auto"/>
          <w:szCs w:val="21"/>
        </w:rPr>
      </w:pPr>
      <w:r>
        <w:rPr>
          <w:rFonts w:hint="eastAsia" w:ascii="宋体" w:hAnsi="宋体" w:cs="宋体"/>
          <w:color w:val="auto"/>
          <w:szCs w:val="21"/>
        </w:rPr>
        <w:t>8）响应文件中的文件资料因填写不齐全或者内容虚假或者出现其他情形而导致被磋商小组认定无效；</w:t>
      </w:r>
    </w:p>
    <w:p w14:paraId="6340A0E4">
      <w:pPr>
        <w:spacing w:line="360" w:lineRule="auto"/>
        <w:ind w:firstLine="420" w:firstLineChars="200"/>
        <w:rPr>
          <w:rFonts w:ascii="宋体" w:hAnsi="宋体" w:cs="宋体"/>
          <w:color w:val="auto"/>
          <w:szCs w:val="21"/>
        </w:rPr>
      </w:pPr>
      <w:r>
        <w:rPr>
          <w:rFonts w:hint="eastAsia" w:ascii="宋体" w:hAnsi="宋体" w:cs="宋体"/>
          <w:color w:val="auto"/>
          <w:szCs w:val="21"/>
        </w:rPr>
        <w:t>9）响应文件含有采购人不能接受的附加条件；</w:t>
      </w:r>
    </w:p>
    <w:p w14:paraId="110DC461">
      <w:pPr>
        <w:spacing w:line="360" w:lineRule="auto"/>
        <w:ind w:firstLine="420" w:firstLineChars="200"/>
        <w:rPr>
          <w:rFonts w:ascii="宋体" w:hAnsi="宋体" w:cs="宋体"/>
          <w:color w:val="auto"/>
          <w:szCs w:val="21"/>
        </w:rPr>
      </w:pPr>
      <w:r>
        <w:rPr>
          <w:rFonts w:hint="eastAsia" w:ascii="宋体" w:hAnsi="宋体" w:cs="宋体"/>
          <w:color w:val="auto"/>
          <w:szCs w:val="21"/>
        </w:rPr>
        <w:t>10）属于“供应商须知正文”第7.</w:t>
      </w:r>
      <w:r>
        <w:rPr>
          <w:rFonts w:ascii="宋体" w:hAnsi="宋体" w:cs="宋体"/>
          <w:color w:val="auto"/>
          <w:szCs w:val="21"/>
        </w:rPr>
        <w:t>5</w:t>
      </w:r>
      <w:r>
        <w:rPr>
          <w:rFonts w:hint="eastAsia" w:ascii="宋体" w:hAnsi="宋体" w:cs="宋体"/>
          <w:color w:val="auto"/>
          <w:szCs w:val="21"/>
        </w:rPr>
        <w:t>条情形；</w:t>
      </w:r>
    </w:p>
    <w:p w14:paraId="507BE068">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1）技术要求允许负偏离的条款数超过“供应商须知前附表”规定项数；</w:t>
      </w:r>
    </w:p>
    <w:p w14:paraId="25168DE2">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2）虚假竞标，或者出现其他情形而导致被磋商小组认定无效；</w:t>
      </w:r>
    </w:p>
    <w:p w14:paraId="7B6827A9">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w:t>
      </w:r>
      <w:bookmarkStart w:id="99" w:name="_Hlk71704147"/>
      <w:r>
        <w:rPr>
          <w:rFonts w:hint="eastAsia" w:ascii="宋体" w:hAnsi="宋体" w:cs="宋体"/>
          <w:color w:val="auto"/>
          <w:szCs w:val="21"/>
        </w:rPr>
        <w:t>磋商文件未载明允许提供备选（替代）竞标方案或明确不允许提供备选（替代）竞标方案时，供应商提供了备选（替代）竞标方案的；</w:t>
      </w:r>
      <w:bookmarkEnd w:id="99"/>
    </w:p>
    <w:p w14:paraId="12D4C64C">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4）响应文件标注的项目名称或者项目编号与磋商文件标注的项目名称或者项目编号不一致的；</w:t>
      </w:r>
    </w:p>
    <w:p w14:paraId="52EAE5DB">
      <w:pPr>
        <w:spacing w:line="360" w:lineRule="auto"/>
        <w:ind w:firstLine="420" w:firstLineChars="200"/>
        <w:rPr>
          <w:rFonts w:ascii="宋体" w:hAnsi="宋体" w:cs="宋体"/>
          <w:color w:val="auto"/>
          <w:szCs w:val="21"/>
        </w:rPr>
      </w:pPr>
      <w:r>
        <w:rPr>
          <w:rFonts w:hint="eastAsia" w:ascii="宋体" w:hAnsi="宋体" w:cs="宋体"/>
          <w:color w:val="auto"/>
          <w:szCs w:val="21"/>
        </w:rPr>
        <w:t>15）</w:t>
      </w:r>
      <w:r>
        <w:rPr>
          <w:rFonts w:hint="eastAsia" w:ascii="宋体" w:hAnsi="宋体"/>
          <w:b/>
          <w:color w:val="auto"/>
          <w:szCs w:val="21"/>
        </w:rPr>
        <w:t>竞争性磋商文件明确不允许分包，响应文件拟分包的；</w:t>
      </w:r>
    </w:p>
    <w:p w14:paraId="5536C81C">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6）未响应磋商文件实质性要求；</w:t>
      </w:r>
    </w:p>
    <w:p w14:paraId="540243EC">
      <w:pPr>
        <w:spacing w:line="360" w:lineRule="auto"/>
        <w:ind w:firstLine="420" w:firstLineChars="200"/>
        <w:rPr>
          <w:rFonts w:ascii="宋体" w:hAnsi="宋体" w:cs="宋体"/>
          <w:color w:val="auto"/>
          <w:szCs w:val="21"/>
        </w:rPr>
      </w:pPr>
      <w:r>
        <w:rPr>
          <w:rFonts w:hint="eastAsia" w:ascii="宋体" w:hAnsi="宋体" w:cs="宋体"/>
          <w:color w:val="auto"/>
          <w:szCs w:val="21"/>
        </w:rPr>
        <w:t>17）法律、法规和磋商文件规定的其他无效情形。</w:t>
      </w:r>
    </w:p>
    <w:p w14:paraId="65EB60D6">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15BAF731">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报价文件中规定的“竞标报价表”；</w:t>
      </w:r>
    </w:p>
    <w:p w14:paraId="26BC9B76">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14:paraId="59C88A37">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07BA970">
      <w:pPr>
        <w:spacing w:line="360" w:lineRule="auto"/>
        <w:ind w:firstLine="420" w:firstLineChars="200"/>
        <w:rPr>
          <w:rFonts w:ascii="宋体" w:hAnsi="宋体" w:cs="宋体"/>
          <w:color w:val="auto"/>
          <w:szCs w:val="21"/>
        </w:rPr>
      </w:pPr>
      <w:r>
        <w:rPr>
          <w:rFonts w:hint="eastAsia" w:ascii="宋体" w:hAnsi="宋体" w:cs="宋体"/>
          <w:color w:val="auto"/>
          <w:szCs w:val="21"/>
        </w:rPr>
        <w:t>4）竞标报价（包含首次报价、最后报价）超过所竞标分标规定的采购预算金额或者最高限价的（如本项目公布了最高限价）；</w:t>
      </w:r>
      <w:bookmarkStart w:id="100" w:name="_Hlk42596405"/>
      <w:r>
        <w:rPr>
          <w:rFonts w:hint="eastAsia" w:ascii="宋体" w:hAnsi="宋体" w:cs="宋体"/>
          <w:color w:val="auto"/>
          <w:szCs w:val="21"/>
        </w:rPr>
        <w:t>竞标报价（包含首次报价、最后报价）</w:t>
      </w:r>
      <w:bookmarkEnd w:id="100"/>
      <w:bookmarkStart w:id="101" w:name="_Hlk42596276"/>
      <w:r>
        <w:rPr>
          <w:rFonts w:hint="eastAsia" w:ascii="宋体" w:hAnsi="宋体" w:cs="宋体"/>
          <w:color w:val="auto"/>
          <w:szCs w:val="21"/>
        </w:rPr>
        <w:t>超过磋商文件分项采购预算金额或者最高限价的</w:t>
      </w:r>
      <w:bookmarkEnd w:id="101"/>
      <w:r>
        <w:rPr>
          <w:rFonts w:hint="eastAsia" w:ascii="宋体" w:hAnsi="宋体" w:cs="宋体"/>
          <w:color w:val="auto"/>
          <w:szCs w:val="21"/>
        </w:rPr>
        <w:t>（如本项目公布了最高限价）；</w:t>
      </w:r>
    </w:p>
    <w:p w14:paraId="415659D6">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D254AEF">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olor w:val="auto"/>
          <w:szCs w:val="21"/>
        </w:rPr>
        <w:t>响应文件响应的标的数量及单位与竞争性磋商采购文件要求实质性不一致的。</w:t>
      </w:r>
    </w:p>
    <w:p w14:paraId="77200140">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C8115D2">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通过符合性审查的合格供应商不足3家的，不得进入磋商环节，采购人或者采购代理机构应当重新开展采购活动。</w:t>
      </w:r>
    </w:p>
    <w:p w14:paraId="5A994365">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14:paraId="5AB30BC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BC43322">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7EDF402">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14:paraId="26571D20">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79F99F83">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44B95BB5">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采购代理机构对磋商过程和重要磋商内容进行记录。</w:t>
      </w:r>
    </w:p>
    <w:p w14:paraId="07D24854">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198B8CE">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color w:val="auto"/>
        </w:rPr>
        <w:t>本章第3.7条情形</w:t>
      </w:r>
      <w:r>
        <w:rPr>
          <w:rFonts w:hint="eastAsia"/>
          <w:color w:val="auto"/>
        </w:rPr>
        <w:t>外，</w:t>
      </w:r>
      <w:r>
        <w:rPr>
          <w:rFonts w:hint="eastAsia" w:ascii="宋体" w:hAnsi="宋体"/>
          <w:color w:val="auto"/>
          <w:szCs w:val="21"/>
        </w:rPr>
        <w:t>对磋商过程提交的响应文件进行有效性、完整性和响应程度审查，通过审查的合格供应商不足3家的，采购人或者采购代理机构应当重新开展采购活动。</w:t>
      </w:r>
    </w:p>
    <w:p w14:paraId="7A6E4916">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14:paraId="72E19E36">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14:paraId="47C02AF9">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38DF3585">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rPr>
        <w:t>本章第3.7条情形的，</w:t>
      </w:r>
      <w:r>
        <w:rPr>
          <w:rFonts w:hint="eastAsia" w:ascii="宋体" w:hAnsi="宋体" w:cs="宋体"/>
          <w:color w:val="auto"/>
          <w:szCs w:val="21"/>
        </w:rPr>
        <w:t>提交最后报价的供应商可以为2家。</w:t>
      </w:r>
    </w:p>
    <w:p w14:paraId="42B80100">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37D2A472">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14:paraId="6112A351">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14:paraId="3372DE0E">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62F82613">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14:paraId="0E8DFDE5">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14:paraId="2EDB18DB">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14:paraId="2CC67057">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14:paraId="651C1A28">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14:paraId="5BF03E61">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44E879DF">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14:paraId="4325F982">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1328718E">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0AE0AC7F">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0DDB41BC">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61AC985D">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41DEE23D">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00C170BF">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6979EF5C">
      <w:pPr>
        <w:spacing w:line="360" w:lineRule="auto"/>
        <w:ind w:firstLine="420" w:firstLineChars="200"/>
        <w:rPr>
          <w:rFonts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19E87DF2">
      <w:pPr>
        <w:spacing w:line="360" w:lineRule="auto"/>
        <w:ind w:firstLine="420" w:firstLineChars="200"/>
        <w:rPr>
          <w:rFonts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6EF62D">
      <w:pPr>
        <w:spacing w:line="360" w:lineRule="auto"/>
        <w:jc w:val="center"/>
        <w:rPr>
          <w:rFonts w:ascii="宋体" w:hAnsi="宋体"/>
          <w:b/>
          <w:color w:val="auto"/>
          <w:sz w:val="32"/>
          <w:szCs w:val="32"/>
        </w:rPr>
      </w:pPr>
      <w:r>
        <w:rPr>
          <w:rFonts w:hint="eastAsia" w:ascii="宋体" w:hAnsi="宋体"/>
          <w:b/>
          <w:color w:val="auto"/>
          <w:sz w:val="32"/>
          <w:szCs w:val="32"/>
        </w:rPr>
        <w:t>二、评审标准</w:t>
      </w:r>
    </w:p>
    <w:p w14:paraId="0C663FC3">
      <w:pPr>
        <w:spacing w:line="360" w:lineRule="auto"/>
        <w:ind w:firstLine="420" w:firstLineChars="200"/>
        <w:rPr>
          <w:rFonts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评审依据：磋商小组将以磋商响应文件为评审依据，对供应商的报价、技术、商务等方面内容按百分制打分。（计分方法按四舍五入取至百分位）</w:t>
      </w:r>
    </w:p>
    <w:p w14:paraId="007676E4">
      <w:pPr>
        <w:spacing w:line="360" w:lineRule="auto"/>
        <w:jc w:val="center"/>
        <w:rPr>
          <w:rFonts w:ascii="宋体" w:hAnsi="宋体"/>
          <w:b/>
          <w:bCs/>
          <w:color w:val="auto"/>
          <w:szCs w:val="21"/>
        </w:rPr>
      </w:pPr>
      <w:r>
        <w:rPr>
          <w:rFonts w:hint="eastAsia" w:ascii="宋体" w:hAnsi="宋体"/>
          <w:b/>
          <w:bCs/>
          <w:color w:val="auto"/>
          <w:szCs w:val="21"/>
        </w:rPr>
        <w:t>适用A</w:t>
      </w:r>
      <w:r>
        <w:rPr>
          <w:rFonts w:hint="eastAsia" w:ascii="宋体" w:hAnsi="宋体"/>
          <w:b/>
          <w:bCs/>
          <w:color w:val="auto"/>
          <w:szCs w:val="21"/>
          <w:lang w:eastAsia="zh-CN"/>
        </w:rPr>
        <w:t>、</w:t>
      </w:r>
      <w:r>
        <w:rPr>
          <w:rFonts w:hint="eastAsia" w:ascii="宋体" w:hAnsi="宋体"/>
          <w:b/>
          <w:bCs/>
          <w:color w:val="auto"/>
          <w:szCs w:val="21"/>
          <w:lang w:val="en-US" w:eastAsia="zh-CN"/>
        </w:rPr>
        <w:t>B</w:t>
      </w:r>
      <w:r>
        <w:rPr>
          <w:rFonts w:hint="eastAsia" w:ascii="宋体" w:hAnsi="宋体"/>
          <w:b/>
          <w:bCs/>
          <w:color w:val="auto"/>
          <w:szCs w:val="21"/>
        </w:rPr>
        <w:t>分标</w:t>
      </w:r>
    </w:p>
    <w:tbl>
      <w:tblPr>
        <w:tblStyle w:val="2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5952"/>
        <w:gridCol w:w="1191"/>
      </w:tblGrid>
      <w:tr w14:paraId="5B52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3" w:type="dxa"/>
            <w:vAlign w:val="center"/>
          </w:tcPr>
          <w:p w14:paraId="79269DDF">
            <w:pPr>
              <w:widowControl/>
              <w:spacing w:line="360" w:lineRule="exact"/>
              <w:jc w:val="center"/>
              <w:rPr>
                <w:rFonts w:ascii="宋体" w:hAnsi="宋体" w:cs="Tahoma"/>
                <w:b/>
                <w:bCs/>
                <w:color w:val="auto"/>
                <w:kern w:val="0"/>
                <w:sz w:val="24"/>
                <w:szCs w:val="24"/>
              </w:rPr>
            </w:pPr>
            <w:r>
              <w:rPr>
                <w:rFonts w:hint="eastAsia" w:ascii="宋体" w:hAnsi="宋体" w:cs="Tahoma"/>
                <w:b/>
                <w:bCs/>
                <w:color w:val="auto"/>
                <w:kern w:val="0"/>
                <w:sz w:val="24"/>
                <w:szCs w:val="24"/>
              </w:rPr>
              <w:t>序号</w:t>
            </w:r>
          </w:p>
        </w:tc>
        <w:tc>
          <w:tcPr>
            <w:tcW w:w="1418" w:type="dxa"/>
            <w:vAlign w:val="center"/>
          </w:tcPr>
          <w:p w14:paraId="6E306383">
            <w:pPr>
              <w:widowControl/>
              <w:spacing w:line="360" w:lineRule="exact"/>
              <w:jc w:val="center"/>
              <w:rPr>
                <w:rFonts w:ascii="宋体" w:hAnsi="宋体" w:cs="Tahoma"/>
                <w:b/>
                <w:bCs/>
                <w:color w:val="auto"/>
                <w:kern w:val="0"/>
                <w:sz w:val="24"/>
                <w:szCs w:val="24"/>
              </w:rPr>
            </w:pPr>
            <w:r>
              <w:rPr>
                <w:rFonts w:hint="eastAsia" w:ascii="宋体" w:hAnsi="宋体" w:cs="Tahoma"/>
                <w:b/>
                <w:bCs/>
                <w:color w:val="auto"/>
                <w:kern w:val="0"/>
                <w:sz w:val="24"/>
                <w:szCs w:val="24"/>
              </w:rPr>
              <w:t>评审因素</w:t>
            </w:r>
          </w:p>
        </w:tc>
        <w:tc>
          <w:tcPr>
            <w:tcW w:w="5952" w:type="dxa"/>
            <w:vAlign w:val="center"/>
          </w:tcPr>
          <w:p w14:paraId="282C7B7F">
            <w:pPr>
              <w:widowControl/>
              <w:spacing w:line="360" w:lineRule="exact"/>
              <w:jc w:val="center"/>
              <w:rPr>
                <w:rFonts w:ascii="宋体" w:hAnsi="宋体" w:cs="Tahoma"/>
                <w:b/>
                <w:bCs/>
                <w:color w:val="auto"/>
                <w:kern w:val="0"/>
                <w:sz w:val="24"/>
                <w:szCs w:val="24"/>
              </w:rPr>
            </w:pPr>
            <w:r>
              <w:rPr>
                <w:rFonts w:hint="eastAsia" w:ascii="宋体" w:hAnsi="宋体" w:cs="Tahoma"/>
                <w:b/>
                <w:bCs/>
                <w:color w:val="auto"/>
                <w:kern w:val="0"/>
                <w:sz w:val="24"/>
                <w:szCs w:val="24"/>
              </w:rPr>
              <w:t>评审因素具体内容</w:t>
            </w:r>
          </w:p>
        </w:tc>
        <w:tc>
          <w:tcPr>
            <w:tcW w:w="1191" w:type="dxa"/>
            <w:vAlign w:val="center"/>
          </w:tcPr>
          <w:p w14:paraId="77077DCF">
            <w:pPr>
              <w:widowControl/>
              <w:spacing w:line="360" w:lineRule="exact"/>
              <w:jc w:val="center"/>
              <w:rPr>
                <w:rFonts w:ascii="宋体" w:hAnsi="宋体" w:cs="Tahoma"/>
                <w:b/>
                <w:bCs/>
                <w:color w:val="auto"/>
                <w:kern w:val="0"/>
                <w:sz w:val="24"/>
                <w:szCs w:val="24"/>
              </w:rPr>
            </w:pPr>
            <w:r>
              <w:rPr>
                <w:rFonts w:hint="eastAsia" w:ascii="宋体" w:hAnsi="宋体" w:cs="Tahoma"/>
                <w:b/>
                <w:bCs/>
                <w:color w:val="auto"/>
                <w:kern w:val="0"/>
                <w:sz w:val="24"/>
                <w:szCs w:val="24"/>
              </w:rPr>
              <w:t>分值</w:t>
            </w:r>
          </w:p>
        </w:tc>
      </w:tr>
      <w:tr w14:paraId="4D88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51C1EC3">
            <w:pPr>
              <w:widowControl/>
              <w:spacing w:line="360" w:lineRule="exact"/>
              <w:jc w:val="center"/>
              <w:rPr>
                <w:rFonts w:ascii="宋体" w:hAnsi="宋体" w:cs="Tahoma"/>
                <w:color w:val="auto"/>
                <w:kern w:val="0"/>
                <w:sz w:val="24"/>
                <w:szCs w:val="24"/>
              </w:rPr>
            </w:pPr>
            <w:r>
              <w:rPr>
                <w:rFonts w:hint="eastAsia" w:ascii="宋体" w:hAnsi="宋体" w:cs="Tahoma"/>
                <w:color w:val="auto"/>
                <w:kern w:val="0"/>
                <w:sz w:val="24"/>
                <w:szCs w:val="24"/>
              </w:rPr>
              <w:t>1</w:t>
            </w:r>
          </w:p>
        </w:tc>
        <w:tc>
          <w:tcPr>
            <w:tcW w:w="1418" w:type="dxa"/>
            <w:vAlign w:val="center"/>
          </w:tcPr>
          <w:p w14:paraId="53B4A784">
            <w:pPr>
              <w:widowControl/>
              <w:spacing w:line="360" w:lineRule="exact"/>
              <w:jc w:val="center"/>
              <w:rPr>
                <w:rFonts w:ascii="宋体" w:hAnsi="宋体" w:cs="Tahoma"/>
                <w:color w:val="auto"/>
                <w:kern w:val="0"/>
                <w:sz w:val="24"/>
                <w:szCs w:val="24"/>
              </w:rPr>
            </w:pPr>
            <w:r>
              <w:rPr>
                <w:rFonts w:hint="eastAsia" w:ascii="宋体" w:hAnsi="宋体" w:cs="Tahoma"/>
                <w:color w:val="auto"/>
                <w:kern w:val="0"/>
                <w:sz w:val="24"/>
                <w:szCs w:val="24"/>
              </w:rPr>
              <w:t>价格分</w:t>
            </w:r>
          </w:p>
        </w:tc>
        <w:tc>
          <w:tcPr>
            <w:tcW w:w="5952" w:type="dxa"/>
          </w:tcPr>
          <w:p w14:paraId="250E9542">
            <w:pPr>
              <w:pStyle w:val="17"/>
              <w:spacing w:line="360" w:lineRule="exact"/>
              <w:ind w:firstLine="480" w:firstLineChars="200"/>
              <w:rPr>
                <w:rFonts w:hint="eastAsia" w:hAnsi="宋体" w:cs="Courier New"/>
                <w:bCs/>
                <w:color w:val="auto"/>
                <w:kern w:val="2"/>
                <w:sz w:val="24"/>
                <w:szCs w:val="24"/>
              </w:rPr>
            </w:pPr>
            <w:r>
              <w:rPr>
                <w:rFonts w:hint="eastAsia" w:hAnsi="宋体" w:cs="Courier New"/>
                <w:bCs/>
                <w:color w:val="auto"/>
                <w:kern w:val="2"/>
                <w:sz w:val="24"/>
                <w:szCs w:val="24"/>
              </w:rPr>
              <w:t>（1）评标报价为投标人的投标报价进行政策性扣除后的价格，评标报价只是作为评标时使用。最终中标供应商的中标金额等于投标报价。</w:t>
            </w:r>
          </w:p>
          <w:p w14:paraId="03E1814B">
            <w:pPr>
              <w:pStyle w:val="17"/>
              <w:spacing w:line="360" w:lineRule="exact"/>
              <w:ind w:firstLine="480" w:firstLineChars="200"/>
              <w:rPr>
                <w:rFonts w:hint="eastAsia" w:hAnsi="宋体" w:cs="Courier New"/>
                <w:bCs/>
                <w:color w:val="auto"/>
                <w:kern w:val="2"/>
                <w:sz w:val="24"/>
                <w:szCs w:val="24"/>
              </w:rPr>
            </w:pPr>
            <w:r>
              <w:rPr>
                <w:rFonts w:hint="eastAsia" w:hAnsi="宋体" w:cs="Courier New"/>
                <w:bCs/>
                <w:color w:val="auto"/>
                <w:kern w:val="2"/>
                <w:sz w:val="24"/>
                <w:szCs w:val="24"/>
              </w:rPr>
              <w:t>（2）政策性扣除计算方法。</w:t>
            </w:r>
          </w:p>
          <w:p w14:paraId="72F1BE36">
            <w:pPr>
              <w:pStyle w:val="17"/>
              <w:spacing w:line="360" w:lineRule="exact"/>
              <w:ind w:firstLine="480" w:firstLineChars="200"/>
              <w:rPr>
                <w:rFonts w:hint="eastAsia" w:hAnsi="宋体" w:cs="Courier New"/>
                <w:bCs/>
                <w:color w:val="auto"/>
                <w:kern w:val="2"/>
                <w:sz w:val="24"/>
                <w:szCs w:val="24"/>
              </w:rPr>
            </w:pPr>
            <w:r>
              <w:rPr>
                <w:rFonts w:hint="eastAsia" w:hAnsi="宋体" w:cs="Courier New"/>
                <w:bCs/>
                <w:color w:val="auto"/>
                <w:kern w:val="2"/>
                <w:sz w:val="24"/>
                <w:szCs w:val="24"/>
              </w:rPr>
              <w:t>根据《政府采购促进中小企业发展管理办法》（财库〔2020〕46号）的规定，投标人在其投标文件中提供《中小企业声明函》，且服务全部由小微企业承接，对其投标报价给予20%的扣除，扣除后的价格为评标报价，即评标报价=投标报价×（1-20%）。投标人如为大中型企业向一家或者多家小微企业分包的，分包意向协议约定小微企业的合同份额占到合同总金额30%或以上的报价给予 6% 的扣除，用扣除后的价格参加评审，扣除后的价格为评标报价，即评标报价=投标报价×（1- 6 %）。</w:t>
            </w:r>
          </w:p>
          <w:p w14:paraId="1B46AB90">
            <w:pPr>
              <w:pStyle w:val="17"/>
              <w:spacing w:line="360" w:lineRule="exact"/>
              <w:ind w:firstLine="480" w:firstLineChars="200"/>
              <w:rPr>
                <w:rFonts w:hint="eastAsia" w:hAnsi="宋体" w:cs="Courier New"/>
                <w:bCs/>
                <w:color w:val="auto"/>
                <w:kern w:val="2"/>
                <w:sz w:val="24"/>
                <w:szCs w:val="24"/>
              </w:rPr>
            </w:pPr>
            <w:r>
              <w:rPr>
                <w:rFonts w:hint="eastAsia" w:hAnsi="宋体" w:cs="Courier New"/>
                <w:bCs/>
                <w:color w:val="auto"/>
                <w:kern w:val="2"/>
                <w:sz w:val="24"/>
                <w:szCs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7C41644">
            <w:pPr>
              <w:pStyle w:val="17"/>
              <w:spacing w:line="360" w:lineRule="exact"/>
              <w:ind w:firstLine="480" w:firstLineChars="200"/>
              <w:rPr>
                <w:rFonts w:hint="eastAsia" w:hAnsi="宋体" w:cs="Courier New"/>
                <w:bCs/>
                <w:color w:val="auto"/>
                <w:kern w:val="2"/>
                <w:sz w:val="24"/>
                <w:szCs w:val="24"/>
              </w:rPr>
            </w:pPr>
            <w:r>
              <w:rPr>
                <w:rFonts w:hint="eastAsia" w:hAnsi="宋体" w:cs="Courier New"/>
                <w:bCs/>
                <w:color w:val="auto"/>
                <w:kern w:val="2"/>
                <w:sz w:val="24"/>
                <w:szCs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696BC9E">
            <w:pPr>
              <w:pStyle w:val="17"/>
              <w:spacing w:line="360" w:lineRule="exact"/>
              <w:ind w:firstLine="480" w:firstLineChars="200"/>
              <w:rPr>
                <w:rFonts w:hint="eastAsia" w:hAnsi="宋体" w:cs="Courier New"/>
                <w:bCs/>
                <w:color w:val="auto"/>
                <w:kern w:val="2"/>
                <w:sz w:val="24"/>
                <w:szCs w:val="24"/>
              </w:rPr>
            </w:pPr>
            <w:r>
              <w:rPr>
                <w:rFonts w:hint="eastAsia" w:hAnsi="宋体" w:cs="Courier New"/>
                <w:bCs/>
                <w:color w:val="auto"/>
                <w:kern w:val="2"/>
                <w:sz w:val="24"/>
                <w:szCs w:val="24"/>
              </w:rPr>
              <w:t>（5）满足招标文件要求且评标报价最低的评标报价为评标基准价，其价格分为满分。</w:t>
            </w:r>
          </w:p>
          <w:p w14:paraId="775584E0">
            <w:pPr>
              <w:pStyle w:val="17"/>
              <w:spacing w:line="360" w:lineRule="exact"/>
              <w:ind w:firstLine="480" w:firstLineChars="200"/>
              <w:rPr>
                <w:rFonts w:hint="eastAsia" w:hAnsi="宋体" w:cs="Courier New"/>
                <w:bCs/>
                <w:color w:val="auto"/>
                <w:kern w:val="2"/>
                <w:sz w:val="24"/>
                <w:szCs w:val="24"/>
              </w:rPr>
            </w:pPr>
            <w:r>
              <w:rPr>
                <w:rFonts w:hint="eastAsia" w:hAnsi="宋体" w:cs="Courier New"/>
                <w:bCs/>
                <w:color w:val="auto"/>
                <w:kern w:val="2"/>
                <w:sz w:val="24"/>
                <w:szCs w:val="24"/>
              </w:rPr>
              <w:t>（6）价格分计算公式：</w:t>
            </w:r>
          </w:p>
          <w:p w14:paraId="15D8B13C">
            <w:pPr>
              <w:pStyle w:val="17"/>
              <w:spacing w:line="360" w:lineRule="exact"/>
              <w:ind w:firstLine="480" w:firstLineChars="200"/>
              <w:rPr>
                <w:rFonts w:hAnsi="宋体" w:cs="Courier New"/>
                <w:bCs/>
                <w:color w:val="auto"/>
                <w:kern w:val="2"/>
                <w:sz w:val="24"/>
                <w:szCs w:val="24"/>
              </w:rPr>
            </w:pPr>
            <w:r>
              <w:rPr>
                <w:rFonts w:hint="eastAsia" w:hAnsi="宋体" w:cs="Courier New"/>
                <w:bCs/>
                <w:color w:val="auto"/>
                <w:kern w:val="2"/>
                <w:sz w:val="24"/>
                <w:szCs w:val="24"/>
              </w:rPr>
              <w:t>投标报价得分=（评标基准价／评标报价）×10分</w:t>
            </w:r>
          </w:p>
        </w:tc>
        <w:tc>
          <w:tcPr>
            <w:tcW w:w="1191" w:type="dxa"/>
            <w:vAlign w:val="center"/>
          </w:tcPr>
          <w:p w14:paraId="626DC5EE">
            <w:pPr>
              <w:widowControl/>
              <w:spacing w:line="360" w:lineRule="exact"/>
              <w:jc w:val="center"/>
              <w:rPr>
                <w:rFonts w:ascii="宋体" w:hAnsi="宋体" w:cs="Tahoma"/>
                <w:color w:val="auto"/>
                <w:kern w:val="0"/>
                <w:sz w:val="24"/>
                <w:szCs w:val="24"/>
              </w:rPr>
            </w:pPr>
            <w:r>
              <w:rPr>
                <w:rFonts w:ascii="宋体" w:hAnsi="宋体"/>
                <w:bCs/>
                <w:color w:val="auto"/>
                <w:sz w:val="24"/>
                <w:szCs w:val="24"/>
              </w:rPr>
              <w:t>满分</w:t>
            </w:r>
            <w:r>
              <w:rPr>
                <w:rFonts w:ascii="宋体" w:hAnsi="宋体" w:cs="Tahoma"/>
                <w:color w:val="auto"/>
                <w:kern w:val="0"/>
                <w:sz w:val="24"/>
                <w:szCs w:val="24"/>
              </w:rPr>
              <w:t>1</w:t>
            </w:r>
            <w:r>
              <w:rPr>
                <w:rFonts w:hint="eastAsia" w:ascii="宋体" w:hAnsi="宋体" w:cs="Tahoma"/>
                <w:color w:val="auto"/>
                <w:kern w:val="0"/>
                <w:sz w:val="24"/>
                <w:szCs w:val="24"/>
              </w:rPr>
              <w:t>0分</w:t>
            </w:r>
          </w:p>
        </w:tc>
      </w:tr>
      <w:tr w14:paraId="0D29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3B0C2B84">
            <w:pPr>
              <w:widowControl/>
              <w:spacing w:line="360" w:lineRule="exact"/>
              <w:jc w:val="center"/>
              <w:rPr>
                <w:rFonts w:ascii="宋体" w:hAnsi="宋体" w:cs="Tahoma"/>
                <w:b/>
                <w:color w:val="auto"/>
                <w:kern w:val="0"/>
                <w:sz w:val="24"/>
                <w:szCs w:val="24"/>
              </w:rPr>
            </w:pPr>
            <w:r>
              <w:rPr>
                <w:rFonts w:hint="eastAsia" w:ascii="宋体" w:hAnsi="宋体"/>
                <w:b/>
                <w:bCs/>
                <w:color w:val="auto"/>
                <w:kern w:val="0"/>
                <w:sz w:val="24"/>
                <w:szCs w:val="24"/>
              </w:rPr>
              <w:t>2</w:t>
            </w:r>
          </w:p>
        </w:tc>
        <w:tc>
          <w:tcPr>
            <w:tcW w:w="1418" w:type="dxa"/>
            <w:vAlign w:val="center"/>
          </w:tcPr>
          <w:p w14:paraId="53D94D54">
            <w:pPr>
              <w:widowControl/>
              <w:spacing w:line="360" w:lineRule="exact"/>
              <w:jc w:val="center"/>
              <w:rPr>
                <w:rFonts w:ascii="宋体" w:hAnsi="宋体" w:cs="Tahoma"/>
                <w:b/>
                <w:color w:val="auto"/>
                <w:kern w:val="0"/>
                <w:sz w:val="24"/>
                <w:szCs w:val="24"/>
              </w:rPr>
            </w:pPr>
            <w:r>
              <w:rPr>
                <w:rFonts w:hint="eastAsia" w:ascii="宋体" w:hAnsi="宋体"/>
                <w:b/>
                <w:bCs/>
                <w:color w:val="auto"/>
                <w:kern w:val="0"/>
                <w:sz w:val="24"/>
                <w:szCs w:val="24"/>
              </w:rPr>
              <w:t>技术分</w:t>
            </w:r>
          </w:p>
        </w:tc>
        <w:tc>
          <w:tcPr>
            <w:tcW w:w="5952" w:type="dxa"/>
            <w:vAlign w:val="center"/>
          </w:tcPr>
          <w:p w14:paraId="4A49EED4">
            <w:pPr>
              <w:widowControl/>
              <w:spacing w:line="360" w:lineRule="exact"/>
              <w:jc w:val="center"/>
              <w:rPr>
                <w:rFonts w:ascii="宋体" w:hAnsi="宋体" w:cs="Tahoma"/>
                <w:b/>
                <w:color w:val="auto"/>
                <w:kern w:val="0"/>
                <w:sz w:val="24"/>
                <w:szCs w:val="24"/>
              </w:rPr>
            </w:pPr>
            <w:r>
              <w:rPr>
                <w:rFonts w:hint="eastAsia" w:ascii="宋体" w:hAnsi="宋体" w:cs="Tahoma"/>
                <w:b/>
                <w:color w:val="auto"/>
                <w:kern w:val="0"/>
                <w:sz w:val="24"/>
                <w:szCs w:val="24"/>
              </w:rPr>
              <w:t>评审因素</w:t>
            </w:r>
          </w:p>
        </w:tc>
        <w:tc>
          <w:tcPr>
            <w:tcW w:w="1191" w:type="dxa"/>
            <w:vAlign w:val="center"/>
          </w:tcPr>
          <w:p w14:paraId="1FFF027E">
            <w:pPr>
              <w:widowControl/>
              <w:spacing w:line="360" w:lineRule="exact"/>
              <w:jc w:val="center"/>
              <w:rPr>
                <w:rFonts w:ascii="宋体" w:hAnsi="宋体" w:cs="Tahoma"/>
                <w:b/>
                <w:color w:val="auto"/>
                <w:kern w:val="0"/>
                <w:sz w:val="24"/>
                <w:szCs w:val="24"/>
              </w:rPr>
            </w:pPr>
            <w:r>
              <w:rPr>
                <w:rFonts w:hint="eastAsia" w:ascii="宋体" w:hAnsi="宋体" w:cs="Tahoma"/>
                <w:b/>
                <w:color w:val="auto"/>
                <w:kern w:val="0"/>
                <w:sz w:val="24"/>
                <w:szCs w:val="24"/>
              </w:rPr>
              <w:t>满分</w:t>
            </w:r>
            <w:r>
              <w:rPr>
                <w:rFonts w:hint="eastAsia" w:ascii="宋体" w:hAnsi="宋体" w:cs="Tahoma"/>
                <w:b/>
                <w:color w:val="auto"/>
                <w:kern w:val="0"/>
                <w:sz w:val="24"/>
                <w:szCs w:val="24"/>
                <w:lang w:val="en-US" w:eastAsia="zh-CN"/>
              </w:rPr>
              <w:t>60</w:t>
            </w:r>
            <w:r>
              <w:rPr>
                <w:rFonts w:hint="eastAsia" w:ascii="宋体" w:hAnsi="宋体" w:cs="Tahoma"/>
                <w:b/>
                <w:color w:val="auto"/>
                <w:kern w:val="0"/>
                <w:sz w:val="24"/>
                <w:szCs w:val="24"/>
              </w:rPr>
              <w:t>分</w:t>
            </w:r>
          </w:p>
        </w:tc>
      </w:tr>
      <w:tr w14:paraId="62C3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33" w:type="dxa"/>
            <w:vAlign w:val="center"/>
          </w:tcPr>
          <w:p w14:paraId="7B7E86A5">
            <w:pPr>
              <w:adjustRightInd w:val="0"/>
              <w:spacing w:line="360" w:lineRule="exact"/>
              <w:ind w:left="-105" w:leftChars="-50" w:right="-105" w:rightChars="-50"/>
              <w:jc w:val="center"/>
              <w:textAlignment w:val="baseline"/>
              <w:rPr>
                <w:rFonts w:hint="default" w:ascii="宋体" w:hAnsi="宋体" w:eastAsia="宋体"/>
                <w:bCs/>
                <w:color w:val="auto"/>
                <w:kern w:val="0"/>
                <w:sz w:val="24"/>
                <w:szCs w:val="24"/>
                <w:lang w:val="en-US" w:eastAsia="zh-CN"/>
              </w:rPr>
            </w:pPr>
            <w:r>
              <w:rPr>
                <w:rFonts w:hint="eastAsia" w:ascii="宋体" w:hAnsi="宋体"/>
                <w:bCs/>
                <w:color w:val="auto"/>
                <w:kern w:val="0"/>
                <w:sz w:val="24"/>
                <w:szCs w:val="24"/>
                <w:lang w:val="en-US" w:eastAsia="zh-CN"/>
              </w:rPr>
              <w:t>2.1</w:t>
            </w:r>
          </w:p>
        </w:tc>
        <w:tc>
          <w:tcPr>
            <w:tcW w:w="1418" w:type="dxa"/>
            <w:vAlign w:val="center"/>
          </w:tcPr>
          <w:p w14:paraId="46BC12CA">
            <w:pPr>
              <w:jc w:val="center"/>
              <w:rPr>
                <w:rFonts w:hint="eastAsia" w:eastAsia="宋体"/>
                <w:color w:val="auto"/>
                <w:sz w:val="24"/>
                <w:szCs w:val="24"/>
                <w:highlight w:val="none"/>
                <w:lang w:eastAsia="zh-CN"/>
              </w:rPr>
            </w:pPr>
            <w:r>
              <w:rPr>
                <w:rFonts w:hint="eastAsia"/>
                <w:color w:val="auto"/>
                <w:sz w:val="24"/>
                <w:szCs w:val="24"/>
                <w:highlight w:val="none"/>
                <w:lang w:eastAsia="zh-CN"/>
              </w:rPr>
              <w:t>服务方案</w:t>
            </w:r>
          </w:p>
        </w:tc>
        <w:tc>
          <w:tcPr>
            <w:tcW w:w="5952" w:type="dxa"/>
            <w:vAlign w:val="center"/>
          </w:tcPr>
          <w:p w14:paraId="12D56B40">
            <w:pPr>
              <w:spacing w:line="380" w:lineRule="exact"/>
              <w:ind w:firstLine="420"/>
              <w:jc w:val="left"/>
              <w:rPr>
                <w:rFonts w:hint="eastAsia" w:ascii="宋体" w:hAnsi="宋体"/>
                <w:bCs/>
                <w:color w:val="auto"/>
                <w:sz w:val="24"/>
                <w:szCs w:val="24"/>
                <w:highlight w:val="none"/>
              </w:rPr>
            </w:pPr>
            <w:r>
              <w:rPr>
                <w:rFonts w:hint="eastAsia" w:ascii="宋体" w:hAnsi="宋体"/>
                <w:bCs/>
                <w:color w:val="auto"/>
                <w:sz w:val="24"/>
                <w:szCs w:val="24"/>
                <w:highlight w:val="none"/>
              </w:rPr>
              <w:t>（1）一档（</w:t>
            </w: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分）：对项目总体定位、</w:t>
            </w:r>
            <w:r>
              <w:rPr>
                <w:rFonts w:hint="eastAsia" w:ascii="宋体" w:hAnsi="宋体"/>
                <w:bCs/>
                <w:color w:val="auto"/>
                <w:sz w:val="24"/>
                <w:szCs w:val="24"/>
                <w:highlight w:val="none"/>
                <w:lang w:eastAsia="zh-CN"/>
              </w:rPr>
              <w:t>项目</w:t>
            </w:r>
            <w:r>
              <w:rPr>
                <w:rFonts w:hint="eastAsia" w:ascii="宋体" w:hAnsi="宋体"/>
                <w:bCs/>
                <w:color w:val="auto"/>
                <w:sz w:val="24"/>
                <w:szCs w:val="24"/>
                <w:highlight w:val="none"/>
              </w:rPr>
              <w:t>目的、项目目标以及任务要求理解不够准确，对项目涉及的指标体系、</w:t>
            </w:r>
            <w:r>
              <w:rPr>
                <w:rFonts w:hint="eastAsia" w:ascii="宋体" w:hAnsi="宋体"/>
                <w:bCs/>
                <w:color w:val="auto"/>
                <w:sz w:val="24"/>
                <w:szCs w:val="24"/>
                <w:highlight w:val="none"/>
                <w:lang w:eastAsia="zh-CN"/>
              </w:rPr>
              <w:t>宣传</w:t>
            </w:r>
            <w:r>
              <w:rPr>
                <w:rFonts w:hint="eastAsia" w:ascii="宋体" w:hAnsi="宋体"/>
                <w:bCs/>
                <w:color w:val="auto"/>
                <w:sz w:val="24"/>
                <w:szCs w:val="24"/>
                <w:highlight w:val="none"/>
              </w:rPr>
              <w:t>方法、实施要求等的理解分析</w:t>
            </w:r>
            <w:r>
              <w:rPr>
                <w:rFonts w:hint="eastAsia"/>
                <w:color w:val="auto"/>
                <w:sz w:val="24"/>
                <w:szCs w:val="24"/>
                <w:highlight w:val="none"/>
                <w:lang w:eastAsia="zh-CN"/>
              </w:rPr>
              <w:t>不符合项目需求</w:t>
            </w:r>
            <w:r>
              <w:rPr>
                <w:rFonts w:hint="eastAsia" w:ascii="宋体" w:hAnsi="宋体"/>
                <w:bCs/>
                <w:color w:val="auto"/>
                <w:sz w:val="24"/>
                <w:szCs w:val="24"/>
                <w:highlight w:val="none"/>
              </w:rPr>
              <w:t>，提供的技术方案</w:t>
            </w:r>
            <w:r>
              <w:rPr>
                <w:rFonts w:hint="eastAsia" w:ascii="宋体" w:hAnsi="宋体"/>
                <w:bCs/>
                <w:color w:val="auto"/>
                <w:sz w:val="24"/>
                <w:szCs w:val="24"/>
                <w:highlight w:val="none"/>
                <w:lang w:eastAsia="zh-CN"/>
              </w:rPr>
              <w:t>未能满足本项目要求</w:t>
            </w:r>
            <w:r>
              <w:rPr>
                <w:rFonts w:hint="eastAsia" w:ascii="宋体" w:hAnsi="宋体"/>
                <w:bCs/>
                <w:color w:val="auto"/>
                <w:sz w:val="24"/>
                <w:szCs w:val="24"/>
                <w:highlight w:val="none"/>
              </w:rPr>
              <w:t>；</w:t>
            </w:r>
          </w:p>
          <w:p w14:paraId="2313BB86">
            <w:pPr>
              <w:spacing w:line="380" w:lineRule="exact"/>
              <w:ind w:firstLine="420"/>
              <w:jc w:val="left"/>
              <w:rPr>
                <w:rFonts w:hint="eastAsia" w:ascii="宋体" w:hAnsi="宋体"/>
                <w:bCs/>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二</w:t>
            </w:r>
            <w:r>
              <w:rPr>
                <w:rFonts w:hint="eastAsia" w:ascii="宋体" w:hAnsi="宋体"/>
                <w:bCs/>
                <w:color w:val="auto"/>
                <w:sz w:val="24"/>
                <w:szCs w:val="24"/>
                <w:highlight w:val="none"/>
              </w:rPr>
              <w:t>档（</w:t>
            </w: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分）：对项目总体定位、项目背景、项目目标以及任务要求准确，对项目涉及的指标体系、</w:t>
            </w:r>
            <w:r>
              <w:rPr>
                <w:rFonts w:hint="eastAsia" w:ascii="宋体" w:hAnsi="宋体"/>
                <w:bCs/>
                <w:color w:val="auto"/>
                <w:sz w:val="24"/>
                <w:szCs w:val="24"/>
                <w:highlight w:val="none"/>
                <w:lang w:eastAsia="zh-CN"/>
              </w:rPr>
              <w:t>宣传</w:t>
            </w:r>
            <w:r>
              <w:rPr>
                <w:rFonts w:hint="eastAsia" w:ascii="宋体" w:hAnsi="宋体"/>
                <w:bCs/>
                <w:color w:val="auto"/>
                <w:sz w:val="24"/>
                <w:szCs w:val="24"/>
                <w:highlight w:val="none"/>
              </w:rPr>
              <w:t>方法、实施要求等的理解分析准确，理解内容项目针对性</w:t>
            </w:r>
            <w:r>
              <w:rPr>
                <w:rFonts w:hint="eastAsia" w:ascii="宋体" w:hAnsi="宋体"/>
                <w:bCs/>
                <w:color w:val="auto"/>
                <w:sz w:val="24"/>
                <w:szCs w:val="24"/>
                <w:highlight w:val="none"/>
                <w:lang w:eastAsia="zh-CN"/>
              </w:rPr>
              <w:t>本项目需求，</w:t>
            </w:r>
            <w:r>
              <w:rPr>
                <w:rFonts w:hint="eastAsia" w:ascii="宋体" w:hAnsi="宋体"/>
                <w:bCs/>
                <w:color w:val="auto"/>
                <w:sz w:val="24"/>
                <w:szCs w:val="24"/>
                <w:highlight w:val="none"/>
              </w:rPr>
              <w:t>提供的</w:t>
            </w:r>
            <w:r>
              <w:rPr>
                <w:rFonts w:hint="eastAsia" w:ascii="宋体" w:hAnsi="宋体"/>
                <w:bCs/>
                <w:color w:val="auto"/>
                <w:sz w:val="24"/>
                <w:szCs w:val="24"/>
                <w:highlight w:val="none"/>
                <w:lang w:eastAsia="zh-CN"/>
              </w:rPr>
              <w:t>服务</w:t>
            </w:r>
            <w:r>
              <w:rPr>
                <w:rFonts w:hint="eastAsia" w:ascii="宋体" w:hAnsi="宋体"/>
                <w:bCs/>
                <w:color w:val="auto"/>
                <w:sz w:val="24"/>
                <w:szCs w:val="24"/>
                <w:highlight w:val="none"/>
              </w:rPr>
              <w:t>方案架构满足项目要求；</w:t>
            </w:r>
          </w:p>
          <w:p w14:paraId="2E1F4F71">
            <w:pPr>
              <w:spacing w:line="380" w:lineRule="exact"/>
              <w:ind w:firstLine="420"/>
              <w:jc w:val="left"/>
              <w:rPr>
                <w:color w:val="auto"/>
                <w:sz w:val="24"/>
                <w:szCs w:val="24"/>
                <w:highlight w:val="none"/>
              </w:rPr>
            </w:pPr>
            <w:r>
              <w:rPr>
                <w:rFonts w:hint="eastAsia" w:ascii="宋体" w:hAnsi="宋体"/>
                <w:bCs/>
                <w:color w:val="auto"/>
                <w:sz w:val="24"/>
                <w:szCs w:val="24"/>
                <w:highlight w:val="none"/>
              </w:rPr>
              <w:t>（4）</w:t>
            </w:r>
            <w:r>
              <w:rPr>
                <w:rFonts w:hint="eastAsia" w:ascii="宋体" w:hAnsi="宋体"/>
                <w:bCs/>
                <w:color w:val="auto"/>
                <w:sz w:val="24"/>
                <w:szCs w:val="24"/>
                <w:highlight w:val="none"/>
                <w:lang w:eastAsia="zh-CN"/>
              </w:rPr>
              <w:t>三</w:t>
            </w:r>
            <w:r>
              <w:rPr>
                <w:rFonts w:hint="eastAsia" w:ascii="宋体" w:hAnsi="宋体"/>
                <w:bCs/>
                <w:color w:val="auto"/>
                <w:sz w:val="24"/>
                <w:szCs w:val="24"/>
                <w:highlight w:val="none"/>
              </w:rPr>
              <w:t>档（</w:t>
            </w: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分）：对项目总体定位、项目背景、项目目标以及任务要求理解精准透彻，对项目涉及的指标体系、</w:t>
            </w:r>
            <w:r>
              <w:rPr>
                <w:rFonts w:hint="eastAsia" w:ascii="宋体" w:hAnsi="宋体"/>
                <w:bCs/>
                <w:color w:val="auto"/>
                <w:sz w:val="24"/>
                <w:szCs w:val="24"/>
                <w:highlight w:val="none"/>
                <w:lang w:eastAsia="zh-CN"/>
              </w:rPr>
              <w:t>宣传</w:t>
            </w:r>
            <w:r>
              <w:rPr>
                <w:rFonts w:hint="eastAsia" w:ascii="宋体" w:hAnsi="宋体"/>
                <w:bCs/>
                <w:color w:val="auto"/>
                <w:sz w:val="24"/>
                <w:szCs w:val="24"/>
                <w:highlight w:val="none"/>
              </w:rPr>
              <w:t>方法、实施要求 等的理解分析精准透彻，提供的</w:t>
            </w:r>
            <w:r>
              <w:rPr>
                <w:rFonts w:hint="eastAsia" w:ascii="宋体" w:hAnsi="宋体"/>
                <w:bCs/>
                <w:color w:val="auto"/>
                <w:sz w:val="24"/>
                <w:szCs w:val="24"/>
                <w:highlight w:val="none"/>
                <w:lang w:eastAsia="zh-CN"/>
              </w:rPr>
              <w:t>服务</w:t>
            </w:r>
            <w:r>
              <w:rPr>
                <w:rFonts w:hint="eastAsia" w:ascii="宋体" w:hAnsi="宋体"/>
                <w:bCs/>
                <w:color w:val="auto"/>
                <w:sz w:val="24"/>
                <w:szCs w:val="24"/>
                <w:highlight w:val="none"/>
              </w:rPr>
              <w:t>方案</w:t>
            </w:r>
            <w:r>
              <w:rPr>
                <w:rFonts w:hint="eastAsia" w:ascii="宋体" w:hAnsi="宋体"/>
                <w:bCs/>
                <w:color w:val="auto"/>
                <w:sz w:val="24"/>
                <w:szCs w:val="24"/>
                <w:highlight w:val="none"/>
                <w:lang w:eastAsia="zh-CN"/>
              </w:rPr>
              <w:t>优于项目要求</w:t>
            </w:r>
            <w:r>
              <w:rPr>
                <w:rFonts w:hint="eastAsia" w:ascii="宋体" w:hAnsi="宋体"/>
                <w:bCs/>
                <w:color w:val="auto"/>
                <w:sz w:val="24"/>
                <w:szCs w:val="24"/>
                <w:highlight w:val="none"/>
              </w:rPr>
              <w:t>，内容详细。</w:t>
            </w:r>
          </w:p>
        </w:tc>
        <w:tc>
          <w:tcPr>
            <w:tcW w:w="1191" w:type="dxa"/>
            <w:vAlign w:val="center"/>
          </w:tcPr>
          <w:p w14:paraId="2AEDDDCC">
            <w:pPr>
              <w:spacing w:line="360" w:lineRule="exact"/>
              <w:jc w:val="center"/>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满分</w:t>
            </w:r>
            <w:r>
              <w:rPr>
                <w:rFonts w:hint="eastAsia" w:ascii="宋体" w:hAnsi="宋体"/>
                <w:bCs/>
                <w:color w:val="auto"/>
                <w:sz w:val="24"/>
                <w:szCs w:val="24"/>
                <w:lang w:val="en-US" w:eastAsia="zh-CN"/>
              </w:rPr>
              <w:t>30分</w:t>
            </w:r>
          </w:p>
        </w:tc>
      </w:tr>
      <w:tr w14:paraId="138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33" w:type="dxa"/>
            <w:shd w:val="clear" w:color="auto" w:fill="auto"/>
            <w:vAlign w:val="center"/>
          </w:tcPr>
          <w:p w14:paraId="0DF37F14">
            <w:pPr>
              <w:adjustRightInd w:val="0"/>
              <w:spacing w:line="360" w:lineRule="exact"/>
              <w:ind w:left="-105" w:leftChars="-50" w:right="-105" w:rightChars="-50"/>
              <w:jc w:val="center"/>
              <w:textAlignment w:val="baseline"/>
              <w:rPr>
                <w:rFonts w:hint="eastAsia" w:ascii="宋体" w:hAnsi="宋体" w:eastAsia="宋体" w:cs="Times New Roman"/>
                <w:bCs/>
                <w:color w:val="auto"/>
                <w:kern w:val="0"/>
                <w:sz w:val="24"/>
                <w:szCs w:val="24"/>
                <w:lang w:val="en-US" w:eastAsia="zh-CN" w:bidi="ar-SA"/>
              </w:rPr>
            </w:pPr>
            <w:r>
              <w:rPr>
                <w:rFonts w:hint="eastAsia" w:ascii="宋体" w:hAnsi="宋体"/>
                <w:bCs/>
                <w:color w:val="auto"/>
                <w:kern w:val="0"/>
                <w:sz w:val="24"/>
                <w:szCs w:val="24"/>
                <w:lang w:val="en-US" w:eastAsia="zh-CN"/>
              </w:rPr>
              <w:t>2.2</w:t>
            </w:r>
          </w:p>
        </w:tc>
        <w:tc>
          <w:tcPr>
            <w:tcW w:w="1418" w:type="dxa"/>
            <w:shd w:val="clear" w:color="auto" w:fill="auto"/>
            <w:vAlign w:val="center"/>
          </w:tcPr>
          <w:p w14:paraId="04022C8A">
            <w:pPr>
              <w:numPr>
                <w:ilvl w:val="0"/>
                <w:numId w:val="0"/>
              </w:numPr>
              <w:spacing w:line="380" w:lineRule="exact"/>
              <w:ind w:left="0" w:leftChars="0" w:firstLine="0" w:firstLine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szCs w:val="24"/>
                <w:highlight w:val="none"/>
                <w:lang w:eastAsia="zh-CN"/>
              </w:rPr>
              <w:t>本地化服务方案</w:t>
            </w:r>
          </w:p>
        </w:tc>
        <w:tc>
          <w:tcPr>
            <w:tcW w:w="5952" w:type="dxa"/>
            <w:shd w:val="clear" w:color="auto" w:fill="auto"/>
            <w:vAlign w:val="center"/>
          </w:tcPr>
          <w:p w14:paraId="5B40D017">
            <w:pPr>
              <w:numPr>
                <w:ilvl w:val="0"/>
                <w:numId w:val="0"/>
              </w:numPr>
              <w:spacing w:line="380" w:lineRule="exact"/>
              <w:ind w:firstLine="420" w:firstLineChars="0"/>
              <w:jc w:val="left"/>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对各自分标的</w:t>
            </w:r>
            <w:r>
              <w:rPr>
                <w:rFonts w:hint="eastAsia" w:ascii="宋体" w:hAnsi="宋体"/>
                <w:bCs/>
                <w:color w:val="auto"/>
                <w:sz w:val="24"/>
                <w:szCs w:val="24"/>
                <w:highlight w:val="none"/>
                <w:lang w:val="en-US" w:eastAsia="zh-CN"/>
              </w:rPr>
              <w:t>四个</w:t>
            </w:r>
            <w:r>
              <w:rPr>
                <w:rFonts w:hint="eastAsia" w:ascii="宋体" w:hAnsi="宋体"/>
                <w:bCs/>
                <w:color w:val="auto"/>
                <w:sz w:val="24"/>
                <w:szCs w:val="24"/>
                <w:highlight w:val="none"/>
                <w:lang w:eastAsia="zh-CN"/>
              </w:rPr>
              <w:t>省份当地的资源</w:t>
            </w:r>
            <w:r>
              <w:rPr>
                <w:rFonts w:hint="eastAsia" w:ascii="宋体" w:hAnsi="宋体"/>
                <w:b/>
                <w:bCs w:val="0"/>
                <w:color w:val="auto"/>
                <w:sz w:val="24"/>
                <w:szCs w:val="24"/>
                <w:highlight w:val="none"/>
                <w:lang w:eastAsia="zh-CN"/>
              </w:rPr>
              <w:t>（包括</w:t>
            </w:r>
            <w:r>
              <w:rPr>
                <w:rFonts w:hint="eastAsia" w:ascii="宋体" w:hAnsi="宋体"/>
                <w:b/>
                <w:bCs w:val="0"/>
                <w:color w:val="auto"/>
                <w:sz w:val="24"/>
                <w:szCs w:val="24"/>
                <w:highlight w:val="none"/>
                <w:lang w:val="en-US" w:eastAsia="zh-CN"/>
              </w:rPr>
              <w:t>活动组织、媒体宣传</w:t>
            </w:r>
            <w:r>
              <w:rPr>
                <w:rFonts w:hint="eastAsia" w:ascii="宋体" w:hAnsi="宋体"/>
                <w:b/>
                <w:bCs w:val="0"/>
                <w:color w:val="auto"/>
                <w:sz w:val="24"/>
                <w:szCs w:val="24"/>
                <w:highlight w:val="none"/>
                <w:lang w:eastAsia="zh-CN"/>
              </w:rPr>
              <w:t>）</w:t>
            </w:r>
            <w:r>
              <w:rPr>
                <w:rFonts w:hint="eastAsia" w:ascii="宋体" w:hAnsi="宋体"/>
                <w:bCs/>
                <w:color w:val="auto"/>
                <w:sz w:val="24"/>
                <w:szCs w:val="24"/>
                <w:highlight w:val="none"/>
                <w:lang w:eastAsia="zh-CN"/>
              </w:rPr>
              <w:t>掌握</w:t>
            </w:r>
            <w:r>
              <w:rPr>
                <w:rFonts w:hint="eastAsia" w:ascii="宋体" w:hAnsi="宋体"/>
                <w:bCs/>
                <w:color w:val="auto"/>
                <w:sz w:val="24"/>
                <w:szCs w:val="24"/>
                <w:highlight w:val="none"/>
                <w:lang w:val="en-US" w:eastAsia="zh-CN"/>
              </w:rPr>
              <w:t>不同</w:t>
            </w:r>
            <w:r>
              <w:rPr>
                <w:rFonts w:hint="eastAsia" w:ascii="宋体" w:hAnsi="宋体"/>
                <w:bCs/>
                <w:color w:val="auto"/>
                <w:sz w:val="24"/>
                <w:szCs w:val="24"/>
                <w:highlight w:val="none"/>
                <w:lang w:eastAsia="zh-CN"/>
              </w:rPr>
              <w:t>程度进行分档评定，具体为：</w:t>
            </w:r>
          </w:p>
          <w:p w14:paraId="3D8E6C92">
            <w:pPr>
              <w:numPr>
                <w:ilvl w:val="0"/>
                <w:numId w:val="0"/>
              </w:numPr>
              <w:spacing w:line="380" w:lineRule="exact"/>
              <w:ind w:firstLine="420" w:firstLineChars="0"/>
              <w:jc w:val="left"/>
              <w:rPr>
                <w:rFonts w:hint="eastAsia" w:ascii="宋体" w:hAnsi="宋体"/>
                <w:bCs/>
                <w:color w:val="auto"/>
                <w:sz w:val="24"/>
                <w:szCs w:val="24"/>
                <w:highlight w:val="none"/>
                <w:lang w:eastAsia="zh-CN"/>
              </w:rPr>
            </w:pPr>
            <w:r>
              <w:rPr>
                <w:rFonts w:hint="eastAsia" w:ascii="宋体" w:hAnsi="宋体" w:eastAsia="宋体" w:cs="Times New Roman"/>
                <w:bCs/>
                <w:color w:val="auto"/>
                <w:kern w:val="2"/>
                <w:sz w:val="24"/>
                <w:szCs w:val="24"/>
                <w:lang w:val="en-US" w:eastAsia="zh-CN" w:bidi="ar-SA"/>
              </w:rPr>
              <w:t>（</w:t>
            </w:r>
            <w:r>
              <w:rPr>
                <w:rFonts w:hint="eastAsia" w:ascii="宋体" w:hAnsi="宋体" w:cs="Times New Roman"/>
                <w:bCs/>
                <w:color w:val="auto"/>
                <w:kern w:val="2"/>
                <w:sz w:val="24"/>
                <w:szCs w:val="24"/>
                <w:lang w:val="en-US" w:eastAsia="zh-CN" w:bidi="ar-SA"/>
              </w:rPr>
              <w:t>1</w:t>
            </w:r>
            <w:r>
              <w:rPr>
                <w:rFonts w:hint="eastAsia" w:ascii="宋体" w:hAnsi="宋体" w:eastAsia="宋体" w:cs="Times New Roman"/>
                <w:bCs/>
                <w:color w:val="auto"/>
                <w:kern w:val="2"/>
                <w:sz w:val="24"/>
                <w:szCs w:val="24"/>
                <w:lang w:val="en-US" w:eastAsia="zh-CN" w:bidi="ar-SA"/>
              </w:rPr>
              <w:t>）</w:t>
            </w:r>
            <w:r>
              <w:rPr>
                <w:rFonts w:hint="eastAsia" w:ascii="宋体" w:hAnsi="宋体"/>
                <w:bCs/>
                <w:color w:val="auto"/>
                <w:sz w:val="24"/>
                <w:szCs w:val="24"/>
                <w:highlight w:val="none"/>
                <w:lang w:eastAsia="zh-CN"/>
              </w:rPr>
              <w:t>一档（</w:t>
            </w:r>
            <w:r>
              <w:rPr>
                <w:rFonts w:hint="eastAsia" w:ascii="宋体" w:hAnsi="宋体"/>
                <w:bCs/>
                <w:color w:val="auto"/>
                <w:sz w:val="24"/>
                <w:szCs w:val="24"/>
                <w:highlight w:val="none"/>
                <w:lang w:val="en-US" w:eastAsia="zh-CN"/>
              </w:rPr>
              <w:t>10分</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在各自分标的四个省份中开展过1次类似活动或宣传服务，提供业绩证明</w:t>
            </w:r>
            <w:r>
              <w:rPr>
                <w:rFonts w:hint="eastAsia" w:ascii="宋体" w:hAnsi="宋体" w:cs="Times New Roman"/>
                <w:bCs/>
                <w:color w:val="auto"/>
                <w:kern w:val="2"/>
                <w:sz w:val="24"/>
                <w:szCs w:val="24"/>
                <w:lang w:val="en-US" w:eastAsia="zh-CN" w:bidi="ar-SA"/>
              </w:rPr>
              <w:t>；</w:t>
            </w:r>
          </w:p>
          <w:p w14:paraId="3EBBFFD8">
            <w:pPr>
              <w:numPr>
                <w:ilvl w:val="0"/>
                <w:numId w:val="0"/>
              </w:numPr>
              <w:spacing w:line="380" w:lineRule="exact"/>
              <w:ind w:firstLine="420" w:firstLineChars="0"/>
              <w:jc w:val="left"/>
              <w:rPr>
                <w:rFonts w:hint="eastAsia" w:ascii="宋体" w:hAnsi="宋体"/>
                <w:bCs/>
                <w:color w:val="auto"/>
                <w:sz w:val="24"/>
                <w:szCs w:val="24"/>
                <w:highlight w:val="none"/>
                <w:lang w:eastAsia="zh-CN"/>
              </w:rPr>
            </w:pPr>
            <w:r>
              <w:rPr>
                <w:rFonts w:hint="eastAsia" w:ascii="宋体" w:hAnsi="宋体" w:eastAsia="宋体" w:cs="Times New Roman"/>
                <w:bCs/>
                <w:color w:val="auto"/>
                <w:kern w:val="2"/>
                <w:sz w:val="24"/>
                <w:szCs w:val="24"/>
                <w:lang w:val="en-US" w:eastAsia="zh-CN" w:bidi="ar-SA"/>
              </w:rPr>
              <w:t>（</w:t>
            </w:r>
            <w:r>
              <w:rPr>
                <w:rFonts w:hint="eastAsia" w:ascii="宋体" w:hAnsi="宋体" w:cs="Times New Roman"/>
                <w:bCs/>
                <w:color w:val="auto"/>
                <w:kern w:val="2"/>
                <w:sz w:val="24"/>
                <w:szCs w:val="24"/>
                <w:lang w:val="en-US" w:eastAsia="zh-CN" w:bidi="ar-SA"/>
              </w:rPr>
              <w:t>2</w:t>
            </w:r>
            <w:r>
              <w:rPr>
                <w:rFonts w:hint="eastAsia" w:ascii="宋体" w:hAnsi="宋体" w:eastAsia="宋体" w:cs="Times New Roman"/>
                <w:bCs/>
                <w:color w:val="auto"/>
                <w:kern w:val="2"/>
                <w:sz w:val="24"/>
                <w:szCs w:val="24"/>
                <w:lang w:val="en-US" w:eastAsia="zh-CN" w:bidi="ar-SA"/>
              </w:rPr>
              <w:t>）</w:t>
            </w:r>
            <w:r>
              <w:rPr>
                <w:rFonts w:hint="eastAsia" w:ascii="宋体" w:hAnsi="宋体" w:cs="Times New Roman"/>
                <w:bCs/>
                <w:color w:val="auto"/>
                <w:kern w:val="2"/>
                <w:sz w:val="24"/>
                <w:szCs w:val="24"/>
                <w:lang w:val="en-US" w:eastAsia="zh-CN" w:bidi="ar-SA"/>
              </w:rPr>
              <w:t>二档（20分）：</w:t>
            </w:r>
            <w:r>
              <w:rPr>
                <w:rFonts w:hint="eastAsia" w:ascii="宋体" w:hAnsi="宋体"/>
                <w:bCs/>
                <w:color w:val="auto"/>
                <w:sz w:val="24"/>
                <w:szCs w:val="24"/>
                <w:highlight w:val="none"/>
                <w:lang w:val="en-US" w:eastAsia="zh-CN"/>
              </w:rPr>
              <w:t>在各自分标的四个省份中开展过2次类似活动或宣传服务，提供业绩证明</w:t>
            </w:r>
            <w:r>
              <w:rPr>
                <w:rFonts w:hint="eastAsia" w:ascii="宋体" w:hAnsi="宋体" w:cs="Times New Roman"/>
                <w:bCs/>
                <w:color w:val="auto"/>
                <w:kern w:val="2"/>
                <w:sz w:val="24"/>
                <w:szCs w:val="24"/>
                <w:lang w:val="en-US" w:eastAsia="zh-CN" w:bidi="ar-SA"/>
              </w:rPr>
              <w:t>；</w:t>
            </w:r>
          </w:p>
          <w:p w14:paraId="40AE8B46">
            <w:pPr>
              <w:numPr>
                <w:ilvl w:val="0"/>
                <w:numId w:val="0"/>
              </w:numPr>
              <w:spacing w:line="380" w:lineRule="exact"/>
              <w:ind w:left="0" w:leftChars="0" w:firstLine="420" w:firstLineChars="0"/>
              <w:jc w:val="left"/>
              <w:rPr>
                <w:rFonts w:hint="eastAsia" w:ascii="宋体" w:hAnsi="宋体"/>
                <w:bCs/>
                <w:color w:val="auto"/>
                <w:sz w:val="24"/>
                <w:szCs w:val="24"/>
                <w:highlight w:val="none"/>
                <w:lang w:eastAsia="zh-CN"/>
              </w:rPr>
            </w:pPr>
            <w:r>
              <w:rPr>
                <w:rFonts w:hint="eastAsia" w:ascii="宋体" w:hAnsi="宋体" w:eastAsia="宋体" w:cs="Times New Roman"/>
                <w:bCs/>
                <w:color w:val="auto"/>
                <w:kern w:val="2"/>
                <w:sz w:val="24"/>
                <w:szCs w:val="24"/>
                <w:lang w:val="en-US" w:eastAsia="zh-CN" w:bidi="ar-SA"/>
              </w:rPr>
              <w:t>（3）三挡（</w:t>
            </w:r>
            <w:r>
              <w:rPr>
                <w:rFonts w:hint="eastAsia" w:ascii="宋体" w:hAnsi="宋体" w:cs="Times New Roman"/>
                <w:bCs/>
                <w:color w:val="auto"/>
                <w:kern w:val="2"/>
                <w:sz w:val="24"/>
                <w:szCs w:val="24"/>
                <w:lang w:val="en-US" w:eastAsia="zh-CN" w:bidi="ar-SA"/>
              </w:rPr>
              <w:t>30分</w:t>
            </w:r>
            <w:r>
              <w:rPr>
                <w:rFonts w:hint="eastAsia" w:ascii="宋体" w:hAnsi="宋体" w:eastAsia="宋体" w:cs="Times New Roman"/>
                <w:bCs/>
                <w:color w:val="auto"/>
                <w:kern w:val="2"/>
                <w:sz w:val="24"/>
                <w:szCs w:val="24"/>
                <w:lang w:val="en-US" w:eastAsia="zh-CN" w:bidi="ar-SA"/>
              </w:rPr>
              <w:t>）：</w:t>
            </w:r>
            <w:r>
              <w:rPr>
                <w:rFonts w:hint="eastAsia" w:ascii="宋体" w:hAnsi="宋体"/>
                <w:bCs/>
                <w:color w:val="auto"/>
                <w:sz w:val="24"/>
                <w:szCs w:val="24"/>
                <w:highlight w:val="none"/>
                <w:lang w:val="en-US" w:eastAsia="zh-CN"/>
              </w:rPr>
              <w:t>在各自分标的四个省份中开展过3次类似活动或宣传服务，提供业绩证明</w:t>
            </w:r>
            <w:r>
              <w:rPr>
                <w:rFonts w:hint="eastAsia" w:ascii="宋体" w:hAnsi="宋体" w:cs="Times New Roman"/>
                <w:bCs/>
                <w:color w:val="auto"/>
                <w:kern w:val="2"/>
                <w:sz w:val="24"/>
                <w:szCs w:val="24"/>
                <w:lang w:val="en-US" w:eastAsia="zh-CN" w:bidi="ar-SA"/>
              </w:rPr>
              <w:t>；</w:t>
            </w:r>
          </w:p>
          <w:p w14:paraId="480AE240">
            <w:pPr>
              <w:pStyle w:val="2"/>
              <w:rPr>
                <w:rFonts w:hint="default"/>
                <w:color w:val="auto"/>
                <w:lang w:val="en-US" w:eastAsia="zh-CN"/>
              </w:rPr>
            </w:pPr>
            <w:r>
              <w:rPr>
                <w:rFonts w:hint="eastAsia" w:ascii="宋体" w:hAnsi="宋体"/>
                <w:bCs/>
                <w:color w:val="auto"/>
                <w:sz w:val="24"/>
                <w:szCs w:val="24"/>
                <w:highlight w:val="none"/>
                <w:lang w:val="en-US" w:eastAsia="zh-CN"/>
              </w:rPr>
              <w:t>业绩证明</w:t>
            </w:r>
            <w:r>
              <w:rPr>
                <w:rFonts w:hint="eastAsia"/>
                <w:color w:val="auto"/>
                <w:lang w:val="en-US" w:eastAsia="zh-CN"/>
              </w:rPr>
              <w:t>：</w:t>
            </w:r>
            <w:r>
              <w:rPr>
                <w:rFonts w:hint="eastAsia" w:ascii="宋体" w:hAnsi="宋体" w:cs="宋体"/>
                <w:color w:val="auto"/>
                <w:kern w:val="0"/>
                <w:sz w:val="24"/>
                <w:szCs w:val="24"/>
                <w:lang w:val="en-US" w:eastAsia="zh-CN"/>
              </w:rPr>
              <w:t>供应商每完成过一个类似业绩（媒体宣传或论坛、推介会等活动）。</w:t>
            </w:r>
            <w:r>
              <w:rPr>
                <w:rFonts w:hint="eastAsia" w:ascii="宋体" w:hAnsi="宋体" w:cs="宋体"/>
                <w:color w:val="auto"/>
                <w:kern w:val="0"/>
                <w:sz w:val="24"/>
                <w:szCs w:val="24"/>
                <w:lang w:val="en-US" w:eastAsia="zh-CN" w:bidi="ar-SA"/>
              </w:rPr>
              <w:t>提供合同复印件，或提供活动组织工作函件、相关文件</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或现场照片。</w:t>
            </w:r>
            <w:r>
              <w:rPr>
                <w:rFonts w:hint="eastAsia" w:ascii="宋体" w:hAnsi="宋体" w:eastAsia="宋体" w:cs="宋体"/>
                <w:color w:val="auto"/>
                <w:kern w:val="0"/>
                <w:sz w:val="24"/>
                <w:szCs w:val="24"/>
                <w:lang w:val="en-US" w:eastAsia="zh-CN" w:bidi="ar-SA"/>
              </w:rPr>
              <w:t>否则不得分</w:t>
            </w:r>
            <w:r>
              <w:rPr>
                <w:rFonts w:hint="eastAsia" w:ascii="宋体" w:hAnsi="宋体" w:cs="宋体"/>
                <w:color w:val="auto"/>
                <w:kern w:val="0"/>
                <w:sz w:val="24"/>
                <w:szCs w:val="24"/>
                <w:lang w:val="en-US" w:eastAsia="zh-CN" w:bidi="ar-SA"/>
              </w:rPr>
              <w:t>。</w:t>
            </w:r>
          </w:p>
        </w:tc>
        <w:tc>
          <w:tcPr>
            <w:tcW w:w="1191" w:type="dxa"/>
            <w:shd w:val="clear" w:color="auto" w:fill="auto"/>
            <w:vAlign w:val="center"/>
          </w:tcPr>
          <w:p w14:paraId="5C5A6FCD">
            <w:pPr>
              <w:spacing w:line="360" w:lineRule="exact"/>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szCs w:val="24"/>
                <w:lang w:eastAsia="zh-CN"/>
              </w:rPr>
              <w:t>满分</w:t>
            </w:r>
            <w:r>
              <w:rPr>
                <w:rFonts w:hint="eastAsia" w:ascii="宋体" w:hAnsi="宋体"/>
                <w:bCs/>
                <w:color w:val="auto"/>
                <w:sz w:val="24"/>
                <w:szCs w:val="24"/>
                <w:lang w:val="en-US" w:eastAsia="zh-CN"/>
              </w:rPr>
              <w:t>30分</w:t>
            </w:r>
          </w:p>
        </w:tc>
      </w:tr>
      <w:tr w14:paraId="6081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36DC1B15">
            <w:pPr>
              <w:widowControl/>
              <w:spacing w:line="360" w:lineRule="exact"/>
              <w:jc w:val="center"/>
              <w:rPr>
                <w:rFonts w:ascii="宋体" w:hAnsi="宋体" w:cs="Tahoma"/>
                <w:b/>
                <w:color w:val="auto"/>
                <w:kern w:val="0"/>
                <w:sz w:val="24"/>
                <w:szCs w:val="24"/>
              </w:rPr>
            </w:pPr>
            <w:r>
              <w:rPr>
                <w:rFonts w:hint="eastAsia" w:ascii="宋体" w:hAnsi="宋体" w:cs="Tahoma"/>
                <w:b/>
                <w:color w:val="auto"/>
                <w:kern w:val="0"/>
                <w:sz w:val="24"/>
                <w:szCs w:val="24"/>
              </w:rPr>
              <w:t>3</w:t>
            </w:r>
          </w:p>
        </w:tc>
        <w:tc>
          <w:tcPr>
            <w:tcW w:w="1418" w:type="dxa"/>
            <w:vAlign w:val="center"/>
          </w:tcPr>
          <w:p w14:paraId="339AE205">
            <w:pPr>
              <w:widowControl/>
              <w:spacing w:line="360" w:lineRule="exact"/>
              <w:jc w:val="center"/>
              <w:rPr>
                <w:rFonts w:ascii="宋体" w:hAnsi="宋体" w:cs="Courier New"/>
                <w:b/>
                <w:bCs/>
                <w:color w:val="auto"/>
                <w:sz w:val="24"/>
                <w:szCs w:val="24"/>
              </w:rPr>
            </w:pPr>
            <w:r>
              <w:rPr>
                <w:rFonts w:hint="eastAsia" w:ascii="宋体" w:hAnsi="宋体" w:cs="Courier New"/>
                <w:b/>
                <w:bCs/>
                <w:color w:val="auto"/>
                <w:sz w:val="24"/>
                <w:szCs w:val="24"/>
              </w:rPr>
              <w:t>商务分</w:t>
            </w:r>
          </w:p>
        </w:tc>
        <w:tc>
          <w:tcPr>
            <w:tcW w:w="5952" w:type="dxa"/>
            <w:vAlign w:val="center"/>
          </w:tcPr>
          <w:p w14:paraId="029F1BDA">
            <w:pPr>
              <w:widowControl/>
              <w:spacing w:line="360" w:lineRule="exact"/>
              <w:jc w:val="center"/>
              <w:rPr>
                <w:rFonts w:ascii="宋体" w:hAnsi="宋体" w:cs="Tahoma"/>
                <w:b/>
                <w:color w:val="auto"/>
                <w:kern w:val="0"/>
                <w:sz w:val="24"/>
                <w:szCs w:val="24"/>
              </w:rPr>
            </w:pPr>
            <w:r>
              <w:rPr>
                <w:rFonts w:hint="eastAsia" w:ascii="宋体" w:hAnsi="宋体" w:cs="Tahoma"/>
                <w:b/>
                <w:color w:val="auto"/>
                <w:kern w:val="0"/>
                <w:sz w:val="24"/>
                <w:szCs w:val="24"/>
              </w:rPr>
              <w:t>评审因素</w:t>
            </w:r>
          </w:p>
        </w:tc>
        <w:tc>
          <w:tcPr>
            <w:tcW w:w="1191" w:type="dxa"/>
            <w:vAlign w:val="center"/>
          </w:tcPr>
          <w:p w14:paraId="2F46ECD7">
            <w:pPr>
              <w:widowControl/>
              <w:spacing w:line="360" w:lineRule="exact"/>
              <w:jc w:val="center"/>
              <w:rPr>
                <w:rFonts w:ascii="宋体" w:hAnsi="宋体" w:cs="Tahoma"/>
                <w:b/>
                <w:color w:val="auto"/>
                <w:kern w:val="0"/>
                <w:sz w:val="24"/>
                <w:szCs w:val="24"/>
              </w:rPr>
            </w:pPr>
            <w:r>
              <w:rPr>
                <w:rFonts w:hint="eastAsia" w:ascii="宋体" w:hAnsi="宋体" w:cs="Tahoma"/>
                <w:b/>
                <w:color w:val="auto"/>
                <w:kern w:val="0"/>
                <w:sz w:val="24"/>
                <w:szCs w:val="24"/>
              </w:rPr>
              <w:t>满分</w:t>
            </w:r>
            <w:r>
              <w:rPr>
                <w:rFonts w:hint="eastAsia" w:ascii="宋体" w:hAnsi="宋体" w:cs="Tahoma"/>
                <w:b/>
                <w:color w:val="auto"/>
                <w:kern w:val="0"/>
                <w:sz w:val="24"/>
                <w:szCs w:val="24"/>
                <w:lang w:val="en-US" w:eastAsia="zh-CN"/>
              </w:rPr>
              <w:t>30</w:t>
            </w:r>
            <w:r>
              <w:rPr>
                <w:rFonts w:hint="eastAsia" w:ascii="宋体" w:hAnsi="宋体" w:cs="Tahoma"/>
                <w:b/>
                <w:color w:val="auto"/>
                <w:kern w:val="0"/>
                <w:sz w:val="24"/>
                <w:szCs w:val="24"/>
              </w:rPr>
              <w:t>分</w:t>
            </w:r>
          </w:p>
        </w:tc>
      </w:tr>
      <w:tr w14:paraId="07E4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0FFCAA11">
            <w:pPr>
              <w:adjustRightInd w:val="0"/>
              <w:spacing w:line="360" w:lineRule="exact"/>
              <w:ind w:left="-105" w:leftChars="-50" w:right="-105" w:rightChars="-50"/>
              <w:jc w:val="center"/>
              <w:textAlignment w:val="baseline"/>
              <w:rPr>
                <w:rFonts w:hint="eastAsia" w:ascii="宋体" w:hAnsi="宋体" w:eastAsia="宋体" w:cs="Times New Roman"/>
                <w:bCs/>
                <w:color w:val="auto"/>
                <w:kern w:val="0"/>
                <w:sz w:val="24"/>
                <w:szCs w:val="24"/>
                <w:lang w:val="en-US" w:eastAsia="zh-CN" w:bidi="ar-SA"/>
              </w:rPr>
            </w:pPr>
            <w:r>
              <w:rPr>
                <w:rFonts w:hint="eastAsia" w:ascii="宋体" w:hAnsi="宋体"/>
                <w:bCs/>
                <w:color w:val="auto"/>
                <w:kern w:val="0"/>
                <w:sz w:val="24"/>
                <w:szCs w:val="24"/>
                <w:lang w:val="en-US" w:eastAsia="zh-CN"/>
              </w:rPr>
              <w:t>3</w:t>
            </w:r>
            <w:r>
              <w:rPr>
                <w:rFonts w:ascii="宋体" w:hAnsi="宋体"/>
                <w:bCs/>
                <w:color w:val="auto"/>
                <w:kern w:val="0"/>
                <w:sz w:val="24"/>
                <w:szCs w:val="24"/>
              </w:rPr>
              <w:t>.1</w:t>
            </w:r>
          </w:p>
        </w:tc>
        <w:tc>
          <w:tcPr>
            <w:tcW w:w="1418" w:type="dxa"/>
            <w:vAlign w:val="center"/>
          </w:tcPr>
          <w:p w14:paraId="7F18CEBB">
            <w:pPr>
              <w:jc w:val="center"/>
              <w:rPr>
                <w:rFonts w:ascii="Times New Roman" w:hAnsi="Times New Roman" w:eastAsia="宋体" w:cs="Times New Roman"/>
                <w:color w:val="auto"/>
                <w:kern w:val="2"/>
                <w:sz w:val="24"/>
                <w:szCs w:val="24"/>
                <w:lang w:val="en-US" w:eastAsia="zh-CN" w:bidi="ar-SA"/>
              </w:rPr>
            </w:pPr>
            <w:r>
              <w:rPr>
                <w:rFonts w:hint="eastAsia"/>
                <w:color w:val="auto"/>
                <w:sz w:val="24"/>
                <w:szCs w:val="24"/>
              </w:rPr>
              <w:t>策划咨询</w:t>
            </w:r>
          </w:p>
        </w:tc>
        <w:tc>
          <w:tcPr>
            <w:tcW w:w="5952" w:type="dxa"/>
            <w:vAlign w:val="center"/>
          </w:tcPr>
          <w:p w14:paraId="6B4829E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拟投入人员</w:t>
            </w:r>
            <w:r>
              <w:rPr>
                <w:rFonts w:hint="eastAsia" w:ascii="宋体" w:hAnsi="宋体" w:cs="宋体"/>
                <w:color w:val="auto"/>
                <w:sz w:val="24"/>
                <w:szCs w:val="24"/>
              </w:rPr>
              <w:t>拥有新闻系列专业正高职称</w:t>
            </w:r>
            <w:r>
              <w:rPr>
                <w:rFonts w:hint="eastAsia" w:ascii="宋体" w:hAnsi="宋体" w:cs="宋体"/>
                <w:color w:val="auto"/>
                <w:sz w:val="24"/>
                <w:szCs w:val="24"/>
                <w:lang w:eastAsia="zh-CN"/>
              </w:rPr>
              <w:t>的每名得</w:t>
            </w:r>
            <w:r>
              <w:rPr>
                <w:rFonts w:hint="eastAsia" w:ascii="宋体" w:hAnsi="宋体" w:cs="宋体"/>
                <w:color w:val="auto"/>
                <w:sz w:val="24"/>
                <w:szCs w:val="24"/>
                <w:lang w:val="en-US" w:eastAsia="zh-CN"/>
              </w:rPr>
              <w:t>2分；</w:t>
            </w:r>
            <w:r>
              <w:rPr>
                <w:rFonts w:hint="eastAsia" w:ascii="宋体" w:hAnsi="宋体" w:cs="宋体"/>
                <w:color w:val="auto"/>
                <w:sz w:val="24"/>
                <w:szCs w:val="24"/>
              </w:rPr>
              <w:t>拥有新闻系列专业副高职称</w:t>
            </w:r>
            <w:r>
              <w:rPr>
                <w:rFonts w:hint="eastAsia" w:ascii="宋体" w:hAnsi="宋体" w:cs="宋体"/>
                <w:color w:val="auto"/>
                <w:sz w:val="24"/>
                <w:szCs w:val="24"/>
                <w:lang w:eastAsia="zh-CN"/>
              </w:rPr>
              <w:t>的每名得</w:t>
            </w:r>
            <w:r>
              <w:rPr>
                <w:rFonts w:hint="eastAsia" w:ascii="宋体" w:hAnsi="宋体" w:cs="宋体"/>
                <w:color w:val="auto"/>
                <w:sz w:val="24"/>
                <w:szCs w:val="24"/>
                <w:lang w:val="en-US" w:eastAsia="zh-CN"/>
              </w:rPr>
              <w:t>1分；满分6分</w:t>
            </w:r>
            <w:r>
              <w:rPr>
                <w:rFonts w:hint="eastAsia" w:ascii="宋体" w:hAnsi="宋体" w:cs="宋体"/>
                <w:color w:val="auto"/>
                <w:sz w:val="24"/>
                <w:szCs w:val="24"/>
              </w:rPr>
              <w:t>；</w:t>
            </w:r>
            <w:r>
              <w:rPr>
                <w:rFonts w:hint="eastAsia" w:ascii="宋体" w:hAnsi="宋体" w:cs="宋体"/>
                <w:color w:val="auto"/>
                <w:sz w:val="24"/>
                <w:szCs w:val="24"/>
                <w:lang w:val="en-US" w:eastAsia="zh-CN"/>
              </w:rPr>
              <w:t>（每名人员按最高职称计算，提供人员职称证明）</w:t>
            </w:r>
          </w:p>
          <w:p w14:paraId="0802112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ascii="Times New Roman" w:hAnsi="Times New Roman" w:eastAsia="宋体" w:cs="Times New Roman"/>
                <w:color w:val="auto"/>
                <w:kern w:val="2"/>
                <w:sz w:val="24"/>
                <w:szCs w:val="24"/>
                <w:lang w:val="en-US" w:eastAsia="zh-CN" w:bidi="ar-SA"/>
              </w:rPr>
            </w:pPr>
            <w:r>
              <w:rPr>
                <w:rFonts w:hint="eastAsia" w:ascii="宋体" w:hAnsi="宋体" w:cs="宋体"/>
                <w:color w:val="auto"/>
                <w:sz w:val="24"/>
                <w:szCs w:val="24"/>
              </w:rPr>
              <w:t>2.拥有丰富的组织策划并宣传推广各类活动的经验，每组织策划过</w:t>
            </w:r>
            <w:r>
              <w:rPr>
                <w:rFonts w:hint="eastAsia" w:ascii="宋体" w:hAnsi="宋体" w:cs="宋体"/>
                <w:color w:val="auto"/>
                <w:sz w:val="24"/>
                <w:szCs w:val="24"/>
                <w:lang w:val="en-US" w:eastAsia="zh-CN"/>
              </w:rPr>
              <w:t>1次宣传推广类活动的得3分</w:t>
            </w:r>
            <w:r>
              <w:rPr>
                <w:rFonts w:hint="eastAsia" w:ascii="宋体" w:hAnsi="宋体" w:cs="宋体"/>
                <w:color w:val="auto"/>
                <w:sz w:val="24"/>
                <w:szCs w:val="24"/>
                <w:lang w:eastAsia="zh-CN"/>
              </w:rPr>
              <w:t>；满分</w:t>
            </w:r>
            <w:r>
              <w:rPr>
                <w:rFonts w:hint="eastAsia" w:ascii="宋体" w:hAnsi="宋体" w:cs="宋体"/>
                <w:color w:val="auto"/>
                <w:sz w:val="24"/>
                <w:szCs w:val="24"/>
                <w:lang w:val="en-US" w:eastAsia="zh-CN"/>
              </w:rPr>
              <w:t>9分。</w:t>
            </w:r>
            <w:r>
              <w:rPr>
                <w:rFonts w:hint="eastAsia" w:ascii="宋体" w:hAnsi="宋体" w:cs="宋体"/>
                <w:color w:val="auto"/>
                <w:sz w:val="24"/>
                <w:szCs w:val="24"/>
              </w:rPr>
              <w:t>（</w:t>
            </w:r>
            <w:r>
              <w:rPr>
                <w:rFonts w:hint="eastAsia" w:ascii="宋体" w:hAnsi="宋体" w:cs="宋体"/>
                <w:color w:val="auto"/>
                <w:sz w:val="24"/>
                <w:szCs w:val="24"/>
                <w:lang w:eastAsia="zh-CN"/>
              </w:rPr>
              <w:t>提供委托策划宣传合同扫描件</w:t>
            </w:r>
            <w:r>
              <w:rPr>
                <w:rFonts w:hint="eastAsia" w:ascii="宋体" w:hAnsi="宋体" w:cs="宋体"/>
                <w:color w:val="auto"/>
                <w:sz w:val="24"/>
                <w:szCs w:val="24"/>
              </w:rPr>
              <w:t>）</w:t>
            </w:r>
          </w:p>
        </w:tc>
        <w:tc>
          <w:tcPr>
            <w:tcW w:w="1191" w:type="dxa"/>
            <w:vAlign w:val="center"/>
          </w:tcPr>
          <w:p w14:paraId="681F056C">
            <w:pPr>
              <w:spacing w:line="360" w:lineRule="exact"/>
              <w:jc w:val="center"/>
              <w:rPr>
                <w:rFonts w:ascii="宋体" w:hAnsi="宋体" w:eastAsia="宋体" w:cs="Times New Roman"/>
                <w:bCs/>
                <w:color w:val="auto"/>
                <w:kern w:val="2"/>
                <w:sz w:val="24"/>
                <w:szCs w:val="24"/>
                <w:lang w:val="en-US" w:eastAsia="zh-CN" w:bidi="ar-SA"/>
              </w:rPr>
            </w:pPr>
            <w:r>
              <w:rPr>
                <w:rFonts w:ascii="宋体" w:hAnsi="宋体"/>
                <w:bCs/>
                <w:color w:val="auto"/>
                <w:sz w:val="24"/>
                <w:szCs w:val="24"/>
              </w:rPr>
              <w:t>满分</w:t>
            </w:r>
            <w:r>
              <w:rPr>
                <w:rFonts w:hint="eastAsia" w:ascii="宋体" w:hAnsi="宋体"/>
                <w:bCs/>
                <w:color w:val="auto"/>
                <w:sz w:val="24"/>
                <w:szCs w:val="24"/>
                <w:lang w:val="en-US" w:eastAsia="zh-CN"/>
              </w:rPr>
              <w:t>15</w:t>
            </w:r>
            <w:r>
              <w:rPr>
                <w:rFonts w:ascii="宋体" w:hAnsi="宋体"/>
                <w:bCs/>
                <w:color w:val="auto"/>
                <w:sz w:val="24"/>
                <w:szCs w:val="24"/>
              </w:rPr>
              <w:t>分</w:t>
            </w:r>
          </w:p>
        </w:tc>
      </w:tr>
      <w:tr w14:paraId="0C42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533" w:type="dxa"/>
            <w:vAlign w:val="center"/>
          </w:tcPr>
          <w:p w14:paraId="686C0331">
            <w:pPr>
              <w:adjustRightInd w:val="0"/>
              <w:spacing w:line="360" w:lineRule="exact"/>
              <w:ind w:left="-105" w:leftChars="-50" w:right="-105" w:rightChars="-50"/>
              <w:jc w:val="center"/>
              <w:textAlignment w:val="baseline"/>
              <w:rPr>
                <w:rFonts w:hint="default" w:ascii="宋体" w:hAnsi="宋体"/>
                <w:bCs/>
                <w:color w:val="auto"/>
                <w:kern w:val="0"/>
                <w:sz w:val="24"/>
                <w:szCs w:val="24"/>
                <w:lang w:val="en-US" w:eastAsia="zh-CN"/>
              </w:rPr>
            </w:pPr>
            <w:r>
              <w:rPr>
                <w:rFonts w:hint="eastAsia" w:ascii="宋体" w:hAnsi="宋体"/>
                <w:bCs/>
                <w:color w:val="auto"/>
                <w:kern w:val="0"/>
                <w:sz w:val="24"/>
                <w:szCs w:val="24"/>
                <w:lang w:val="en-US" w:eastAsia="zh-CN"/>
              </w:rPr>
              <w:t>3.2</w:t>
            </w:r>
          </w:p>
        </w:tc>
        <w:tc>
          <w:tcPr>
            <w:tcW w:w="1418" w:type="dxa"/>
            <w:vAlign w:val="center"/>
          </w:tcPr>
          <w:p w14:paraId="5A9164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媒体宣传推广</w:t>
            </w:r>
          </w:p>
          <w:p w14:paraId="66CD4AC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cs="宋体"/>
                <w:color w:val="auto"/>
                <w:sz w:val="24"/>
                <w:szCs w:val="24"/>
                <w:lang w:val="en-US" w:eastAsia="zh-CN"/>
              </w:rPr>
            </w:pPr>
          </w:p>
        </w:tc>
        <w:tc>
          <w:tcPr>
            <w:tcW w:w="5952" w:type="dxa"/>
            <w:vAlign w:val="center"/>
          </w:tcPr>
          <w:p w14:paraId="78257CA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项目采购需求：</w:t>
            </w:r>
            <w:r>
              <w:rPr>
                <w:rFonts w:hint="eastAsia" w:ascii="宋体" w:hAnsi="宋体" w:cs="宋体"/>
                <w:color w:val="auto"/>
                <w:sz w:val="24"/>
                <w:szCs w:val="24"/>
              </w:rPr>
              <w:t>在</w:t>
            </w:r>
            <w:r>
              <w:rPr>
                <w:rFonts w:hint="eastAsia" w:ascii="宋体" w:hAnsi="宋体" w:cs="宋体"/>
                <w:color w:val="auto"/>
                <w:sz w:val="24"/>
                <w:szCs w:val="24"/>
                <w:lang w:val="en-US" w:eastAsia="zh-CN"/>
              </w:rPr>
              <w:t>推介会当地的</w:t>
            </w:r>
            <w:r>
              <w:rPr>
                <w:rFonts w:hint="eastAsia" w:ascii="宋体" w:hAnsi="宋体" w:cs="宋体"/>
                <w:color w:val="auto"/>
                <w:sz w:val="24"/>
                <w:szCs w:val="24"/>
              </w:rPr>
              <w:t>省级主流媒体对</w:t>
            </w:r>
            <w:r>
              <w:rPr>
                <w:rFonts w:hint="eastAsia" w:ascii="宋体" w:hAnsi="宋体" w:cs="宋体"/>
                <w:color w:val="auto"/>
                <w:sz w:val="24"/>
                <w:szCs w:val="24"/>
                <w:lang w:val="en-US" w:eastAsia="zh-CN"/>
              </w:rPr>
              <w:t>标段宣传</w:t>
            </w:r>
            <w:r>
              <w:rPr>
                <w:rFonts w:hint="eastAsia" w:ascii="宋体" w:hAnsi="宋体" w:cs="宋体"/>
                <w:color w:val="auto"/>
                <w:sz w:val="24"/>
                <w:szCs w:val="24"/>
              </w:rPr>
              <w:t>活动</w:t>
            </w:r>
            <w:r>
              <w:rPr>
                <w:rFonts w:hint="eastAsia" w:ascii="宋体" w:hAnsi="宋体" w:cs="宋体"/>
                <w:color w:val="auto"/>
                <w:sz w:val="24"/>
                <w:szCs w:val="24"/>
                <w:lang w:val="en-US" w:eastAsia="zh-CN"/>
              </w:rPr>
              <w:t>进行</w:t>
            </w:r>
            <w:r>
              <w:rPr>
                <w:rFonts w:hint="eastAsia" w:ascii="宋体" w:hAnsi="宋体" w:cs="宋体"/>
                <w:color w:val="auto"/>
                <w:sz w:val="24"/>
                <w:szCs w:val="24"/>
              </w:rPr>
              <w:t>推广，内容包括：每场推介会在当地</w:t>
            </w:r>
            <w:r>
              <w:rPr>
                <w:rFonts w:hint="eastAsia" w:ascii="宋体" w:hAnsi="宋体" w:cs="宋体"/>
                <w:color w:val="auto"/>
                <w:sz w:val="24"/>
                <w:szCs w:val="24"/>
                <w:lang w:val="en-US" w:eastAsia="zh-CN"/>
              </w:rPr>
              <w:t>至少1家</w:t>
            </w:r>
            <w:r>
              <w:rPr>
                <w:rFonts w:hint="eastAsia" w:ascii="宋体" w:hAnsi="宋体" w:cs="宋体"/>
                <w:color w:val="auto"/>
                <w:sz w:val="24"/>
                <w:szCs w:val="24"/>
              </w:rPr>
              <w:t>省级主流媒体</w:t>
            </w:r>
            <w:r>
              <w:rPr>
                <w:rFonts w:hint="eastAsia" w:ascii="宋体" w:hAnsi="宋体" w:cs="宋体"/>
                <w:color w:val="auto"/>
                <w:sz w:val="24"/>
                <w:szCs w:val="24"/>
                <w:lang w:val="en-US" w:eastAsia="zh-CN"/>
              </w:rPr>
              <w:t>上</w:t>
            </w:r>
            <w:r>
              <w:rPr>
                <w:rFonts w:hint="eastAsia" w:ascii="宋体" w:hAnsi="宋体" w:cs="宋体"/>
                <w:color w:val="auto"/>
                <w:sz w:val="24"/>
                <w:szCs w:val="24"/>
              </w:rPr>
              <w:t>（纸质媒体、新媒体平台均可）不低于1次消息推送，稿件不低于800字</w:t>
            </w:r>
            <w:r>
              <w:rPr>
                <w:rFonts w:hint="eastAsia" w:ascii="宋体" w:hAnsi="宋体" w:cs="宋体"/>
                <w:color w:val="auto"/>
                <w:sz w:val="24"/>
                <w:szCs w:val="24"/>
                <w:lang w:eastAsia="zh-CN"/>
              </w:rPr>
              <w:t>。</w:t>
            </w:r>
          </w:p>
          <w:p w14:paraId="1C123D3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在最低家（1家）省级主流媒体基础上，承诺每增加在1家地市级以上主流媒体进行消息推送的，加5分，满分15分。</w:t>
            </w:r>
          </w:p>
        </w:tc>
        <w:tc>
          <w:tcPr>
            <w:tcW w:w="1191" w:type="dxa"/>
            <w:vAlign w:val="center"/>
          </w:tcPr>
          <w:p w14:paraId="22FEF3B4">
            <w:pPr>
              <w:spacing w:line="360" w:lineRule="exact"/>
              <w:jc w:val="center"/>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满分</w:t>
            </w:r>
            <w:r>
              <w:rPr>
                <w:rFonts w:hint="eastAsia" w:ascii="宋体" w:hAnsi="宋体"/>
                <w:bCs/>
                <w:color w:val="auto"/>
                <w:sz w:val="24"/>
                <w:szCs w:val="24"/>
                <w:lang w:val="en-US" w:eastAsia="zh-CN"/>
              </w:rPr>
              <w:t>15分</w:t>
            </w:r>
          </w:p>
        </w:tc>
      </w:tr>
      <w:tr w14:paraId="5938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4" w:type="dxa"/>
            <w:gridSpan w:val="4"/>
          </w:tcPr>
          <w:p w14:paraId="68A4A27D">
            <w:pPr>
              <w:pStyle w:val="17"/>
              <w:spacing w:line="360" w:lineRule="exact"/>
              <w:ind w:firstLine="482" w:firstLineChars="200"/>
              <w:rPr>
                <w:rFonts w:hAnsi="宋体" w:cs="Courier New"/>
                <w:b/>
                <w:bCs/>
                <w:color w:val="auto"/>
                <w:kern w:val="2"/>
                <w:sz w:val="24"/>
                <w:szCs w:val="24"/>
              </w:rPr>
            </w:pPr>
            <w:r>
              <w:rPr>
                <w:rFonts w:hint="eastAsia" w:hAnsi="宋体" w:cs="Courier New"/>
                <w:b/>
                <w:bCs/>
                <w:color w:val="auto"/>
                <w:kern w:val="2"/>
                <w:sz w:val="24"/>
                <w:szCs w:val="24"/>
              </w:rPr>
              <w:t>总得分＝1＋2＋3</w:t>
            </w:r>
          </w:p>
          <w:p w14:paraId="2D667E86">
            <w:pPr>
              <w:widowControl/>
              <w:spacing w:line="360" w:lineRule="exact"/>
              <w:ind w:firstLine="482" w:firstLineChars="200"/>
              <w:jc w:val="both"/>
              <w:rPr>
                <w:rFonts w:ascii="宋体" w:hAnsi="宋体" w:cs="Tahoma"/>
                <w:b/>
                <w:color w:val="auto"/>
                <w:kern w:val="0"/>
                <w:sz w:val="24"/>
                <w:szCs w:val="24"/>
              </w:rPr>
            </w:pPr>
            <w:r>
              <w:rPr>
                <w:rFonts w:hint="eastAsia" w:hAnsi="宋体" w:cs="Courier New"/>
                <w:b/>
                <w:bCs/>
                <w:color w:val="auto"/>
                <w:kern w:val="2"/>
                <w:sz w:val="24"/>
                <w:szCs w:val="24"/>
              </w:rPr>
              <w:t>注：本项目为服务项目，不适用节能、环保、区内产品政策功能加分。</w:t>
            </w:r>
          </w:p>
        </w:tc>
      </w:tr>
    </w:tbl>
    <w:p w14:paraId="4E7A9F0D">
      <w:pPr>
        <w:spacing w:line="360" w:lineRule="auto"/>
        <w:ind w:firstLine="420" w:firstLineChars="200"/>
        <w:rPr>
          <w:rFonts w:ascii="宋体" w:hAnsi="宋体"/>
          <w:bCs/>
          <w:color w:val="auto"/>
          <w:szCs w:val="21"/>
        </w:rPr>
      </w:pPr>
    </w:p>
    <w:p w14:paraId="7CE49337">
      <w:pPr>
        <w:spacing w:line="360" w:lineRule="auto"/>
        <w:ind w:firstLine="420" w:firstLineChars="200"/>
        <w:rPr>
          <w:rFonts w:ascii="宋体" w:hAnsi="宋体"/>
          <w:bCs/>
          <w:color w:val="auto"/>
          <w:szCs w:val="21"/>
        </w:rPr>
      </w:pPr>
      <w:r>
        <w:rPr>
          <w:rFonts w:ascii="宋体" w:hAnsi="宋体"/>
          <w:bCs/>
          <w:color w:val="auto"/>
          <w:szCs w:val="21"/>
        </w:rPr>
        <w:t>7.</w:t>
      </w:r>
      <w:r>
        <w:rPr>
          <w:rFonts w:hint="eastAsia" w:ascii="宋体" w:hAnsi="宋体"/>
          <w:bCs/>
          <w:color w:val="auto"/>
          <w:szCs w:val="21"/>
        </w:rPr>
        <w:t>成交候选供应商推荐原则</w:t>
      </w:r>
    </w:p>
    <w:p w14:paraId="58BCFBD6">
      <w:pPr>
        <w:rPr>
          <w:color w:val="auto"/>
        </w:rPr>
      </w:pPr>
      <w:r>
        <w:rPr>
          <w:rFonts w:hint="eastAsia" w:ascii="宋体" w:hAnsi="宋体"/>
          <w:bCs/>
          <w:color w:val="auto"/>
          <w:szCs w:val="21"/>
        </w:rPr>
        <w:t>（1）由磋商小组根据综合评分情况，按照评审得分由高到低顺序推荐3名以上成交候选供应商，并编写评审报告，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0E4070AE">
      <w:pPr>
        <w:rPr>
          <w:color w:val="auto"/>
        </w:rPr>
      </w:pPr>
    </w:p>
    <w:p w14:paraId="4270E707">
      <w:pPr>
        <w:rPr>
          <w:rFonts w:hint="eastAsia"/>
          <w:color w:val="auto"/>
        </w:rPr>
      </w:pPr>
      <w:bookmarkStart w:id="102" w:name="_Toc74323460"/>
      <w:r>
        <w:rPr>
          <w:rFonts w:hint="eastAsia"/>
          <w:color w:val="auto"/>
        </w:rPr>
        <w:br w:type="page"/>
      </w:r>
    </w:p>
    <w:p w14:paraId="0E6698D6">
      <w:pPr>
        <w:pStyle w:val="3"/>
        <w:jc w:val="center"/>
        <w:rPr>
          <w:rFonts w:hint="eastAsia"/>
          <w:color w:val="auto"/>
        </w:rPr>
      </w:pPr>
    </w:p>
    <w:p w14:paraId="673595A8">
      <w:pPr>
        <w:pStyle w:val="3"/>
        <w:jc w:val="center"/>
        <w:rPr>
          <w:rFonts w:hint="eastAsia"/>
          <w:color w:val="auto"/>
        </w:rPr>
      </w:pPr>
    </w:p>
    <w:p w14:paraId="25D388B8">
      <w:pPr>
        <w:pStyle w:val="3"/>
        <w:jc w:val="center"/>
        <w:rPr>
          <w:rFonts w:hint="eastAsia"/>
          <w:color w:val="auto"/>
        </w:rPr>
      </w:pPr>
    </w:p>
    <w:p w14:paraId="2AFD28AF">
      <w:pPr>
        <w:pStyle w:val="3"/>
        <w:jc w:val="center"/>
        <w:rPr>
          <w:rFonts w:hint="eastAsia"/>
          <w:color w:val="auto"/>
        </w:rPr>
      </w:pPr>
    </w:p>
    <w:p w14:paraId="05D4FF84">
      <w:pPr>
        <w:pStyle w:val="3"/>
        <w:jc w:val="center"/>
        <w:rPr>
          <w:rFonts w:hint="eastAsia"/>
          <w:color w:val="auto"/>
        </w:rPr>
      </w:pPr>
    </w:p>
    <w:p w14:paraId="2FB39C66">
      <w:pPr>
        <w:pStyle w:val="3"/>
        <w:jc w:val="center"/>
        <w:rPr>
          <w:color w:val="auto"/>
        </w:rPr>
      </w:pPr>
      <w:r>
        <w:rPr>
          <w:rFonts w:hint="eastAsia"/>
          <w:color w:val="auto"/>
        </w:rPr>
        <w:t>第五章 响应文件格式</w:t>
      </w:r>
      <w:bookmarkEnd w:id="102"/>
    </w:p>
    <w:p w14:paraId="431D5F7B">
      <w:pPr>
        <w:spacing w:line="240" w:lineRule="atLeast"/>
        <w:rPr>
          <w:rFonts w:ascii="宋体" w:hAnsi="宋体"/>
          <w:b/>
          <w:color w:val="auto"/>
          <w:sz w:val="32"/>
          <w:szCs w:val="32"/>
        </w:rPr>
      </w:pPr>
    </w:p>
    <w:p w14:paraId="21D3EC4D">
      <w:pPr>
        <w:spacing w:line="240" w:lineRule="atLeast"/>
        <w:rPr>
          <w:rFonts w:ascii="宋体" w:hAnsi="宋体"/>
          <w:b/>
          <w:color w:val="auto"/>
          <w:sz w:val="32"/>
          <w:szCs w:val="32"/>
        </w:rPr>
      </w:pPr>
    </w:p>
    <w:p w14:paraId="04080792">
      <w:pPr>
        <w:spacing w:line="240" w:lineRule="atLeast"/>
        <w:rPr>
          <w:rFonts w:ascii="宋体" w:hAnsi="宋体"/>
          <w:b/>
          <w:color w:val="auto"/>
          <w:sz w:val="32"/>
          <w:szCs w:val="32"/>
        </w:rPr>
      </w:pPr>
    </w:p>
    <w:p w14:paraId="1B91F196">
      <w:pPr>
        <w:spacing w:line="240" w:lineRule="atLeast"/>
        <w:rPr>
          <w:rFonts w:ascii="宋体" w:hAnsi="宋体"/>
          <w:b/>
          <w:color w:val="auto"/>
          <w:sz w:val="32"/>
          <w:szCs w:val="32"/>
        </w:rPr>
      </w:pPr>
    </w:p>
    <w:p w14:paraId="1E4B8515">
      <w:pPr>
        <w:spacing w:line="240" w:lineRule="atLeast"/>
        <w:rPr>
          <w:rFonts w:ascii="宋体" w:hAnsi="宋体"/>
          <w:b/>
          <w:color w:val="auto"/>
          <w:sz w:val="32"/>
          <w:szCs w:val="32"/>
        </w:rPr>
      </w:pPr>
    </w:p>
    <w:p w14:paraId="489F0AC4">
      <w:pPr>
        <w:spacing w:line="240" w:lineRule="atLeast"/>
        <w:rPr>
          <w:rFonts w:ascii="宋体" w:hAnsi="宋体"/>
          <w:b/>
          <w:color w:val="auto"/>
          <w:sz w:val="32"/>
          <w:szCs w:val="32"/>
        </w:rPr>
      </w:pPr>
    </w:p>
    <w:p w14:paraId="4754E9FB">
      <w:pPr>
        <w:spacing w:line="240" w:lineRule="atLeast"/>
        <w:rPr>
          <w:rFonts w:ascii="宋体" w:hAnsi="宋体"/>
          <w:b/>
          <w:color w:val="auto"/>
          <w:sz w:val="32"/>
          <w:szCs w:val="32"/>
        </w:rPr>
      </w:pPr>
    </w:p>
    <w:p w14:paraId="5F6925F9">
      <w:pPr>
        <w:spacing w:line="240" w:lineRule="atLeast"/>
        <w:rPr>
          <w:rFonts w:ascii="宋体" w:hAnsi="宋体"/>
          <w:b/>
          <w:color w:val="auto"/>
          <w:sz w:val="32"/>
          <w:szCs w:val="32"/>
        </w:rPr>
      </w:pPr>
    </w:p>
    <w:p w14:paraId="7A1F2501">
      <w:pPr>
        <w:spacing w:line="240" w:lineRule="atLeast"/>
        <w:rPr>
          <w:rFonts w:ascii="宋体" w:hAnsi="宋体"/>
          <w:b/>
          <w:color w:val="auto"/>
          <w:sz w:val="32"/>
          <w:szCs w:val="32"/>
        </w:rPr>
      </w:pPr>
    </w:p>
    <w:p w14:paraId="70522843">
      <w:pPr>
        <w:spacing w:line="240" w:lineRule="atLeast"/>
        <w:rPr>
          <w:rFonts w:ascii="宋体" w:hAnsi="宋体"/>
          <w:b/>
          <w:color w:val="auto"/>
          <w:sz w:val="32"/>
          <w:szCs w:val="32"/>
        </w:rPr>
      </w:pPr>
    </w:p>
    <w:p w14:paraId="627505DB">
      <w:pPr>
        <w:spacing w:line="240" w:lineRule="atLeast"/>
        <w:rPr>
          <w:rFonts w:ascii="宋体" w:hAnsi="宋体"/>
          <w:b/>
          <w:color w:val="auto"/>
          <w:sz w:val="32"/>
          <w:szCs w:val="32"/>
        </w:rPr>
      </w:pPr>
    </w:p>
    <w:p w14:paraId="070E3075">
      <w:pPr>
        <w:snapToGrid w:val="0"/>
        <w:spacing w:before="50" w:after="50"/>
        <w:outlineLvl w:val="1"/>
        <w:rPr>
          <w:rFonts w:ascii="宋体" w:hAnsi="宋体"/>
          <w:b/>
          <w:bCs/>
          <w:color w:val="auto"/>
          <w:sz w:val="24"/>
        </w:rPr>
      </w:pPr>
    </w:p>
    <w:p w14:paraId="0E467BD6">
      <w:pPr>
        <w:rPr>
          <w:b/>
          <w:color w:val="auto"/>
          <w:sz w:val="32"/>
          <w:szCs w:val="32"/>
        </w:rPr>
      </w:pPr>
      <w:bookmarkStart w:id="103" w:name="_Toc44229899"/>
      <w:bookmarkStart w:id="104" w:name="_Toc35611516"/>
      <w:bookmarkStart w:id="105" w:name="_Toc31723070"/>
      <w:bookmarkStart w:id="106" w:name="_Toc35611438"/>
      <w:bookmarkStart w:id="107" w:name="_Toc31728084"/>
      <w:bookmarkStart w:id="108" w:name="_Toc71366186"/>
      <w:r>
        <w:rPr>
          <w:rFonts w:hint="eastAsia"/>
          <w:b/>
          <w:color w:val="auto"/>
          <w:sz w:val="32"/>
          <w:szCs w:val="32"/>
        </w:rPr>
        <w:t>一、资格证明文件格式</w:t>
      </w:r>
      <w:bookmarkEnd w:id="103"/>
      <w:bookmarkEnd w:id="104"/>
      <w:bookmarkEnd w:id="105"/>
      <w:bookmarkEnd w:id="106"/>
      <w:bookmarkEnd w:id="107"/>
      <w:bookmarkEnd w:id="108"/>
    </w:p>
    <w:p w14:paraId="420E7C1D">
      <w:pPr>
        <w:snapToGrid w:val="0"/>
        <w:spacing w:before="156"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r>
        <w:rPr>
          <w:rFonts w:hint="eastAsia" w:ascii="宋体" w:hAnsi="宋体"/>
          <w:b/>
          <w:color w:val="auto"/>
          <w:sz w:val="24"/>
        </w:rPr>
        <w:t xml:space="preserve"> </w:t>
      </w:r>
    </w:p>
    <w:p w14:paraId="57DCD63A">
      <w:pPr>
        <w:snapToGrid w:val="0"/>
        <w:spacing w:before="156" w:beforeLines="50" w:after="50"/>
        <w:jc w:val="center"/>
        <w:rPr>
          <w:rFonts w:ascii="宋体" w:hAnsi="宋体"/>
          <w:color w:val="auto"/>
          <w:sz w:val="44"/>
          <w:szCs w:val="44"/>
        </w:rPr>
      </w:pPr>
    </w:p>
    <w:p w14:paraId="47080B77">
      <w:pPr>
        <w:snapToGrid w:val="0"/>
        <w:spacing w:before="156" w:beforeLines="50" w:after="50"/>
        <w:jc w:val="center"/>
        <w:rPr>
          <w:rFonts w:ascii="宋体" w:hAnsi="宋体"/>
          <w:color w:val="auto"/>
          <w:sz w:val="44"/>
          <w:szCs w:val="44"/>
        </w:rPr>
      </w:pPr>
      <w:r>
        <w:rPr>
          <w:rFonts w:hint="eastAsia" w:ascii="宋体" w:hAnsi="宋体"/>
          <w:color w:val="auto"/>
          <w:sz w:val="44"/>
          <w:szCs w:val="44"/>
        </w:rPr>
        <w:t>电 子 响 应 文 件</w:t>
      </w:r>
    </w:p>
    <w:p w14:paraId="0DC8E699">
      <w:pPr>
        <w:snapToGrid w:val="0"/>
        <w:spacing w:before="156" w:beforeLines="50" w:after="50"/>
        <w:rPr>
          <w:rFonts w:ascii="宋体" w:hAnsi="宋体"/>
          <w:color w:val="auto"/>
          <w:sz w:val="24"/>
          <w:szCs w:val="20"/>
        </w:rPr>
      </w:pPr>
    </w:p>
    <w:p w14:paraId="13188802">
      <w:pPr>
        <w:snapToGrid w:val="0"/>
        <w:spacing w:before="156"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资  格  证  明  文  件</w:t>
      </w:r>
    </w:p>
    <w:p w14:paraId="47116832">
      <w:pPr>
        <w:snapToGrid w:val="0"/>
        <w:spacing w:before="156" w:beforeLines="50" w:after="50"/>
        <w:rPr>
          <w:rFonts w:ascii="宋体" w:hAnsi="宋体"/>
          <w:bCs/>
          <w:color w:val="auto"/>
          <w:sz w:val="24"/>
          <w:szCs w:val="20"/>
        </w:rPr>
      </w:pPr>
    </w:p>
    <w:p w14:paraId="6E242AB2">
      <w:pPr>
        <w:snapToGrid w:val="0"/>
        <w:spacing w:before="156" w:beforeLines="50" w:after="50"/>
        <w:rPr>
          <w:rFonts w:ascii="宋体" w:hAnsi="宋体"/>
          <w:bCs/>
          <w:color w:val="auto"/>
          <w:sz w:val="24"/>
          <w:szCs w:val="20"/>
        </w:rPr>
      </w:pPr>
    </w:p>
    <w:p w14:paraId="27A95916">
      <w:pPr>
        <w:snapToGrid w:val="0"/>
        <w:spacing w:before="156" w:beforeLines="50" w:after="50"/>
        <w:rPr>
          <w:rFonts w:ascii="宋体" w:hAnsi="宋体"/>
          <w:bCs/>
          <w:color w:val="auto"/>
          <w:sz w:val="24"/>
          <w:szCs w:val="20"/>
        </w:rPr>
      </w:pPr>
    </w:p>
    <w:p w14:paraId="53F1C66C">
      <w:pPr>
        <w:snapToGrid w:val="0"/>
        <w:spacing w:before="156" w:beforeLines="50" w:after="50"/>
        <w:rPr>
          <w:rFonts w:ascii="宋体" w:hAnsi="宋体"/>
          <w:bCs/>
          <w:color w:val="auto"/>
          <w:sz w:val="24"/>
          <w:szCs w:val="20"/>
        </w:rPr>
      </w:pPr>
    </w:p>
    <w:p w14:paraId="6C62102D">
      <w:pPr>
        <w:snapToGrid w:val="0"/>
        <w:spacing w:before="156" w:beforeLines="50" w:after="50"/>
        <w:rPr>
          <w:rFonts w:ascii="宋体" w:hAnsi="宋体"/>
          <w:bCs/>
          <w:color w:val="auto"/>
          <w:sz w:val="24"/>
          <w:szCs w:val="20"/>
        </w:rPr>
      </w:pPr>
    </w:p>
    <w:p w14:paraId="2F31D6A2">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535F30A1">
      <w:pPr>
        <w:snapToGrid w:val="0"/>
        <w:spacing w:before="156" w:beforeLines="50" w:after="50"/>
        <w:ind w:firstLine="720" w:firstLineChars="225"/>
        <w:rPr>
          <w:rFonts w:ascii="宋体" w:hAnsi="宋体" w:cs="仿宋_GB2312"/>
          <w:bCs/>
          <w:color w:val="auto"/>
          <w:sz w:val="32"/>
          <w:szCs w:val="32"/>
        </w:rPr>
      </w:pPr>
    </w:p>
    <w:p w14:paraId="0803B439">
      <w:pPr>
        <w:snapToGrid w:val="0"/>
        <w:spacing w:before="156"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14:paraId="13FA09E2">
      <w:pPr>
        <w:snapToGrid w:val="0"/>
        <w:spacing w:before="156"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 xml:space="preserve"> </w:t>
      </w:r>
    </w:p>
    <w:p w14:paraId="15D30F74">
      <w:pPr>
        <w:snapToGrid w:val="0"/>
        <w:spacing w:before="156"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27C76A93">
      <w:pPr>
        <w:snapToGrid w:val="0"/>
        <w:spacing w:before="156" w:beforeLines="50" w:after="50"/>
        <w:ind w:firstLine="720" w:firstLineChars="225"/>
        <w:rPr>
          <w:rFonts w:ascii="宋体" w:hAnsi="宋体" w:cs="仿宋_GB2312"/>
          <w:bCs/>
          <w:color w:val="auto"/>
          <w:sz w:val="32"/>
          <w:szCs w:val="32"/>
        </w:rPr>
      </w:pPr>
    </w:p>
    <w:p w14:paraId="4DA55495">
      <w:pPr>
        <w:pStyle w:val="2"/>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14:paraId="2923F7C4">
      <w:pPr>
        <w:snapToGrid w:val="0"/>
        <w:spacing w:before="156" w:beforeLines="50" w:after="50"/>
        <w:ind w:firstLine="640" w:firstLineChars="200"/>
        <w:rPr>
          <w:rFonts w:ascii="宋体" w:hAnsi="宋体" w:cs="仿宋_GB2312"/>
          <w:bCs/>
          <w:color w:val="auto"/>
          <w:sz w:val="32"/>
          <w:szCs w:val="32"/>
        </w:rPr>
      </w:pPr>
    </w:p>
    <w:p w14:paraId="53031C36">
      <w:pPr>
        <w:pStyle w:val="2"/>
        <w:snapToGrid w:val="0"/>
        <w:spacing w:before="50" w:after="50"/>
        <w:ind w:firstLine="720" w:firstLineChars="225"/>
        <w:rPr>
          <w:rFonts w:ascii="宋体" w:hAnsi="宋体" w:cs="仿宋_GB2312"/>
          <w:bCs/>
          <w:color w:val="auto"/>
          <w:sz w:val="32"/>
          <w:szCs w:val="32"/>
        </w:rPr>
      </w:pPr>
    </w:p>
    <w:p w14:paraId="12F30503">
      <w:pPr>
        <w:pStyle w:val="2"/>
        <w:snapToGrid w:val="0"/>
        <w:spacing w:before="50" w:after="50"/>
        <w:ind w:firstLine="720" w:firstLineChars="225"/>
        <w:rPr>
          <w:rFonts w:ascii="宋体" w:hAnsi="宋体" w:cs="仿宋_GB2312"/>
          <w:bCs/>
          <w:color w:val="auto"/>
          <w:sz w:val="32"/>
          <w:szCs w:val="32"/>
        </w:rPr>
      </w:pPr>
    </w:p>
    <w:p w14:paraId="21CFFC4B">
      <w:pPr>
        <w:pStyle w:val="2"/>
        <w:snapToGrid w:val="0"/>
        <w:spacing w:before="50" w:after="50"/>
        <w:ind w:firstLine="1280" w:firstLineChars="400"/>
        <w:rPr>
          <w:rFonts w:ascii="宋体" w:hAnsi="宋体" w:cs="仿宋_GB2312"/>
          <w:bCs/>
          <w:color w:val="auto"/>
          <w:sz w:val="32"/>
          <w:szCs w:val="32"/>
        </w:rPr>
      </w:pPr>
    </w:p>
    <w:p w14:paraId="6A06C6E7">
      <w:pPr>
        <w:snapToGrid w:val="0"/>
        <w:spacing w:before="156"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34EB2D0C">
      <w:pPr>
        <w:snapToGrid w:val="0"/>
        <w:spacing w:before="156"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5AB4A874">
      <w:pPr>
        <w:snapToGrid w:val="0"/>
        <w:spacing w:before="156"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01D298D7">
      <w:pPr>
        <w:snapToGrid w:val="0"/>
        <w:spacing w:before="156" w:beforeLines="50" w:after="50"/>
        <w:rPr>
          <w:rFonts w:ascii="宋体" w:hAnsi="宋体"/>
          <w:color w:val="auto"/>
          <w:sz w:val="24"/>
          <w:szCs w:val="20"/>
        </w:rPr>
      </w:pPr>
      <w:r>
        <w:rPr>
          <w:rFonts w:ascii="宋体" w:hAnsi="宋体"/>
          <w:color w:val="auto"/>
          <w:sz w:val="24"/>
          <w:szCs w:val="20"/>
        </w:rPr>
        <w:t xml:space="preserve"> </w:t>
      </w:r>
    </w:p>
    <w:p w14:paraId="3FAF7809">
      <w:pPr>
        <w:spacing w:line="300" w:lineRule="auto"/>
        <w:rPr>
          <w:rFonts w:ascii="宋体" w:hAnsi="宋体"/>
          <w:color w:val="auto"/>
          <w:szCs w:val="21"/>
        </w:rPr>
      </w:pPr>
    </w:p>
    <w:p w14:paraId="005B15FA">
      <w:pPr>
        <w:spacing w:line="300" w:lineRule="auto"/>
        <w:rPr>
          <w:rFonts w:ascii="宋体" w:hAnsi="宋体"/>
          <w:color w:val="auto"/>
          <w:szCs w:val="21"/>
        </w:rPr>
      </w:pPr>
    </w:p>
    <w:p w14:paraId="48C344AB">
      <w:pPr>
        <w:spacing w:line="300" w:lineRule="auto"/>
        <w:rPr>
          <w:rFonts w:ascii="宋体" w:hAnsi="宋体"/>
          <w:color w:val="auto"/>
          <w:szCs w:val="21"/>
        </w:rPr>
      </w:pPr>
    </w:p>
    <w:p w14:paraId="56D9F67B">
      <w:pPr>
        <w:spacing w:line="300" w:lineRule="auto"/>
        <w:rPr>
          <w:rFonts w:ascii="宋体" w:hAnsi="宋体"/>
          <w:color w:val="auto"/>
          <w:szCs w:val="21"/>
        </w:rPr>
      </w:pPr>
    </w:p>
    <w:p w14:paraId="72D6BA30">
      <w:pPr>
        <w:spacing w:line="300" w:lineRule="auto"/>
        <w:rPr>
          <w:rFonts w:ascii="宋体" w:hAnsi="宋体"/>
          <w:color w:val="auto"/>
          <w:szCs w:val="21"/>
        </w:rPr>
      </w:pPr>
    </w:p>
    <w:p w14:paraId="2EA97524">
      <w:pPr>
        <w:spacing w:line="300" w:lineRule="auto"/>
        <w:rPr>
          <w:rFonts w:ascii="宋体" w:hAnsi="宋体"/>
          <w:color w:val="auto"/>
          <w:szCs w:val="21"/>
        </w:rPr>
      </w:pPr>
    </w:p>
    <w:p w14:paraId="21327A7B">
      <w:pPr>
        <w:spacing w:line="300" w:lineRule="auto"/>
        <w:rPr>
          <w:rFonts w:ascii="宋体" w:hAnsi="宋体"/>
          <w:color w:val="auto"/>
          <w:szCs w:val="21"/>
        </w:rPr>
      </w:pPr>
    </w:p>
    <w:p w14:paraId="6C91E767">
      <w:pPr>
        <w:spacing w:line="300" w:lineRule="auto"/>
        <w:rPr>
          <w:rFonts w:ascii="宋体" w:hAnsi="宋体"/>
          <w:color w:val="auto"/>
          <w:szCs w:val="21"/>
        </w:rPr>
      </w:pPr>
    </w:p>
    <w:p w14:paraId="1C6C4F41">
      <w:pPr>
        <w:spacing w:line="300" w:lineRule="auto"/>
        <w:rPr>
          <w:rFonts w:ascii="宋体" w:hAnsi="宋体"/>
          <w:color w:val="auto"/>
          <w:szCs w:val="21"/>
        </w:rPr>
      </w:pPr>
    </w:p>
    <w:p w14:paraId="12839582">
      <w:pPr>
        <w:spacing w:line="300" w:lineRule="auto"/>
        <w:rPr>
          <w:rFonts w:ascii="宋体" w:hAnsi="宋体"/>
          <w:color w:val="auto"/>
          <w:szCs w:val="21"/>
        </w:rPr>
      </w:pPr>
    </w:p>
    <w:p w14:paraId="5213A8F3">
      <w:pPr>
        <w:spacing w:line="300" w:lineRule="auto"/>
        <w:rPr>
          <w:rFonts w:ascii="宋体" w:hAnsi="宋体"/>
          <w:color w:val="auto"/>
          <w:szCs w:val="21"/>
        </w:rPr>
      </w:pPr>
    </w:p>
    <w:p w14:paraId="0825DA7F">
      <w:pPr>
        <w:spacing w:line="300" w:lineRule="auto"/>
        <w:rPr>
          <w:rFonts w:ascii="宋体" w:hAnsi="宋体"/>
          <w:color w:val="auto"/>
          <w:szCs w:val="21"/>
        </w:rPr>
      </w:pPr>
    </w:p>
    <w:p w14:paraId="1256E8FB">
      <w:pPr>
        <w:spacing w:line="300" w:lineRule="auto"/>
        <w:rPr>
          <w:rFonts w:ascii="宋体" w:hAnsi="宋体"/>
          <w:color w:val="auto"/>
          <w:szCs w:val="21"/>
        </w:rPr>
      </w:pPr>
    </w:p>
    <w:p w14:paraId="5856E7BE">
      <w:pPr>
        <w:spacing w:line="300" w:lineRule="auto"/>
        <w:rPr>
          <w:rFonts w:ascii="宋体" w:hAnsi="宋体"/>
          <w:color w:val="auto"/>
          <w:szCs w:val="21"/>
        </w:rPr>
      </w:pPr>
    </w:p>
    <w:p w14:paraId="7F06A4E9">
      <w:pPr>
        <w:spacing w:line="300" w:lineRule="auto"/>
        <w:rPr>
          <w:rFonts w:ascii="宋体" w:hAnsi="宋体"/>
          <w:color w:val="auto"/>
          <w:szCs w:val="21"/>
        </w:rPr>
      </w:pPr>
    </w:p>
    <w:p w14:paraId="6888076D">
      <w:pPr>
        <w:spacing w:line="320" w:lineRule="exact"/>
        <w:jc w:val="left"/>
        <w:rPr>
          <w:rFonts w:ascii="宋体" w:hAnsi="宋体"/>
          <w:color w:val="auto"/>
          <w:szCs w:val="21"/>
        </w:rPr>
      </w:pPr>
      <w:r>
        <w:rPr>
          <w:rFonts w:ascii="宋体" w:hAnsi="宋体"/>
          <w:color w:val="auto"/>
          <w:szCs w:val="21"/>
        </w:rPr>
        <w:br w:type="page"/>
      </w:r>
      <w:r>
        <w:rPr>
          <w:rFonts w:hint="eastAsia" w:ascii="宋体" w:hAnsi="宋体"/>
          <w:color w:val="auto"/>
          <w:szCs w:val="21"/>
        </w:rPr>
        <w:t xml:space="preserve"> </w:t>
      </w:r>
    </w:p>
    <w:p w14:paraId="1C6BD285">
      <w:pPr>
        <w:wordWrap w:val="0"/>
        <w:spacing w:before="156" w:beforeLines="50" w:after="50" w:line="320" w:lineRule="exact"/>
        <w:ind w:right="482" w:firstLine="210" w:firstLineChars="100"/>
        <w:contextualSpacing/>
        <w:jc w:val="center"/>
        <w:rPr>
          <w:rFonts w:ascii="宋体" w:hAnsi="宋体"/>
          <w:color w:val="auto"/>
          <w:szCs w:val="21"/>
        </w:rPr>
      </w:pPr>
    </w:p>
    <w:p w14:paraId="4D07BABC">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14:paraId="5AFE1AAB">
      <w:pPr>
        <w:snapToGrid w:val="0"/>
        <w:spacing w:before="156" w:beforeLines="50" w:after="50" w:line="360" w:lineRule="auto"/>
        <w:jc w:val="center"/>
        <w:rPr>
          <w:rFonts w:ascii="宋体" w:hAnsi="宋体"/>
          <w:b/>
          <w:color w:val="auto"/>
          <w:sz w:val="24"/>
        </w:rPr>
      </w:pPr>
    </w:p>
    <w:p w14:paraId="353E76C5">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14:paraId="7989900D">
      <w:pPr>
        <w:spacing w:line="360" w:lineRule="auto"/>
        <w:contextualSpacing/>
        <w:jc w:val="center"/>
        <w:rPr>
          <w:rFonts w:ascii="宋体" w:hAnsi="宋体"/>
          <w:b/>
          <w:color w:val="auto"/>
          <w:sz w:val="24"/>
        </w:rPr>
      </w:pPr>
    </w:p>
    <w:tbl>
      <w:tblPr>
        <w:tblStyle w:val="25"/>
        <w:tblW w:w="9119" w:type="dxa"/>
        <w:jc w:val="center"/>
        <w:shd w:val="clear" w:color="auto" w:fill="FBFBFB"/>
        <w:tblLayout w:type="fixed"/>
        <w:tblCellMar>
          <w:top w:w="0" w:type="dxa"/>
          <w:left w:w="0" w:type="dxa"/>
          <w:bottom w:w="0" w:type="dxa"/>
          <w:right w:w="0" w:type="dxa"/>
        </w:tblCellMar>
      </w:tblPr>
      <w:tblGrid>
        <w:gridCol w:w="790"/>
        <w:gridCol w:w="2172"/>
        <w:gridCol w:w="1299"/>
        <w:gridCol w:w="2305"/>
        <w:gridCol w:w="1370"/>
        <w:gridCol w:w="1183"/>
      </w:tblGrid>
      <w:tr w14:paraId="5510336A">
        <w:tblPrEx>
          <w:shd w:val="clear" w:color="auto" w:fill="FBFBFB"/>
          <w:tblCellMar>
            <w:top w:w="0" w:type="dxa"/>
            <w:left w:w="0" w:type="dxa"/>
            <w:bottom w:w="0" w:type="dxa"/>
            <w:right w:w="0" w:type="dxa"/>
          </w:tblCellMar>
        </w:tblPrEx>
        <w:trPr>
          <w:tblHeader/>
          <w:jc w:val="center"/>
        </w:trPr>
        <w:tc>
          <w:tcPr>
            <w:tcW w:w="79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B3647F">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17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479AA5">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9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B2B308">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23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9ACC45">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3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A1295E">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性别（说明：出资人为自然人的需填写）</w:t>
            </w:r>
          </w:p>
        </w:tc>
        <w:tc>
          <w:tcPr>
            <w:tcW w:w="118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E302A7">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08F485D7">
        <w:tblPrEx>
          <w:shd w:val="clear" w:color="auto" w:fill="FBFBFB"/>
          <w:tblCellMar>
            <w:top w:w="0" w:type="dxa"/>
            <w:left w:w="0" w:type="dxa"/>
            <w:bottom w:w="0" w:type="dxa"/>
            <w:right w:w="0" w:type="dxa"/>
          </w:tblCellMar>
        </w:tblPrEx>
        <w:trPr>
          <w:jc w:val="center"/>
        </w:trPr>
        <w:tc>
          <w:tcPr>
            <w:tcW w:w="79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356403">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17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6CC58A">
            <w:pPr>
              <w:widowControl/>
              <w:spacing w:line="360" w:lineRule="auto"/>
              <w:contextualSpacing/>
              <w:jc w:val="center"/>
              <w:rPr>
                <w:rFonts w:ascii="宋体" w:hAnsi="宋体" w:cs="宋体"/>
                <w:color w:val="auto"/>
                <w:kern w:val="0"/>
                <w:sz w:val="24"/>
              </w:rPr>
            </w:pPr>
          </w:p>
        </w:tc>
        <w:tc>
          <w:tcPr>
            <w:tcW w:w="129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B85C69">
            <w:pPr>
              <w:widowControl/>
              <w:spacing w:line="360" w:lineRule="auto"/>
              <w:contextualSpacing/>
              <w:jc w:val="center"/>
              <w:rPr>
                <w:rFonts w:ascii="宋体" w:hAnsi="宋体" w:cs="宋体"/>
                <w:color w:val="auto"/>
                <w:kern w:val="0"/>
                <w:sz w:val="24"/>
              </w:rPr>
            </w:pPr>
          </w:p>
        </w:tc>
        <w:tc>
          <w:tcPr>
            <w:tcW w:w="23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7B0776">
            <w:pPr>
              <w:widowControl/>
              <w:spacing w:line="360" w:lineRule="auto"/>
              <w:contextualSpacing/>
              <w:jc w:val="center"/>
              <w:rPr>
                <w:rFonts w:ascii="宋体" w:hAnsi="宋体" w:cs="宋体"/>
                <w:color w:val="auto"/>
                <w:kern w:val="0"/>
                <w:sz w:val="24"/>
              </w:rPr>
            </w:pPr>
          </w:p>
        </w:tc>
        <w:tc>
          <w:tcPr>
            <w:tcW w:w="13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52E7ED">
            <w:pPr>
              <w:widowControl/>
              <w:spacing w:line="360" w:lineRule="auto"/>
              <w:contextualSpacing/>
              <w:jc w:val="center"/>
              <w:rPr>
                <w:rFonts w:ascii="宋体" w:hAnsi="宋体" w:cs="宋体"/>
                <w:color w:val="auto"/>
                <w:kern w:val="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A9C7E3">
            <w:pPr>
              <w:widowControl/>
              <w:spacing w:line="360" w:lineRule="auto"/>
              <w:contextualSpacing/>
              <w:jc w:val="center"/>
              <w:rPr>
                <w:rFonts w:ascii="宋体" w:hAnsi="宋体" w:cs="宋体"/>
                <w:color w:val="auto"/>
                <w:kern w:val="0"/>
                <w:sz w:val="24"/>
              </w:rPr>
            </w:pPr>
          </w:p>
        </w:tc>
      </w:tr>
      <w:tr w14:paraId="13AFC01A">
        <w:tblPrEx>
          <w:shd w:val="clear" w:color="auto" w:fill="FBFBFB"/>
          <w:tblCellMar>
            <w:top w:w="0" w:type="dxa"/>
            <w:left w:w="0" w:type="dxa"/>
            <w:bottom w:w="0" w:type="dxa"/>
            <w:right w:w="0" w:type="dxa"/>
          </w:tblCellMar>
        </w:tblPrEx>
        <w:trPr>
          <w:jc w:val="center"/>
        </w:trPr>
        <w:tc>
          <w:tcPr>
            <w:tcW w:w="79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9A6B03">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17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80DC52">
            <w:pPr>
              <w:widowControl/>
              <w:spacing w:line="360" w:lineRule="auto"/>
              <w:contextualSpacing/>
              <w:jc w:val="center"/>
              <w:rPr>
                <w:rFonts w:ascii="宋体" w:hAnsi="宋体" w:cs="宋体"/>
                <w:color w:val="auto"/>
                <w:kern w:val="0"/>
                <w:sz w:val="24"/>
              </w:rPr>
            </w:pPr>
          </w:p>
        </w:tc>
        <w:tc>
          <w:tcPr>
            <w:tcW w:w="129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938915">
            <w:pPr>
              <w:widowControl/>
              <w:spacing w:line="360" w:lineRule="auto"/>
              <w:contextualSpacing/>
              <w:jc w:val="center"/>
              <w:rPr>
                <w:rFonts w:ascii="宋体" w:hAnsi="宋体" w:cs="宋体"/>
                <w:color w:val="auto"/>
                <w:kern w:val="0"/>
                <w:sz w:val="24"/>
              </w:rPr>
            </w:pPr>
          </w:p>
        </w:tc>
        <w:tc>
          <w:tcPr>
            <w:tcW w:w="23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327EE0">
            <w:pPr>
              <w:widowControl/>
              <w:spacing w:line="360" w:lineRule="auto"/>
              <w:contextualSpacing/>
              <w:jc w:val="center"/>
              <w:rPr>
                <w:rFonts w:ascii="宋体" w:hAnsi="宋体" w:cs="宋体"/>
                <w:color w:val="auto"/>
                <w:kern w:val="0"/>
                <w:sz w:val="24"/>
              </w:rPr>
            </w:pPr>
          </w:p>
        </w:tc>
        <w:tc>
          <w:tcPr>
            <w:tcW w:w="13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122E35">
            <w:pPr>
              <w:widowControl/>
              <w:spacing w:line="360" w:lineRule="auto"/>
              <w:contextualSpacing/>
              <w:jc w:val="center"/>
              <w:rPr>
                <w:rFonts w:ascii="宋体" w:hAnsi="宋体" w:cs="宋体"/>
                <w:color w:val="auto"/>
                <w:kern w:val="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24FFBD">
            <w:pPr>
              <w:widowControl/>
              <w:spacing w:line="360" w:lineRule="auto"/>
              <w:contextualSpacing/>
              <w:jc w:val="center"/>
              <w:rPr>
                <w:rFonts w:ascii="宋体" w:hAnsi="宋体" w:cs="宋体"/>
                <w:color w:val="auto"/>
                <w:kern w:val="0"/>
                <w:sz w:val="24"/>
              </w:rPr>
            </w:pPr>
          </w:p>
        </w:tc>
      </w:tr>
      <w:tr w14:paraId="22ACD3D2">
        <w:tblPrEx>
          <w:tblCellMar>
            <w:top w:w="0" w:type="dxa"/>
            <w:left w:w="0" w:type="dxa"/>
            <w:bottom w:w="0" w:type="dxa"/>
            <w:right w:w="0" w:type="dxa"/>
          </w:tblCellMar>
        </w:tblPrEx>
        <w:trPr>
          <w:jc w:val="center"/>
        </w:trPr>
        <w:tc>
          <w:tcPr>
            <w:tcW w:w="79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1605BA">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17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8E61F2">
            <w:pPr>
              <w:widowControl/>
              <w:spacing w:line="360" w:lineRule="auto"/>
              <w:contextualSpacing/>
              <w:jc w:val="center"/>
              <w:rPr>
                <w:rFonts w:ascii="宋体" w:hAnsi="宋体" w:cs="宋体"/>
                <w:color w:val="auto"/>
                <w:kern w:val="0"/>
                <w:sz w:val="24"/>
              </w:rPr>
            </w:pPr>
          </w:p>
        </w:tc>
        <w:tc>
          <w:tcPr>
            <w:tcW w:w="129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1CDF9C">
            <w:pPr>
              <w:widowControl/>
              <w:spacing w:line="360" w:lineRule="auto"/>
              <w:contextualSpacing/>
              <w:jc w:val="center"/>
              <w:rPr>
                <w:rFonts w:ascii="宋体" w:hAnsi="宋体" w:cs="宋体"/>
                <w:color w:val="auto"/>
                <w:kern w:val="0"/>
                <w:sz w:val="24"/>
              </w:rPr>
            </w:pPr>
          </w:p>
        </w:tc>
        <w:tc>
          <w:tcPr>
            <w:tcW w:w="23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9B7DD5">
            <w:pPr>
              <w:widowControl/>
              <w:spacing w:line="360" w:lineRule="auto"/>
              <w:contextualSpacing/>
              <w:jc w:val="center"/>
              <w:rPr>
                <w:rFonts w:ascii="宋体" w:hAnsi="宋体" w:cs="宋体"/>
                <w:color w:val="auto"/>
                <w:kern w:val="0"/>
                <w:sz w:val="24"/>
              </w:rPr>
            </w:pPr>
          </w:p>
        </w:tc>
        <w:tc>
          <w:tcPr>
            <w:tcW w:w="13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10E991">
            <w:pPr>
              <w:widowControl/>
              <w:spacing w:line="360" w:lineRule="auto"/>
              <w:contextualSpacing/>
              <w:jc w:val="center"/>
              <w:rPr>
                <w:rFonts w:ascii="宋体" w:hAnsi="宋体" w:cs="宋体"/>
                <w:color w:val="auto"/>
                <w:kern w:val="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6336A6">
            <w:pPr>
              <w:widowControl/>
              <w:spacing w:line="360" w:lineRule="auto"/>
              <w:contextualSpacing/>
              <w:jc w:val="center"/>
              <w:rPr>
                <w:rFonts w:ascii="宋体" w:hAnsi="宋体" w:cs="宋体"/>
                <w:color w:val="auto"/>
                <w:kern w:val="0"/>
                <w:sz w:val="24"/>
              </w:rPr>
            </w:pPr>
          </w:p>
        </w:tc>
      </w:tr>
      <w:tr w14:paraId="4A973F23">
        <w:tblPrEx>
          <w:tblCellMar>
            <w:top w:w="0" w:type="dxa"/>
            <w:left w:w="0" w:type="dxa"/>
            <w:bottom w:w="0" w:type="dxa"/>
            <w:right w:w="0" w:type="dxa"/>
          </w:tblCellMar>
        </w:tblPrEx>
        <w:trPr>
          <w:jc w:val="center"/>
        </w:trPr>
        <w:tc>
          <w:tcPr>
            <w:tcW w:w="79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54A6CE">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17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ECDE6E">
            <w:pPr>
              <w:widowControl/>
              <w:spacing w:line="360" w:lineRule="auto"/>
              <w:contextualSpacing/>
              <w:jc w:val="center"/>
              <w:rPr>
                <w:rFonts w:ascii="宋体" w:hAnsi="宋体" w:cs="宋体"/>
                <w:color w:val="auto"/>
                <w:kern w:val="0"/>
                <w:sz w:val="24"/>
              </w:rPr>
            </w:pPr>
          </w:p>
        </w:tc>
        <w:tc>
          <w:tcPr>
            <w:tcW w:w="129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713452">
            <w:pPr>
              <w:widowControl/>
              <w:spacing w:line="360" w:lineRule="auto"/>
              <w:contextualSpacing/>
              <w:jc w:val="center"/>
              <w:rPr>
                <w:rFonts w:ascii="宋体" w:hAnsi="宋体" w:cs="宋体"/>
                <w:color w:val="auto"/>
                <w:kern w:val="0"/>
                <w:sz w:val="24"/>
              </w:rPr>
            </w:pPr>
          </w:p>
        </w:tc>
        <w:tc>
          <w:tcPr>
            <w:tcW w:w="23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2F74AC">
            <w:pPr>
              <w:widowControl/>
              <w:spacing w:line="360" w:lineRule="auto"/>
              <w:contextualSpacing/>
              <w:jc w:val="center"/>
              <w:rPr>
                <w:rFonts w:ascii="宋体" w:hAnsi="宋体" w:cs="宋体"/>
                <w:color w:val="auto"/>
                <w:kern w:val="0"/>
                <w:sz w:val="24"/>
              </w:rPr>
            </w:pPr>
          </w:p>
        </w:tc>
        <w:tc>
          <w:tcPr>
            <w:tcW w:w="13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440AC4">
            <w:pPr>
              <w:widowControl/>
              <w:spacing w:line="360" w:lineRule="auto"/>
              <w:contextualSpacing/>
              <w:jc w:val="center"/>
              <w:rPr>
                <w:rFonts w:ascii="宋体" w:hAnsi="宋体" w:cs="宋体"/>
                <w:color w:val="auto"/>
                <w:kern w:val="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8E34A0">
            <w:pPr>
              <w:widowControl/>
              <w:spacing w:line="360" w:lineRule="auto"/>
              <w:contextualSpacing/>
              <w:jc w:val="center"/>
              <w:rPr>
                <w:rFonts w:ascii="宋体" w:hAnsi="宋体" w:cs="宋体"/>
                <w:color w:val="auto"/>
                <w:kern w:val="0"/>
                <w:sz w:val="24"/>
              </w:rPr>
            </w:pPr>
          </w:p>
        </w:tc>
      </w:tr>
    </w:tbl>
    <w:p w14:paraId="40EDA8D9">
      <w:pPr>
        <w:spacing w:line="360" w:lineRule="auto"/>
        <w:contextualSpacing/>
        <w:jc w:val="left"/>
        <w:rPr>
          <w:rFonts w:ascii="宋体" w:hAnsi="宋体" w:cs="宋体"/>
          <w:color w:val="auto"/>
          <w:sz w:val="24"/>
        </w:rPr>
      </w:pPr>
      <w:r>
        <w:rPr>
          <w:rFonts w:hint="eastAsia" w:ascii="宋体" w:hAnsi="宋体" w:cs="宋体"/>
          <w:color w:val="auto"/>
          <w:sz w:val="24"/>
        </w:rPr>
        <w:t>注：</w:t>
      </w:r>
    </w:p>
    <w:p w14:paraId="77EC55B2">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AEB2267">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79B6528C">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14:paraId="5C0DCFFD">
      <w:pPr>
        <w:spacing w:line="360" w:lineRule="auto"/>
        <w:ind w:firstLine="420" w:firstLineChars="200"/>
        <w:contextualSpacing/>
        <w:jc w:val="left"/>
        <w:rPr>
          <w:rFonts w:ascii="宋体" w:hAnsi="宋体" w:cs="宋体"/>
          <w:color w:val="auto"/>
          <w:szCs w:val="21"/>
        </w:rPr>
      </w:pPr>
    </w:p>
    <w:p w14:paraId="10465C70">
      <w:pPr>
        <w:spacing w:line="360" w:lineRule="auto"/>
        <w:ind w:firstLine="560" w:firstLineChars="200"/>
        <w:contextualSpacing/>
        <w:jc w:val="left"/>
        <w:rPr>
          <w:rFonts w:ascii="宋体" w:hAnsi="宋体" w:cs="宋体"/>
          <w:color w:val="auto"/>
          <w:sz w:val="28"/>
          <w:szCs w:val="28"/>
        </w:rPr>
      </w:pPr>
    </w:p>
    <w:p w14:paraId="7C2E32B3">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16605002">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r>
        <w:rPr>
          <w:rFonts w:hint="eastAsia" w:ascii="宋体" w:hAnsi="宋体" w:cs="宋体"/>
          <w:color w:val="auto"/>
          <w:sz w:val="24"/>
          <w:u w:val="single"/>
        </w:rPr>
        <w:t xml:space="preserve">                              </w:t>
      </w:r>
    </w:p>
    <w:p w14:paraId="4C77A221">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14:paraId="7551294E">
      <w:pPr>
        <w:snapToGrid w:val="0"/>
        <w:jc w:val="center"/>
        <w:rPr>
          <w:rFonts w:ascii="宋体" w:hAnsi="宋体"/>
          <w:b/>
          <w:color w:val="auto"/>
          <w:sz w:val="28"/>
          <w:szCs w:val="28"/>
        </w:rPr>
      </w:pPr>
    </w:p>
    <w:p w14:paraId="581C1BFA">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14:paraId="73D81665">
      <w:pPr>
        <w:snapToGrid w:val="0"/>
        <w:spacing w:line="360" w:lineRule="auto"/>
        <w:jc w:val="center"/>
        <w:rPr>
          <w:rFonts w:ascii="宋体" w:hAnsi="宋体"/>
          <w:b/>
          <w:color w:val="auto"/>
          <w:sz w:val="24"/>
        </w:rPr>
      </w:pPr>
    </w:p>
    <w:tbl>
      <w:tblPr>
        <w:tblStyle w:val="25"/>
        <w:tblW w:w="9119" w:type="dxa"/>
        <w:jc w:val="center"/>
        <w:shd w:val="clear" w:color="auto" w:fill="FBFBFB"/>
        <w:tblLayout w:type="fixed"/>
        <w:tblCellMar>
          <w:top w:w="0" w:type="dxa"/>
          <w:left w:w="0" w:type="dxa"/>
          <w:bottom w:w="0" w:type="dxa"/>
          <w:right w:w="0" w:type="dxa"/>
        </w:tblCellMar>
      </w:tblPr>
      <w:tblGrid>
        <w:gridCol w:w="764"/>
        <w:gridCol w:w="3401"/>
        <w:gridCol w:w="3359"/>
        <w:gridCol w:w="1595"/>
      </w:tblGrid>
      <w:tr w14:paraId="69A159A1">
        <w:tblPrEx>
          <w:tblCellMar>
            <w:top w:w="0" w:type="dxa"/>
            <w:left w:w="0" w:type="dxa"/>
            <w:bottom w:w="0" w:type="dxa"/>
            <w:right w:w="0" w:type="dxa"/>
          </w:tblCellMar>
        </w:tblPrEx>
        <w:trPr>
          <w:tblHeader/>
          <w:jc w:val="center"/>
        </w:trPr>
        <w:tc>
          <w:tcPr>
            <w:tcW w:w="7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45C918">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4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96DCBF">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E7BFE8">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65D252">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00A10EA8">
        <w:tblPrEx>
          <w:tblCellMar>
            <w:top w:w="0" w:type="dxa"/>
            <w:left w:w="0" w:type="dxa"/>
            <w:bottom w:w="0" w:type="dxa"/>
            <w:right w:w="0"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41CFF3">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4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54C835">
            <w:pPr>
              <w:widowControl/>
              <w:spacing w:line="360" w:lineRule="auto"/>
              <w:contextualSpacing/>
              <w:jc w:val="center"/>
              <w:rPr>
                <w:rFonts w:ascii="宋体" w:hAnsi="宋体" w:cs="宋体"/>
                <w:color w:val="auto"/>
                <w:kern w:val="0"/>
                <w:sz w:val="24"/>
              </w:rPr>
            </w:pPr>
          </w:p>
        </w:tc>
        <w:tc>
          <w:tcPr>
            <w:tcW w:w="33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2A630C">
            <w:pPr>
              <w:widowControl/>
              <w:spacing w:line="360" w:lineRule="auto"/>
              <w:contextualSpacing/>
              <w:jc w:val="center"/>
              <w:rPr>
                <w:rFonts w:ascii="宋体" w:hAnsi="宋体" w:cs="宋体"/>
                <w:color w:val="auto"/>
                <w:kern w:val="0"/>
                <w:sz w:val="24"/>
              </w:rPr>
            </w:pPr>
          </w:p>
        </w:tc>
        <w:tc>
          <w:tcPr>
            <w:tcW w:w="159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ABF0D8">
            <w:pPr>
              <w:widowControl/>
              <w:spacing w:line="360" w:lineRule="auto"/>
              <w:contextualSpacing/>
              <w:jc w:val="center"/>
              <w:rPr>
                <w:rFonts w:ascii="宋体" w:hAnsi="宋体" w:cs="宋体"/>
                <w:color w:val="auto"/>
                <w:kern w:val="0"/>
                <w:sz w:val="24"/>
              </w:rPr>
            </w:pPr>
          </w:p>
        </w:tc>
      </w:tr>
      <w:tr w14:paraId="40413915">
        <w:tblPrEx>
          <w:tblCellMar>
            <w:top w:w="0" w:type="dxa"/>
            <w:left w:w="0" w:type="dxa"/>
            <w:bottom w:w="0" w:type="dxa"/>
            <w:right w:w="0"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8074DE">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4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8D9232">
            <w:pPr>
              <w:widowControl/>
              <w:spacing w:line="360" w:lineRule="auto"/>
              <w:contextualSpacing/>
              <w:jc w:val="center"/>
              <w:rPr>
                <w:rFonts w:ascii="宋体" w:hAnsi="宋体" w:cs="宋体"/>
                <w:color w:val="auto"/>
                <w:kern w:val="0"/>
                <w:sz w:val="24"/>
              </w:rPr>
            </w:pPr>
          </w:p>
        </w:tc>
        <w:tc>
          <w:tcPr>
            <w:tcW w:w="33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F8D40D">
            <w:pPr>
              <w:widowControl/>
              <w:spacing w:line="360" w:lineRule="auto"/>
              <w:contextualSpacing/>
              <w:jc w:val="center"/>
              <w:rPr>
                <w:rFonts w:ascii="宋体" w:hAnsi="宋体" w:cs="宋体"/>
                <w:color w:val="auto"/>
                <w:kern w:val="0"/>
                <w:sz w:val="24"/>
              </w:rPr>
            </w:pPr>
          </w:p>
        </w:tc>
        <w:tc>
          <w:tcPr>
            <w:tcW w:w="159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7CB4B1">
            <w:pPr>
              <w:widowControl/>
              <w:spacing w:line="360" w:lineRule="auto"/>
              <w:contextualSpacing/>
              <w:jc w:val="center"/>
              <w:rPr>
                <w:rFonts w:ascii="宋体" w:hAnsi="宋体" w:cs="宋体"/>
                <w:color w:val="auto"/>
                <w:kern w:val="0"/>
                <w:sz w:val="24"/>
              </w:rPr>
            </w:pPr>
          </w:p>
        </w:tc>
      </w:tr>
      <w:tr w14:paraId="655065D9">
        <w:tblPrEx>
          <w:tblCellMar>
            <w:top w:w="0" w:type="dxa"/>
            <w:left w:w="0" w:type="dxa"/>
            <w:bottom w:w="0" w:type="dxa"/>
            <w:right w:w="0"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852DEC">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4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7153C9">
            <w:pPr>
              <w:widowControl/>
              <w:spacing w:line="360" w:lineRule="auto"/>
              <w:contextualSpacing/>
              <w:jc w:val="center"/>
              <w:rPr>
                <w:rFonts w:ascii="宋体" w:hAnsi="宋体" w:cs="宋体"/>
                <w:color w:val="auto"/>
                <w:kern w:val="0"/>
                <w:sz w:val="24"/>
              </w:rPr>
            </w:pPr>
          </w:p>
        </w:tc>
        <w:tc>
          <w:tcPr>
            <w:tcW w:w="33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9DB7EB">
            <w:pPr>
              <w:widowControl/>
              <w:spacing w:line="360" w:lineRule="auto"/>
              <w:contextualSpacing/>
              <w:jc w:val="center"/>
              <w:rPr>
                <w:rFonts w:ascii="宋体" w:hAnsi="宋体" w:cs="宋体"/>
                <w:color w:val="auto"/>
                <w:kern w:val="0"/>
                <w:sz w:val="24"/>
              </w:rPr>
            </w:pPr>
          </w:p>
        </w:tc>
        <w:tc>
          <w:tcPr>
            <w:tcW w:w="159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C4E998">
            <w:pPr>
              <w:widowControl/>
              <w:spacing w:line="360" w:lineRule="auto"/>
              <w:contextualSpacing/>
              <w:jc w:val="center"/>
              <w:rPr>
                <w:rFonts w:ascii="宋体" w:hAnsi="宋体" w:cs="宋体"/>
                <w:color w:val="auto"/>
                <w:kern w:val="0"/>
                <w:sz w:val="24"/>
              </w:rPr>
            </w:pPr>
          </w:p>
        </w:tc>
      </w:tr>
      <w:tr w14:paraId="153B9E6F">
        <w:tblPrEx>
          <w:tblCellMar>
            <w:top w:w="0" w:type="dxa"/>
            <w:left w:w="0" w:type="dxa"/>
            <w:bottom w:w="0" w:type="dxa"/>
            <w:right w:w="0"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AF6C9F">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4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1449CD">
            <w:pPr>
              <w:widowControl/>
              <w:spacing w:line="360" w:lineRule="auto"/>
              <w:contextualSpacing/>
              <w:jc w:val="center"/>
              <w:rPr>
                <w:rFonts w:ascii="宋体" w:hAnsi="宋体" w:cs="宋体"/>
                <w:color w:val="auto"/>
                <w:kern w:val="0"/>
                <w:sz w:val="24"/>
              </w:rPr>
            </w:pPr>
          </w:p>
        </w:tc>
        <w:tc>
          <w:tcPr>
            <w:tcW w:w="33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D425B7">
            <w:pPr>
              <w:widowControl/>
              <w:spacing w:line="360" w:lineRule="auto"/>
              <w:contextualSpacing/>
              <w:jc w:val="center"/>
              <w:rPr>
                <w:rFonts w:ascii="宋体" w:hAnsi="宋体" w:cs="宋体"/>
                <w:color w:val="auto"/>
                <w:kern w:val="0"/>
                <w:sz w:val="24"/>
              </w:rPr>
            </w:pPr>
          </w:p>
        </w:tc>
        <w:tc>
          <w:tcPr>
            <w:tcW w:w="159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E7FA3A">
            <w:pPr>
              <w:widowControl/>
              <w:spacing w:line="360" w:lineRule="auto"/>
              <w:contextualSpacing/>
              <w:jc w:val="center"/>
              <w:rPr>
                <w:rFonts w:ascii="宋体" w:hAnsi="宋体" w:cs="宋体"/>
                <w:color w:val="auto"/>
                <w:kern w:val="0"/>
                <w:sz w:val="24"/>
              </w:rPr>
            </w:pPr>
          </w:p>
        </w:tc>
      </w:tr>
    </w:tbl>
    <w:p w14:paraId="4A0BF0BA">
      <w:pPr>
        <w:spacing w:line="360" w:lineRule="auto"/>
        <w:contextualSpacing/>
        <w:jc w:val="left"/>
        <w:rPr>
          <w:rFonts w:ascii="宋体" w:hAnsi="宋体"/>
          <w:color w:val="auto"/>
          <w:sz w:val="24"/>
        </w:rPr>
      </w:pPr>
      <w:r>
        <w:rPr>
          <w:rFonts w:hint="eastAsia" w:ascii="宋体" w:hAnsi="宋体"/>
          <w:color w:val="auto"/>
          <w:sz w:val="24"/>
        </w:rPr>
        <w:t>注：</w:t>
      </w:r>
    </w:p>
    <w:p w14:paraId="159C0259">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14E1C8C1">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4C8DDB80">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14:paraId="27F089B0">
      <w:pPr>
        <w:spacing w:line="360" w:lineRule="auto"/>
        <w:contextualSpacing/>
        <w:jc w:val="left"/>
        <w:rPr>
          <w:rFonts w:ascii="宋体" w:hAnsi="宋体"/>
          <w:color w:val="auto"/>
          <w:sz w:val="28"/>
          <w:szCs w:val="28"/>
        </w:rPr>
      </w:pPr>
    </w:p>
    <w:p w14:paraId="4F1B9DC6">
      <w:pPr>
        <w:spacing w:line="360" w:lineRule="auto"/>
        <w:contextualSpacing/>
        <w:jc w:val="left"/>
        <w:rPr>
          <w:rFonts w:ascii="宋体" w:hAnsi="宋体"/>
          <w:color w:val="auto"/>
          <w:sz w:val="28"/>
          <w:szCs w:val="28"/>
        </w:rPr>
      </w:pPr>
    </w:p>
    <w:p w14:paraId="5F38BCA1">
      <w:pPr>
        <w:spacing w:line="360" w:lineRule="auto"/>
        <w:contextualSpacing/>
        <w:jc w:val="left"/>
        <w:rPr>
          <w:color w:val="auto"/>
          <w:sz w:val="28"/>
          <w:szCs w:val="28"/>
        </w:rPr>
      </w:pPr>
    </w:p>
    <w:p w14:paraId="145975AC">
      <w:pPr>
        <w:spacing w:line="360" w:lineRule="auto"/>
        <w:contextualSpacing/>
        <w:jc w:val="left"/>
        <w:rPr>
          <w:color w:val="auto"/>
          <w:sz w:val="28"/>
          <w:szCs w:val="28"/>
        </w:rPr>
      </w:pPr>
    </w:p>
    <w:p w14:paraId="757FF258">
      <w:pPr>
        <w:spacing w:line="360" w:lineRule="auto"/>
        <w:contextualSpacing/>
        <w:jc w:val="left"/>
        <w:rPr>
          <w:color w:val="auto"/>
          <w:sz w:val="28"/>
          <w:szCs w:val="28"/>
        </w:rPr>
      </w:pPr>
    </w:p>
    <w:p w14:paraId="19A1F85F">
      <w:pPr>
        <w:spacing w:line="360" w:lineRule="auto"/>
        <w:contextualSpacing/>
        <w:jc w:val="left"/>
        <w:rPr>
          <w:rFonts w:ascii="宋体" w:hAnsi="宋体"/>
          <w:color w:val="auto"/>
          <w:sz w:val="28"/>
          <w:szCs w:val="28"/>
        </w:rPr>
      </w:pPr>
    </w:p>
    <w:p w14:paraId="01268E4E">
      <w:pPr>
        <w:spacing w:line="360" w:lineRule="auto"/>
        <w:ind w:right="480"/>
        <w:contextualSpacing/>
        <w:jc w:val="center"/>
        <w:rPr>
          <w:rFonts w:ascii="宋体" w:hAnsi="宋体"/>
          <w:color w:val="auto"/>
          <w:sz w:val="24"/>
          <w:u w:val="single"/>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法定代表人或者委托代理人（签字或者电子签名）：</w:t>
      </w:r>
      <w:r>
        <w:rPr>
          <w:rFonts w:hint="eastAsia" w:ascii="宋体" w:hAnsi="宋体"/>
          <w:color w:val="auto"/>
          <w:sz w:val="24"/>
          <w:u w:val="single"/>
        </w:rPr>
        <w:t xml:space="preserve"> </w:t>
      </w:r>
      <w:r>
        <w:rPr>
          <w:rFonts w:ascii="宋体" w:hAnsi="宋体"/>
          <w:color w:val="auto"/>
          <w:sz w:val="24"/>
          <w:u w:val="single"/>
        </w:rPr>
        <w:t xml:space="preserve">                  </w:t>
      </w:r>
    </w:p>
    <w:p w14:paraId="448F9D70">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r>
        <w:rPr>
          <w:rFonts w:hint="eastAsia" w:ascii="宋体" w:hAnsi="宋体"/>
          <w:color w:val="auto"/>
          <w:sz w:val="24"/>
          <w:u w:val="single"/>
        </w:rPr>
        <w:t xml:space="preserve">                </w:t>
      </w:r>
    </w:p>
    <w:p w14:paraId="196BF096">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14:paraId="042789F7">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14:paraId="6B19E152">
      <w:pPr>
        <w:spacing w:line="320" w:lineRule="exact"/>
        <w:jc w:val="center"/>
        <w:rPr>
          <w:rFonts w:ascii="宋体" w:hAnsi="宋体"/>
          <w:color w:val="auto"/>
          <w:sz w:val="24"/>
          <w:szCs w:val="20"/>
        </w:rPr>
      </w:pPr>
    </w:p>
    <w:p w14:paraId="450BE2B6">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07813A46">
      <w:pPr>
        <w:spacing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4F175CB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03F504D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0204C89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4991205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14:paraId="0420DDD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462F512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4C3CD07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3197795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14:paraId="270E88F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14:paraId="2433502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5AF55AB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19884B3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503FD28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3E16735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B4C86B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14:paraId="68E31E7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6056BC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0825F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0551BF7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F23AAAA">
      <w:pPr>
        <w:pStyle w:val="17"/>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23A19C28">
      <w:pPr>
        <w:pStyle w:val="17"/>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电子邮箱：</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73650704">
      <w:pPr>
        <w:pStyle w:val="16"/>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hint="eastAsia" w:ascii="宋体" w:hAnsi="宋体" w:cs="宋体"/>
          <w:color w:val="auto"/>
          <w:sz w:val="24"/>
          <w:u w:val="single"/>
        </w:rPr>
        <w:t xml:space="preserve">                               </w:t>
      </w:r>
    </w:p>
    <w:p w14:paraId="322FAD55">
      <w:pPr>
        <w:pStyle w:val="16"/>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750EE2C3">
      <w:pPr>
        <w:pStyle w:val="16"/>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30238C7E">
      <w:pPr>
        <w:spacing w:line="360" w:lineRule="auto"/>
        <w:contextualSpacing/>
        <w:jc w:val="left"/>
        <w:rPr>
          <w:rFonts w:ascii="宋体" w:hAnsi="宋体"/>
          <w:b/>
          <w:color w:val="auto"/>
          <w:sz w:val="24"/>
        </w:rPr>
      </w:pPr>
    </w:p>
    <w:p w14:paraId="26DFF8D9">
      <w:pPr>
        <w:spacing w:line="360" w:lineRule="auto"/>
        <w:contextualSpacing/>
        <w:jc w:val="left"/>
        <w:rPr>
          <w:rFonts w:ascii="宋体" w:hAnsi="宋体" w:cs="宋体"/>
          <w:b/>
          <w:color w:val="auto"/>
          <w:sz w:val="24"/>
        </w:rPr>
      </w:pPr>
      <w:r>
        <w:rPr>
          <w:rFonts w:hint="eastAsia" w:ascii="宋体" w:hAnsi="宋体" w:cs="宋体"/>
          <w:b/>
          <w:color w:val="auto"/>
          <w:sz w:val="24"/>
        </w:rPr>
        <w:t>注：如为联合体竞标，盖章处须加盖联合体牵头人电子签章并由联合体牵头人法定代表人分别签字或者盖章或者电子签名，否则响应文件按无效处理。</w:t>
      </w:r>
    </w:p>
    <w:p w14:paraId="58C394C6">
      <w:pPr>
        <w:spacing w:line="360" w:lineRule="auto"/>
        <w:ind w:firstLine="1800" w:firstLineChars="750"/>
        <w:contextualSpacing/>
        <w:rPr>
          <w:color w:val="auto"/>
          <w:sz w:val="24"/>
        </w:rPr>
      </w:pPr>
    </w:p>
    <w:p w14:paraId="7BB98DB1">
      <w:pPr>
        <w:spacing w:line="360" w:lineRule="auto"/>
        <w:ind w:firstLine="1800" w:firstLineChars="750"/>
        <w:contextualSpacing/>
        <w:rPr>
          <w:color w:val="auto"/>
          <w:sz w:val="24"/>
        </w:rPr>
      </w:pPr>
    </w:p>
    <w:p w14:paraId="23362D70">
      <w:pPr>
        <w:spacing w:line="360" w:lineRule="auto"/>
        <w:ind w:firstLine="1800" w:firstLineChars="750"/>
        <w:contextualSpacing/>
        <w:rPr>
          <w:color w:val="auto"/>
          <w:sz w:val="24"/>
        </w:rPr>
      </w:pPr>
    </w:p>
    <w:p w14:paraId="49F09377">
      <w:pPr>
        <w:spacing w:line="360" w:lineRule="auto"/>
        <w:ind w:firstLine="1800" w:firstLineChars="750"/>
        <w:contextualSpacing/>
        <w:rPr>
          <w:color w:val="auto"/>
          <w:sz w:val="24"/>
        </w:rPr>
      </w:pPr>
      <w:r>
        <w:rPr>
          <w:rFonts w:hint="eastAsia"/>
          <w:color w:val="auto"/>
          <w:sz w:val="24"/>
        </w:rPr>
        <w:t>法定代表人（</w:t>
      </w:r>
      <w:r>
        <w:rPr>
          <w:rFonts w:hint="eastAsia" w:ascii="宋体" w:hAnsi="宋体"/>
          <w:color w:val="auto"/>
          <w:sz w:val="24"/>
        </w:rPr>
        <w:t>签字或者盖章或者电子签名</w:t>
      </w:r>
      <w:r>
        <w:rPr>
          <w:rFonts w:hint="eastAsia"/>
          <w:color w:val="auto"/>
          <w:sz w:val="24"/>
        </w:rPr>
        <w:t>）：</w:t>
      </w:r>
      <w:r>
        <w:rPr>
          <w:rFonts w:hint="eastAsia"/>
          <w:color w:val="auto"/>
          <w:sz w:val="24"/>
          <w:u w:val="single"/>
        </w:rPr>
        <w:t xml:space="preserve">           </w:t>
      </w:r>
      <w:r>
        <w:rPr>
          <w:rFonts w:hint="eastAsia"/>
          <w:color w:val="auto"/>
          <w:sz w:val="24"/>
        </w:rPr>
        <w:t xml:space="preserve">                                     </w:t>
      </w:r>
    </w:p>
    <w:p w14:paraId="353CC97D">
      <w:pPr>
        <w:spacing w:line="360" w:lineRule="auto"/>
        <w:ind w:firstLine="4320" w:firstLineChars="1800"/>
        <w:contextualSpacing/>
        <w:rPr>
          <w:rFonts w:ascii="宋体" w:hAnsi="宋体" w:cs="宋体"/>
          <w:color w:val="auto"/>
          <w:sz w:val="24"/>
          <w:u w:val="single"/>
        </w:rPr>
      </w:pPr>
      <w:r>
        <w:rPr>
          <w:rFonts w:hint="eastAsia"/>
          <w:color w:val="auto"/>
          <w:sz w:val="24"/>
        </w:rPr>
        <w:t>供应商（电子签章）：</w:t>
      </w:r>
      <w:r>
        <w:rPr>
          <w:rFonts w:hint="eastAsia"/>
          <w:color w:val="auto"/>
          <w:sz w:val="24"/>
          <w:u w:val="single"/>
        </w:rPr>
        <w:t xml:space="preserve">                               </w:t>
      </w:r>
      <w:r>
        <w:rPr>
          <w:rFonts w:hint="eastAsia"/>
          <w:color w:val="auto"/>
          <w:sz w:val="24"/>
        </w:rPr>
        <w:t xml:space="preserve">       </w:t>
      </w:r>
      <w:r>
        <w:rPr>
          <w:rFonts w:hint="eastAsia" w:ascii="宋体" w:hAnsi="宋体" w:cs="宋体"/>
          <w:color w:val="auto"/>
          <w:sz w:val="24"/>
        </w:rPr>
        <w:t xml:space="preserve">    </w:t>
      </w:r>
    </w:p>
    <w:p w14:paraId="474D117D">
      <w:pPr>
        <w:pStyle w:val="16"/>
        <w:tabs>
          <w:tab w:val="left" w:pos="939"/>
        </w:tabs>
        <w:spacing w:line="360" w:lineRule="auto"/>
        <w:ind w:left="0" w:leftChars="0" w:firstLine="480" w:firstLineChars="200"/>
        <w:rPr>
          <w:color w:val="auto"/>
          <w:sz w:val="24"/>
        </w:rPr>
      </w:pPr>
      <w:r>
        <w:rPr>
          <w:rFonts w:hint="eastAsia" w:ascii="宋体" w:hAnsi="宋体" w:cs="宋体"/>
          <w:color w:val="auto"/>
          <w:sz w:val="24"/>
        </w:rPr>
        <w:t xml:space="preserve">                                                     </w:t>
      </w:r>
      <w:r>
        <w:rPr>
          <w:rFonts w:hint="eastAsia"/>
          <w:color w:val="auto"/>
          <w:sz w:val="24"/>
        </w:rPr>
        <w:t xml:space="preserve"> 年    月    日</w:t>
      </w:r>
    </w:p>
    <w:p w14:paraId="2DC52C1B">
      <w:pPr>
        <w:pStyle w:val="16"/>
        <w:tabs>
          <w:tab w:val="left" w:pos="939"/>
        </w:tabs>
        <w:spacing w:line="360" w:lineRule="auto"/>
        <w:ind w:left="0" w:leftChars="0" w:firstLine="480" w:firstLineChars="200"/>
        <w:rPr>
          <w:color w:val="auto"/>
          <w:sz w:val="24"/>
        </w:rPr>
      </w:pPr>
    </w:p>
    <w:p w14:paraId="3EC3E7B3">
      <w:pPr>
        <w:pStyle w:val="2"/>
        <w:overflowPunct w:val="0"/>
        <w:spacing w:line="520" w:lineRule="exact"/>
        <w:ind w:firstLine="0"/>
        <w:jc w:val="center"/>
        <w:rPr>
          <w:rFonts w:ascii="宋体" w:hAnsi="宋体"/>
          <w:b/>
          <w:bCs/>
          <w:color w:val="auto"/>
          <w:sz w:val="32"/>
          <w:szCs w:val="32"/>
        </w:rPr>
      </w:pPr>
      <w:r>
        <w:rPr>
          <w:color w:val="auto"/>
          <w:sz w:val="24"/>
        </w:rPr>
        <w:br w:type="page"/>
      </w:r>
    </w:p>
    <w:p w14:paraId="4F44F2CC">
      <w:pPr>
        <w:spacing w:line="360" w:lineRule="auto"/>
        <w:ind w:right="420"/>
        <w:contextualSpacing/>
        <w:jc w:val="left"/>
        <w:rPr>
          <w:rFonts w:ascii="宋体" w:hAnsi="宋体"/>
          <w:b/>
          <w:color w:val="auto"/>
          <w:sz w:val="32"/>
          <w:szCs w:val="32"/>
        </w:rPr>
      </w:pPr>
      <w:r>
        <w:rPr>
          <w:rFonts w:hint="eastAsia" w:ascii="宋体" w:hAnsi="宋体"/>
          <w:b/>
          <w:bCs/>
          <w:color w:val="auto"/>
          <w:sz w:val="32"/>
          <w:szCs w:val="32"/>
        </w:rPr>
        <w:t>二、</w:t>
      </w:r>
      <w:r>
        <w:rPr>
          <w:rFonts w:hint="eastAsia" w:ascii="宋体" w:hAnsi="宋体"/>
          <w:b/>
          <w:color w:val="auto"/>
          <w:sz w:val="32"/>
          <w:szCs w:val="32"/>
        </w:rPr>
        <w:t xml:space="preserve">报价文件格式 </w:t>
      </w:r>
    </w:p>
    <w:p w14:paraId="0AF27AB4">
      <w:pPr>
        <w:snapToGrid w:val="0"/>
        <w:spacing w:before="156"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14:paraId="1F60537F">
      <w:pPr>
        <w:snapToGrid w:val="0"/>
        <w:spacing w:before="156" w:beforeLines="50" w:after="50"/>
        <w:rPr>
          <w:rFonts w:ascii="宋体" w:hAnsi="宋体"/>
          <w:bCs/>
          <w:color w:val="auto"/>
          <w:sz w:val="32"/>
          <w:szCs w:val="20"/>
        </w:rPr>
      </w:pPr>
      <w:r>
        <w:rPr>
          <w:rFonts w:hint="eastAsia" w:ascii="宋体" w:hAnsi="宋体"/>
          <w:color w:val="auto"/>
          <w:sz w:val="24"/>
        </w:rPr>
        <w:t xml:space="preserve">                                                    </w:t>
      </w:r>
    </w:p>
    <w:p w14:paraId="4B63255A">
      <w:pPr>
        <w:snapToGrid w:val="0"/>
        <w:spacing w:before="156" w:beforeLines="50" w:after="50"/>
        <w:jc w:val="center"/>
        <w:rPr>
          <w:rFonts w:ascii="宋体" w:hAnsi="宋体"/>
          <w:color w:val="auto"/>
          <w:sz w:val="24"/>
          <w:szCs w:val="20"/>
        </w:rPr>
      </w:pPr>
      <w:r>
        <w:rPr>
          <w:rFonts w:hint="eastAsia" w:ascii="宋体" w:hAnsi="宋体"/>
          <w:color w:val="auto"/>
          <w:sz w:val="44"/>
          <w:szCs w:val="44"/>
        </w:rPr>
        <w:t>电 子 响 应 文 件</w:t>
      </w:r>
    </w:p>
    <w:p w14:paraId="77A1E440">
      <w:pPr>
        <w:snapToGrid w:val="0"/>
        <w:spacing w:before="156" w:beforeLines="50" w:after="50"/>
        <w:rPr>
          <w:rFonts w:ascii="宋体" w:hAnsi="宋体"/>
          <w:color w:val="auto"/>
          <w:sz w:val="24"/>
          <w:szCs w:val="20"/>
        </w:rPr>
      </w:pPr>
    </w:p>
    <w:p w14:paraId="02C45755">
      <w:pPr>
        <w:snapToGrid w:val="0"/>
        <w:spacing w:before="156" w:beforeLines="50" w:after="50"/>
        <w:rPr>
          <w:rFonts w:ascii="宋体" w:hAnsi="宋体"/>
          <w:color w:val="auto"/>
          <w:sz w:val="24"/>
          <w:szCs w:val="20"/>
        </w:rPr>
      </w:pPr>
    </w:p>
    <w:p w14:paraId="274F0930">
      <w:pPr>
        <w:snapToGrid w:val="0"/>
        <w:spacing w:before="156"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报  价  文  件</w:t>
      </w:r>
    </w:p>
    <w:p w14:paraId="5F563927">
      <w:pPr>
        <w:snapToGrid w:val="0"/>
        <w:spacing w:before="156" w:beforeLines="50" w:after="50"/>
        <w:rPr>
          <w:rFonts w:ascii="宋体" w:hAnsi="宋体"/>
          <w:bCs/>
          <w:color w:val="auto"/>
          <w:sz w:val="24"/>
          <w:szCs w:val="20"/>
        </w:rPr>
      </w:pPr>
    </w:p>
    <w:p w14:paraId="0A1EB54E">
      <w:pPr>
        <w:snapToGrid w:val="0"/>
        <w:spacing w:before="156" w:beforeLines="50" w:after="50"/>
        <w:rPr>
          <w:rFonts w:ascii="宋体" w:hAnsi="宋体"/>
          <w:bCs/>
          <w:color w:val="auto"/>
          <w:sz w:val="24"/>
          <w:szCs w:val="20"/>
        </w:rPr>
      </w:pPr>
    </w:p>
    <w:p w14:paraId="637005F6">
      <w:pPr>
        <w:snapToGrid w:val="0"/>
        <w:spacing w:before="156" w:beforeLines="50" w:after="50"/>
        <w:rPr>
          <w:rFonts w:ascii="宋体" w:hAnsi="宋体"/>
          <w:bCs/>
          <w:color w:val="auto"/>
          <w:sz w:val="24"/>
          <w:szCs w:val="20"/>
        </w:rPr>
      </w:pPr>
    </w:p>
    <w:p w14:paraId="69EE76FE">
      <w:pPr>
        <w:snapToGrid w:val="0"/>
        <w:spacing w:before="156" w:beforeLines="50" w:after="50"/>
        <w:rPr>
          <w:rFonts w:ascii="宋体" w:hAnsi="宋体"/>
          <w:bCs/>
          <w:color w:val="auto"/>
          <w:sz w:val="24"/>
          <w:szCs w:val="20"/>
        </w:rPr>
      </w:pPr>
    </w:p>
    <w:p w14:paraId="0E397050">
      <w:pPr>
        <w:snapToGrid w:val="0"/>
        <w:spacing w:before="156" w:beforeLines="50" w:after="50"/>
        <w:rPr>
          <w:rFonts w:ascii="宋体" w:hAnsi="宋体"/>
          <w:bCs/>
          <w:color w:val="auto"/>
          <w:sz w:val="24"/>
          <w:szCs w:val="20"/>
        </w:rPr>
      </w:pPr>
    </w:p>
    <w:p w14:paraId="4B266840">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2929D9B6">
      <w:pPr>
        <w:snapToGrid w:val="0"/>
        <w:spacing w:before="156" w:beforeLines="50" w:after="50"/>
        <w:ind w:firstLine="720" w:firstLineChars="225"/>
        <w:rPr>
          <w:rFonts w:ascii="宋体" w:hAnsi="宋体" w:cs="仿宋_GB2312"/>
          <w:bCs/>
          <w:color w:val="auto"/>
          <w:sz w:val="32"/>
          <w:szCs w:val="32"/>
        </w:rPr>
      </w:pPr>
    </w:p>
    <w:p w14:paraId="24F4707A">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550ADFA1">
      <w:pPr>
        <w:snapToGrid w:val="0"/>
        <w:spacing w:before="156"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 xml:space="preserve"> </w:t>
      </w:r>
    </w:p>
    <w:p w14:paraId="62011DB1">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4478A6C3">
      <w:pPr>
        <w:snapToGrid w:val="0"/>
        <w:spacing w:before="156" w:beforeLines="50" w:after="50"/>
        <w:ind w:firstLine="720" w:firstLineChars="225"/>
        <w:rPr>
          <w:rFonts w:ascii="宋体" w:hAnsi="宋体" w:cs="仿宋_GB2312"/>
          <w:bCs/>
          <w:color w:val="auto"/>
          <w:sz w:val="32"/>
          <w:szCs w:val="32"/>
        </w:rPr>
      </w:pPr>
    </w:p>
    <w:p w14:paraId="06E1E975">
      <w:pPr>
        <w:pStyle w:val="2"/>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65EFF3E9">
      <w:pPr>
        <w:pStyle w:val="2"/>
        <w:snapToGrid w:val="0"/>
        <w:spacing w:before="50" w:after="50"/>
        <w:ind w:firstLine="640" w:firstLineChars="200"/>
        <w:rPr>
          <w:rFonts w:ascii="宋体" w:hAnsi="宋体" w:cs="仿宋_GB2312"/>
          <w:bCs/>
          <w:color w:val="auto"/>
          <w:sz w:val="32"/>
          <w:szCs w:val="32"/>
        </w:rPr>
      </w:pPr>
    </w:p>
    <w:p w14:paraId="78606FCA">
      <w:pPr>
        <w:pStyle w:val="2"/>
        <w:snapToGrid w:val="0"/>
        <w:spacing w:before="50" w:after="50"/>
        <w:ind w:firstLine="720" w:firstLineChars="225"/>
        <w:rPr>
          <w:rFonts w:ascii="宋体" w:hAnsi="宋体" w:cs="仿宋_GB2312"/>
          <w:bCs/>
          <w:color w:val="auto"/>
          <w:sz w:val="32"/>
          <w:szCs w:val="32"/>
        </w:rPr>
      </w:pPr>
    </w:p>
    <w:p w14:paraId="39F2C1F3">
      <w:pPr>
        <w:pStyle w:val="2"/>
        <w:snapToGrid w:val="0"/>
        <w:spacing w:before="50" w:after="50"/>
        <w:ind w:firstLine="0"/>
        <w:rPr>
          <w:rFonts w:ascii="宋体" w:hAnsi="宋体" w:cs="仿宋_GB2312"/>
          <w:bCs/>
          <w:color w:val="auto"/>
          <w:sz w:val="32"/>
          <w:szCs w:val="32"/>
        </w:rPr>
      </w:pPr>
    </w:p>
    <w:p w14:paraId="0DCBB7AE">
      <w:pPr>
        <w:pStyle w:val="2"/>
        <w:snapToGrid w:val="0"/>
        <w:spacing w:before="50" w:after="50"/>
        <w:ind w:firstLine="1280" w:firstLineChars="400"/>
        <w:rPr>
          <w:rFonts w:ascii="宋体" w:hAnsi="宋体" w:cs="仿宋_GB2312"/>
          <w:bCs/>
          <w:color w:val="auto"/>
          <w:sz w:val="32"/>
          <w:szCs w:val="32"/>
        </w:rPr>
      </w:pPr>
    </w:p>
    <w:p w14:paraId="2D171C2D">
      <w:pPr>
        <w:snapToGrid w:val="0"/>
        <w:spacing w:before="156"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79C23CD4">
      <w:pPr>
        <w:snapToGrid w:val="0"/>
        <w:spacing w:before="156"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14:paraId="5F2AF148">
      <w:pPr>
        <w:spacing w:line="520" w:lineRule="exact"/>
        <w:ind w:firstLine="640" w:firstLineChars="200"/>
        <w:jc w:val="center"/>
        <w:rPr>
          <w:rFonts w:ascii="仿宋" w:hAnsi="仿宋" w:eastAsia="仿宋" w:cs="仿宋"/>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仿宋" w:hAnsi="仿宋" w:eastAsia="仿宋" w:cs="仿宋"/>
          <w:bCs/>
          <w:color w:val="auto"/>
          <w:sz w:val="44"/>
          <w:szCs w:val="44"/>
        </w:rPr>
        <w:t>竞  标  报  价  表</w:t>
      </w:r>
    </w:p>
    <w:p w14:paraId="0AEE5705">
      <w:pPr>
        <w:spacing w:line="440" w:lineRule="exact"/>
        <w:jc w:val="center"/>
        <w:rPr>
          <w:rFonts w:ascii="仿宋" w:hAnsi="仿宋" w:eastAsia="仿宋" w:cs="仿宋"/>
          <w:bCs/>
          <w:color w:val="auto"/>
          <w:sz w:val="32"/>
          <w:szCs w:val="32"/>
        </w:rPr>
      </w:pPr>
    </w:p>
    <w:p w14:paraId="325EBA90">
      <w:pPr>
        <w:spacing w:line="360" w:lineRule="auto"/>
        <w:contextualSpacing/>
        <w:rPr>
          <w:rFonts w:ascii="宋体" w:hAnsi="宋体" w:cs="仿宋_GB2312"/>
          <w:color w:val="auto"/>
          <w:sz w:val="24"/>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6C31CD78">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r>
        <w:rPr>
          <w:rFonts w:hint="eastAsia" w:ascii="宋体" w:hAnsi="宋体" w:cs="仿宋_GB2312"/>
          <w:color w:val="auto"/>
          <w:sz w:val="24"/>
          <w:u w:val="single"/>
        </w:rPr>
        <w:t xml:space="preserve">         </w:t>
      </w:r>
    </w:p>
    <w:p w14:paraId="097D88AF">
      <w:pPr>
        <w:spacing w:line="360" w:lineRule="auto"/>
        <w:contextualSpacing/>
        <w:rPr>
          <w:rFonts w:ascii="宋体" w:hAnsi="宋体" w:cs="仿宋_GB2312"/>
          <w:color w:val="auto"/>
          <w:sz w:val="24"/>
        </w:rPr>
      </w:pPr>
      <w:r>
        <w:rPr>
          <w:rFonts w:hint="eastAsia" w:ascii="宋体" w:hAnsi="宋体" w:cs="仿宋_GB2312"/>
          <w:color w:val="auto"/>
          <w:sz w:val="24"/>
        </w:rPr>
        <w:t xml:space="preserve">                                             </w:t>
      </w:r>
      <w:r>
        <w:rPr>
          <w:rFonts w:ascii="宋体" w:hAnsi="宋体" w:cs="仿宋_GB2312"/>
          <w:color w:val="auto"/>
          <w:sz w:val="24"/>
        </w:rPr>
        <w:t xml:space="preserve">         </w:t>
      </w:r>
    </w:p>
    <w:p w14:paraId="71767299">
      <w:pPr>
        <w:spacing w:line="360" w:lineRule="exact"/>
        <w:rPr>
          <w:rFonts w:ascii="宋体" w:hAnsi="宋体"/>
          <w:color w:val="auto"/>
          <w:szCs w:val="21"/>
        </w:rPr>
      </w:pPr>
    </w:p>
    <w:tbl>
      <w:tblPr>
        <w:tblStyle w:val="25"/>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14:paraId="2C08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7967F3BE">
            <w:pPr>
              <w:spacing w:line="360" w:lineRule="auto"/>
              <w:jc w:val="center"/>
              <w:rPr>
                <w:rFonts w:ascii="宋体" w:hAnsi="宋体" w:cs="仿宋_GB2312"/>
                <w:color w:val="auto"/>
                <w:sz w:val="24"/>
              </w:rPr>
            </w:pPr>
            <w:r>
              <w:rPr>
                <w:rFonts w:ascii="宋体" w:hAnsi="宋体" w:cs="仿宋_GB2312"/>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64D802C">
            <w:pPr>
              <w:spacing w:line="360" w:lineRule="auto"/>
              <w:jc w:val="center"/>
              <w:rPr>
                <w:rFonts w:ascii="宋体" w:hAnsi="宋体" w:cs="仿宋_GB2312"/>
                <w:color w:val="auto"/>
                <w:sz w:val="24"/>
              </w:rPr>
            </w:pPr>
            <w:r>
              <w:rPr>
                <w:rFonts w:hint="eastAsia" w:ascii="宋体" w:hAnsi="宋体"/>
                <w:b/>
                <w:color w:val="auto"/>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33673D2A">
            <w:pPr>
              <w:spacing w:line="360" w:lineRule="auto"/>
              <w:jc w:val="center"/>
              <w:rPr>
                <w:rFonts w:ascii="宋体" w:hAnsi="宋体" w:cs="仿宋_GB2312"/>
                <w:color w:val="auto"/>
                <w:sz w:val="24"/>
              </w:rPr>
            </w:pPr>
            <w:r>
              <w:rPr>
                <w:rFonts w:hint="eastAsia" w:ascii="宋体" w:hAnsi="宋体" w:cs="仿宋_GB2312"/>
                <w:color w:val="auto"/>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345871E7">
            <w:pPr>
              <w:spacing w:line="360" w:lineRule="auto"/>
              <w:jc w:val="center"/>
              <w:rPr>
                <w:rFonts w:ascii="宋体" w:hAnsi="宋体" w:cs="仿宋_GB2312"/>
                <w:color w:val="auto"/>
                <w:sz w:val="24"/>
              </w:rPr>
            </w:pPr>
            <w:r>
              <w:rPr>
                <w:rFonts w:hint="eastAsia" w:ascii="宋体" w:hAnsi="宋体" w:cs="仿宋_GB2312"/>
                <w:color w:val="auto"/>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06ADE5D9">
            <w:pPr>
              <w:spacing w:line="360" w:lineRule="auto"/>
              <w:jc w:val="center"/>
              <w:rPr>
                <w:rFonts w:ascii="宋体" w:hAnsi="宋体" w:cs="仿宋_GB2312"/>
                <w:color w:val="auto"/>
                <w:sz w:val="24"/>
              </w:rPr>
            </w:pPr>
            <w:r>
              <w:rPr>
                <w:rFonts w:hint="eastAsia" w:ascii="宋体" w:hAnsi="宋体" w:cs="仿宋_GB2312"/>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43A9E2B">
            <w:pPr>
              <w:spacing w:line="360" w:lineRule="auto"/>
              <w:jc w:val="center"/>
              <w:rPr>
                <w:rFonts w:ascii="宋体" w:hAnsi="宋体" w:cs="仿宋_GB2312"/>
                <w:color w:val="auto"/>
                <w:sz w:val="24"/>
              </w:rPr>
            </w:pPr>
            <w:r>
              <w:rPr>
                <w:rFonts w:ascii="宋体" w:hAnsi="宋体" w:cs="仿宋_GB2312"/>
                <w:color w:val="auto"/>
                <w:sz w:val="24"/>
              </w:rPr>
              <w:t>备注</w:t>
            </w:r>
          </w:p>
        </w:tc>
      </w:tr>
      <w:tr w14:paraId="067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12AEFB1D">
            <w:pPr>
              <w:spacing w:line="360" w:lineRule="auto"/>
              <w:jc w:val="center"/>
              <w:rPr>
                <w:rFonts w:ascii="宋体" w:hAnsi="宋体" w:cs="仿宋_GB2312"/>
                <w:color w:val="auto"/>
                <w:sz w:val="24"/>
              </w:rPr>
            </w:pPr>
            <w:r>
              <w:rPr>
                <w:rFonts w:ascii="宋体" w:hAnsi="宋体" w:cs="仿宋_GB2312"/>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4B802ABA">
            <w:pPr>
              <w:spacing w:line="360" w:lineRule="auto"/>
              <w:jc w:val="center"/>
              <w:rPr>
                <w:rFonts w:ascii="宋体" w:hAnsi="宋体" w:cs="仿宋_GB2312"/>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1088D599">
            <w:pPr>
              <w:spacing w:line="360" w:lineRule="auto"/>
              <w:rPr>
                <w:rFonts w:ascii="宋体" w:hAnsi="宋体" w:cs="仿宋_GB2312"/>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43EFD3C8">
            <w:pPr>
              <w:spacing w:line="360" w:lineRule="auto"/>
              <w:rPr>
                <w:rFonts w:ascii="宋体" w:hAnsi="宋体" w:cs="仿宋_GB2312"/>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3D6327E2">
            <w:pPr>
              <w:spacing w:line="360" w:lineRule="auto"/>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D5BCDA8">
            <w:pPr>
              <w:spacing w:line="360" w:lineRule="auto"/>
              <w:rPr>
                <w:rFonts w:ascii="宋体" w:hAnsi="宋体" w:cs="仿宋_GB2312"/>
                <w:color w:val="auto"/>
                <w:sz w:val="24"/>
              </w:rPr>
            </w:pPr>
          </w:p>
        </w:tc>
      </w:tr>
      <w:tr w14:paraId="014C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14:paraId="605405F6">
            <w:pPr>
              <w:spacing w:line="360" w:lineRule="auto"/>
              <w:rPr>
                <w:rFonts w:hint="eastAsia" w:ascii="宋体" w:hAnsi="宋体" w:eastAsia="宋体" w:cs="仿宋_GB2312"/>
                <w:color w:val="auto"/>
                <w:sz w:val="24"/>
                <w:lang w:eastAsia="zh-CN"/>
              </w:rPr>
            </w:pPr>
            <w:r>
              <w:rPr>
                <w:rFonts w:hint="eastAsia" w:ascii="宋体" w:hAnsi="宋体" w:cs="仿宋_GB2312"/>
                <w:color w:val="auto"/>
                <w:sz w:val="24"/>
              </w:rPr>
              <w:t>合同履行期限：2024年9月-2024年12月</w:t>
            </w:r>
            <w:r>
              <w:rPr>
                <w:rFonts w:hint="eastAsia" w:ascii="宋体" w:hAnsi="宋体" w:cs="仿宋_GB2312"/>
                <w:color w:val="auto"/>
                <w:sz w:val="24"/>
                <w:lang w:eastAsia="zh-CN"/>
              </w:rPr>
              <w:t>。</w:t>
            </w:r>
          </w:p>
        </w:tc>
      </w:tr>
      <w:tr w14:paraId="0BE6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14:paraId="097D2BA6">
            <w:pPr>
              <w:snapToGrid w:val="0"/>
              <w:spacing w:before="50" w:after="50" w:line="360" w:lineRule="auto"/>
              <w:rPr>
                <w:rFonts w:ascii="宋体" w:hAnsi="宋体" w:cs="仿宋_GB2312"/>
                <w:color w:val="auto"/>
                <w:sz w:val="24"/>
              </w:rPr>
            </w:pPr>
            <w:r>
              <w:rPr>
                <w:rFonts w:hint="eastAsia" w:ascii="宋体" w:hAnsi="宋体" w:cs="仿宋_GB2312"/>
                <w:color w:val="auto"/>
                <w:sz w:val="24"/>
              </w:rPr>
              <w:t>合计金额大写：人民币</w:t>
            </w:r>
            <w:r>
              <w:rPr>
                <w:rFonts w:hint="eastAsia" w:ascii="宋体" w:hAnsi="宋体" w:cs="仿宋_GB2312"/>
                <w:color w:val="auto"/>
                <w:sz w:val="24"/>
                <w:u w:val="single"/>
              </w:rPr>
              <w:t xml:space="preserve">           </w:t>
            </w:r>
            <w:r>
              <w:rPr>
                <w:rFonts w:hint="eastAsia" w:ascii="宋体" w:hAnsi="宋体" w:cs="仿宋_GB2312"/>
                <w:color w:val="auto"/>
                <w:sz w:val="24"/>
              </w:rPr>
              <w:t>（¥</w:t>
            </w:r>
            <w:r>
              <w:rPr>
                <w:rFonts w:hint="eastAsia" w:ascii="宋体" w:hAnsi="宋体" w:cs="仿宋_GB2312"/>
                <w:color w:val="auto"/>
                <w:sz w:val="24"/>
                <w:u w:val="single"/>
              </w:rPr>
              <w:t xml:space="preserve">           </w:t>
            </w:r>
            <w:r>
              <w:rPr>
                <w:rFonts w:hint="eastAsia" w:ascii="宋体" w:hAnsi="宋体" w:cs="仿宋_GB2312"/>
                <w:color w:val="auto"/>
                <w:sz w:val="24"/>
              </w:rPr>
              <w:t>）</w:t>
            </w:r>
          </w:p>
        </w:tc>
      </w:tr>
    </w:tbl>
    <w:p w14:paraId="28251F6B">
      <w:pPr>
        <w:spacing w:line="360" w:lineRule="exact"/>
        <w:rPr>
          <w:rFonts w:ascii="宋体" w:hAnsi="宋体"/>
          <w:color w:val="auto"/>
          <w:szCs w:val="21"/>
        </w:rPr>
      </w:pPr>
    </w:p>
    <w:p w14:paraId="7F70C5BF">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14:paraId="52E7FCB1">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14:paraId="7B9B4DA0">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14:paraId="7D1D5147">
      <w:pPr>
        <w:spacing w:line="360" w:lineRule="auto"/>
        <w:ind w:firstLine="480" w:firstLineChars="200"/>
        <w:contextualSpacing/>
        <w:jc w:val="left"/>
        <w:rPr>
          <w:rFonts w:ascii="宋体" w:hAnsi="宋体" w:cs="仿宋_GB2312"/>
          <w:b/>
          <w:color w:val="auto"/>
          <w:sz w:val="24"/>
        </w:rPr>
      </w:pPr>
      <w:r>
        <w:rPr>
          <w:rFonts w:ascii="宋体" w:hAnsi="宋体" w:cs="仿宋_GB2312"/>
          <w:color w:val="auto"/>
          <w:sz w:val="24"/>
        </w:rPr>
        <w:t>3</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否则其响应文件按无效响应处理。</w:t>
      </w:r>
    </w:p>
    <w:p w14:paraId="3391656D">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.如为联合体竞标，</w:t>
      </w:r>
      <w:r>
        <w:rPr>
          <w:rFonts w:hint="eastAsia" w:ascii="宋体" w:hAnsi="宋体"/>
          <w:color w:val="auto"/>
          <w:spacing w:val="-6"/>
          <w:sz w:val="24"/>
        </w:rPr>
        <w:t>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14:paraId="2290353E">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w:t>
      </w:r>
    </w:p>
    <w:p w14:paraId="70C88198">
      <w:pPr>
        <w:spacing w:line="360" w:lineRule="auto"/>
        <w:ind w:firstLine="480" w:firstLineChars="200"/>
        <w:contextualSpacing/>
        <w:rPr>
          <w:rFonts w:ascii="宋体" w:hAnsi="宋体" w:cs="仿宋_GB2312"/>
          <w:color w:val="auto"/>
          <w:sz w:val="24"/>
        </w:rPr>
      </w:pPr>
    </w:p>
    <w:p w14:paraId="0B8FC4EF">
      <w:pPr>
        <w:spacing w:line="360" w:lineRule="auto"/>
        <w:ind w:right="-817" w:rightChars="-389"/>
        <w:contextualSpacing/>
        <w:rPr>
          <w:rFonts w:ascii="宋体" w:hAnsi="宋体" w:cs="仿宋_GB2312"/>
          <w:color w:val="auto"/>
          <w:sz w:val="24"/>
        </w:rPr>
      </w:pPr>
    </w:p>
    <w:p w14:paraId="331BD9EF">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1B194FE1">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71B62D90">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5F80FF18">
      <w:pPr>
        <w:spacing w:line="520" w:lineRule="exact"/>
        <w:jc w:val="center"/>
        <w:rPr>
          <w:rFonts w:ascii="宋体" w:hAnsi="宋体"/>
          <w:b/>
          <w:bCs/>
          <w:color w:val="auto"/>
          <w:sz w:val="32"/>
          <w:szCs w:val="32"/>
        </w:rPr>
      </w:pPr>
      <w:r>
        <w:rPr>
          <w:rFonts w:ascii="宋体" w:hAnsi="宋体" w:cs="仿宋_GB2312"/>
          <w:color w:val="auto"/>
          <w:sz w:val="24"/>
        </w:rPr>
        <w:br w:type="page"/>
      </w:r>
    </w:p>
    <w:p w14:paraId="7B3F4C1C">
      <w:pPr>
        <w:spacing w:line="360" w:lineRule="auto"/>
        <w:ind w:right="420"/>
        <w:contextualSpacing/>
        <w:jc w:val="left"/>
        <w:rPr>
          <w:rFonts w:ascii="宋体" w:hAns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 xml:space="preserve">商务技术文件格式 </w:t>
      </w:r>
    </w:p>
    <w:p w14:paraId="73300982">
      <w:pPr>
        <w:snapToGrid w:val="0"/>
        <w:spacing w:before="156"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14:paraId="1C9B0B48">
      <w:pPr>
        <w:snapToGrid w:val="0"/>
        <w:spacing w:before="156" w:beforeLines="50" w:after="50"/>
        <w:rPr>
          <w:rFonts w:ascii="宋体" w:hAnsi="宋体"/>
          <w:bCs/>
          <w:color w:val="auto"/>
          <w:sz w:val="32"/>
          <w:szCs w:val="20"/>
        </w:rPr>
      </w:pPr>
      <w:r>
        <w:rPr>
          <w:rFonts w:hint="eastAsia" w:ascii="宋体" w:hAnsi="宋体"/>
          <w:color w:val="auto"/>
          <w:sz w:val="24"/>
        </w:rPr>
        <w:t xml:space="preserve">                                                    </w:t>
      </w:r>
    </w:p>
    <w:p w14:paraId="3318EE1F">
      <w:pPr>
        <w:snapToGrid w:val="0"/>
        <w:spacing w:before="156" w:beforeLines="50" w:after="50"/>
        <w:jc w:val="center"/>
        <w:rPr>
          <w:rFonts w:ascii="宋体" w:hAnsi="宋体"/>
          <w:color w:val="auto"/>
          <w:sz w:val="24"/>
          <w:szCs w:val="20"/>
        </w:rPr>
      </w:pPr>
      <w:r>
        <w:rPr>
          <w:rFonts w:hint="eastAsia" w:ascii="宋体" w:hAnsi="宋体"/>
          <w:color w:val="auto"/>
          <w:sz w:val="44"/>
          <w:szCs w:val="44"/>
        </w:rPr>
        <w:t>电 子 响 应 文 件</w:t>
      </w:r>
    </w:p>
    <w:p w14:paraId="73AC3059">
      <w:pPr>
        <w:snapToGrid w:val="0"/>
        <w:spacing w:before="156" w:beforeLines="50" w:after="50"/>
        <w:rPr>
          <w:rFonts w:ascii="宋体" w:hAnsi="宋体"/>
          <w:color w:val="auto"/>
          <w:sz w:val="24"/>
          <w:szCs w:val="20"/>
        </w:rPr>
      </w:pPr>
    </w:p>
    <w:p w14:paraId="6B79F5B7">
      <w:pPr>
        <w:snapToGrid w:val="0"/>
        <w:spacing w:before="156" w:beforeLines="50" w:after="50"/>
        <w:rPr>
          <w:rFonts w:ascii="宋体" w:hAnsi="宋体"/>
          <w:color w:val="auto"/>
          <w:sz w:val="24"/>
          <w:szCs w:val="20"/>
        </w:rPr>
      </w:pPr>
    </w:p>
    <w:p w14:paraId="785CFFA2">
      <w:pPr>
        <w:snapToGrid w:val="0"/>
        <w:spacing w:before="156"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商  务  技  术  文  件</w:t>
      </w:r>
    </w:p>
    <w:p w14:paraId="5F063E58">
      <w:pPr>
        <w:snapToGrid w:val="0"/>
        <w:spacing w:before="156" w:beforeLines="50" w:after="50"/>
        <w:rPr>
          <w:rFonts w:ascii="宋体" w:hAnsi="宋体"/>
          <w:bCs/>
          <w:color w:val="auto"/>
          <w:sz w:val="24"/>
          <w:szCs w:val="20"/>
        </w:rPr>
      </w:pPr>
    </w:p>
    <w:p w14:paraId="3EAFBA14">
      <w:pPr>
        <w:snapToGrid w:val="0"/>
        <w:spacing w:before="156" w:beforeLines="50" w:after="50"/>
        <w:rPr>
          <w:rFonts w:ascii="宋体" w:hAnsi="宋体"/>
          <w:bCs/>
          <w:color w:val="auto"/>
          <w:sz w:val="24"/>
          <w:szCs w:val="20"/>
        </w:rPr>
      </w:pPr>
    </w:p>
    <w:p w14:paraId="65F233D7">
      <w:pPr>
        <w:snapToGrid w:val="0"/>
        <w:spacing w:before="156" w:beforeLines="50" w:after="50"/>
        <w:rPr>
          <w:rFonts w:ascii="宋体" w:hAnsi="宋体"/>
          <w:bCs/>
          <w:color w:val="auto"/>
          <w:sz w:val="24"/>
          <w:szCs w:val="20"/>
        </w:rPr>
      </w:pPr>
    </w:p>
    <w:p w14:paraId="6C490056">
      <w:pPr>
        <w:snapToGrid w:val="0"/>
        <w:spacing w:before="156" w:beforeLines="50" w:after="50"/>
        <w:rPr>
          <w:rFonts w:ascii="宋体" w:hAnsi="宋体"/>
          <w:bCs/>
          <w:color w:val="auto"/>
          <w:sz w:val="24"/>
          <w:szCs w:val="20"/>
        </w:rPr>
      </w:pPr>
    </w:p>
    <w:p w14:paraId="6F34A3FF">
      <w:pPr>
        <w:snapToGrid w:val="0"/>
        <w:spacing w:before="156" w:beforeLines="50" w:after="50"/>
        <w:rPr>
          <w:rFonts w:ascii="宋体" w:hAnsi="宋体"/>
          <w:bCs/>
          <w:color w:val="auto"/>
          <w:sz w:val="24"/>
          <w:szCs w:val="20"/>
        </w:rPr>
      </w:pPr>
    </w:p>
    <w:p w14:paraId="46E4DD77">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20A5658B">
      <w:pPr>
        <w:snapToGrid w:val="0"/>
        <w:spacing w:before="156" w:beforeLines="50" w:after="50"/>
        <w:ind w:firstLine="720" w:firstLineChars="225"/>
        <w:rPr>
          <w:rFonts w:ascii="宋体" w:hAnsi="宋体" w:cs="仿宋_GB2312"/>
          <w:bCs/>
          <w:color w:val="auto"/>
          <w:sz w:val="32"/>
          <w:szCs w:val="32"/>
        </w:rPr>
      </w:pPr>
    </w:p>
    <w:p w14:paraId="7403D6D4">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402613E2">
      <w:pPr>
        <w:snapToGrid w:val="0"/>
        <w:spacing w:before="156"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 xml:space="preserve"> </w:t>
      </w:r>
    </w:p>
    <w:p w14:paraId="6D06564A">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0BC76C58">
      <w:pPr>
        <w:snapToGrid w:val="0"/>
        <w:spacing w:before="156" w:beforeLines="50" w:after="50"/>
        <w:ind w:firstLine="720" w:firstLineChars="225"/>
        <w:rPr>
          <w:rFonts w:ascii="宋体" w:hAnsi="宋体" w:cs="仿宋_GB2312"/>
          <w:bCs/>
          <w:color w:val="auto"/>
          <w:sz w:val="32"/>
          <w:szCs w:val="32"/>
        </w:rPr>
      </w:pPr>
    </w:p>
    <w:p w14:paraId="05521694">
      <w:pPr>
        <w:pStyle w:val="2"/>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75B02132">
      <w:pPr>
        <w:pStyle w:val="2"/>
        <w:snapToGrid w:val="0"/>
        <w:spacing w:before="50" w:after="50"/>
        <w:ind w:firstLine="640" w:firstLineChars="200"/>
        <w:rPr>
          <w:rFonts w:ascii="宋体" w:hAnsi="宋体" w:cs="仿宋_GB2312"/>
          <w:bCs/>
          <w:color w:val="auto"/>
          <w:sz w:val="32"/>
          <w:szCs w:val="32"/>
        </w:rPr>
      </w:pPr>
    </w:p>
    <w:p w14:paraId="4F285AC4">
      <w:pPr>
        <w:pStyle w:val="2"/>
        <w:snapToGrid w:val="0"/>
        <w:spacing w:before="50" w:after="50"/>
        <w:ind w:firstLine="720" w:firstLineChars="225"/>
        <w:rPr>
          <w:rFonts w:ascii="宋体" w:hAnsi="宋体" w:cs="仿宋_GB2312"/>
          <w:bCs/>
          <w:color w:val="auto"/>
          <w:sz w:val="32"/>
          <w:szCs w:val="32"/>
        </w:rPr>
      </w:pPr>
    </w:p>
    <w:p w14:paraId="40C1E2E1">
      <w:pPr>
        <w:pStyle w:val="2"/>
        <w:snapToGrid w:val="0"/>
        <w:spacing w:before="50" w:after="50"/>
        <w:ind w:firstLine="0"/>
        <w:rPr>
          <w:rFonts w:ascii="宋体" w:hAnsi="宋体" w:cs="仿宋_GB2312"/>
          <w:bCs/>
          <w:color w:val="auto"/>
          <w:sz w:val="32"/>
          <w:szCs w:val="32"/>
        </w:rPr>
      </w:pPr>
    </w:p>
    <w:p w14:paraId="5F3E1BF4">
      <w:pPr>
        <w:pStyle w:val="2"/>
        <w:snapToGrid w:val="0"/>
        <w:spacing w:before="50" w:after="50"/>
        <w:ind w:firstLine="1280" w:firstLineChars="400"/>
        <w:rPr>
          <w:rFonts w:ascii="宋体" w:hAnsi="宋体" w:cs="仿宋_GB2312"/>
          <w:bCs/>
          <w:color w:val="auto"/>
          <w:sz w:val="32"/>
          <w:szCs w:val="32"/>
        </w:rPr>
      </w:pPr>
    </w:p>
    <w:p w14:paraId="1414F56B">
      <w:pPr>
        <w:snapToGrid w:val="0"/>
        <w:spacing w:before="156"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3AA1EA1E">
      <w:pPr>
        <w:snapToGrid w:val="0"/>
        <w:spacing w:before="156"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14:paraId="7E097F7A">
      <w:pPr>
        <w:snapToGrid w:val="0"/>
        <w:spacing w:before="156"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3468B93B">
      <w:pPr>
        <w:spacing w:line="400" w:lineRule="exact"/>
        <w:rPr>
          <w:rFonts w:ascii="仿宋_GB2312" w:hAnsi="仿宋_GB2312" w:eastAsia="仿宋_GB2312" w:cs="仿宋_GB2312"/>
          <w:color w:val="auto"/>
          <w:sz w:val="32"/>
          <w:szCs w:val="32"/>
        </w:rPr>
      </w:pPr>
    </w:p>
    <w:p w14:paraId="0F44D1F8">
      <w:pPr>
        <w:spacing w:line="520" w:lineRule="exact"/>
        <w:jc w:val="center"/>
        <w:rPr>
          <w:rFonts w:ascii="仿宋_GB2312" w:hAnsi="仿宋_GB2312" w:eastAsia="仿宋_GB2312" w:cs="仿宋_GB2312"/>
          <w:color w:val="auto"/>
          <w:sz w:val="32"/>
          <w:szCs w:val="32"/>
        </w:rPr>
      </w:pPr>
      <w:r>
        <w:rPr>
          <w:rFonts w:hint="eastAsia" w:ascii="仿宋" w:hAnsi="仿宋" w:eastAsia="仿宋" w:cs="仿宋"/>
          <w:color w:val="auto"/>
          <w:sz w:val="44"/>
          <w:szCs w:val="44"/>
        </w:rPr>
        <w:br w:type="page"/>
      </w:r>
      <w:r>
        <w:rPr>
          <w:rFonts w:hint="eastAsia" w:ascii="仿宋" w:hAnsi="仿宋" w:eastAsia="仿宋" w:cs="仿宋"/>
          <w:color w:val="auto"/>
          <w:sz w:val="44"/>
          <w:szCs w:val="44"/>
        </w:rPr>
        <w:t>无串通竞标行为的承诺函</w:t>
      </w:r>
    </w:p>
    <w:p w14:paraId="58EB821D">
      <w:pPr>
        <w:spacing w:line="360" w:lineRule="auto"/>
        <w:ind w:firstLine="640" w:firstLineChars="200"/>
        <w:contextualSpacing/>
        <w:rPr>
          <w:rFonts w:ascii="仿宋_GB2312" w:hAnsi="仿宋_GB2312" w:eastAsia="仿宋_GB2312" w:cs="仿宋_GB2312"/>
          <w:color w:val="auto"/>
          <w:sz w:val="32"/>
          <w:szCs w:val="32"/>
        </w:rPr>
      </w:pPr>
    </w:p>
    <w:p w14:paraId="1579CDBE">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14:paraId="23C16187">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14:paraId="3CE6A95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14:paraId="7096F1B0">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14:paraId="218F427B">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5E4869D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14:paraId="7B3CD7D0">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14:paraId="5297E16E">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14:paraId="0C8CE4EE">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40D3874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31129ED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6CED9FA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642E2A2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14:paraId="1A05B81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6E71561D">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2C1D8A33">
      <w:pPr>
        <w:spacing w:line="360" w:lineRule="auto"/>
        <w:ind w:firstLine="480" w:firstLineChars="200"/>
        <w:contextualSpacing/>
        <w:rPr>
          <w:rFonts w:ascii="宋体" w:hAnsi="宋体" w:cs="仿宋_GB2312"/>
          <w:color w:val="auto"/>
          <w:sz w:val="24"/>
        </w:rPr>
      </w:pPr>
    </w:p>
    <w:p w14:paraId="03132601">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0694AF1B">
      <w:pPr>
        <w:spacing w:line="360" w:lineRule="auto"/>
        <w:contextualSpacing/>
        <w:rPr>
          <w:rFonts w:ascii="宋体" w:hAnsi="宋体" w:cs="仿宋_GB2312"/>
          <w:color w:val="auto"/>
          <w:sz w:val="24"/>
        </w:rPr>
      </w:pPr>
    </w:p>
    <w:p w14:paraId="095697DB">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14:paraId="77CDDB07">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002C73E8">
      <w:pPr>
        <w:spacing w:line="520" w:lineRule="exact"/>
        <w:jc w:val="center"/>
        <w:rPr>
          <w:rFonts w:ascii="仿宋_GB2312" w:hAnsi="仿宋_GB2312" w:eastAsia="仿宋_GB2312" w:cs="仿宋_GB2312"/>
          <w:color w:val="auto"/>
          <w:sz w:val="32"/>
          <w:szCs w:val="32"/>
        </w:rPr>
      </w:pPr>
      <w:r>
        <w:rPr>
          <w:rFonts w:hint="eastAsia" w:ascii="仿宋" w:hAnsi="仿宋" w:eastAsia="仿宋" w:cs="仿宋"/>
          <w:bCs/>
          <w:color w:val="auto"/>
          <w:sz w:val="44"/>
          <w:szCs w:val="44"/>
        </w:rPr>
        <w:br w:type="page"/>
      </w:r>
      <w:r>
        <w:rPr>
          <w:rFonts w:hint="eastAsia" w:ascii="仿宋" w:hAnsi="仿宋" w:eastAsia="仿宋" w:cs="仿宋"/>
          <w:bCs/>
          <w:color w:val="auto"/>
          <w:sz w:val="44"/>
          <w:szCs w:val="44"/>
        </w:rPr>
        <w:t>法定代表人证明书</w:t>
      </w:r>
    </w:p>
    <w:p w14:paraId="0168513F">
      <w:pPr>
        <w:spacing w:line="360" w:lineRule="auto"/>
        <w:ind w:left="540"/>
        <w:contextualSpacing/>
        <w:rPr>
          <w:rFonts w:ascii="仿宋_GB2312" w:hAnsi="仿宋_GB2312" w:eastAsia="仿宋_GB2312" w:cs="仿宋_GB2312"/>
          <w:color w:val="auto"/>
          <w:sz w:val="32"/>
          <w:szCs w:val="32"/>
        </w:rPr>
      </w:pPr>
    </w:p>
    <w:p w14:paraId="2E670579">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3170BCBA">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3B83DA73">
      <w:pPr>
        <w:spacing w:line="360" w:lineRule="auto"/>
        <w:ind w:left="540"/>
        <w:contextualSpacing/>
        <w:rPr>
          <w:rFonts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0ED03112">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5C9EAE4C">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73EB9C96">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39963C6C">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14:paraId="4BB6D0A4">
      <w:pPr>
        <w:spacing w:line="360" w:lineRule="auto"/>
        <w:ind w:left="540"/>
        <w:contextualSpacing/>
        <w:rPr>
          <w:rFonts w:ascii="宋体" w:hAnsi="宋体" w:cs="仿宋_GB2312"/>
          <w:color w:val="auto"/>
          <w:sz w:val="24"/>
        </w:rPr>
      </w:pPr>
    </w:p>
    <w:p w14:paraId="14B7417C">
      <w:pPr>
        <w:spacing w:line="360" w:lineRule="auto"/>
        <w:ind w:left="540"/>
        <w:contextualSpacing/>
        <w:rPr>
          <w:rFonts w:ascii="宋体" w:hAnsi="宋体" w:cs="仿宋_GB2312"/>
          <w:color w:val="auto"/>
          <w:sz w:val="24"/>
        </w:rPr>
      </w:pPr>
    </w:p>
    <w:p w14:paraId="1592DCA9">
      <w:pPr>
        <w:spacing w:line="360" w:lineRule="auto"/>
        <w:ind w:left="540"/>
        <w:contextualSpacing/>
        <w:rPr>
          <w:rFonts w:ascii="宋体" w:hAnsi="宋体" w:cs="仿宋_GB2312"/>
          <w:color w:val="auto"/>
          <w:sz w:val="24"/>
        </w:rPr>
      </w:pPr>
    </w:p>
    <w:p w14:paraId="72FAFFBE">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附件：法定代表人有效身份证正反面扫描件</w:t>
      </w:r>
    </w:p>
    <w:p w14:paraId="5B27EA0E">
      <w:pPr>
        <w:spacing w:line="360" w:lineRule="auto"/>
        <w:ind w:left="540"/>
        <w:contextualSpacing/>
        <w:rPr>
          <w:rFonts w:ascii="宋体" w:hAnsi="宋体" w:cs="仿宋_GB2312"/>
          <w:color w:val="auto"/>
          <w:sz w:val="24"/>
        </w:rPr>
      </w:pPr>
    </w:p>
    <w:p w14:paraId="2B47700D">
      <w:pPr>
        <w:spacing w:line="360" w:lineRule="auto"/>
        <w:ind w:left="540"/>
        <w:contextualSpacing/>
        <w:jc w:val="right"/>
        <w:rPr>
          <w:rFonts w:ascii="宋体" w:hAnsi="宋体" w:cs="仿宋_GB2312"/>
          <w:color w:val="auto"/>
          <w:sz w:val="24"/>
        </w:rPr>
      </w:pPr>
      <w:r>
        <w:rPr>
          <w:rFonts w:hint="eastAsia" w:ascii="宋体" w:hAnsi="宋体" w:cs="仿宋_GB2312"/>
          <w:color w:val="auto"/>
          <w:sz w:val="24"/>
        </w:rPr>
        <w:t>供应商（电子签章）：</w:t>
      </w:r>
      <w:r>
        <w:rPr>
          <w:rFonts w:hint="eastAsia" w:ascii="宋体" w:hAnsi="宋体" w:cs="仿宋_GB2312"/>
          <w:color w:val="auto"/>
          <w:sz w:val="24"/>
          <w:u w:val="single"/>
        </w:rPr>
        <w:t xml:space="preserve">               </w:t>
      </w:r>
    </w:p>
    <w:p w14:paraId="5A0EC6B8">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62BF1FC2">
      <w:pPr>
        <w:spacing w:line="360" w:lineRule="auto"/>
        <w:contextualSpacing/>
        <w:jc w:val="center"/>
        <w:rPr>
          <w:rFonts w:ascii="宋体" w:hAnsi="宋体" w:cs="仿宋_GB2312"/>
          <w:b/>
          <w:color w:val="auto"/>
          <w:sz w:val="24"/>
        </w:rPr>
      </w:pPr>
    </w:p>
    <w:p w14:paraId="2DC0EE40">
      <w:pPr>
        <w:spacing w:line="360" w:lineRule="auto"/>
        <w:contextualSpacing/>
        <w:jc w:val="left"/>
        <w:rPr>
          <w:rFonts w:ascii="宋体" w:hAnsi="宋体" w:cs="仿宋_GB2312"/>
          <w:color w:val="auto"/>
          <w:sz w:val="24"/>
        </w:rPr>
      </w:pPr>
    </w:p>
    <w:p w14:paraId="434B0838">
      <w:pPr>
        <w:spacing w:line="360" w:lineRule="auto"/>
        <w:contextualSpacing/>
        <w:jc w:val="left"/>
        <w:rPr>
          <w:rFonts w:ascii="宋体" w:hAnsi="宋体" w:cs="仿宋_GB2312"/>
          <w:color w:val="auto"/>
          <w:sz w:val="24"/>
        </w:rPr>
      </w:pPr>
      <w:r>
        <w:rPr>
          <w:rFonts w:hint="eastAsia" w:ascii="宋体" w:hAnsi="宋体" w:cs="仿宋_GB2312"/>
          <w:color w:val="auto"/>
          <w:sz w:val="24"/>
        </w:rPr>
        <w:t>注：自然人竞标的无需提供，联合体竞标的只需牵头人出具。</w:t>
      </w:r>
    </w:p>
    <w:p w14:paraId="2AD1E422">
      <w:pPr>
        <w:adjustRightInd w:val="0"/>
        <w:snapToGrid w:val="0"/>
        <w:spacing w:line="300" w:lineRule="auto"/>
        <w:jc w:val="left"/>
        <w:rPr>
          <w:rFonts w:ascii="宋体" w:hAnsi="宋体"/>
          <w:b/>
          <w:color w:val="auto"/>
          <w:szCs w:val="21"/>
        </w:rPr>
      </w:pPr>
    </w:p>
    <w:p w14:paraId="76755405">
      <w:pPr>
        <w:spacing w:line="500" w:lineRule="exact"/>
        <w:jc w:val="center"/>
        <w:rPr>
          <w:rFonts w:ascii="仿宋" w:hAnsi="仿宋" w:eastAsia="仿宋" w:cs="仿宋"/>
          <w:color w:val="auto"/>
          <w:sz w:val="44"/>
          <w:szCs w:val="44"/>
        </w:rPr>
      </w:pPr>
      <w:r>
        <w:rPr>
          <w:rFonts w:hint="eastAsia" w:ascii="仿宋" w:hAnsi="仿宋" w:eastAsia="仿宋" w:cs="仿宋"/>
          <w:color w:val="auto"/>
          <w:sz w:val="44"/>
          <w:szCs w:val="44"/>
        </w:rPr>
        <w:br w:type="page"/>
      </w:r>
      <w:r>
        <w:rPr>
          <w:rFonts w:ascii="仿宋" w:hAnsi="仿宋" w:eastAsia="仿宋" w:cs="仿宋"/>
          <w:color w:val="auto"/>
          <w:sz w:val="44"/>
          <w:szCs w:val="44"/>
        </w:rPr>
        <w:t xml:space="preserve"> </w:t>
      </w:r>
    </w:p>
    <w:p w14:paraId="76228E53">
      <w:pPr>
        <w:spacing w:line="520" w:lineRule="exact"/>
        <w:jc w:val="center"/>
        <w:rPr>
          <w:rFonts w:ascii="仿宋" w:hAnsi="仿宋" w:eastAsia="仿宋" w:cs="仿宋"/>
          <w:color w:val="auto"/>
          <w:sz w:val="44"/>
          <w:szCs w:val="44"/>
        </w:rPr>
      </w:pPr>
      <w:bookmarkStart w:id="109" w:name="_Hlk65853542"/>
      <w:bookmarkStart w:id="110" w:name="_Hlk65853643"/>
      <w:r>
        <w:rPr>
          <w:rFonts w:hint="eastAsia" w:ascii="仿宋" w:hAnsi="仿宋" w:eastAsia="仿宋" w:cs="仿宋"/>
          <w:color w:val="auto"/>
          <w:sz w:val="44"/>
          <w:szCs w:val="44"/>
        </w:rPr>
        <w:t>授权委托书</w:t>
      </w:r>
    </w:p>
    <w:p w14:paraId="363C4D66">
      <w:pPr>
        <w:spacing w:line="520" w:lineRule="exact"/>
        <w:jc w:val="center"/>
        <w:rPr>
          <w:rFonts w:ascii="仿宋" w:hAnsi="仿宋" w:eastAsia="仿宋" w:cs="仿宋"/>
          <w:color w:val="auto"/>
          <w:sz w:val="32"/>
          <w:szCs w:val="32"/>
        </w:rPr>
      </w:pPr>
      <w:r>
        <w:rPr>
          <w:rFonts w:hint="eastAsia" w:ascii="仿宋" w:hAnsi="仿宋" w:eastAsia="仿宋" w:cs="仿宋"/>
          <w:color w:val="auto"/>
          <w:sz w:val="32"/>
          <w:szCs w:val="32"/>
        </w:rPr>
        <w:t>（非联合体竞标格式）</w:t>
      </w:r>
    </w:p>
    <w:p w14:paraId="216591E0">
      <w:pPr>
        <w:spacing w:line="520" w:lineRule="exact"/>
        <w:jc w:val="center"/>
        <w:rPr>
          <w:rFonts w:ascii="仿宋" w:hAnsi="仿宋" w:eastAsia="仿宋" w:cs="仿宋"/>
          <w:color w:val="auto"/>
          <w:sz w:val="44"/>
          <w:szCs w:val="44"/>
        </w:rPr>
      </w:pPr>
      <w:r>
        <w:rPr>
          <w:rFonts w:hint="eastAsia" w:ascii="仿宋" w:hAnsi="仿宋" w:eastAsia="仿宋" w:cs="仿宋"/>
          <w:color w:val="auto"/>
          <w:sz w:val="32"/>
          <w:szCs w:val="32"/>
        </w:rPr>
        <w:t>（如有委托时）</w:t>
      </w:r>
    </w:p>
    <w:p w14:paraId="17BCF5C6">
      <w:pPr>
        <w:spacing w:line="520" w:lineRule="exact"/>
        <w:rPr>
          <w:rFonts w:ascii="仿宋_GB2312" w:hAnsi="仿宋_GB2312" w:eastAsia="仿宋_GB2312" w:cs="仿宋_GB2312"/>
          <w:color w:val="auto"/>
          <w:sz w:val="32"/>
          <w:szCs w:val="32"/>
        </w:rPr>
      </w:pPr>
    </w:p>
    <w:p w14:paraId="1A705172">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774D3B46">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sym w:font="Wingdings 2" w:char="00A3"/>
      </w:r>
      <w:r>
        <w:rPr>
          <w:rFonts w:hint="eastAsia" w:ascii="宋体" w:hAnsi="宋体" w:cs="仿宋_GB2312"/>
          <w:color w:val="auto"/>
          <w:sz w:val="24"/>
          <w:u w:val="single"/>
        </w:rPr>
        <w:t>法定代表人/□负责人/□自然人本人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7685D67C">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14:paraId="61799C53">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2A929308">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14:paraId="0F5466C7">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附：法定代表人身份证明书及委托代理人有效身份证正反面扫描件</w:t>
      </w:r>
    </w:p>
    <w:p w14:paraId="6D2C13C5">
      <w:pPr>
        <w:spacing w:line="360" w:lineRule="auto"/>
        <w:rPr>
          <w:rFonts w:ascii="宋体" w:hAnsi="宋体" w:cs="仿宋_GB2312"/>
          <w:color w:val="auto"/>
          <w:sz w:val="24"/>
        </w:rPr>
      </w:pPr>
    </w:p>
    <w:p w14:paraId="7DB9E163">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法定代表人（签字或者盖章或者电子签名）：                    </w:t>
      </w:r>
    </w:p>
    <w:p w14:paraId="5D16DF67">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14:paraId="3CAE7B31">
      <w:pPr>
        <w:spacing w:line="360" w:lineRule="auto"/>
        <w:contextualSpacing/>
        <w:rPr>
          <w:rFonts w:ascii="宋体" w:hAnsi="宋体" w:cs="仿宋_GB2312"/>
          <w:color w:val="auto"/>
          <w:sz w:val="24"/>
        </w:rPr>
      </w:pPr>
      <w:r>
        <w:rPr>
          <w:rFonts w:hint="eastAsia" w:ascii="宋体" w:hAnsi="宋体" w:cs="仿宋_GB2312"/>
          <w:color w:val="auto"/>
          <w:sz w:val="24"/>
        </w:rPr>
        <w:t xml:space="preserve">                                </w:t>
      </w:r>
    </w:p>
    <w:p w14:paraId="602B21AF">
      <w:pPr>
        <w:spacing w:line="360" w:lineRule="auto"/>
        <w:rPr>
          <w:rFonts w:ascii="宋体" w:hAnsi="宋体" w:cs="仿宋_GB2312"/>
          <w:color w:val="auto"/>
          <w:sz w:val="24"/>
        </w:rPr>
      </w:pPr>
      <w:r>
        <w:rPr>
          <w:rFonts w:hint="eastAsia" w:ascii="宋体" w:hAnsi="宋体" w:cs="仿宋_GB2312"/>
          <w:color w:val="auto"/>
          <w:sz w:val="24"/>
        </w:rPr>
        <w:t xml:space="preserve">                         供应商（电子签章）：                      </w:t>
      </w:r>
    </w:p>
    <w:p w14:paraId="6FEDA8B4">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14:paraId="444FD3F1">
      <w:pPr>
        <w:spacing w:line="360" w:lineRule="auto"/>
        <w:rPr>
          <w:rFonts w:ascii="宋体" w:hAnsi="宋体" w:cs="仿宋_GB2312"/>
          <w:color w:val="auto"/>
          <w:sz w:val="24"/>
        </w:rPr>
      </w:pPr>
    </w:p>
    <w:p w14:paraId="265B0D7A">
      <w:pPr>
        <w:spacing w:line="360" w:lineRule="auto"/>
        <w:rPr>
          <w:rFonts w:ascii="宋体" w:hAnsi="宋体" w:cs="仿宋_GB2312"/>
          <w:color w:val="auto"/>
          <w:sz w:val="24"/>
        </w:rPr>
      </w:pPr>
      <w:r>
        <w:rPr>
          <w:rFonts w:hint="eastAsia" w:ascii="宋体" w:hAnsi="宋体" w:cs="仿宋_GB2312"/>
          <w:color w:val="auto"/>
          <w:sz w:val="24"/>
        </w:rPr>
        <w:t>注：1. 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52762FC9">
      <w:pPr>
        <w:spacing w:line="360" w:lineRule="auto"/>
        <w:ind w:firstLine="480" w:firstLineChars="200"/>
        <w:jc w:val="left"/>
        <w:rPr>
          <w:rFonts w:ascii="宋体" w:hAnsi="宋体" w:cs="仿宋_GB2312"/>
          <w:color w:val="auto"/>
          <w:sz w:val="24"/>
        </w:rPr>
      </w:pPr>
      <w:r>
        <w:rPr>
          <w:rFonts w:ascii="宋体" w:hAnsi="宋体" w:cs="仿宋_GB2312"/>
          <w:color w:val="auto"/>
          <w:sz w:val="24"/>
        </w:rPr>
        <w:t>2.</w:t>
      </w:r>
      <w:bookmarkStart w:id="111" w:name="_Hlk65853109"/>
      <w:r>
        <w:rPr>
          <w:rFonts w:hint="eastAsia" w:ascii="宋体" w:hAnsi="宋体" w:cs="仿宋_GB2312"/>
          <w:color w:val="auto"/>
          <w:sz w:val="24"/>
        </w:rPr>
        <w:t>法人、其他组织竞标时“我方”是指“我单位”，自然人竞标时“我方”是指“本人”。</w:t>
      </w:r>
      <w:bookmarkEnd w:id="111"/>
    </w:p>
    <w:p w14:paraId="3C6E93DA">
      <w:pPr>
        <w:spacing w:line="360" w:lineRule="auto"/>
        <w:ind w:firstLine="420" w:firstLineChars="200"/>
        <w:jc w:val="left"/>
        <w:rPr>
          <w:rFonts w:ascii="仿宋_GB2312" w:hAnsi="仿宋_GB2312" w:eastAsia="仿宋_GB2312" w:cs="仿宋_GB2312"/>
          <w:color w:val="auto"/>
          <w:szCs w:val="21"/>
        </w:rPr>
      </w:pPr>
    </w:p>
    <w:p w14:paraId="54CC252D">
      <w:pPr>
        <w:spacing w:line="500" w:lineRule="exact"/>
        <w:jc w:val="center"/>
        <w:rPr>
          <w:rFonts w:ascii="仿宋_GB2312" w:hAnsi="仿宋_GB2312" w:eastAsia="仿宋_GB2312" w:cs="仿宋_GB2312"/>
          <w:color w:val="auto"/>
          <w:szCs w:val="21"/>
        </w:rPr>
      </w:pPr>
      <w:r>
        <w:rPr>
          <w:rFonts w:ascii="仿宋_GB2312" w:hAnsi="仿宋_GB2312" w:eastAsia="仿宋_GB2312" w:cs="仿宋_GB2312"/>
          <w:color w:val="auto"/>
          <w:szCs w:val="21"/>
        </w:rPr>
        <w:br w:type="page"/>
      </w:r>
    </w:p>
    <w:p w14:paraId="7315309A">
      <w:pPr>
        <w:spacing w:line="500" w:lineRule="exact"/>
        <w:jc w:val="center"/>
        <w:rPr>
          <w:rFonts w:ascii="仿宋" w:hAnsi="仿宋" w:eastAsia="仿宋" w:cs="仿宋"/>
          <w:color w:val="auto"/>
          <w:sz w:val="44"/>
          <w:szCs w:val="44"/>
        </w:rPr>
      </w:pPr>
      <w:r>
        <w:rPr>
          <w:rFonts w:hint="eastAsia" w:ascii="仿宋" w:hAnsi="仿宋" w:eastAsia="仿宋" w:cs="仿宋"/>
          <w:color w:val="auto"/>
          <w:sz w:val="44"/>
          <w:szCs w:val="44"/>
        </w:rPr>
        <w:t>授权委托书</w:t>
      </w:r>
    </w:p>
    <w:p w14:paraId="3016B481">
      <w:pPr>
        <w:spacing w:line="500" w:lineRule="exact"/>
        <w:jc w:val="center"/>
        <w:rPr>
          <w:rFonts w:ascii="仿宋" w:hAnsi="仿宋" w:eastAsia="仿宋" w:cs="仿宋"/>
          <w:color w:val="auto"/>
          <w:sz w:val="32"/>
          <w:szCs w:val="32"/>
        </w:rPr>
      </w:pPr>
      <w:r>
        <w:rPr>
          <w:rFonts w:hint="eastAsia" w:ascii="仿宋" w:hAnsi="仿宋" w:eastAsia="仿宋" w:cs="仿宋"/>
          <w:color w:val="auto"/>
          <w:sz w:val="32"/>
          <w:szCs w:val="32"/>
        </w:rPr>
        <w:t>（联合体竞标格式）</w:t>
      </w:r>
    </w:p>
    <w:p w14:paraId="00C0840F">
      <w:pPr>
        <w:spacing w:line="500" w:lineRule="exact"/>
        <w:jc w:val="center"/>
        <w:rPr>
          <w:rFonts w:ascii="仿宋" w:hAnsi="仿宋" w:eastAsia="仿宋" w:cs="仿宋"/>
          <w:color w:val="auto"/>
          <w:sz w:val="44"/>
          <w:szCs w:val="44"/>
        </w:rPr>
      </w:pPr>
      <w:r>
        <w:rPr>
          <w:rFonts w:hint="eastAsia" w:ascii="仿宋" w:hAnsi="仿宋" w:eastAsia="仿宋" w:cs="仿宋"/>
          <w:color w:val="auto"/>
          <w:sz w:val="32"/>
          <w:szCs w:val="32"/>
        </w:rPr>
        <w:t>（如有委托时）</w:t>
      </w:r>
    </w:p>
    <w:p w14:paraId="506A39F6">
      <w:pPr>
        <w:spacing w:line="500" w:lineRule="exact"/>
        <w:jc w:val="center"/>
        <w:rPr>
          <w:rFonts w:ascii="仿宋" w:hAnsi="仿宋" w:eastAsia="仿宋" w:cs="仿宋"/>
          <w:color w:val="auto"/>
          <w:sz w:val="44"/>
          <w:szCs w:val="44"/>
        </w:rPr>
      </w:pPr>
    </w:p>
    <w:p w14:paraId="50426089">
      <w:pPr>
        <w:spacing w:line="500" w:lineRule="exact"/>
        <w:jc w:val="center"/>
        <w:rPr>
          <w:rFonts w:ascii="仿宋_GB2312" w:hAnsi="仿宋_GB2312" w:eastAsia="仿宋_GB2312" w:cs="仿宋_GB2312"/>
          <w:color w:val="auto"/>
          <w:sz w:val="32"/>
          <w:szCs w:val="32"/>
        </w:rPr>
      </w:pPr>
    </w:p>
    <w:p w14:paraId="67006571">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w:t>
      </w:r>
      <w:r>
        <w:rPr>
          <w:rFonts w:hint="eastAsia" w:ascii="宋体" w:hAnsi="宋体" w:cs="仿宋_GB2312"/>
          <w:color w:val="auto"/>
          <w:sz w:val="24"/>
          <w:u w:val="single"/>
        </w:rPr>
        <w:t xml:space="preserve">                </w:t>
      </w:r>
      <w:r>
        <w:rPr>
          <w:rFonts w:hint="eastAsia" w:ascii="宋体" w:hAnsi="宋体" w:cs="仿宋_GB2312"/>
          <w:color w:val="auto"/>
          <w:sz w:val="24"/>
        </w:rPr>
        <w:t>（牵头人名称）与</w:t>
      </w:r>
      <w:r>
        <w:rPr>
          <w:rFonts w:hint="eastAsia" w:ascii="宋体" w:hAnsi="宋体" w:cs="仿宋_GB2312"/>
          <w:color w:val="auto"/>
          <w:sz w:val="24"/>
          <w:u w:val="single"/>
        </w:rPr>
        <w:t xml:space="preserve">              </w:t>
      </w:r>
      <w:r>
        <w:rPr>
          <w:rFonts w:hint="eastAsia" w:ascii="宋体" w:hAnsi="宋体" w:cs="仿宋_GB2312"/>
          <w:color w:val="auto"/>
          <w:sz w:val="24"/>
        </w:rPr>
        <w:t>（联合体其他成员名称）签订的《联合体竞标协议书》的内容，</w:t>
      </w:r>
      <w:r>
        <w:rPr>
          <w:rFonts w:hint="eastAsia" w:ascii="宋体" w:hAnsi="宋体" w:cs="仿宋_GB2312"/>
          <w:color w:val="auto"/>
          <w:sz w:val="24"/>
          <w:u w:val="single"/>
        </w:rPr>
        <w:t xml:space="preserve">                       </w:t>
      </w:r>
      <w:r>
        <w:rPr>
          <w:rFonts w:hint="eastAsia" w:ascii="宋体" w:hAnsi="宋体" w:cs="仿宋_GB2312"/>
          <w:color w:val="auto"/>
          <w:sz w:val="24"/>
        </w:rPr>
        <w:t>（牵头人名称）的法定代表人</w:t>
      </w:r>
      <w:r>
        <w:rPr>
          <w:rFonts w:hint="eastAsia" w:ascii="宋体" w:hAnsi="宋体" w:cs="仿宋_GB2312"/>
          <w:color w:val="auto"/>
          <w:sz w:val="24"/>
          <w:u w:val="single"/>
        </w:rPr>
        <w:t xml:space="preserve">      </w:t>
      </w:r>
      <w:r>
        <w:rPr>
          <w:rFonts w:hint="eastAsia" w:ascii="宋体" w:hAnsi="宋体" w:cs="仿宋_GB2312"/>
          <w:color w:val="auto"/>
          <w:sz w:val="24"/>
        </w:rPr>
        <w:t>（姓名）现授权</w:t>
      </w:r>
      <w:r>
        <w:rPr>
          <w:rFonts w:hint="eastAsia" w:ascii="宋体" w:hAnsi="宋体" w:cs="仿宋_GB2312"/>
          <w:color w:val="auto"/>
          <w:sz w:val="24"/>
          <w:u w:val="single"/>
        </w:rPr>
        <w:t xml:space="preserve">      </w:t>
      </w:r>
      <w:r>
        <w:rPr>
          <w:rFonts w:hint="eastAsia" w:ascii="宋体" w:hAnsi="宋体" w:cs="仿宋_GB2312"/>
          <w:color w:val="auto"/>
          <w:sz w:val="24"/>
        </w:rPr>
        <w:t>（姓名）为联合委托代理人，并代表我方全权办理针对上述项目的所有采购程序和环节的具体事务和签署相关文件。</w:t>
      </w:r>
    </w:p>
    <w:p w14:paraId="3A02386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14:paraId="181F47F5">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00A55AF5">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14:paraId="06B72EE7">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附：法定代表人身份证明书及委托代理人有效身份证正反面扫描件</w:t>
      </w:r>
    </w:p>
    <w:p w14:paraId="503AD78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14:paraId="625869B4">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牵头人（电子签章）：</w:t>
      </w:r>
    </w:p>
    <w:p w14:paraId="66E48D01">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561FCF6D">
      <w:pPr>
        <w:spacing w:line="360" w:lineRule="auto"/>
        <w:contextualSpacing/>
        <w:rPr>
          <w:rFonts w:ascii="宋体" w:hAnsi="宋体" w:cs="仿宋_GB2312"/>
          <w:color w:val="auto"/>
          <w:sz w:val="24"/>
        </w:rPr>
      </w:pPr>
    </w:p>
    <w:p w14:paraId="65CF2EE1">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14:paraId="3B0F886F">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02C134AF">
      <w:pPr>
        <w:spacing w:line="360" w:lineRule="auto"/>
        <w:contextualSpacing/>
        <w:rPr>
          <w:rFonts w:ascii="宋体" w:hAnsi="宋体" w:cs="仿宋_GB2312"/>
          <w:color w:val="auto"/>
          <w:sz w:val="24"/>
        </w:rPr>
      </w:pPr>
    </w:p>
    <w:p w14:paraId="1C9A4862">
      <w:pPr>
        <w:spacing w:line="360" w:lineRule="auto"/>
        <w:contextualSpacing/>
        <w:rPr>
          <w:rFonts w:ascii="宋体" w:hAnsi="宋体" w:cs="仿宋_GB2312"/>
          <w:color w:val="auto"/>
          <w:sz w:val="24"/>
        </w:rPr>
      </w:pPr>
      <w:r>
        <w:rPr>
          <w:rFonts w:hint="eastAsia" w:ascii="宋体" w:hAnsi="宋体" w:cs="仿宋_GB2312"/>
          <w:color w:val="auto"/>
          <w:sz w:val="24"/>
        </w:rPr>
        <w:t>注：1. 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3FB6E772">
      <w:pPr>
        <w:spacing w:line="360" w:lineRule="auto"/>
        <w:ind w:firstLine="480" w:firstLineChars="200"/>
        <w:jc w:val="left"/>
        <w:rPr>
          <w:rFonts w:ascii="宋体" w:hAnsi="宋体" w:cs="仿宋_GB2312"/>
          <w:color w:val="auto"/>
          <w:sz w:val="24"/>
        </w:rPr>
      </w:pPr>
      <w:r>
        <w:rPr>
          <w:rFonts w:ascii="宋体" w:hAnsi="宋体" w:cs="仿宋_GB2312"/>
          <w:color w:val="auto"/>
          <w:sz w:val="24"/>
        </w:rPr>
        <w:t>2.</w:t>
      </w:r>
      <w:r>
        <w:rPr>
          <w:rFonts w:hint="eastAsia" w:ascii="宋体" w:hAnsi="宋体" w:cs="仿宋_GB2312"/>
          <w:color w:val="auto"/>
          <w:sz w:val="24"/>
        </w:rPr>
        <w:t>法人、其他组织竞标时“我方”是指“我单位”，自然人竞标时“我方”是指“本人”。</w:t>
      </w:r>
    </w:p>
    <w:bookmarkEnd w:id="109"/>
    <w:p w14:paraId="47329993">
      <w:pPr>
        <w:spacing w:line="360" w:lineRule="auto"/>
        <w:ind w:firstLine="420" w:firstLineChars="200"/>
        <w:jc w:val="left"/>
        <w:rPr>
          <w:rFonts w:ascii="仿宋_GB2312" w:hAnsi="仿宋_GB2312" w:eastAsia="仿宋_GB2312" w:cs="仿宋_GB2312"/>
          <w:color w:val="auto"/>
          <w:szCs w:val="21"/>
        </w:rPr>
      </w:pPr>
    </w:p>
    <w:p w14:paraId="02D557D2">
      <w:pPr>
        <w:spacing w:line="500" w:lineRule="exact"/>
        <w:jc w:val="center"/>
        <w:rPr>
          <w:rFonts w:ascii="仿宋" w:hAnsi="仿宋" w:eastAsia="仿宋" w:cs="仿宋"/>
          <w:bCs/>
          <w:color w:val="auto"/>
          <w:sz w:val="44"/>
          <w:szCs w:val="44"/>
        </w:rPr>
      </w:pPr>
      <w:r>
        <w:rPr>
          <w:rFonts w:ascii="仿宋_GB2312" w:hAnsi="仿宋_GB2312" w:eastAsia="仿宋_GB2312" w:cs="仿宋_GB2312"/>
          <w:color w:val="auto"/>
          <w:szCs w:val="21"/>
        </w:rPr>
        <w:br w:type="page"/>
      </w:r>
      <w:bookmarkEnd w:id="110"/>
    </w:p>
    <w:p w14:paraId="0502E76F">
      <w:pPr>
        <w:spacing w:line="500" w:lineRule="exact"/>
        <w:jc w:val="center"/>
        <w:rPr>
          <w:rFonts w:ascii="宋体" w:hAnsi="宋体"/>
          <w:b/>
          <w:color w:val="auto"/>
          <w:sz w:val="32"/>
          <w:szCs w:val="32"/>
        </w:rPr>
      </w:pPr>
      <w:r>
        <w:rPr>
          <w:rFonts w:hint="eastAsia" w:ascii="仿宋" w:hAnsi="仿宋" w:eastAsia="仿宋" w:cs="仿宋"/>
          <w:bCs/>
          <w:color w:val="auto"/>
          <w:sz w:val="44"/>
          <w:szCs w:val="44"/>
        </w:rPr>
        <w:t>商务要求偏离表格式</w:t>
      </w:r>
    </w:p>
    <w:p w14:paraId="019EE8C4">
      <w:pPr>
        <w:spacing w:line="360" w:lineRule="auto"/>
        <w:contextualSpacing/>
        <w:jc w:val="left"/>
        <w:rPr>
          <w:rFonts w:ascii="宋体" w:hAnsi="宋体"/>
          <w:color w:val="auto"/>
          <w:sz w:val="24"/>
        </w:rPr>
      </w:pPr>
    </w:p>
    <w:p w14:paraId="3E78FEC4">
      <w:pPr>
        <w:spacing w:line="360" w:lineRule="auto"/>
        <w:contextualSpacing/>
        <w:rPr>
          <w:rFonts w:ascii="宋体" w:hAnsi="宋体" w:cs="仿宋_GB2312"/>
          <w:color w:val="auto"/>
          <w:sz w:val="24"/>
          <w:u w:val="single"/>
        </w:rPr>
      </w:pPr>
      <w:r>
        <w:rPr>
          <w:rFonts w:hint="eastAsia" w:ascii="宋体" w:hAnsi="宋体" w:cs="仿宋_GB2312"/>
          <w:color w:val="auto"/>
          <w:sz w:val="24"/>
        </w:rPr>
        <w:t>采购项目编号：</w:t>
      </w:r>
      <w:r>
        <w:rPr>
          <w:rFonts w:hint="eastAsia" w:ascii="宋体" w:hAnsi="宋体" w:cs="仿宋_GB2312"/>
          <w:color w:val="auto"/>
          <w:sz w:val="24"/>
          <w:u w:val="single"/>
        </w:rPr>
        <w:t xml:space="preserve">                 </w:t>
      </w:r>
    </w:p>
    <w:p w14:paraId="6ECC4B33">
      <w:pPr>
        <w:spacing w:line="360" w:lineRule="auto"/>
        <w:contextualSpacing/>
        <w:rPr>
          <w:rFonts w:ascii="宋体" w:hAnsi="宋体" w:cs="仿宋_GB2312"/>
          <w:color w:val="auto"/>
          <w:sz w:val="24"/>
        </w:rPr>
      </w:pPr>
      <w:r>
        <w:rPr>
          <w:rFonts w:hint="eastAsia" w:ascii="宋体" w:hAnsi="宋体" w:cs="仿宋_GB2312"/>
          <w:color w:val="auto"/>
          <w:sz w:val="24"/>
        </w:rPr>
        <w:t>采购项目名称：</w:t>
      </w:r>
      <w:r>
        <w:rPr>
          <w:rFonts w:hint="eastAsia" w:ascii="宋体" w:hAnsi="宋体" w:cs="仿宋_GB2312"/>
          <w:color w:val="auto"/>
          <w:sz w:val="24"/>
          <w:u w:val="single"/>
        </w:rPr>
        <w:t xml:space="preserve">                 </w:t>
      </w:r>
    </w:p>
    <w:tbl>
      <w:tblPr>
        <w:tblStyle w:val="25"/>
        <w:tblpPr w:leftFromText="180" w:rightFromText="180" w:vertAnchor="text" w:horzAnchor="margin" w:tblpY="518"/>
        <w:tblOverlap w:val="never"/>
        <w:tblW w:w="90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2607"/>
        <w:gridCol w:w="2296"/>
        <w:gridCol w:w="2065"/>
      </w:tblGrid>
      <w:tr w14:paraId="3D2E0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14:paraId="04FE68EB">
            <w:pPr>
              <w:spacing w:line="360" w:lineRule="auto"/>
              <w:contextualSpacing/>
              <w:jc w:val="center"/>
              <w:rPr>
                <w:rFonts w:ascii="宋体" w:hAnsi="宋体" w:cs="仿宋_GB2312"/>
                <w:color w:val="auto"/>
                <w:sz w:val="24"/>
              </w:rPr>
            </w:pPr>
            <w:r>
              <w:rPr>
                <w:rFonts w:hint="eastAsia" w:ascii="宋体" w:hAnsi="宋体" w:cs="仿宋_GB2312"/>
                <w:color w:val="auto"/>
                <w:sz w:val="24"/>
              </w:rPr>
              <w:t>项目</w:t>
            </w:r>
          </w:p>
        </w:tc>
        <w:tc>
          <w:tcPr>
            <w:tcW w:w="2607" w:type="dxa"/>
            <w:tcBorders>
              <w:top w:val="single" w:color="auto" w:sz="4" w:space="0"/>
              <w:left w:val="single" w:color="auto" w:sz="4" w:space="0"/>
              <w:bottom w:val="single" w:color="auto" w:sz="4" w:space="0"/>
              <w:right w:val="single" w:color="auto" w:sz="4" w:space="0"/>
            </w:tcBorders>
            <w:vAlign w:val="center"/>
          </w:tcPr>
          <w:p w14:paraId="5E010375">
            <w:pPr>
              <w:spacing w:line="360" w:lineRule="auto"/>
              <w:contextualSpacing/>
              <w:jc w:val="center"/>
              <w:rPr>
                <w:rFonts w:ascii="宋体" w:hAnsi="宋体" w:cs="仿宋_GB2312"/>
                <w:color w:val="auto"/>
                <w:sz w:val="24"/>
              </w:rPr>
            </w:pPr>
            <w:r>
              <w:rPr>
                <w:rFonts w:hint="eastAsia" w:ascii="宋体" w:hAnsi="宋体" w:cs="仿宋_GB2312"/>
                <w:color w:val="auto"/>
                <w:sz w:val="24"/>
              </w:rPr>
              <w:t>磋商文件商务要求</w:t>
            </w:r>
          </w:p>
        </w:tc>
        <w:tc>
          <w:tcPr>
            <w:tcW w:w="2296" w:type="dxa"/>
            <w:tcBorders>
              <w:top w:val="single" w:color="auto" w:sz="4" w:space="0"/>
              <w:left w:val="single" w:color="auto" w:sz="4" w:space="0"/>
              <w:bottom w:val="single" w:color="auto" w:sz="4" w:space="0"/>
              <w:right w:val="single" w:color="auto" w:sz="4" w:space="0"/>
            </w:tcBorders>
            <w:vAlign w:val="center"/>
          </w:tcPr>
          <w:p w14:paraId="6A1B81B0">
            <w:pPr>
              <w:spacing w:line="360" w:lineRule="auto"/>
              <w:contextualSpacing/>
              <w:jc w:val="center"/>
              <w:rPr>
                <w:rFonts w:ascii="宋体" w:hAnsi="宋体" w:cs="仿宋_GB2312"/>
                <w:color w:val="auto"/>
                <w:sz w:val="24"/>
              </w:rPr>
            </w:pPr>
            <w:r>
              <w:rPr>
                <w:rFonts w:hint="eastAsia" w:ascii="宋体" w:hAnsi="宋体" w:cs="仿宋_GB2312"/>
                <w:color w:val="auto"/>
                <w:sz w:val="24"/>
              </w:rPr>
              <w:t>供应商的响应</w:t>
            </w:r>
          </w:p>
        </w:tc>
        <w:tc>
          <w:tcPr>
            <w:tcW w:w="2065" w:type="dxa"/>
            <w:tcBorders>
              <w:top w:val="single" w:color="auto" w:sz="4" w:space="0"/>
              <w:left w:val="single" w:color="auto" w:sz="4" w:space="0"/>
              <w:bottom w:val="single" w:color="auto" w:sz="4" w:space="0"/>
              <w:right w:val="single" w:color="auto" w:sz="4" w:space="0"/>
            </w:tcBorders>
            <w:vAlign w:val="center"/>
          </w:tcPr>
          <w:p w14:paraId="3BDBC6AA">
            <w:pPr>
              <w:spacing w:line="360" w:lineRule="auto"/>
              <w:contextualSpacing/>
              <w:jc w:val="center"/>
              <w:rPr>
                <w:rFonts w:ascii="宋体" w:hAnsi="宋体" w:cs="仿宋_GB2312"/>
                <w:color w:val="auto"/>
                <w:sz w:val="24"/>
              </w:rPr>
            </w:pPr>
            <w:r>
              <w:rPr>
                <w:rFonts w:hint="eastAsia" w:ascii="宋体" w:hAnsi="宋体" w:cs="仿宋_GB2312"/>
                <w:color w:val="auto"/>
                <w:sz w:val="24"/>
              </w:rPr>
              <w:t>偏离说明</w:t>
            </w:r>
          </w:p>
        </w:tc>
      </w:tr>
      <w:tr w14:paraId="4AABC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14:paraId="483C5EE9">
            <w:pPr>
              <w:jc w:val="center"/>
              <w:rPr>
                <w:rFonts w:ascii="宋体" w:hAnsi="宋体"/>
                <w:color w:val="auto"/>
                <w:sz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245C59F4">
            <w:pPr>
              <w:spacing w:line="360" w:lineRule="atLeast"/>
              <w:rPr>
                <w:rFonts w:ascii="宋体" w:hAnsi="宋体" w:cs="仿宋_GB2312"/>
                <w:color w:val="auto"/>
                <w:szCs w:val="21"/>
              </w:rPr>
            </w:pPr>
            <w:r>
              <w:rPr>
                <w:rFonts w:hint="eastAsia" w:ascii="宋体" w:hAnsi="宋体" w:cs="仿宋_GB2312"/>
                <w:color w:val="auto"/>
                <w:szCs w:val="21"/>
              </w:rPr>
              <w:t>1、……</w:t>
            </w:r>
          </w:p>
          <w:p w14:paraId="488B2115">
            <w:pPr>
              <w:spacing w:line="360" w:lineRule="atLeast"/>
              <w:rPr>
                <w:rFonts w:ascii="宋体" w:hAnsi="宋体" w:cs="仿宋_GB2312"/>
                <w:color w:val="auto"/>
                <w:szCs w:val="21"/>
              </w:rPr>
            </w:pPr>
            <w:r>
              <w:rPr>
                <w:rFonts w:hint="eastAsia" w:ascii="宋体" w:hAnsi="宋体" w:cs="仿宋_GB2312"/>
                <w:color w:val="auto"/>
                <w:szCs w:val="21"/>
              </w:rPr>
              <w:t>2、……</w:t>
            </w:r>
          </w:p>
          <w:p w14:paraId="75683B23">
            <w:pPr>
              <w:spacing w:line="360" w:lineRule="atLeast"/>
              <w:rPr>
                <w:rFonts w:ascii="宋体" w:hAnsi="宋体" w:cs="仿宋_GB2312"/>
                <w:color w:val="auto"/>
                <w:szCs w:val="21"/>
              </w:rPr>
            </w:pPr>
            <w:r>
              <w:rPr>
                <w:rFonts w:hint="eastAsia" w:ascii="宋体" w:hAnsi="宋体" w:cs="仿宋_GB2312"/>
                <w:color w:val="auto"/>
                <w:szCs w:val="21"/>
              </w:rPr>
              <w:t>3、……</w:t>
            </w:r>
          </w:p>
        </w:tc>
        <w:tc>
          <w:tcPr>
            <w:tcW w:w="2296" w:type="dxa"/>
            <w:tcBorders>
              <w:top w:val="single" w:color="auto" w:sz="4" w:space="0"/>
              <w:left w:val="single" w:color="auto" w:sz="4" w:space="0"/>
              <w:bottom w:val="single" w:color="auto" w:sz="4" w:space="0"/>
              <w:right w:val="single" w:color="auto" w:sz="4" w:space="0"/>
            </w:tcBorders>
            <w:vAlign w:val="center"/>
          </w:tcPr>
          <w:p w14:paraId="1AABF447">
            <w:pPr>
              <w:spacing w:line="360" w:lineRule="atLeast"/>
              <w:rPr>
                <w:rFonts w:ascii="宋体" w:hAnsi="宋体" w:cs="仿宋_GB2312"/>
                <w:color w:val="auto"/>
                <w:szCs w:val="21"/>
              </w:rPr>
            </w:pPr>
            <w:r>
              <w:rPr>
                <w:rFonts w:hint="eastAsia" w:ascii="宋体" w:hAnsi="宋体" w:cs="仿宋_GB2312"/>
                <w:color w:val="auto"/>
                <w:szCs w:val="21"/>
              </w:rPr>
              <w:t>1、……</w:t>
            </w:r>
          </w:p>
          <w:p w14:paraId="5D245D00">
            <w:pPr>
              <w:spacing w:line="360" w:lineRule="atLeast"/>
              <w:rPr>
                <w:rFonts w:ascii="宋体" w:hAnsi="宋体" w:cs="仿宋_GB2312"/>
                <w:color w:val="auto"/>
                <w:szCs w:val="21"/>
              </w:rPr>
            </w:pPr>
            <w:r>
              <w:rPr>
                <w:rFonts w:hint="eastAsia" w:ascii="宋体" w:hAnsi="宋体" w:cs="仿宋_GB2312"/>
                <w:color w:val="auto"/>
                <w:szCs w:val="21"/>
              </w:rPr>
              <w:t>2、……</w:t>
            </w:r>
          </w:p>
          <w:p w14:paraId="1E551D72">
            <w:pPr>
              <w:spacing w:line="360" w:lineRule="atLeast"/>
              <w:rPr>
                <w:rFonts w:ascii="宋体" w:hAnsi="宋体" w:cs="仿宋_GB2312"/>
                <w:color w:val="auto"/>
                <w:szCs w:val="21"/>
              </w:rPr>
            </w:pPr>
            <w:r>
              <w:rPr>
                <w:rFonts w:hint="eastAsia" w:ascii="宋体" w:hAnsi="宋体" w:cs="仿宋_GB2312"/>
                <w:color w:val="auto"/>
                <w:szCs w:val="21"/>
              </w:rPr>
              <w:t>3、……</w:t>
            </w:r>
          </w:p>
        </w:tc>
        <w:tc>
          <w:tcPr>
            <w:tcW w:w="2065" w:type="dxa"/>
            <w:tcBorders>
              <w:top w:val="single" w:color="auto" w:sz="4" w:space="0"/>
              <w:left w:val="single" w:color="auto" w:sz="4" w:space="0"/>
              <w:bottom w:val="single" w:color="auto" w:sz="4" w:space="0"/>
              <w:right w:val="single" w:color="auto" w:sz="4" w:space="0"/>
            </w:tcBorders>
            <w:vAlign w:val="center"/>
          </w:tcPr>
          <w:p w14:paraId="2CA4C0FF">
            <w:pPr>
              <w:spacing w:line="360" w:lineRule="auto"/>
              <w:contextualSpacing/>
              <w:jc w:val="center"/>
              <w:rPr>
                <w:rFonts w:ascii="宋体" w:hAnsi="宋体" w:cs="仿宋_GB2312"/>
                <w:color w:val="auto"/>
                <w:sz w:val="24"/>
              </w:rPr>
            </w:pPr>
          </w:p>
        </w:tc>
      </w:tr>
      <w:tr w14:paraId="0790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14:paraId="6CBFFF68">
            <w:pPr>
              <w:jc w:val="center"/>
              <w:rPr>
                <w:rFonts w:ascii="宋体" w:hAnsi="宋体"/>
                <w:color w:val="auto"/>
                <w:sz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54040F23">
            <w:pPr>
              <w:spacing w:line="360" w:lineRule="atLeast"/>
              <w:rPr>
                <w:rFonts w:ascii="宋体" w:hAnsi="宋体" w:cs="仿宋_GB2312"/>
                <w:color w:val="auto"/>
                <w:szCs w:val="21"/>
              </w:rPr>
            </w:pPr>
            <w:r>
              <w:rPr>
                <w:rFonts w:hint="eastAsia" w:ascii="宋体" w:hAnsi="宋体" w:cs="仿宋_GB2312"/>
                <w:color w:val="auto"/>
                <w:szCs w:val="21"/>
              </w:rPr>
              <w:t>1、……</w:t>
            </w:r>
          </w:p>
          <w:p w14:paraId="79450BBD">
            <w:pPr>
              <w:spacing w:line="360" w:lineRule="atLeast"/>
              <w:rPr>
                <w:rFonts w:ascii="宋体" w:hAnsi="宋体" w:cs="仿宋_GB2312"/>
                <w:color w:val="auto"/>
                <w:szCs w:val="21"/>
              </w:rPr>
            </w:pPr>
            <w:r>
              <w:rPr>
                <w:rFonts w:hint="eastAsia" w:ascii="宋体" w:hAnsi="宋体" w:cs="仿宋_GB2312"/>
                <w:color w:val="auto"/>
                <w:szCs w:val="21"/>
              </w:rPr>
              <w:t>2、……</w:t>
            </w:r>
          </w:p>
          <w:p w14:paraId="5EA01E59">
            <w:pPr>
              <w:spacing w:line="360" w:lineRule="atLeast"/>
              <w:rPr>
                <w:rFonts w:ascii="宋体" w:hAnsi="宋体" w:cs="仿宋_GB2312"/>
                <w:color w:val="auto"/>
                <w:szCs w:val="21"/>
              </w:rPr>
            </w:pPr>
            <w:r>
              <w:rPr>
                <w:rFonts w:hint="eastAsia" w:ascii="宋体" w:hAnsi="宋体" w:cs="仿宋_GB2312"/>
                <w:color w:val="auto"/>
                <w:szCs w:val="21"/>
              </w:rPr>
              <w:t>3、……</w:t>
            </w:r>
          </w:p>
        </w:tc>
        <w:tc>
          <w:tcPr>
            <w:tcW w:w="2296" w:type="dxa"/>
            <w:tcBorders>
              <w:top w:val="single" w:color="auto" w:sz="4" w:space="0"/>
              <w:left w:val="single" w:color="auto" w:sz="4" w:space="0"/>
              <w:bottom w:val="single" w:color="auto" w:sz="4" w:space="0"/>
              <w:right w:val="single" w:color="auto" w:sz="4" w:space="0"/>
            </w:tcBorders>
            <w:vAlign w:val="center"/>
          </w:tcPr>
          <w:p w14:paraId="2F436FE3">
            <w:pPr>
              <w:spacing w:line="360" w:lineRule="atLeast"/>
              <w:rPr>
                <w:rFonts w:ascii="宋体" w:hAnsi="宋体" w:cs="仿宋_GB2312"/>
                <w:color w:val="auto"/>
                <w:szCs w:val="21"/>
              </w:rPr>
            </w:pPr>
            <w:r>
              <w:rPr>
                <w:rFonts w:hint="eastAsia" w:ascii="宋体" w:hAnsi="宋体" w:cs="仿宋_GB2312"/>
                <w:color w:val="auto"/>
                <w:szCs w:val="21"/>
              </w:rPr>
              <w:t>1、……</w:t>
            </w:r>
          </w:p>
          <w:p w14:paraId="0E36D19A">
            <w:pPr>
              <w:spacing w:line="360" w:lineRule="atLeast"/>
              <w:rPr>
                <w:rFonts w:ascii="宋体" w:hAnsi="宋体" w:cs="仿宋_GB2312"/>
                <w:color w:val="auto"/>
                <w:szCs w:val="21"/>
              </w:rPr>
            </w:pPr>
            <w:r>
              <w:rPr>
                <w:rFonts w:hint="eastAsia" w:ascii="宋体" w:hAnsi="宋体" w:cs="仿宋_GB2312"/>
                <w:color w:val="auto"/>
                <w:szCs w:val="21"/>
              </w:rPr>
              <w:t>2、……</w:t>
            </w:r>
          </w:p>
          <w:p w14:paraId="4B46C02A">
            <w:pPr>
              <w:spacing w:line="360" w:lineRule="atLeast"/>
              <w:rPr>
                <w:rFonts w:ascii="宋体" w:hAnsi="宋体" w:cs="仿宋_GB2312"/>
                <w:color w:val="auto"/>
                <w:szCs w:val="21"/>
              </w:rPr>
            </w:pPr>
            <w:r>
              <w:rPr>
                <w:rFonts w:hint="eastAsia" w:ascii="宋体" w:hAnsi="宋体" w:cs="仿宋_GB2312"/>
                <w:color w:val="auto"/>
                <w:szCs w:val="21"/>
              </w:rPr>
              <w:t>3、……</w:t>
            </w:r>
          </w:p>
        </w:tc>
        <w:tc>
          <w:tcPr>
            <w:tcW w:w="2065" w:type="dxa"/>
            <w:tcBorders>
              <w:top w:val="single" w:color="auto" w:sz="4" w:space="0"/>
              <w:left w:val="single" w:color="auto" w:sz="4" w:space="0"/>
              <w:bottom w:val="single" w:color="auto" w:sz="4" w:space="0"/>
              <w:right w:val="single" w:color="auto" w:sz="4" w:space="0"/>
            </w:tcBorders>
            <w:vAlign w:val="center"/>
          </w:tcPr>
          <w:p w14:paraId="7D3D61CC">
            <w:pPr>
              <w:spacing w:line="360" w:lineRule="auto"/>
              <w:ind w:left="43"/>
              <w:contextualSpacing/>
              <w:jc w:val="center"/>
              <w:rPr>
                <w:rFonts w:ascii="宋体" w:hAnsi="宋体" w:cs="仿宋_GB2312"/>
                <w:color w:val="auto"/>
                <w:sz w:val="24"/>
              </w:rPr>
            </w:pPr>
          </w:p>
        </w:tc>
      </w:tr>
      <w:tr w14:paraId="1D98E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14:paraId="4D158272">
            <w:pPr>
              <w:jc w:val="center"/>
              <w:rPr>
                <w:rFonts w:ascii="宋体" w:hAnsi="宋体"/>
                <w:color w:val="auto"/>
                <w:sz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1DD5A36E">
            <w:pPr>
              <w:spacing w:line="360" w:lineRule="atLeast"/>
              <w:rPr>
                <w:rFonts w:ascii="宋体" w:hAnsi="宋体" w:cs="仿宋_GB2312"/>
                <w:color w:val="auto"/>
                <w:szCs w:val="21"/>
              </w:rPr>
            </w:pPr>
            <w:r>
              <w:rPr>
                <w:rFonts w:hint="eastAsia" w:ascii="宋体" w:hAnsi="宋体" w:cs="仿宋_GB2312"/>
                <w:color w:val="auto"/>
                <w:szCs w:val="21"/>
              </w:rPr>
              <w:t>1、……</w:t>
            </w:r>
          </w:p>
          <w:p w14:paraId="754E4D11">
            <w:pPr>
              <w:spacing w:line="360" w:lineRule="atLeast"/>
              <w:rPr>
                <w:rFonts w:ascii="宋体" w:hAnsi="宋体" w:cs="仿宋_GB2312"/>
                <w:color w:val="auto"/>
                <w:szCs w:val="21"/>
              </w:rPr>
            </w:pPr>
            <w:r>
              <w:rPr>
                <w:rFonts w:hint="eastAsia" w:ascii="宋体" w:hAnsi="宋体" w:cs="仿宋_GB2312"/>
                <w:color w:val="auto"/>
                <w:szCs w:val="21"/>
              </w:rPr>
              <w:t>2、……</w:t>
            </w:r>
          </w:p>
          <w:p w14:paraId="26DEE58A">
            <w:pPr>
              <w:spacing w:line="360" w:lineRule="atLeast"/>
              <w:rPr>
                <w:rFonts w:ascii="宋体" w:hAnsi="宋体" w:cs="仿宋_GB2312"/>
                <w:color w:val="auto"/>
                <w:szCs w:val="21"/>
              </w:rPr>
            </w:pPr>
            <w:r>
              <w:rPr>
                <w:rFonts w:hint="eastAsia" w:ascii="宋体" w:hAnsi="宋体" w:cs="仿宋_GB2312"/>
                <w:color w:val="auto"/>
                <w:szCs w:val="21"/>
              </w:rPr>
              <w:t>3、……</w:t>
            </w:r>
          </w:p>
        </w:tc>
        <w:tc>
          <w:tcPr>
            <w:tcW w:w="2296" w:type="dxa"/>
            <w:tcBorders>
              <w:top w:val="single" w:color="auto" w:sz="4" w:space="0"/>
              <w:left w:val="single" w:color="auto" w:sz="4" w:space="0"/>
              <w:bottom w:val="single" w:color="auto" w:sz="4" w:space="0"/>
              <w:right w:val="single" w:color="auto" w:sz="4" w:space="0"/>
            </w:tcBorders>
            <w:vAlign w:val="center"/>
          </w:tcPr>
          <w:p w14:paraId="1588368B">
            <w:pPr>
              <w:spacing w:line="360" w:lineRule="atLeast"/>
              <w:rPr>
                <w:rFonts w:ascii="宋体" w:hAnsi="宋体" w:cs="仿宋_GB2312"/>
                <w:color w:val="auto"/>
                <w:szCs w:val="21"/>
              </w:rPr>
            </w:pPr>
            <w:r>
              <w:rPr>
                <w:rFonts w:hint="eastAsia" w:ascii="宋体" w:hAnsi="宋体" w:cs="仿宋_GB2312"/>
                <w:color w:val="auto"/>
                <w:szCs w:val="21"/>
              </w:rPr>
              <w:t>1、……</w:t>
            </w:r>
          </w:p>
          <w:p w14:paraId="66FAB5BF">
            <w:pPr>
              <w:spacing w:line="360" w:lineRule="atLeast"/>
              <w:rPr>
                <w:rFonts w:ascii="宋体" w:hAnsi="宋体" w:cs="仿宋_GB2312"/>
                <w:color w:val="auto"/>
                <w:szCs w:val="21"/>
              </w:rPr>
            </w:pPr>
            <w:r>
              <w:rPr>
                <w:rFonts w:hint="eastAsia" w:ascii="宋体" w:hAnsi="宋体" w:cs="仿宋_GB2312"/>
                <w:color w:val="auto"/>
                <w:szCs w:val="21"/>
              </w:rPr>
              <w:t>2、……</w:t>
            </w:r>
          </w:p>
          <w:p w14:paraId="2EA9B412">
            <w:pPr>
              <w:spacing w:line="360" w:lineRule="atLeast"/>
              <w:rPr>
                <w:rFonts w:ascii="宋体" w:hAnsi="宋体" w:cs="仿宋_GB2312"/>
                <w:color w:val="auto"/>
                <w:szCs w:val="21"/>
              </w:rPr>
            </w:pPr>
            <w:r>
              <w:rPr>
                <w:rFonts w:hint="eastAsia" w:ascii="宋体" w:hAnsi="宋体" w:cs="仿宋_GB2312"/>
                <w:color w:val="auto"/>
                <w:szCs w:val="21"/>
              </w:rPr>
              <w:t>3、……</w:t>
            </w:r>
          </w:p>
        </w:tc>
        <w:tc>
          <w:tcPr>
            <w:tcW w:w="2065" w:type="dxa"/>
            <w:tcBorders>
              <w:top w:val="single" w:color="auto" w:sz="4" w:space="0"/>
              <w:left w:val="single" w:color="auto" w:sz="4" w:space="0"/>
              <w:bottom w:val="single" w:color="auto" w:sz="4" w:space="0"/>
              <w:right w:val="single" w:color="auto" w:sz="4" w:space="0"/>
            </w:tcBorders>
            <w:vAlign w:val="center"/>
          </w:tcPr>
          <w:p w14:paraId="7B78DE59">
            <w:pPr>
              <w:spacing w:line="360" w:lineRule="auto"/>
              <w:ind w:left="43"/>
              <w:contextualSpacing/>
              <w:jc w:val="center"/>
              <w:rPr>
                <w:rFonts w:ascii="宋体" w:hAnsi="宋体" w:cs="仿宋_GB2312"/>
                <w:color w:val="auto"/>
                <w:sz w:val="24"/>
              </w:rPr>
            </w:pPr>
          </w:p>
        </w:tc>
      </w:tr>
      <w:tr w14:paraId="6065D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14:paraId="6BA8594D">
            <w:pPr>
              <w:spacing w:line="360" w:lineRule="auto"/>
              <w:contextualSpacing/>
              <w:jc w:val="center"/>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w:t>
            </w:r>
          </w:p>
        </w:tc>
        <w:tc>
          <w:tcPr>
            <w:tcW w:w="2607" w:type="dxa"/>
            <w:tcBorders>
              <w:top w:val="single" w:color="auto" w:sz="4" w:space="0"/>
              <w:left w:val="single" w:color="auto" w:sz="4" w:space="0"/>
              <w:bottom w:val="single" w:color="auto" w:sz="4" w:space="0"/>
              <w:right w:val="single" w:color="auto" w:sz="4" w:space="0"/>
            </w:tcBorders>
            <w:vAlign w:val="center"/>
          </w:tcPr>
          <w:p w14:paraId="3F3BE673">
            <w:pPr>
              <w:spacing w:line="360" w:lineRule="atLeast"/>
              <w:rPr>
                <w:rFonts w:ascii="宋体" w:hAnsi="宋体" w:cs="仿宋_GB2312"/>
                <w:color w:val="auto"/>
                <w:szCs w:val="21"/>
              </w:rPr>
            </w:pPr>
            <w:r>
              <w:rPr>
                <w:rFonts w:hint="eastAsia" w:ascii="宋体" w:hAnsi="宋体" w:cs="仿宋_GB2312"/>
                <w:color w:val="auto"/>
                <w:szCs w:val="21"/>
              </w:rPr>
              <w:t>1、……</w:t>
            </w:r>
          </w:p>
          <w:p w14:paraId="0BD0E293">
            <w:pPr>
              <w:spacing w:line="360" w:lineRule="atLeast"/>
              <w:rPr>
                <w:rFonts w:ascii="宋体" w:hAnsi="宋体" w:cs="仿宋_GB2312"/>
                <w:color w:val="auto"/>
                <w:szCs w:val="21"/>
              </w:rPr>
            </w:pPr>
            <w:r>
              <w:rPr>
                <w:rFonts w:hint="eastAsia" w:ascii="宋体" w:hAnsi="宋体" w:cs="仿宋_GB2312"/>
                <w:color w:val="auto"/>
                <w:szCs w:val="21"/>
              </w:rPr>
              <w:t>2、……</w:t>
            </w:r>
          </w:p>
          <w:p w14:paraId="611AD623">
            <w:pPr>
              <w:spacing w:line="360" w:lineRule="atLeast"/>
              <w:rPr>
                <w:rFonts w:ascii="宋体" w:hAnsi="宋体" w:cs="仿宋_GB2312"/>
                <w:color w:val="auto"/>
                <w:szCs w:val="21"/>
              </w:rPr>
            </w:pPr>
            <w:r>
              <w:rPr>
                <w:rFonts w:hint="eastAsia" w:ascii="宋体" w:hAnsi="宋体" w:cs="仿宋_GB2312"/>
                <w:color w:val="auto"/>
                <w:szCs w:val="21"/>
              </w:rPr>
              <w:t>3、……</w:t>
            </w:r>
          </w:p>
        </w:tc>
        <w:tc>
          <w:tcPr>
            <w:tcW w:w="2296" w:type="dxa"/>
            <w:tcBorders>
              <w:top w:val="single" w:color="auto" w:sz="4" w:space="0"/>
              <w:left w:val="single" w:color="auto" w:sz="4" w:space="0"/>
              <w:bottom w:val="single" w:color="auto" w:sz="4" w:space="0"/>
              <w:right w:val="single" w:color="auto" w:sz="4" w:space="0"/>
            </w:tcBorders>
            <w:vAlign w:val="center"/>
          </w:tcPr>
          <w:p w14:paraId="280FC31F">
            <w:pPr>
              <w:spacing w:line="360" w:lineRule="atLeast"/>
              <w:rPr>
                <w:rFonts w:ascii="宋体" w:hAnsi="宋体" w:cs="仿宋_GB2312"/>
                <w:color w:val="auto"/>
                <w:szCs w:val="21"/>
              </w:rPr>
            </w:pPr>
            <w:r>
              <w:rPr>
                <w:rFonts w:hint="eastAsia" w:ascii="宋体" w:hAnsi="宋体" w:cs="仿宋_GB2312"/>
                <w:color w:val="auto"/>
                <w:szCs w:val="21"/>
              </w:rPr>
              <w:t>1、……</w:t>
            </w:r>
          </w:p>
          <w:p w14:paraId="6CCE00B4">
            <w:pPr>
              <w:spacing w:line="360" w:lineRule="atLeast"/>
              <w:rPr>
                <w:rFonts w:ascii="宋体" w:hAnsi="宋体" w:cs="仿宋_GB2312"/>
                <w:color w:val="auto"/>
                <w:szCs w:val="21"/>
              </w:rPr>
            </w:pPr>
            <w:r>
              <w:rPr>
                <w:rFonts w:hint="eastAsia" w:ascii="宋体" w:hAnsi="宋体" w:cs="仿宋_GB2312"/>
                <w:color w:val="auto"/>
                <w:szCs w:val="21"/>
              </w:rPr>
              <w:t>2、……</w:t>
            </w:r>
          </w:p>
          <w:p w14:paraId="179026D9">
            <w:pPr>
              <w:spacing w:line="360" w:lineRule="atLeast"/>
              <w:rPr>
                <w:rFonts w:ascii="宋体" w:hAnsi="宋体" w:cs="仿宋_GB2312"/>
                <w:color w:val="auto"/>
                <w:szCs w:val="21"/>
              </w:rPr>
            </w:pPr>
            <w:r>
              <w:rPr>
                <w:rFonts w:hint="eastAsia" w:ascii="宋体" w:hAnsi="宋体" w:cs="仿宋_GB2312"/>
                <w:color w:val="auto"/>
                <w:szCs w:val="21"/>
              </w:rPr>
              <w:t>3、……</w:t>
            </w:r>
          </w:p>
        </w:tc>
        <w:tc>
          <w:tcPr>
            <w:tcW w:w="2065" w:type="dxa"/>
            <w:tcBorders>
              <w:top w:val="single" w:color="auto" w:sz="4" w:space="0"/>
              <w:left w:val="single" w:color="auto" w:sz="4" w:space="0"/>
              <w:bottom w:val="single" w:color="auto" w:sz="4" w:space="0"/>
              <w:right w:val="single" w:color="auto" w:sz="4" w:space="0"/>
            </w:tcBorders>
            <w:vAlign w:val="center"/>
          </w:tcPr>
          <w:p w14:paraId="6FCFF699">
            <w:pPr>
              <w:spacing w:line="360" w:lineRule="auto"/>
              <w:contextualSpacing/>
              <w:jc w:val="center"/>
              <w:rPr>
                <w:rFonts w:ascii="宋体" w:hAnsi="宋体" w:cs="仿宋_GB2312"/>
                <w:color w:val="auto"/>
                <w:sz w:val="24"/>
              </w:rPr>
            </w:pPr>
          </w:p>
        </w:tc>
      </w:tr>
    </w:tbl>
    <w:p w14:paraId="0C8572FB">
      <w:pPr>
        <w:spacing w:line="360" w:lineRule="auto"/>
        <w:contextualSpacing/>
        <w:rPr>
          <w:rFonts w:ascii="宋体" w:hAnsi="宋体" w:cs="仿宋_GB2312"/>
          <w:color w:val="auto"/>
          <w:sz w:val="24"/>
          <w:u w:val="single"/>
        </w:rPr>
      </w:pPr>
      <w:r>
        <w:rPr>
          <w:rFonts w:hint="eastAsia" w:ascii="宋体" w:hAnsi="宋体" w:cs="仿宋_GB2312"/>
          <w:color w:val="auto"/>
          <w:sz w:val="24"/>
        </w:rPr>
        <w:t>分标号：</w:t>
      </w:r>
      <w:r>
        <w:rPr>
          <w:rFonts w:hint="eastAsia" w:ascii="宋体" w:hAnsi="宋体" w:cs="仿宋_GB2312"/>
          <w:color w:val="auto"/>
          <w:sz w:val="24"/>
          <w:u w:val="single"/>
        </w:rPr>
        <w:t xml:space="preserve">                       </w:t>
      </w:r>
    </w:p>
    <w:p w14:paraId="7FEAFDCA">
      <w:pPr>
        <w:spacing w:line="360" w:lineRule="auto"/>
        <w:contextualSpacing/>
        <w:jc w:val="left"/>
        <w:rPr>
          <w:rFonts w:ascii="宋体" w:hAnsi="宋体" w:cs="仿宋_GB2312"/>
          <w:color w:val="auto"/>
          <w:sz w:val="24"/>
          <w:u w:val="single"/>
        </w:rPr>
      </w:pPr>
    </w:p>
    <w:p w14:paraId="51CF8AEA">
      <w:pPr>
        <w:pStyle w:val="12"/>
        <w:spacing w:after="0" w:line="360" w:lineRule="auto"/>
        <w:contextualSpacing/>
        <w:rPr>
          <w:rFonts w:ascii="宋体" w:hAnsi="宋体"/>
          <w:color w:val="auto"/>
          <w:kern w:val="0"/>
          <w:sz w:val="24"/>
          <w:szCs w:val="24"/>
        </w:rPr>
      </w:pPr>
      <w:r>
        <w:rPr>
          <w:rFonts w:hint="eastAsia" w:ascii="宋体" w:hAnsi="宋体"/>
          <w:color w:val="auto"/>
          <w:kern w:val="0"/>
          <w:sz w:val="24"/>
          <w:szCs w:val="24"/>
        </w:rPr>
        <w:t>注：</w:t>
      </w:r>
    </w:p>
    <w:p w14:paraId="51D17779">
      <w:pPr>
        <w:pStyle w:val="12"/>
        <w:spacing w:after="0" w:line="360" w:lineRule="auto"/>
        <w:contextualSpacing/>
        <w:rPr>
          <w:rFonts w:ascii="宋体" w:hAnsi="宋体"/>
          <w:color w:val="auto"/>
          <w:kern w:val="0"/>
          <w:sz w:val="24"/>
          <w:szCs w:val="24"/>
        </w:rPr>
      </w:pPr>
      <w:r>
        <w:rPr>
          <w:rFonts w:hint="eastAsia" w:ascii="宋体" w:hAnsi="宋体"/>
          <w:color w:val="auto"/>
          <w:kern w:val="0"/>
          <w:sz w:val="24"/>
          <w:szCs w:val="24"/>
        </w:rPr>
        <w:t>1.说明：应对照磋商文件“第三章 采购需求”中的“商务要求”逐条作出明确响应，并作出偏离说明。</w:t>
      </w:r>
    </w:p>
    <w:p w14:paraId="76F132A7">
      <w:pPr>
        <w:spacing w:line="360" w:lineRule="auto"/>
        <w:contextualSpacing/>
        <w:jc w:val="left"/>
        <w:rPr>
          <w:rFonts w:ascii="宋体" w:hAnsi="宋体" w:cs="仿宋_GB2312"/>
          <w:color w:val="auto"/>
          <w:sz w:val="24"/>
          <w:u w:val="single"/>
        </w:rPr>
      </w:pPr>
      <w:r>
        <w:rPr>
          <w:rFonts w:hint="eastAsia" w:ascii="宋体" w:hAnsi="宋体"/>
          <w:color w:val="auto"/>
          <w:kern w:val="0"/>
          <w:sz w:val="24"/>
        </w:rPr>
        <w:t>2.供应商应根据自身的承诺，对照磋商文件要求在“偏离说明”中注明“正偏离”、“负偏离”或者“无偏离”。既不属于“正偏离”也不属于“负偏离”即为“无偏离”。</w:t>
      </w:r>
    </w:p>
    <w:p w14:paraId="009F18E2">
      <w:pPr>
        <w:spacing w:line="360" w:lineRule="auto"/>
        <w:ind w:right="-817" w:rightChars="-389"/>
        <w:contextualSpacing/>
        <w:rPr>
          <w:rFonts w:ascii="宋体" w:hAnsi="宋体" w:cs="仿宋_GB2312"/>
          <w:color w:val="auto"/>
          <w:sz w:val="24"/>
        </w:rPr>
      </w:pPr>
    </w:p>
    <w:p w14:paraId="1E4EF6C1">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4420CC22">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1BFACA11">
      <w:pPr>
        <w:spacing w:line="360" w:lineRule="auto"/>
        <w:ind w:right="-817" w:rightChars="-389" w:firstLine="4080" w:firstLineChars="1700"/>
        <w:contextualSpacing/>
        <w:rPr>
          <w:rFonts w:ascii="仿宋_GB2312" w:hAnsi="仿宋_GB2312" w:eastAsia="仿宋_GB2312" w:cs="仿宋_GB2312"/>
          <w:b/>
          <w:color w:val="auto"/>
          <w:sz w:val="32"/>
          <w:szCs w:val="32"/>
        </w:rPr>
      </w:pPr>
      <w:r>
        <w:rPr>
          <w:rFonts w:hint="eastAsia" w:ascii="宋体" w:hAnsi="宋体" w:cs="仿宋_GB2312"/>
          <w:color w:val="auto"/>
          <w:sz w:val="24"/>
        </w:rPr>
        <w:t>日期：   年   月   日</w:t>
      </w:r>
    </w:p>
    <w:p w14:paraId="0DBDE7EF">
      <w:pPr>
        <w:adjustRightInd w:val="0"/>
        <w:snapToGrid w:val="0"/>
        <w:spacing w:line="520" w:lineRule="exact"/>
        <w:ind w:firstLine="7040" w:firstLineChars="1600"/>
        <w:jc w:val="center"/>
        <w:rPr>
          <w:rFonts w:ascii="仿宋" w:hAnsi="仿宋" w:eastAsia="仿宋" w:cs="仿宋"/>
          <w:bCs/>
          <w:color w:val="auto"/>
          <w:sz w:val="44"/>
          <w:szCs w:val="44"/>
        </w:rPr>
      </w:pPr>
    </w:p>
    <w:p w14:paraId="2E1E9DF6">
      <w:pPr>
        <w:adjustRightInd w:val="0"/>
        <w:snapToGrid w:val="0"/>
        <w:spacing w:line="520" w:lineRule="exact"/>
        <w:ind w:firstLine="7040" w:firstLineChars="1600"/>
        <w:jc w:val="center"/>
        <w:rPr>
          <w:rFonts w:ascii="仿宋" w:hAnsi="仿宋" w:eastAsia="仿宋" w:cs="仿宋"/>
          <w:bCs/>
          <w:color w:val="auto"/>
          <w:sz w:val="44"/>
          <w:szCs w:val="44"/>
        </w:rPr>
      </w:pPr>
    </w:p>
    <w:p w14:paraId="32F7E5B0">
      <w:pPr>
        <w:adjustRightInd w:val="0"/>
        <w:snapToGrid w:val="0"/>
        <w:spacing w:line="300" w:lineRule="auto"/>
        <w:jc w:val="center"/>
        <w:rPr>
          <w:rFonts w:ascii="仿宋" w:hAnsi="仿宋" w:eastAsia="仿宋" w:cs="仿宋"/>
          <w:bCs/>
          <w:color w:val="auto"/>
          <w:sz w:val="44"/>
          <w:szCs w:val="44"/>
        </w:rPr>
      </w:pPr>
      <w:r>
        <w:rPr>
          <w:rFonts w:ascii="仿宋" w:hAnsi="仿宋" w:eastAsia="仿宋" w:cs="仿宋"/>
          <w:bCs/>
          <w:color w:val="auto"/>
          <w:sz w:val="44"/>
          <w:szCs w:val="44"/>
        </w:rPr>
        <w:br w:type="page"/>
      </w:r>
      <w:r>
        <w:rPr>
          <w:rFonts w:hint="eastAsia" w:ascii="仿宋" w:hAnsi="仿宋" w:eastAsia="仿宋" w:cs="仿宋"/>
          <w:bCs/>
          <w:color w:val="auto"/>
          <w:sz w:val="44"/>
          <w:szCs w:val="44"/>
          <w:lang w:eastAsia="zh-CN"/>
        </w:rPr>
        <w:t>技术</w:t>
      </w:r>
      <w:r>
        <w:rPr>
          <w:rFonts w:hint="eastAsia" w:ascii="仿宋" w:hAnsi="仿宋" w:eastAsia="仿宋" w:cs="仿宋"/>
          <w:b/>
          <w:bCs w:val="0"/>
          <w:color w:val="auto"/>
          <w:sz w:val="44"/>
          <w:szCs w:val="44"/>
          <w:lang w:eastAsia="zh-CN"/>
        </w:rPr>
        <w:t>或</w:t>
      </w:r>
      <w:r>
        <w:rPr>
          <w:rFonts w:hint="eastAsia" w:ascii="仿宋" w:hAnsi="仿宋" w:eastAsia="仿宋" w:cs="仿宋"/>
          <w:bCs/>
          <w:color w:val="auto"/>
          <w:sz w:val="44"/>
          <w:szCs w:val="44"/>
          <w:lang w:eastAsia="zh-CN"/>
        </w:rPr>
        <w:t>服务</w:t>
      </w:r>
      <w:r>
        <w:rPr>
          <w:rFonts w:hint="eastAsia" w:ascii="仿宋" w:hAnsi="仿宋" w:eastAsia="仿宋" w:cs="仿宋"/>
          <w:bCs/>
          <w:color w:val="auto"/>
          <w:sz w:val="44"/>
          <w:szCs w:val="44"/>
        </w:rPr>
        <w:t>要求偏离表</w:t>
      </w:r>
    </w:p>
    <w:p w14:paraId="38862C63">
      <w:pPr>
        <w:spacing w:line="520" w:lineRule="exact"/>
        <w:rPr>
          <w:rFonts w:ascii="仿宋_GB2312" w:hAnsi="仿宋_GB2312" w:eastAsia="仿宋_GB2312" w:cs="仿宋_GB2312"/>
          <w:color w:val="auto"/>
          <w:sz w:val="32"/>
          <w:szCs w:val="32"/>
        </w:rPr>
      </w:pPr>
    </w:p>
    <w:p w14:paraId="71AF34E3">
      <w:pPr>
        <w:spacing w:line="360" w:lineRule="auto"/>
        <w:contextualSpacing/>
        <w:rPr>
          <w:rFonts w:ascii="宋体" w:hAnsi="宋体" w:cs="仿宋_GB2312"/>
          <w:color w:val="auto"/>
          <w:sz w:val="24"/>
          <w:u w:val="single"/>
        </w:rPr>
      </w:pPr>
      <w:r>
        <w:rPr>
          <w:rFonts w:hint="eastAsia" w:ascii="宋体" w:hAnsi="宋体" w:cs="仿宋_GB2312"/>
          <w:color w:val="auto"/>
          <w:sz w:val="24"/>
        </w:rPr>
        <w:t>采购项目编号：</w:t>
      </w:r>
      <w:r>
        <w:rPr>
          <w:rFonts w:hint="eastAsia" w:ascii="宋体" w:hAnsi="宋体" w:cs="仿宋_GB2312"/>
          <w:color w:val="auto"/>
          <w:sz w:val="24"/>
          <w:u w:val="single"/>
        </w:rPr>
        <w:t xml:space="preserve">                 </w:t>
      </w:r>
    </w:p>
    <w:p w14:paraId="19FE0D5B">
      <w:pPr>
        <w:spacing w:line="360" w:lineRule="auto"/>
        <w:contextualSpacing/>
        <w:rPr>
          <w:rFonts w:ascii="宋体" w:hAnsi="宋体" w:cs="仿宋_GB2312"/>
          <w:color w:val="auto"/>
          <w:sz w:val="24"/>
        </w:rPr>
      </w:pPr>
      <w:r>
        <w:rPr>
          <w:rFonts w:hint="eastAsia" w:ascii="宋体" w:hAnsi="宋体" w:cs="仿宋_GB2312"/>
          <w:color w:val="auto"/>
          <w:sz w:val="24"/>
        </w:rPr>
        <w:t>采购项目名称：</w:t>
      </w:r>
      <w:r>
        <w:rPr>
          <w:rFonts w:hint="eastAsia" w:ascii="宋体" w:hAnsi="宋体" w:cs="仿宋_GB2312"/>
          <w:color w:val="auto"/>
          <w:sz w:val="24"/>
          <w:u w:val="single"/>
        </w:rPr>
        <w:t xml:space="preserve">                 </w:t>
      </w:r>
    </w:p>
    <w:p w14:paraId="3EB0E1F2">
      <w:pPr>
        <w:spacing w:line="360" w:lineRule="auto"/>
        <w:contextualSpacing/>
        <w:rPr>
          <w:rFonts w:ascii="宋体" w:hAnsi="宋体" w:cs="仿宋_GB2312"/>
          <w:color w:val="auto"/>
          <w:sz w:val="24"/>
          <w:u w:val="single"/>
        </w:rPr>
      </w:pPr>
      <w:r>
        <w:rPr>
          <w:rFonts w:hint="eastAsia" w:ascii="宋体" w:hAnsi="宋体" w:cs="仿宋_GB2312"/>
          <w:color w:val="auto"/>
          <w:sz w:val="24"/>
        </w:rPr>
        <w:t>分标号：</w:t>
      </w:r>
      <w:r>
        <w:rPr>
          <w:rFonts w:hint="eastAsia" w:ascii="宋体" w:hAnsi="宋体" w:cs="仿宋_GB2312"/>
          <w:color w:val="auto"/>
          <w:sz w:val="24"/>
          <w:u w:val="single"/>
        </w:rPr>
        <w:t xml:space="preserve">                       </w:t>
      </w:r>
    </w:p>
    <w:tbl>
      <w:tblPr>
        <w:tblStyle w:val="25"/>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1035"/>
        <w:gridCol w:w="2918"/>
        <w:gridCol w:w="2734"/>
        <w:gridCol w:w="1492"/>
      </w:tblGrid>
      <w:tr w14:paraId="141F77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964E759">
            <w:pPr>
              <w:pStyle w:val="15"/>
              <w:spacing w:line="360" w:lineRule="auto"/>
              <w:ind w:firstLine="0" w:firstLineChars="0"/>
              <w:contextualSpacing/>
              <w:jc w:val="center"/>
              <w:rPr>
                <w:rFonts w:ascii="宋体" w:hAnsi="宋体" w:eastAsia="宋体" w:cs="仿宋_GB2312"/>
                <w:color w:val="auto"/>
                <w:kern w:val="2"/>
                <w:sz w:val="24"/>
                <w:szCs w:val="24"/>
              </w:rPr>
            </w:pPr>
            <w:bookmarkStart w:id="112" w:name="_Toc297193185"/>
            <w:bookmarkStart w:id="113" w:name="_Toc254970588"/>
            <w:bookmarkStart w:id="114" w:name="_Toc173066401"/>
            <w:bookmarkStart w:id="115" w:name="_Toc173211900"/>
            <w:bookmarkStart w:id="116" w:name="_Toc383699906"/>
            <w:bookmarkStart w:id="117" w:name="_Toc373333689"/>
            <w:bookmarkStart w:id="118" w:name="_Toc254970729"/>
            <w:bookmarkStart w:id="119" w:name="_Toc295404981"/>
            <w:bookmarkStart w:id="120" w:name="_Toc301781611"/>
            <w:r>
              <w:rPr>
                <w:rFonts w:hint="eastAsia" w:ascii="宋体" w:hAnsi="宋体" w:eastAsia="宋体" w:cs="仿宋_GB2312"/>
                <w:color w:val="auto"/>
                <w:kern w:val="2"/>
                <w:sz w:val="24"/>
                <w:szCs w:val="24"/>
              </w:rPr>
              <w:t>序号</w:t>
            </w:r>
            <w:bookmarkEnd w:id="112"/>
            <w:bookmarkEnd w:id="113"/>
            <w:bookmarkEnd w:id="114"/>
            <w:bookmarkEnd w:id="115"/>
            <w:bookmarkEnd w:id="116"/>
            <w:bookmarkEnd w:id="117"/>
            <w:bookmarkEnd w:id="118"/>
            <w:bookmarkEnd w:id="119"/>
            <w:bookmarkEnd w:id="120"/>
          </w:p>
        </w:tc>
        <w:tc>
          <w:tcPr>
            <w:tcW w:w="1035" w:type="dxa"/>
            <w:tcBorders>
              <w:right w:val="single" w:color="auto" w:sz="4" w:space="0"/>
            </w:tcBorders>
            <w:vAlign w:val="center"/>
          </w:tcPr>
          <w:p w14:paraId="61F0DB82">
            <w:pPr>
              <w:pStyle w:val="15"/>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名称</w:t>
            </w:r>
          </w:p>
        </w:tc>
        <w:tc>
          <w:tcPr>
            <w:tcW w:w="2918" w:type="dxa"/>
            <w:tcBorders>
              <w:left w:val="single" w:color="auto" w:sz="4" w:space="0"/>
            </w:tcBorders>
            <w:vAlign w:val="center"/>
          </w:tcPr>
          <w:p w14:paraId="3315BB02">
            <w:pPr>
              <w:pStyle w:val="15"/>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磋商文件技术或服务要求</w:t>
            </w:r>
          </w:p>
        </w:tc>
        <w:tc>
          <w:tcPr>
            <w:tcW w:w="2734" w:type="dxa"/>
            <w:vAlign w:val="center"/>
          </w:tcPr>
          <w:p w14:paraId="0C1A910D">
            <w:pPr>
              <w:pStyle w:val="15"/>
              <w:spacing w:line="360" w:lineRule="auto"/>
              <w:ind w:firstLine="0" w:firstLineChars="0"/>
              <w:contextualSpacing/>
              <w:jc w:val="center"/>
              <w:rPr>
                <w:rFonts w:ascii="宋体" w:hAnsi="宋体" w:eastAsia="宋体" w:cs="仿宋_GB2312"/>
                <w:color w:val="auto"/>
                <w:kern w:val="2"/>
                <w:sz w:val="24"/>
                <w:szCs w:val="24"/>
              </w:rPr>
            </w:pPr>
            <w:bookmarkStart w:id="121" w:name="_Toc297193187"/>
            <w:bookmarkStart w:id="122" w:name="_Toc173211902"/>
            <w:bookmarkStart w:id="123" w:name="_Toc301781613"/>
            <w:bookmarkStart w:id="124" w:name="_Toc173066403"/>
            <w:bookmarkStart w:id="125" w:name="_Toc295404983"/>
            <w:bookmarkStart w:id="126" w:name="_Toc254970590"/>
            <w:bookmarkStart w:id="127" w:name="_Toc254970731"/>
            <w:bookmarkStart w:id="128" w:name="_Toc383699908"/>
            <w:bookmarkStart w:id="129" w:name="_Toc373333691"/>
            <w:r>
              <w:rPr>
                <w:rFonts w:hint="eastAsia" w:ascii="宋体" w:hAnsi="宋体" w:eastAsia="宋体" w:cs="仿宋_GB2312"/>
                <w:color w:val="auto"/>
                <w:kern w:val="2"/>
                <w:sz w:val="24"/>
                <w:szCs w:val="24"/>
              </w:rPr>
              <w:t>竞标响应</w:t>
            </w:r>
            <w:bookmarkEnd w:id="121"/>
            <w:bookmarkEnd w:id="122"/>
            <w:bookmarkEnd w:id="123"/>
            <w:bookmarkEnd w:id="124"/>
            <w:bookmarkEnd w:id="125"/>
            <w:bookmarkEnd w:id="126"/>
            <w:bookmarkEnd w:id="127"/>
            <w:bookmarkEnd w:id="128"/>
            <w:bookmarkEnd w:id="129"/>
          </w:p>
        </w:tc>
        <w:tc>
          <w:tcPr>
            <w:tcW w:w="1492" w:type="dxa"/>
            <w:vAlign w:val="center"/>
          </w:tcPr>
          <w:p w14:paraId="3946DEED">
            <w:pPr>
              <w:pStyle w:val="15"/>
              <w:spacing w:line="360" w:lineRule="auto"/>
              <w:ind w:firstLine="0" w:firstLineChars="0"/>
              <w:contextualSpacing/>
              <w:jc w:val="center"/>
              <w:rPr>
                <w:rFonts w:ascii="宋体" w:hAnsi="宋体" w:eastAsia="宋体" w:cs="仿宋_GB2312"/>
                <w:color w:val="auto"/>
                <w:kern w:val="2"/>
                <w:sz w:val="24"/>
                <w:szCs w:val="24"/>
              </w:rPr>
            </w:pPr>
            <w:bookmarkStart w:id="130" w:name="_Toc173066404"/>
            <w:bookmarkStart w:id="131" w:name="_Toc373333692"/>
            <w:bookmarkStart w:id="132" w:name="_Toc173211903"/>
            <w:bookmarkStart w:id="133" w:name="_Toc295404984"/>
            <w:bookmarkStart w:id="134" w:name="_Toc383699909"/>
            <w:bookmarkStart w:id="135" w:name="_Toc297193188"/>
            <w:bookmarkStart w:id="136" w:name="_Toc254970732"/>
            <w:bookmarkStart w:id="137" w:name="_Toc301781614"/>
            <w:bookmarkStart w:id="138" w:name="_Toc254970591"/>
            <w:r>
              <w:rPr>
                <w:rFonts w:hint="eastAsia" w:ascii="宋体" w:hAnsi="宋体" w:eastAsia="宋体" w:cs="仿宋_GB2312"/>
                <w:color w:val="auto"/>
                <w:kern w:val="2"/>
                <w:sz w:val="24"/>
                <w:szCs w:val="24"/>
              </w:rPr>
              <w:t>偏离</w:t>
            </w:r>
            <w:bookmarkEnd w:id="130"/>
            <w:bookmarkEnd w:id="131"/>
            <w:bookmarkEnd w:id="132"/>
            <w:bookmarkEnd w:id="133"/>
            <w:bookmarkEnd w:id="134"/>
            <w:bookmarkEnd w:id="135"/>
            <w:bookmarkEnd w:id="136"/>
            <w:bookmarkEnd w:id="137"/>
            <w:bookmarkEnd w:id="138"/>
            <w:bookmarkStart w:id="139" w:name="_Toc173211904"/>
            <w:bookmarkStart w:id="140" w:name="_Toc383699910"/>
            <w:bookmarkStart w:id="141" w:name="_Toc254970592"/>
            <w:bookmarkStart w:id="142" w:name="_Toc297193189"/>
            <w:bookmarkStart w:id="143" w:name="_Toc301781615"/>
            <w:bookmarkStart w:id="144" w:name="_Toc254970733"/>
            <w:bookmarkStart w:id="145" w:name="_Toc295404985"/>
            <w:bookmarkStart w:id="146" w:name="_Toc373333693"/>
            <w:bookmarkStart w:id="147" w:name="_Toc173066405"/>
            <w:r>
              <w:rPr>
                <w:rFonts w:hint="eastAsia" w:ascii="宋体" w:hAnsi="宋体" w:eastAsia="宋体" w:cs="仿宋_GB2312"/>
                <w:color w:val="auto"/>
                <w:kern w:val="2"/>
                <w:sz w:val="24"/>
                <w:szCs w:val="24"/>
              </w:rPr>
              <w:t>说明</w:t>
            </w:r>
            <w:bookmarkEnd w:id="139"/>
            <w:bookmarkEnd w:id="140"/>
            <w:bookmarkEnd w:id="141"/>
            <w:bookmarkEnd w:id="142"/>
            <w:bookmarkEnd w:id="143"/>
            <w:bookmarkEnd w:id="144"/>
            <w:bookmarkEnd w:id="145"/>
            <w:bookmarkEnd w:id="146"/>
            <w:bookmarkEnd w:id="147"/>
          </w:p>
        </w:tc>
      </w:tr>
      <w:tr w14:paraId="1C1373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B1CCA69">
            <w:pPr>
              <w:pStyle w:val="15"/>
              <w:spacing w:line="360" w:lineRule="auto"/>
              <w:ind w:firstLine="0" w:firstLineChars="0"/>
              <w:contextualSpacing/>
              <w:jc w:val="center"/>
              <w:rPr>
                <w:rFonts w:ascii="宋体" w:hAnsi="宋体" w:eastAsia="宋体" w:cs="仿宋_GB2312"/>
                <w:color w:val="auto"/>
                <w:kern w:val="2"/>
                <w:sz w:val="24"/>
                <w:szCs w:val="24"/>
              </w:rPr>
            </w:pPr>
            <w:bookmarkStart w:id="148" w:name="_Toc295404986"/>
            <w:bookmarkStart w:id="149" w:name="_Toc301781616"/>
            <w:bookmarkStart w:id="150" w:name="_Toc254970734"/>
            <w:bookmarkStart w:id="151" w:name="_Toc373333694"/>
            <w:bookmarkStart w:id="152" w:name="_Toc173066406"/>
            <w:bookmarkStart w:id="153" w:name="_Toc254970593"/>
            <w:bookmarkStart w:id="154" w:name="_Toc173211905"/>
            <w:bookmarkStart w:id="155" w:name="_Toc383699911"/>
            <w:bookmarkStart w:id="156" w:name="_Toc297193190"/>
            <w:r>
              <w:rPr>
                <w:rFonts w:hint="eastAsia" w:ascii="宋体" w:hAnsi="宋体" w:eastAsia="宋体" w:cs="仿宋_GB2312"/>
                <w:color w:val="auto"/>
                <w:kern w:val="2"/>
                <w:sz w:val="24"/>
                <w:szCs w:val="24"/>
              </w:rPr>
              <w:t>1</w:t>
            </w:r>
            <w:bookmarkEnd w:id="148"/>
            <w:bookmarkEnd w:id="149"/>
            <w:bookmarkEnd w:id="150"/>
            <w:bookmarkEnd w:id="151"/>
            <w:bookmarkEnd w:id="152"/>
            <w:bookmarkEnd w:id="153"/>
            <w:bookmarkEnd w:id="154"/>
            <w:bookmarkEnd w:id="155"/>
            <w:bookmarkEnd w:id="156"/>
          </w:p>
        </w:tc>
        <w:tc>
          <w:tcPr>
            <w:tcW w:w="1035" w:type="dxa"/>
            <w:tcBorders>
              <w:right w:val="single" w:color="auto" w:sz="4" w:space="0"/>
            </w:tcBorders>
            <w:vAlign w:val="center"/>
          </w:tcPr>
          <w:p w14:paraId="475BA598">
            <w:pPr>
              <w:pStyle w:val="15"/>
              <w:spacing w:line="360" w:lineRule="auto"/>
              <w:ind w:firstLine="0" w:firstLineChars="0"/>
              <w:contextualSpacing/>
              <w:jc w:val="center"/>
              <w:rPr>
                <w:rFonts w:ascii="宋体" w:hAnsi="宋体" w:eastAsia="宋体" w:cs="仿宋_GB2312"/>
                <w:color w:val="auto"/>
                <w:kern w:val="2"/>
                <w:sz w:val="24"/>
                <w:szCs w:val="24"/>
              </w:rPr>
            </w:pPr>
          </w:p>
        </w:tc>
        <w:tc>
          <w:tcPr>
            <w:tcW w:w="2918" w:type="dxa"/>
            <w:tcBorders>
              <w:left w:val="single" w:color="auto" w:sz="4" w:space="0"/>
            </w:tcBorders>
            <w:vAlign w:val="center"/>
          </w:tcPr>
          <w:p w14:paraId="6FA4C9A1">
            <w:pPr>
              <w:spacing w:line="360" w:lineRule="atLeast"/>
              <w:rPr>
                <w:rFonts w:ascii="宋体" w:hAnsi="宋体" w:cs="仿宋_GB2312"/>
                <w:color w:val="auto"/>
                <w:szCs w:val="21"/>
              </w:rPr>
            </w:pPr>
            <w:r>
              <w:rPr>
                <w:rFonts w:hint="eastAsia" w:ascii="宋体" w:hAnsi="宋体" w:cs="仿宋_GB2312"/>
                <w:color w:val="auto"/>
                <w:szCs w:val="21"/>
              </w:rPr>
              <w:t>1、……</w:t>
            </w:r>
          </w:p>
          <w:p w14:paraId="2D2C19F8">
            <w:pPr>
              <w:spacing w:line="360" w:lineRule="atLeast"/>
              <w:rPr>
                <w:rFonts w:ascii="宋体" w:hAnsi="宋体" w:cs="仿宋_GB2312"/>
                <w:color w:val="auto"/>
                <w:szCs w:val="21"/>
              </w:rPr>
            </w:pPr>
            <w:r>
              <w:rPr>
                <w:rFonts w:hint="eastAsia" w:ascii="宋体" w:hAnsi="宋体" w:cs="仿宋_GB2312"/>
                <w:color w:val="auto"/>
                <w:szCs w:val="21"/>
              </w:rPr>
              <w:t>2、……</w:t>
            </w:r>
          </w:p>
          <w:p w14:paraId="19CBCA4C">
            <w:pPr>
              <w:spacing w:line="360" w:lineRule="atLeast"/>
              <w:rPr>
                <w:rFonts w:ascii="宋体" w:hAnsi="宋体" w:cs="仿宋_GB2312"/>
                <w:color w:val="auto"/>
                <w:szCs w:val="21"/>
              </w:rPr>
            </w:pPr>
            <w:r>
              <w:rPr>
                <w:rFonts w:hint="eastAsia" w:ascii="宋体" w:hAnsi="宋体" w:cs="仿宋_GB2312"/>
                <w:color w:val="auto"/>
                <w:szCs w:val="21"/>
              </w:rPr>
              <w:t>3、……</w:t>
            </w:r>
          </w:p>
        </w:tc>
        <w:tc>
          <w:tcPr>
            <w:tcW w:w="2734" w:type="dxa"/>
            <w:vAlign w:val="center"/>
          </w:tcPr>
          <w:p w14:paraId="63186D85">
            <w:pPr>
              <w:spacing w:line="360" w:lineRule="atLeast"/>
              <w:rPr>
                <w:rFonts w:ascii="宋体" w:hAnsi="宋体" w:cs="仿宋_GB2312"/>
                <w:color w:val="auto"/>
                <w:szCs w:val="21"/>
              </w:rPr>
            </w:pPr>
            <w:r>
              <w:rPr>
                <w:rFonts w:hint="eastAsia" w:ascii="宋体" w:hAnsi="宋体" w:cs="仿宋_GB2312"/>
                <w:color w:val="auto"/>
                <w:szCs w:val="21"/>
              </w:rPr>
              <w:t>1、……</w:t>
            </w:r>
          </w:p>
          <w:p w14:paraId="35097968">
            <w:pPr>
              <w:spacing w:line="360" w:lineRule="atLeast"/>
              <w:rPr>
                <w:rFonts w:ascii="宋体" w:hAnsi="宋体" w:cs="仿宋_GB2312"/>
                <w:color w:val="auto"/>
                <w:szCs w:val="21"/>
              </w:rPr>
            </w:pPr>
            <w:r>
              <w:rPr>
                <w:rFonts w:hint="eastAsia" w:ascii="宋体" w:hAnsi="宋体" w:cs="仿宋_GB2312"/>
                <w:color w:val="auto"/>
                <w:szCs w:val="21"/>
              </w:rPr>
              <w:t>2、……</w:t>
            </w:r>
          </w:p>
          <w:p w14:paraId="26950C15">
            <w:pPr>
              <w:spacing w:line="360" w:lineRule="atLeast"/>
              <w:rPr>
                <w:rFonts w:ascii="宋体" w:hAnsi="宋体" w:cs="仿宋_GB2312"/>
                <w:color w:val="auto"/>
                <w:szCs w:val="21"/>
              </w:rPr>
            </w:pPr>
            <w:r>
              <w:rPr>
                <w:rFonts w:hint="eastAsia" w:ascii="宋体" w:hAnsi="宋体" w:cs="仿宋_GB2312"/>
                <w:color w:val="auto"/>
                <w:szCs w:val="21"/>
              </w:rPr>
              <w:t>3、……</w:t>
            </w:r>
          </w:p>
        </w:tc>
        <w:tc>
          <w:tcPr>
            <w:tcW w:w="1492" w:type="dxa"/>
            <w:vAlign w:val="center"/>
          </w:tcPr>
          <w:p w14:paraId="3215CB19">
            <w:pPr>
              <w:pStyle w:val="15"/>
              <w:spacing w:line="360" w:lineRule="auto"/>
              <w:ind w:firstLine="0" w:firstLineChars="0"/>
              <w:contextualSpacing/>
              <w:jc w:val="center"/>
              <w:rPr>
                <w:rFonts w:ascii="宋体" w:hAnsi="宋体" w:eastAsia="宋体" w:cs="仿宋_GB2312"/>
                <w:color w:val="auto"/>
                <w:kern w:val="2"/>
                <w:sz w:val="24"/>
                <w:szCs w:val="24"/>
              </w:rPr>
            </w:pPr>
          </w:p>
        </w:tc>
      </w:tr>
      <w:tr w14:paraId="304305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717AD9A">
            <w:pPr>
              <w:pStyle w:val="15"/>
              <w:spacing w:line="360" w:lineRule="auto"/>
              <w:ind w:firstLine="0" w:firstLineChars="0"/>
              <w:contextualSpacing/>
              <w:jc w:val="center"/>
              <w:rPr>
                <w:rFonts w:ascii="宋体" w:hAnsi="宋体" w:eastAsia="宋体" w:cs="仿宋_GB2312"/>
                <w:color w:val="auto"/>
                <w:kern w:val="2"/>
                <w:sz w:val="24"/>
                <w:szCs w:val="24"/>
              </w:rPr>
            </w:pPr>
            <w:bookmarkStart w:id="157" w:name="_Toc373333695"/>
            <w:bookmarkStart w:id="158" w:name="_Toc173066407"/>
            <w:bookmarkStart w:id="159" w:name="_Toc173211906"/>
            <w:bookmarkStart w:id="160" w:name="_Toc254970594"/>
            <w:bookmarkStart w:id="161" w:name="_Toc295404987"/>
            <w:bookmarkStart w:id="162" w:name="_Toc254970735"/>
            <w:bookmarkStart w:id="163" w:name="_Toc297193191"/>
            <w:bookmarkStart w:id="164" w:name="_Toc301781617"/>
            <w:bookmarkStart w:id="165" w:name="_Toc383699912"/>
            <w:r>
              <w:rPr>
                <w:rFonts w:hint="eastAsia" w:ascii="宋体" w:hAnsi="宋体" w:eastAsia="宋体" w:cs="仿宋_GB2312"/>
                <w:color w:val="auto"/>
                <w:kern w:val="2"/>
                <w:sz w:val="24"/>
                <w:szCs w:val="24"/>
              </w:rPr>
              <w:t>2</w:t>
            </w:r>
            <w:bookmarkEnd w:id="157"/>
            <w:bookmarkEnd w:id="158"/>
            <w:bookmarkEnd w:id="159"/>
            <w:bookmarkEnd w:id="160"/>
            <w:bookmarkEnd w:id="161"/>
            <w:bookmarkEnd w:id="162"/>
            <w:bookmarkEnd w:id="163"/>
            <w:bookmarkEnd w:id="164"/>
            <w:bookmarkEnd w:id="165"/>
          </w:p>
        </w:tc>
        <w:tc>
          <w:tcPr>
            <w:tcW w:w="1035" w:type="dxa"/>
            <w:tcBorders>
              <w:right w:val="single" w:color="auto" w:sz="4" w:space="0"/>
            </w:tcBorders>
            <w:vAlign w:val="center"/>
          </w:tcPr>
          <w:p w14:paraId="47C2DF5D">
            <w:pPr>
              <w:pStyle w:val="15"/>
              <w:spacing w:line="360" w:lineRule="auto"/>
              <w:ind w:firstLine="0" w:firstLineChars="0"/>
              <w:contextualSpacing/>
              <w:jc w:val="center"/>
              <w:rPr>
                <w:rFonts w:ascii="宋体" w:hAnsi="宋体" w:eastAsia="宋体" w:cs="仿宋_GB2312"/>
                <w:color w:val="auto"/>
                <w:kern w:val="2"/>
                <w:sz w:val="24"/>
                <w:szCs w:val="24"/>
              </w:rPr>
            </w:pPr>
          </w:p>
        </w:tc>
        <w:tc>
          <w:tcPr>
            <w:tcW w:w="2918" w:type="dxa"/>
            <w:tcBorders>
              <w:left w:val="single" w:color="auto" w:sz="4" w:space="0"/>
            </w:tcBorders>
            <w:vAlign w:val="center"/>
          </w:tcPr>
          <w:p w14:paraId="578D94D6">
            <w:pPr>
              <w:spacing w:line="360" w:lineRule="atLeast"/>
              <w:rPr>
                <w:rFonts w:ascii="宋体" w:hAnsi="宋体" w:cs="仿宋_GB2312"/>
                <w:color w:val="auto"/>
                <w:szCs w:val="21"/>
              </w:rPr>
            </w:pPr>
            <w:r>
              <w:rPr>
                <w:rFonts w:hint="eastAsia" w:ascii="宋体" w:hAnsi="宋体" w:cs="仿宋_GB2312"/>
                <w:color w:val="auto"/>
                <w:szCs w:val="21"/>
              </w:rPr>
              <w:t>1、……</w:t>
            </w:r>
          </w:p>
          <w:p w14:paraId="1CDFA6C4">
            <w:pPr>
              <w:spacing w:line="360" w:lineRule="atLeast"/>
              <w:rPr>
                <w:rFonts w:ascii="宋体" w:hAnsi="宋体" w:cs="仿宋_GB2312"/>
                <w:color w:val="auto"/>
                <w:szCs w:val="21"/>
              </w:rPr>
            </w:pPr>
            <w:r>
              <w:rPr>
                <w:rFonts w:hint="eastAsia" w:ascii="宋体" w:hAnsi="宋体" w:cs="仿宋_GB2312"/>
                <w:color w:val="auto"/>
                <w:szCs w:val="21"/>
              </w:rPr>
              <w:t>2、……</w:t>
            </w:r>
          </w:p>
          <w:p w14:paraId="2209F746">
            <w:pPr>
              <w:spacing w:line="360" w:lineRule="atLeast"/>
              <w:rPr>
                <w:rFonts w:ascii="宋体" w:hAnsi="宋体" w:cs="仿宋_GB2312"/>
                <w:color w:val="auto"/>
                <w:szCs w:val="21"/>
              </w:rPr>
            </w:pPr>
            <w:r>
              <w:rPr>
                <w:rFonts w:hint="eastAsia" w:ascii="宋体" w:hAnsi="宋体" w:cs="仿宋_GB2312"/>
                <w:color w:val="auto"/>
                <w:szCs w:val="21"/>
              </w:rPr>
              <w:t>3、……</w:t>
            </w:r>
          </w:p>
        </w:tc>
        <w:tc>
          <w:tcPr>
            <w:tcW w:w="2734" w:type="dxa"/>
            <w:vAlign w:val="center"/>
          </w:tcPr>
          <w:p w14:paraId="260D2D86">
            <w:pPr>
              <w:spacing w:line="360" w:lineRule="atLeast"/>
              <w:rPr>
                <w:rFonts w:ascii="宋体" w:hAnsi="宋体" w:cs="仿宋_GB2312"/>
                <w:color w:val="auto"/>
                <w:szCs w:val="21"/>
              </w:rPr>
            </w:pPr>
            <w:r>
              <w:rPr>
                <w:rFonts w:hint="eastAsia" w:ascii="宋体" w:hAnsi="宋体" w:cs="仿宋_GB2312"/>
                <w:color w:val="auto"/>
                <w:szCs w:val="21"/>
              </w:rPr>
              <w:t>1、……</w:t>
            </w:r>
          </w:p>
          <w:p w14:paraId="2FB29AA5">
            <w:pPr>
              <w:spacing w:line="360" w:lineRule="atLeast"/>
              <w:rPr>
                <w:rFonts w:ascii="宋体" w:hAnsi="宋体" w:cs="仿宋_GB2312"/>
                <w:color w:val="auto"/>
                <w:szCs w:val="21"/>
              </w:rPr>
            </w:pPr>
            <w:r>
              <w:rPr>
                <w:rFonts w:hint="eastAsia" w:ascii="宋体" w:hAnsi="宋体" w:cs="仿宋_GB2312"/>
                <w:color w:val="auto"/>
                <w:szCs w:val="21"/>
              </w:rPr>
              <w:t>2、……</w:t>
            </w:r>
          </w:p>
          <w:p w14:paraId="7440FAAE">
            <w:pPr>
              <w:spacing w:line="360" w:lineRule="atLeast"/>
              <w:rPr>
                <w:rFonts w:ascii="宋体" w:hAnsi="宋体" w:cs="仿宋_GB2312"/>
                <w:color w:val="auto"/>
                <w:szCs w:val="21"/>
              </w:rPr>
            </w:pPr>
            <w:r>
              <w:rPr>
                <w:rFonts w:hint="eastAsia" w:ascii="宋体" w:hAnsi="宋体" w:cs="仿宋_GB2312"/>
                <w:color w:val="auto"/>
                <w:szCs w:val="21"/>
              </w:rPr>
              <w:t>3、……</w:t>
            </w:r>
          </w:p>
        </w:tc>
        <w:tc>
          <w:tcPr>
            <w:tcW w:w="1492" w:type="dxa"/>
            <w:vAlign w:val="center"/>
          </w:tcPr>
          <w:p w14:paraId="6FB42F96">
            <w:pPr>
              <w:pStyle w:val="15"/>
              <w:spacing w:line="360" w:lineRule="auto"/>
              <w:ind w:firstLine="0" w:firstLineChars="0"/>
              <w:contextualSpacing/>
              <w:jc w:val="center"/>
              <w:rPr>
                <w:rFonts w:ascii="宋体" w:hAnsi="宋体" w:eastAsia="宋体" w:cs="仿宋_GB2312"/>
                <w:color w:val="auto"/>
                <w:kern w:val="2"/>
                <w:sz w:val="24"/>
                <w:szCs w:val="24"/>
              </w:rPr>
            </w:pPr>
          </w:p>
        </w:tc>
      </w:tr>
      <w:tr w14:paraId="0BA154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B8D8A0D">
            <w:pPr>
              <w:pStyle w:val="15"/>
              <w:spacing w:line="360" w:lineRule="auto"/>
              <w:ind w:firstLine="0" w:firstLineChars="0"/>
              <w:contextualSpacing/>
              <w:jc w:val="center"/>
              <w:rPr>
                <w:rFonts w:ascii="宋体" w:hAnsi="宋体" w:eastAsia="宋体" w:cs="仿宋_GB2312"/>
                <w:color w:val="auto"/>
                <w:kern w:val="2"/>
                <w:sz w:val="24"/>
                <w:szCs w:val="24"/>
              </w:rPr>
            </w:pPr>
            <w:bookmarkStart w:id="166" w:name="_Toc254970736"/>
            <w:bookmarkStart w:id="167" w:name="_Toc173066408"/>
            <w:bookmarkStart w:id="168" w:name="_Toc383699913"/>
            <w:bookmarkStart w:id="169" w:name="_Toc254970595"/>
            <w:bookmarkStart w:id="170" w:name="_Toc373333696"/>
            <w:bookmarkStart w:id="171" w:name="_Toc295404988"/>
            <w:bookmarkStart w:id="172" w:name="_Toc301781618"/>
            <w:bookmarkStart w:id="173" w:name="_Toc173211907"/>
            <w:bookmarkStart w:id="174" w:name="_Toc297193192"/>
            <w:r>
              <w:rPr>
                <w:rFonts w:hint="eastAsia" w:ascii="宋体" w:hAnsi="宋体" w:eastAsia="宋体" w:cs="仿宋_GB2312"/>
                <w:color w:val="auto"/>
                <w:kern w:val="2"/>
                <w:sz w:val="24"/>
                <w:szCs w:val="24"/>
              </w:rPr>
              <w:t>3</w:t>
            </w:r>
            <w:bookmarkEnd w:id="166"/>
            <w:bookmarkEnd w:id="167"/>
            <w:bookmarkEnd w:id="168"/>
            <w:bookmarkEnd w:id="169"/>
            <w:bookmarkEnd w:id="170"/>
            <w:bookmarkEnd w:id="171"/>
            <w:bookmarkEnd w:id="172"/>
            <w:bookmarkEnd w:id="173"/>
            <w:bookmarkEnd w:id="174"/>
          </w:p>
        </w:tc>
        <w:tc>
          <w:tcPr>
            <w:tcW w:w="1035" w:type="dxa"/>
            <w:tcBorders>
              <w:right w:val="single" w:color="auto" w:sz="4" w:space="0"/>
            </w:tcBorders>
            <w:vAlign w:val="center"/>
          </w:tcPr>
          <w:p w14:paraId="32B79098">
            <w:pPr>
              <w:pStyle w:val="15"/>
              <w:spacing w:line="360" w:lineRule="auto"/>
              <w:ind w:firstLine="0" w:firstLineChars="0"/>
              <w:contextualSpacing/>
              <w:jc w:val="center"/>
              <w:rPr>
                <w:rFonts w:ascii="宋体" w:hAnsi="宋体" w:eastAsia="宋体" w:cs="仿宋_GB2312"/>
                <w:color w:val="auto"/>
                <w:kern w:val="2"/>
                <w:sz w:val="24"/>
                <w:szCs w:val="24"/>
              </w:rPr>
            </w:pPr>
          </w:p>
        </w:tc>
        <w:tc>
          <w:tcPr>
            <w:tcW w:w="2918" w:type="dxa"/>
            <w:tcBorders>
              <w:left w:val="single" w:color="auto" w:sz="4" w:space="0"/>
            </w:tcBorders>
            <w:vAlign w:val="center"/>
          </w:tcPr>
          <w:p w14:paraId="280BEA25">
            <w:pPr>
              <w:spacing w:line="360" w:lineRule="atLeast"/>
              <w:rPr>
                <w:rFonts w:ascii="宋体" w:hAnsi="宋体" w:cs="仿宋_GB2312"/>
                <w:color w:val="auto"/>
                <w:szCs w:val="21"/>
              </w:rPr>
            </w:pPr>
            <w:r>
              <w:rPr>
                <w:rFonts w:hint="eastAsia" w:ascii="宋体" w:hAnsi="宋体" w:cs="仿宋_GB2312"/>
                <w:color w:val="auto"/>
                <w:szCs w:val="21"/>
              </w:rPr>
              <w:t>1、……</w:t>
            </w:r>
          </w:p>
          <w:p w14:paraId="516ABA5D">
            <w:pPr>
              <w:spacing w:line="360" w:lineRule="atLeast"/>
              <w:rPr>
                <w:rFonts w:ascii="宋体" w:hAnsi="宋体" w:cs="仿宋_GB2312"/>
                <w:color w:val="auto"/>
                <w:szCs w:val="21"/>
              </w:rPr>
            </w:pPr>
            <w:r>
              <w:rPr>
                <w:rFonts w:hint="eastAsia" w:ascii="宋体" w:hAnsi="宋体" w:cs="仿宋_GB2312"/>
                <w:color w:val="auto"/>
                <w:szCs w:val="21"/>
              </w:rPr>
              <w:t>2、……</w:t>
            </w:r>
          </w:p>
          <w:p w14:paraId="3F106373">
            <w:pPr>
              <w:spacing w:line="360" w:lineRule="atLeast"/>
              <w:rPr>
                <w:rFonts w:ascii="宋体" w:hAnsi="宋体" w:cs="仿宋_GB2312"/>
                <w:color w:val="auto"/>
                <w:szCs w:val="21"/>
              </w:rPr>
            </w:pPr>
            <w:r>
              <w:rPr>
                <w:rFonts w:hint="eastAsia" w:ascii="宋体" w:hAnsi="宋体" w:cs="仿宋_GB2312"/>
                <w:color w:val="auto"/>
                <w:szCs w:val="21"/>
              </w:rPr>
              <w:t>3、……</w:t>
            </w:r>
          </w:p>
        </w:tc>
        <w:tc>
          <w:tcPr>
            <w:tcW w:w="2734" w:type="dxa"/>
            <w:vAlign w:val="center"/>
          </w:tcPr>
          <w:p w14:paraId="5708FDA6">
            <w:pPr>
              <w:spacing w:line="360" w:lineRule="atLeast"/>
              <w:rPr>
                <w:rFonts w:ascii="宋体" w:hAnsi="宋体" w:cs="仿宋_GB2312"/>
                <w:color w:val="auto"/>
                <w:szCs w:val="21"/>
              </w:rPr>
            </w:pPr>
            <w:r>
              <w:rPr>
                <w:rFonts w:hint="eastAsia" w:ascii="宋体" w:hAnsi="宋体" w:cs="仿宋_GB2312"/>
                <w:color w:val="auto"/>
                <w:szCs w:val="21"/>
              </w:rPr>
              <w:t>1、……</w:t>
            </w:r>
          </w:p>
          <w:p w14:paraId="4D53A34B">
            <w:pPr>
              <w:spacing w:line="360" w:lineRule="atLeast"/>
              <w:rPr>
                <w:rFonts w:ascii="宋体" w:hAnsi="宋体" w:cs="仿宋_GB2312"/>
                <w:color w:val="auto"/>
                <w:szCs w:val="21"/>
              </w:rPr>
            </w:pPr>
            <w:r>
              <w:rPr>
                <w:rFonts w:hint="eastAsia" w:ascii="宋体" w:hAnsi="宋体" w:cs="仿宋_GB2312"/>
                <w:color w:val="auto"/>
                <w:szCs w:val="21"/>
              </w:rPr>
              <w:t>2、……</w:t>
            </w:r>
          </w:p>
          <w:p w14:paraId="4A9CA896">
            <w:pPr>
              <w:spacing w:line="360" w:lineRule="atLeast"/>
              <w:rPr>
                <w:rFonts w:ascii="宋体" w:hAnsi="宋体" w:cs="仿宋_GB2312"/>
                <w:color w:val="auto"/>
                <w:szCs w:val="21"/>
              </w:rPr>
            </w:pPr>
            <w:r>
              <w:rPr>
                <w:rFonts w:hint="eastAsia" w:ascii="宋体" w:hAnsi="宋体" w:cs="仿宋_GB2312"/>
                <w:color w:val="auto"/>
                <w:szCs w:val="21"/>
              </w:rPr>
              <w:t>3、……</w:t>
            </w:r>
          </w:p>
        </w:tc>
        <w:tc>
          <w:tcPr>
            <w:tcW w:w="1492" w:type="dxa"/>
            <w:vAlign w:val="center"/>
          </w:tcPr>
          <w:p w14:paraId="382A9430">
            <w:pPr>
              <w:pStyle w:val="15"/>
              <w:spacing w:line="360" w:lineRule="auto"/>
              <w:ind w:firstLine="0" w:firstLineChars="0"/>
              <w:contextualSpacing/>
              <w:jc w:val="center"/>
              <w:rPr>
                <w:rFonts w:ascii="宋体" w:hAnsi="宋体" w:eastAsia="宋体" w:cs="仿宋_GB2312"/>
                <w:color w:val="auto"/>
                <w:kern w:val="2"/>
                <w:sz w:val="24"/>
                <w:szCs w:val="24"/>
              </w:rPr>
            </w:pPr>
          </w:p>
        </w:tc>
      </w:tr>
      <w:tr w14:paraId="3D273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9DA11BD">
            <w:pPr>
              <w:pStyle w:val="15"/>
              <w:spacing w:line="360" w:lineRule="auto"/>
              <w:ind w:firstLine="0" w:firstLineChars="0"/>
              <w:contextualSpacing/>
              <w:jc w:val="center"/>
              <w:rPr>
                <w:rFonts w:ascii="宋体" w:hAnsi="宋体" w:eastAsia="宋体" w:cs="仿宋_GB2312"/>
                <w:color w:val="auto"/>
                <w:kern w:val="2"/>
                <w:sz w:val="24"/>
                <w:szCs w:val="24"/>
              </w:rPr>
            </w:pPr>
            <w:bookmarkStart w:id="175" w:name="_Toc295404989"/>
            <w:bookmarkStart w:id="176" w:name="_Toc373333697"/>
            <w:bookmarkStart w:id="177" w:name="_Toc301781619"/>
            <w:bookmarkStart w:id="178" w:name="_Toc383699914"/>
            <w:bookmarkStart w:id="179" w:name="_Toc297193193"/>
            <w:bookmarkStart w:id="180" w:name="_Toc173211908"/>
            <w:bookmarkStart w:id="181" w:name="_Toc254970737"/>
            <w:bookmarkStart w:id="182" w:name="_Toc254970596"/>
            <w:bookmarkStart w:id="183" w:name="_Toc173066409"/>
            <w:r>
              <w:rPr>
                <w:rFonts w:hint="eastAsia" w:ascii="宋体" w:hAnsi="宋体" w:eastAsia="宋体" w:cs="仿宋_GB2312"/>
                <w:color w:val="auto"/>
                <w:kern w:val="2"/>
                <w:sz w:val="24"/>
                <w:szCs w:val="24"/>
              </w:rPr>
              <w:t>4</w:t>
            </w:r>
            <w:bookmarkEnd w:id="175"/>
            <w:bookmarkEnd w:id="176"/>
            <w:bookmarkEnd w:id="177"/>
            <w:bookmarkEnd w:id="178"/>
            <w:bookmarkEnd w:id="179"/>
            <w:bookmarkEnd w:id="180"/>
            <w:bookmarkEnd w:id="181"/>
            <w:bookmarkEnd w:id="182"/>
            <w:bookmarkEnd w:id="183"/>
          </w:p>
        </w:tc>
        <w:tc>
          <w:tcPr>
            <w:tcW w:w="1035" w:type="dxa"/>
            <w:tcBorders>
              <w:right w:val="single" w:color="auto" w:sz="4" w:space="0"/>
            </w:tcBorders>
            <w:vAlign w:val="center"/>
          </w:tcPr>
          <w:p w14:paraId="003A89FF">
            <w:pPr>
              <w:pStyle w:val="15"/>
              <w:spacing w:line="360" w:lineRule="auto"/>
              <w:ind w:firstLine="0" w:firstLineChars="0"/>
              <w:contextualSpacing/>
              <w:jc w:val="center"/>
              <w:rPr>
                <w:rFonts w:ascii="宋体" w:hAnsi="宋体" w:eastAsia="宋体" w:cs="仿宋_GB2312"/>
                <w:color w:val="auto"/>
                <w:kern w:val="2"/>
                <w:sz w:val="24"/>
                <w:szCs w:val="24"/>
              </w:rPr>
            </w:pPr>
          </w:p>
        </w:tc>
        <w:tc>
          <w:tcPr>
            <w:tcW w:w="2918" w:type="dxa"/>
            <w:tcBorders>
              <w:left w:val="single" w:color="auto" w:sz="4" w:space="0"/>
            </w:tcBorders>
            <w:vAlign w:val="center"/>
          </w:tcPr>
          <w:p w14:paraId="540F9927">
            <w:pPr>
              <w:spacing w:line="360" w:lineRule="atLeast"/>
              <w:rPr>
                <w:rFonts w:ascii="宋体" w:hAnsi="宋体" w:cs="仿宋_GB2312"/>
                <w:color w:val="auto"/>
                <w:szCs w:val="21"/>
              </w:rPr>
            </w:pPr>
            <w:r>
              <w:rPr>
                <w:rFonts w:hint="eastAsia" w:ascii="宋体" w:hAnsi="宋体" w:cs="仿宋_GB2312"/>
                <w:color w:val="auto"/>
                <w:szCs w:val="21"/>
              </w:rPr>
              <w:t>1、……</w:t>
            </w:r>
          </w:p>
          <w:p w14:paraId="0DEFC1D5">
            <w:pPr>
              <w:spacing w:line="360" w:lineRule="atLeast"/>
              <w:rPr>
                <w:rFonts w:ascii="宋体" w:hAnsi="宋体" w:cs="仿宋_GB2312"/>
                <w:color w:val="auto"/>
                <w:szCs w:val="21"/>
              </w:rPr>
            </w:pPr>
            <w:r>
              <w:rPr>
                <w:rFonts w:hint="eastAsia" w:ascii="宋体" w:hAnsi="宋体" w:cs="仿宋_GB2312"/>
                <w:color w:val="auto"/>
                <w:szCs w:val="21"/>
              </w:rPr>
              <w:t>2、……</w:t>
            </w:r>
          </w:p>
          <w:p w14:paraId="3723125B">
            <w:pPr>
              <w:spacing w:line="360" w:lineRule="atLeast"/>
              <w:rPr>
                <w:rFonts w:ascii="宋体" w:hAnsi="宋体" w:cs="仿宋_GB2312"/>
                <w:color w:val="auto"/>
                <w:szCs w:val="21"/>
              </w:rPr>
            </w:pPr>
            <w:r>
              <w:rPr>
                <w:rFonts w:hint="eastAsia" w:ascii="宋体" w:hAnsi="宋体" w:cs="仿宋_GB2312"/>
                <w:color w:val="auto"/>
                <w:szCs w:val="21"/>
              </w:rPr>
              <w:t>3、……</w:t>
            </w:r>
          </w:p>
        </w:tc>
        <w:tc>
          <w:tcPr>
            <w:tcW w:w="2734" w:type="dxa"/>
            <w:vAlign w:val="center"/>
          </w:tcPr>
          <w:p w14:paraId="3FAC3A57">
            <w:pPr>
              <w:spacing w:line="360" w:lineRule="atLeast"/>
              <w:rPr>
                <w:rFonts w:ascii="宋体" w:hAnsi="宋体" w:cs="仿宋_GB2312"/>
                <w:color w:val="auto"/>
                <w:szCs w:val="21"/>
              </w:rPr>
            </w:pPr>
            <w:r>
              <w:rPr>
                <w:rFonts w:hint="eastAsia" w:ascii="宋体" w:hAnsi="宋体" w:cs="仿宋_GB2312"/>
                <w:color w:val="auto"/>
                <w:szCs w:val="21"/>
              </w:rPr>
              <w:t>1、……</w:t>
            </w:r>
          </w:p>
          <w:p w14:paraId="1CD078DE">
            <w:pPr>
              <w:spacing w:line="360" w:lineRule="atLeast"/>
              <w:rPr>
                <w:rFonts w:ascii="宋体" w:hAnsi="宋体" w:cs="仿宋_GB2312"/>
                <w:color w:val="auto"/>
                <w:szCs w:val="21"/>
              </w:rPr>
            </w:pPr>
            <w:r>
              <w:rPr>
                <w:rFonts w:hint="eastAsia" w:ascii="宋体" w:hAnsi="宋体" w:cs="仿宋_GB2312"/>
                <w:color w:val="auto"/>
                <w:szCs w:val="21"/>
              </w:rPr>
              <w:t>2、……</w:t>
            </w:r>
          </w:p>
          <w:p w14:paraId="197A3482">
            <w:pPr>
              <w:spacing w:line="360" w:lineRule="atLeast"/>
              <w:rPr>
                <w:rFonts w:ascii="宋体" w:hAnsi="宋体" w:cs="仿宋_GB2312"/>
                <w:color w:val="auto"/>
                <w:szCs w:val="21"/>
              </w:rPr>
            </w:pPr>
            <w:r>
              <w:rPr>
                <w:rFonts w:hint="eastAsia" w:ascii="宋体" w:hAnsi="宋体" w:cs="仿宋_GB2312"/>
                <w:color w:val="auto"/>
                <w:szCs w:val="21"/>
              </w:rPr>
              <w:t>3、……</w:t>
            </w:r>
          </w:p>
        </w:tc>
        <w:tc>
          <w:tcPr>
            <w:tcW w:w="1492" w:type="dxa"/>
            <w:vAlign w:val="center"/>
          </w:tcPr>
          <w:p w14:paraId="51463601">
            <w:pPr>
              <w:pStyle w:val="15"/>
              <w:spacing w:line="360" w:lineRule="auto"/>
              <w:ind w:firstLine="0" w:firstLineChars="0"/>
              <w:contextualSpacing/>
              <w:jc w:val="center"/>
              <w:rPr>
                <w:rFonts w:ascii="宋体" w:hAnsi="宋体" w:eastAsia="宋体" w:cs="仿宋_GB2312"/>
                <w:color w:val="auto"/>
                <w:kern w:val="2"/>
                <w:sz w:val="24"/>
                <w:szCs w:val="24"/>
              </w:rPr>
            </w:pPr>
          </w:p>
        </w:tc>
      </w:tr>
      <w:tr w14:paraId="56994E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25B5F160">
            <w:pPr>
              <w:pStyle w:val="15"/>
              <w:spacing w:line="360" w:lineRule="auto"/>
              <w:ind w:firstLine="0" w:firstLineChars="0"/>
              <w:contextualSpacing/>
              <w:jc w:val="center"/>
              <w:rPr>
                <w:rFonts w:ascii="宋体" w:hAnsi="宋体" w:eastAsia="宋体" w:cs="仿宋_GB2312"/>
                <w:color w:val="auto"/>
                <w:kern w:val="2"/>
                <w:sz w:val="24"/>
                <w:szCs w:val="24"/>
              </w:rPr>
            </w:pPr>
            <w:bookmarkStart w:id="184" w:name="_Toc301781621"/>
            <w:bookmarkStart w:id="185" w:name="_Toc254970743"/>
            <w:bookmarkStart w:id="186" w:name="_Toc295404991"/>
            <w:bookmarkStart w:id="187" w:name="_Toc297193195"/>
            <w:bookmarkStart w:id="188" w:name="_Toc173066415"/>
            <w:bookmarkStart w:id="189" w:name="_Toc383699916"/>
            <w:bookmarkStart w:id="190" w:name="_Toc254970602"/>
            <w:bookmarkStart w:id="191" w:name="_Toc173211914"/>
            <w:bookmarkStart w:id="192" w:name="_Toc373333699"/>
            <w:r>
              <w:rPr>
                <w:rFonts w:hint="eastAsia" w:ascii="宋体" w:hAnsi="宋体" w:eastAsia="宋体" w:cs="仿宋_GB2312"/>
                <w:color w:val="auto"/>
                <w:kern w:val="2"/>
                <w:sz w:val="24"/>
                <w:szCs w:val="24"/>
              </w:rPr>
              <w:t>…</w:t>
            </w:r>
            <w:bookmarkEnd w:id="184"/>
            <w:bookmarkEnd w:id="185"/>
            <w:bookmarkEnd w:id="186"/>
            <w:bookmarkEnd w:id="187"/>
            <w:bookmarkEnd w:id="188"/>
            <w:bookmarkEnd w:id="189"/>
            <w:bookmarkEnd w:id="190"/>
            <w:bookmarkEnd w:id="191"/>
            <w:bookmarkEnd w:id="192"/>
            <w:r>
              <w:rPr>
                <w:rFonts w:ascii="宋体" w:hAnsi="宋体" w:eastAsia="宋体" w:cs="仿宋_GB2312"/>
                <w:color w:val="auto"/>
                <w:kern w:val="2"/>
                <w:sz w:val="24"/>
                <w:szCs w:val="24"/>
              </w:rPr>
              <w:t>…</w:t>
            </w:r>
          </w:p>
        </w:tc>
        <w:tc>
          <w:tcPr>
            <w:tcW w:w="1035" w:type="dxa"/>
            <w:tcBorders>
              <w:right w:val="single" w:color="auto" w:sz="4" w:space="0"/>
            </w:tcBorders>
            <w:vAlign w:val="center"/>
          </w:tcPr>
          <w:p w14:paraId="751CAB75">
            <w:pPr>
              <w:pStyle w:val="15"/>
              <w:spacing w:line="360" w:lineRule="auto"/>
              <w:ind w:firstLine="0" w:firstLineChars="0"/>
              <w:contextualSpacing/>
              <w:jc w:val="center"/>
              <w:rPr>
                <w:rFonts w:ascii="宋体" w:hAnsi="宋体" w:eastAsia="宋体" w:cs="仿宋_GB2312"/>
                <w:color w:val="auto"/>
                <w:kern w:val="2"/>
                <w:sz w:val="24"/>
                <w:szCs w:val="24"/>
              </w:rPr>
            </w:pPr>
          </w:p>
        </w:tc>
        <w:tc>
          <w:tcPr>
            <w:tcW w:w="2918" w:type="dxa"/>
            <w:tcBorders>
              <w:left w:val="single" w:color="auto" w:sz="4" w:space="0"/>
            </w:tcBorders>
            <w:vAlign w:val="center"/>
          </w:tcPr>
          <w:p w14:paraId="5F665F54">
            <w:pPr>
              <w:spacing w:line="360" w:lineRule="atLeast"/>
              <w:rPr>
                <w:rFonts w:ascii="宋体" w:hAnsi="宋体" w:cs="仿宋_GB2312"/>
                <w:color w:val="auto"/>
                <w:szCs w:val="21"/>
              </w:rPr>
            </w:pPr>
            <w:r>
              <w:rPr>
                <w:rFonts w:hint="eastAsia" w:ascii="宋体" w:hAnsi="宋体" w:cs="仿宋_GB2312"/>
                <w:color w:val="auto"/>
                <w:szCs w:val="21"/>
              </w:rPr>
              <w:t>1、……</w:t>
            </w:r>
          </w:p>
          <w:p w14:paraId="36D66762">
            <w:pPr>
              <w:spacing w:line="360" w:lineRule="atLeast"/>
              <w:rPr>
                <w:rFonts w:ascii="宋体" w:hAnsi="宋体" w:cs="仿宋_GB2312"/>
                <w:color w:val="auto"/>
                <w:szCs w:val="21"/>
              </w:rPr>
            </w:pPr>
            <w:r>
              <w:rPr>
                <w:rFonts w:hint="eastAsia" w:ascii="宋体" w:hAnsi="宋体" w:cs="仿宋_GB2312"/>
                <w:color w:val="auto"/>
                <w:szCs w:val="21"/>
              </w:rPr>
              <w:t>2、……</w:t>
            </w:r>
          </w:p>
          <w:p w14:paraId="49D5F574">
            <w:pPr>
              <w:spacing w:line="360" w:lineRule="atLeast"/>
              <w:rPr>
                <w:rFonts w:ascii="宋体" w:hAnsi="宋体" w:cs="仿宋_GB2312"/>
                <w:color w:val="auto"/>
                <w:szCs w:val="21"/>
              </w:rPr>
            </w:pPr>
            <w:r>
              <w:rPr>
                <w:rFonts w:hint="eastAsia" w:ascii="宋体" w:hAnsi="宋体" w:cs="仿宋_GB2312"/>
                <w:color w:val="auto"/>
                <w:szCs w:val="21"/>
              </w:rPr>
              <w:t>3、……</w:t>
            </w:r>
          </w:p>
        </w:tc>
        <w:tc>
          <w:tcPr>
            <w:tcW w:w="2734" w:type="dxa"/>
            <w:vAlign w:val="center"/>
          </w:tcPr>
          <w:p w14:paraId="3F9D4086">
            <w:pPr>
              <w:spacing w:line="360" w:lineRule="atLeast"/>
              <w:rPr>
                <w:rFonts w:ascii="宋体" w:hAnsi="宋体" w:cs="仿宋_GB2312"/>
                <w:color w:val="auto"/>
                <w:szCs w:val="21"/>
              </w:rPr>
            </w:pPr>
            <w:r>
              <w:rPr>
                <w:rFonts w:hint="eastAsia" w:ascii="宋体" w:hAnsi="宋体" w:cs="仿宋_GB2312"/>
                <w:color w:val="auto"/>
                <w:szCs w:val="21"/>
              </w:rPr>
              <w:t>1、……</w:t>
            </w:r>
          </w:p>
          <w:p w14:paraId="43382B8F">
            <w:pPr>
              <w:spacing w:line="360" w:lineRule="atLeast"/>
              <w:rPr>
                <w:rFonts w:ascii="宋体" w:hAnsi="宋体" w:cs="仿宋_GB2312"/>
                <w:color w:val="auto"/>
                <w:szCs w:val="21"/>
              </w:rPr>
            </w:pPr>
            <w:r>
              <w:rPr>
                <w:rFonts w:hint="eastAsia" w:ascii="宋体" w:hAnsi="宋体" w:cs="仿宋_GB2312"/>
                <w:color w:val="auto"/>
                <w:szCs w:val="21"/>
              </w:rPr>
              <w:t>2、……</w:t>
            </w:r>
          </w:p>
          <w:p w14:paraId="38443B89">
            <w:pPr>
              <w:spacing w:line="360" w:lineRule="atLeast"/>
              <w:rPr>
                <w:rFonts w:ascii="宋体" w:hAnsi="宋体" w:cs="仿宋_GB2312"/>
                <w:color w:val="auto"/>
                <w:szCs w:val="21"/>
              </w:rPr>
            </w:pPr>
            <w:r>
              <w:rPr>
                <w:rFonts w:hint="eastAsia" w:ascii="宋体" w:hAnsi="宋体" w:cs="仿宋_GB2312"/>
                <w:color w:val="auto"/>
                <w:szCs w:val="21"/>
              </w:rPr>
              <w:t>3、……</w:t>
            </w:r>
          </w:p>
        </w:tc>
        <w:tc>
          <w:tcPr>
            <w:tcW w:w="1492" w:type="dxa"/>
            <w:tcBorders>
              <w:right w:val="single" w:color="auto" w:sz="4" w:space="0"/>
            </w:tcBorders>
            <w:vAlign w:val="center"/>
          </w:tcPr>
          <w:p w14:paraId="78F533A9">
            <w:pPr>
              <w:pStyle w:val="15"/>
              <w:spacing w:line="360" w:lineRule="auto"/>
              <w:ind w:firstLine="0" w:firstLineChars="0"/>
              <w:contextualSpacing/>
              <w:jc w:val="center"/>
              <w:rPr>
                <w:rFonts w:ascii="宋体" w:hAnsi="宋体" w:eastAsia="宋体" w:cs="仿宋_GB2312"/>
                <w:color w:val="auto"/>
                <w:kern w:val="2"/>
                <w:sz w:val="24"/>
                <w:szCs w:val="24"/>
              </w:rPr>
            </w:pPr>
          </w:p>
        </w:tc>
      </w:tr>
    </w:tbl>
    <w:p w14:paraId="1E47CE21">
      <w:pPr>
        <w:adjustRightInd w:val="0"/>
        <w:spacing w:line="360" w:lineRule="auto"/>
        <w:contextualSpacing/>
        <w:rPr>
          <w:rFonts w:ascii="宋体" w:hAnsi="宋体" w:cs="仿宋_GB2312"/>
          <w:color w:val="auto"/>
          <w:sz w:val="24"/>
        </w:rPr>
      </w:pPr>
    </w:p>
    <w:p w14:paraId="5B3E3076">
      <w:pPr>
        <w:pStyle w:val="15"/>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注：</w:t>
      </w:r>
    </w:p>
    <w:p w14:paraId="0A6AA3E7">
      <w:pPr>
        <w:pStyle w:val="15"/>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1. 说明：应对照磋商文件“第三章 采购需求”中的“技术或服务要求”逐条作出明确响应，并作出偏离说明。</w:t>
      </w:r>
    </w:p>
    <w:p w14:paraId="43A45BB1">
      <w:pPr>
        <w:pStyle w:val="15"/>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2.供应商应根据自身的承诺，对照磋商文件要求，在“偏离说明”中注明“正偏离”、“负偏离”或者“无偏离”。既不属于“正偏离”也不属于“负偏离”即为“无偏离”。</w:t>
      </w:r>
    </w:p>
    <w:p w14:paraId="3A6944DF">
      <w:pPr>
        <w:pStyle w:val="15"/>
        <w:spacing w:line="360" w:lineRule="auto"/>
        <w:ind w:firstLine="0" w:firstLineChars="0"/>
        <w:contextualSpacing/>
        <w:rPr>
          <w:rFonts w:hint="default" w:ascii="宋体" w:hAnsi="宋体" w:eastAsia="宋体" w:cs="仿宋_GB2312"/>
          <w:b/>
          <w:bCs/>
          <w:color w:val="auto"/>
          <w:sz w:val="24"/>
          <w:szCs w:val="24"/>
          <w:lang w:val="en-US" w:eastAsia="zh-CN"/>
        </w:rPr>
      </w:pPr>
      <w:r>
        <w:rPr>
          <w:rFonts w:hint="eastAsia" w:ascii="宋体" w:hAnsi="宋体" w:eastAsia="宋体" w:cs="仿宋_GB2312"/>
          <w:b/>
          <w:bCs/>
          <w:color w:val="auto"/>
          <w:sz w:val="24"/>
          <w:szCs w:val="24"/>
          <w:lang w:val="en-US" w:eastAsia="zh-CN"/>
        </w:rPr>
        <w:t>3.注意：如若供应商在评分办法中对加分项的增加承诺，需在本表体现。</w:t>
      </w:r>
    </w:p>
    <w:p w14:paraId="6F750736">
      <w:pPr>
        <w:spacing w:line="360" w:lineRule="auto"/>
        <w:ind w:right="-817" w:rightChars="-389"/>
        <w:contextualSpacing/>
        <w:rPr>
          <w:rFonts w:ascii="宋体" w:hAnsi="宋体" w:cs="仿宋_GB2312"/>
          <w:color w:val="auto"/>
          <w:sz w:val="24"/>
        </w:rPr>
      </w:pPr>
    </w:p>
    <w:p w14:paraId="38227D1E">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54DF32A6">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47FB7FE8">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72A1E228">
      <w:pPr>
        <w:snapToGrid w:val="0"/>
        <w:spacing w:before="156" w:beforeLines="50" w:after="50"/>
        <w:ind w:left="142"/>
        <w:jc w:val="left"/>
        <w:rPr>
          <w:rFonts w:ascii="宋体" w:hAnsi="宋体"/>
          <w:b/>
          <w:color w:val="auto"/>
          <w:sz w:val="24"/>
        </w:rPr>
      </w:pPr>
      <w:r>
        <w:rPr>
          <w:rFonts w:ascii="宋体" w:hAnsi="宋体" w:cs="仿宋_GB2312"/>
          <w:color w:val="auto"/>
          <w:sz w:val="24"/>
        </w:rPr>
        <w:br w:type="page"/>
      </w:r>
    </w:p>
    <w:p w14:paraId="4CAA5B85">
      <w:pPr>
        <w:snapToGrid w:val="0"/>
        <w:spacing w:before="156" w:beforeLines="50" w:after="50"/>
        <w:ind w:left="142"/>
        <w:jc w:val="center"/>
        <w:rPr>
          <w:rFonts w:ascii="仿宋" w:hAnsi="仿宋" w:eastAsia="仿宋" w:cs="仿宋"/>
          <w:bCs/>
          <w:color w:val="auto"/>
          <w:sz w:val="44"/>
          <w:szCs w:val="44"/>
        </w:rPr>
      </w:pPr>
      <w:r>
        <w:rPr>
          <w:rFonts w:hint="eastAsia" w:ascii="仿宋" w:hAnsi="仿宋" w:eastAsia="仿宋" w:cs="仿宋"/>
          <w:bCs/>
          <w:color w:val="auto"/>
          <w:sz w:val="44"/>
          <w:szCs w:val="44"/>
        </w:rPr>
        <w:t>项目实施人员一览表</w:t>
      </w:r>
    </w:p>
    <w:p w14:paraId="76FECA2D">
      <w:pPr>
        <w:pStyle w:val="17"/>
        <w:rPr>
          <w:color w:val="auto"/>
          <w:sz w:val="24"/>
          <w:szCs w:val="24"/>
        </w:rPr>
      </w:pPr>
    </w:p>
    <w:p w14:paraId="1E494613">
      <w:pPr>
        <w:pStyle w:val="17"/>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25"/>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8"/>
        <w:gridCol w:w="1890"/>
        <w:gridCol w:w="1577"/>
        <w:gridCol w:w="1886"/>
        <w:gridCol w:w="2046"/>
      </w:tblGrid>
      <w:tr w14:paraId="4F7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507E7E82">
            <w:pPr>
              <w:snapToGrid w:val="0"/>
              <w:spacing w:before="50" w:after="156" w:afterLines="50"/>
              <w:jc w:val="center"/>
              <w:rPr>
                <w:rFonts w:ascii="宋体" w:hAnsi="宋体"/>
                <w:color w:val="auto"/>
                <w:sz w:val="24"/>
                <w:szCs w:val="20"/>
              </w:rPr>
            </w:pPr>
            <w:r>
              <w:rPr>
                <w:rFonts w:hint="eastAsia" w:ascii="宋体" w:hAnsi="宋体"/>
                <w:color w:val="auto"/>
                <w:sz w:val="24"/>
                <w:szCs w:val="20"/>
              </w:rPr>
              <w:t>姓名</w:t>
            </w:r>
          </w:p>
        </w:tc>
        <w:tc>
          <w:tcPr>
            <w:tcW w:w="788" w:type="dxa"/>
            <w:vAlign w:val="center"/>
          </w:tcPr>
          <w:p w14:paraId="62948167">
            <w:pPr>
              <w:snapToGrid w:val="0"/>
              <w:spacing w:before="50" w:after="156" w:afterLines="50"/>
              <w:jc w:val="center"/>
              <w:rPr>
                <w:rFonts w:ascii="宋体" w:hAnsi="宋体"/>
                <w:color w:val="auto"/>
                <w:sz w:val="24"/>
                <w:szCs w:val="20"/>
              </w:rPr>
            </w:pPr>
            <w:r>
              <w:rPr>
                <w:rFonts w:hint="eastAsia" w:ascii="宋体" w:hAnsi="宋体"/>
                <w:color w:val="auto"/>
                <w:sz w:val="24"/>
                <w:szCs w:val="20"/>
              </w:rPr>
              <w:t>职务</w:t>
            </w:r>
          </w:p>
        </w:tc>
        <w:tc>
          <w:tcPr>
            <w:tcW w:w="1890" w:type="dxa"/>
            <w:vAlign w:val="center"/>
          </w:tcPr>
          <w:p w14:paraId="29B4D1C2">
            <w:pPr>
              <w:snapToGrid w:val="0"/>
              <w:spacing w:before="50" w:after="156" w:afterLines="50"/>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577" w:type="dxa"/>
            <w:vAlign w:val="center"/>
          </w:tcPr>
          <w:p w14:paraId="656BA02C">
            <w:pPr>
              <w:snapToGrid w:val="0"/>
              <w:spacing w:before="50" w:after="156" w:afterLines="50"/>
              <w:jc w:val="center"/>
              <w:rPr>
                <w:rFonts w:ascii="宋体" w:hAnsi="宋体"/>
                <w:color w:val="auto"/>
                <w:sz w:val="24"/>
                <w:szCs w:val="20"/>
              </w:rPr>
            </w:pPr>
            <w:r>
              <w:rPr>
                <w:rFonts w:hint="eastAsia" w:ascii="宋体" w:hAnsi="宋体"/>
                <w:color w:val="auto"/>
                <w:sz w:val="24"/>
                <w:szCs w:val="20"/>
              </w:rPr>
              <w:t>证书编号</w:t>
            </w:r>
          </w:p>
        </w:tc>
        <w:tc>
          <w:tcPr>
            <w:tcW w:w="1886" w:type="dxa"/>
            <w:vAlign w:val="center"/>
          </w:tcPr>
          <w:p w14:paraId="7C7D7913">
            <w:pPr>
              <w:snapToGrid w:val="0"/>
              <w:spacing w:before="50" w:after="156" w:afterLines="50"/>
              <w:jc w:val="center"/>
              <w:rPr>
                <w:rFonts w:ascii="宋体" w:hAnsi="宋体"/>
                <w:color w:val="auto"/>
                <w:sz w:val="24"/>
                <w:szCs w:val="20"/>
              </w:rPr>
            </w:pPr>
            <w:r>
              <w:rPr>
                <w:rFonts w:hint="eastAsia" w:ascii="宋体" w:hAnsi="宋体"/>
                <w:color w:val="auto"/>
                <w:sz w:val="24"/>
                <w:szCs w:val="20"/>
              </w:rPr>
              <w:t>参加本单位</w:t>
            </w:r>
          </w:p>
          <w:p w14:paraId="2CE58F08">
            <w:pPr>
              <w:snapToGrid w:val="0"/>
              <w:spacing w:before="50" w:after="156" w:afterLines="50"/>
              <w:jc w:val="center"/>
              <w:rPr>
                <w:rFonts w:ascii="宋体" w:hAnsi="宋体"/>
                <w:color w:val="auto"/>
                <w:sz w:val="24"/>
                <w:szCs w:val="20"/>
              </w:rPr>
            </w:pPr>
            <w:r>
              <w:rPr>
                <w:rFonts w:hint="eastAsia" w:ascii="宋体" w:hAnsi="宋体"/>
                <w:color w:val="auto"/>
                <w:sz w:val="24"/>
                <w:szCs w:val="20"/>
              </w:rPr>
              <w:t>工作时间</w:t>
            </w:r>
          </w:p>
        </w:tc>
        <w:tc>
          <w:tcPr>
            <w:tcW w:w="2046" w:type="dxa"/>
            <w:vAlign w:val="center"/>
          </w:tcPr>
          <w:p w14:paraId="27602844">
            <w:pPr>
              <w:snapToGrid w:val="0"/>
              <w:spacing w:before="50" w:after="156" w:afterLines="50"/>
              <w:jc w:val="center"/>
              <w:rPr>
                <w:rFonts w:ascii="宋体" w:hAnsi="宋体"/>
                <w:color w:val="auto"/>
                <w:sz w:val="24"/>
                <w:szCs w:val="20"/>
              </w:rPr>
            </w:pPr>
            <w:r>
              <w:rPr>
                <w:rFonts w:hint="eastAsia" w:ascii="宋体" w:hAnsi="宋体"/>
                <w:color w:val="auto"/>
                <w:sz w:val="24"/>
                <w:szCs w:val="20"/>
              </w:rPr>
              <w:t>劳动合同编号</w:t>
            </w:r>
          </w:p>
        </w:tc>
      </w:tr>
      <w:tr w14:paraId="665E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3E1DCF2">
            <w:pPr>
              <w:snapToGrid w:val="0"/>
              <w:spacing w:before="50" w:after="156" w:afterLines="50"/>
              <w:jc w:val="center"/>
              <w:rPr>
                <w:rFonts w:ascii="宋体" w:hAnsi="宋体"/>
                <w:color w:val="auto"/>
                <w:sz w:val="24"/>
                <w:szCs w:val="20"/>
              </w:rPr>
            </w:pPr>
          </w:p>
        </w:tc>
        <w:tc>
          <w:tcPr>
            <w:tcW w:w="788" w:type="dxa"/>
            <w:vAlign w:val="center"/>
          </w:tcPr>
          <w:p w14:paraId="79D67E8F">
            <w:pPr>
              <w:snapToGrid w:val="0"/>
              <w:spacing w:before="50" w:after="156" w:afterLines="50"/>
              <w:jc w:val="center"/>
              <w:rPr>
                <w:rFonts w:ascii="宋体" w:hAnsi="宋体"/>
                <w:color w:val="auto"/>
                <w:sz w:val="24"/>
                <w:szCs w:val="20"/>
              </w:rPr>
            </w:pPr>
          </w:p>
        </w:tc>
        <w:tc>
          <w:tcPr>
            <w:tcW w:w="1890" w:type="dxa"/>
            <w:vAlign w:val="center"/>
          </w:tcPr>
          <w:p w14:paraId="7D63981A">
            <w:pPr>
              <w:snapToGrid w:val="0"/>
              <w:spacing w:before="50" w:after="156" w:afterLines="50"/>
              <w:jc w:val="center"/>
              <w:rPr>
                <w:rFonts w:ascii="宋体" w:hAnsi="宋体"/>
                <w:color w:val="auto"/>
                <w:sz w:val="24"/>
                <w:szCs w:val="20"/>
              </w:rPr>
            </w:pPr>
          </w:p>
        </w:tc>
        <w:tc>
          <w:tcPr>
            <w:tcW w:w="1577" w:type="dxa"/>
            <w:vAlign w:val="center"/>
          </w:tcPr>
          <w:p w14:paraId="4D629C4C">
            <w:pPr>
              <w:snapToGrid w:val="0"/>
              <w:spacing w:before="50" w:after="156" w:afterLines="50"/>
              <w:jc w:val="center"/>
              <w:rPr>
                <w:rFonts w:ascii="宋体" w:hAnsi="宋体"/>
                <w:color w:val="auto"/>
                <w:sz w:val="24"/>
                <w:szCs w:val="20"/>
              </w:rPr>
            </w:pPr>
          </w:p>
        </w:tc>
        <w:tc>
          <w:tcPr>
            <w:tcW w:w="1886" w:type="dxa"/>
            <w:vAlign w:val="center"/>
          </w:tcPr>
          <w:p w14:paraId="27EEA897">
            <w:pPr>
              <w:snapToGrid w:val="0"/>
              <w:spacing w:before="50" w:after="156" w:afterLines="50"/>
              <w:jc w:val="center"/>
              <w:rPr>
                <w:rFonts w:ascii="宋体" w:hAnsi="宋体"/>
                <w:color w:val="auto"/>
                <w:sz w:val="24"/>
                <w:szCs w:val="20"/>
              </w:rPr>
            </w:pPr>
          </w:p>
        </w:tc>
        <w:tc>
          <w:tcPr>
            <w:tcW w:w="2046" w:type="dxa"/>
            <w:vAlign w:val="center"/>
          </w:tcPr>
          <w:p w14:paraId="0E9779D0">
            <w:pPr>
              <w:snapToGrid w:val="0"/>
              <w:spacing w:before="50" w:after="156" w:afterLines="50"/>
              <w:jc w:val="center"/>
              <w:rPr>
                <w:rFonts w:ascii="宋体" w:hAnsi="宋体"/>
                <w:color w:val="auto"/>
                <w:sz w:val="24"/>
                <w:szCs w:val="20"/>
              </w:rPr>
            </w:pPr>
          </w:p>
        </w:tc>
      </w:tr>
      <w:tr w14:paraId="247B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267FAAD9">
            <w:pPr>
              <w:snapToGrid w:val="0"/>
              <w:spacing w:before="50" w:after="156" w:afterLines="50"/>
              <w:jc w:val="center"/>
              <w:rPr>
                <w:rFonts w:ascii="宋体" w:hAnsi="宋体"/>
                <w:color w:val="auto"/>
                <w:sz w:val="24"/>
                <w:szCs w:val="20"/>
              </w:rPr>
            </w:pPr>
          </w:p>
        </w:tc>
        <w:tc>
          <w:tcPr>
            <w:tcW w:w="788" w:type="dxa"/>
            <w:vAlign w:val="center"/>
          </w:tcPr>
          <w:p w14:paraId="45C96C89">
            <w:pPr>
              <w:snapToGrid w:val="0"/>
              <w:spacing w:before="50" w:after="156" w:afterLines="50"/>
              <w:jc w:val="center"/>
              <w:rPr>
                <w:rFonts w:ascii="宋体" w:hAnsi="宋体"/>
                <w:color w:val="auto"/>
                <w:sz w:val="24"/>
                <w:szCs w:val="20"/>
              </w:rPr>
            </w:pPr>
          </w:p>
        </w:tc>
        <w:tc>
          <w:tcPr>
            <w:tcW w:w="1890" w:type="dxa"/>
            <w:vAlign w:val="center"/>
          </w:tcPr>
          <w:p w14:paraId="0704DFF1">
            <w:pPr>
              <w:snapToGrid w:val="0"/>
              <w:spacing w:before="50" w:after="156" w:afterLines="50"/>
              <w:jc w:val="center"/>
              <w:rPr>
                <w:rFonts w:ascii="宋体" w:hAnsi="宋体"/>
                <w:color w:val="auto"/>
                <w:sz w:val="24"/>
                <w:szCs w:val="20"/>
              </w:rPr>
            </w:pPr>
          </w:p>
        </w:tc>
        <w:tc>
          <w:tcPr>
            <w:tcW w:w="1577" w:type="dxa"/>
            <w:vAlign w:val="center"/>
          </w:tcPr>
          <w:p w14:paraId="765E0646">
            <w:pPr>
              <w:snapToGrid w:val="0"/>
              <w:spacing w:before="50" w:after="156" w:afterLines="50"/>
              <w:jc w:val="center"/>
              <w:rPr>
                <w:rFonts w:ascii="宋体" w:hAnsi="宋体"/>
                <w:color w:val="auto"/>
                <w:sz w:val="24"/>
                <w:szCs w:val="20"/>
              </w:rPr>
            </w:pPr>
          </w:p>
        </w:tc>
        <w:tc>
          <w:tcPr>
            <w:tcW w:w="1886" w:type="dxa"/>
            <w:vAlign w:val="center"/>
          </w:tcPr>
          <w:p w14:paraId="43295B8F">
            <w:pPr>
              <w:snapToGrid w:val="0"/>
              <w:spacing w:before="50" w:after="156" w:afterLines="50"/>
              <w:jc w:val="center"/>
              <w:rPr>
                <w:rFonts w:ascii="宋体" w:hAnsi="宋体"/>
                <w:color w:val="auto"/>
                <w:sz w:val="24"/>
                <w:szCs w:val="20"/>
              </w:rPr>
            </w:pPr>
          </w:p>
        </w:tc>
        <w:tc>
          <w:tcPr>
            <w:tcW w:w="2046" w:type="dxa"/>
            <w:vAlign w:val="center"/>
          </w:tcPr>
          <w:p w14:paraId="6DB62CCC">
            <w:pPr>
              <w:snapToGrid w:val="0"/>
              <w:spacing w:before="50" w:after="156" w:afterLines="50"/>
              <w:jc w:val="center"/>
              <w:rPr>
                <w:rFonts w:ascii="宋体" w:hAnsi="宋体"/>
                <w:color w:val="auto"/>
                <w:sz w:val="24"/>
                <w:szCs w:val="20"/>
              </w:rPr>
            </w:pPr>
          </w:p>
        </w:tc>
      </w:tr>
      <w:tr w14:paraId="5C7C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989661C">
            <w:pPr>
              <w:snapToGrid w:val="0"/>
              <w:spacing w:before="50" w:after="156" w:afterLines="50"/>
              <w:jc w:val="center"/>
              <w:rPr>
                <w:rFonts w:ascii="宋体" w:hAnsi="宋体"/>
                <w:color w:val="auto"/>
                <w:sz w:val="24"/>
                <w:szCs w:val="20"/>
              </w:rPr>
            </w:pPr>
          </w:p>
        </w:tc>
        <w:tc>
          <w:tcPr>
            <w:tcW w:w="788" w:type="dxa"/>
            <w:vAlign w:val="center"/>
          </w:tcPr>
          <w:p w14:paraId="57D3B1B5">
            <w:pPr>
              <w:snapToGrid w:val="0"/>
              <w:spacing w:before="50" w:after="156" w:afterLines="50"/>
              <w:jc w:val="center"/>
              <w:rPr>
                <w:rFonts w:ascii="宋体" w:hAnsi="宋体"/>
                <w:color w:val="auto"/>
                <w:sz w:val="24"/>
                <w:szCs w:val="20"/>
              </w:rPr>
            </w:pPr>
          </w:p>
        </w:tc>
        <w:tc>
          <w:tcPr>
            <w:tcW w:w="1890" w:type="dxa"/>
            <w:vAlign w:val="center"/>
          </w:tcPr>
          <w:p w14:paraId="15EE0A8E">
            <w:pPr>
              <w:snapToGrid w:val="0"/>
              <w:spacing w:before="50" w:after="156" w:afterLines="50"/>
              <w:jc w:val="center"/>
              <w:rPr>
                <w:rFonts w:ascii="宋体" w:hAnsi="宋体"/>
                <w:color w:val="auto"/>
                <w:sz w:val="24"/>
                <w:szCs w:val="20"/>
              </w:rPr>
            </w:pPr>
          </w:p>
        </w:tc>
        <w:tc>
          <w:tcPr>
            <w:tcW w:w="1577" w:type="dxa"/>
            <w:vAlign w:val="center"/>
          </w:tcPr>
          <w:p w14:paraId="370B6C85">
            <w:pPr>
              <w:snapToGrid w:val="0"/>
              <w:spacing w:before="50" w:after="156" w:afterLines="50"/>
              <w:jc w:val="center"/>
              <w:rPr>
                <w:rFonts w:ascii="宋体" w:hAnsi="宋体"/>
                <w:color w:val="auto"/>
                <w:sz w:val="24"/>
                <w:szCs w:val="20"/>
              </w:rPr>
            </w:pPr>
          </w:p>
        </w:tc>
        <w:tc>
          <w:tcPr>
            <w:tcW w:w="1886" w:type="dxa"/>
            <w:vAlign w:val="center"/>
          </w:tcPr>
          <w:p w14:paraId="3EB41AED">
            <w:pPr>
              <w:snapToGrid w:val="0"/>
              <w:spacing w:before="50" w:after="156" w:afterLines="50"/>
              <w:jc w:val="center"/>
              <w:rPr>
                <w:rFonts w:ascii="宋体" w:hAnsi="宋体"/>
                <w:color w:val="auto"/>
                <w:sz w:val="24"/>
                <w:szCs w:val="20"/>
              </w:rPr>
            </w:pPr>
          </w:p>
        </w:tc>
        <w:tc>
          <w:tcPr>
            <w:tcW w:w="2046" w:type="dxa"/>
            <w:vAlign w:val="center"/>
          </w:tcPr>
          <w:p w14:paraId="472CC4BF">
            <w:pPr>
              <w:snapToGrid w:val="0"/>
              <w:spacing w:before="50" w:after="156" w:afterLines="50"/>
              <w:jc w:val="center"/>
              <w:rPr>
                <w:rFonts w:ascii="宋体" w:hAnsi="宋体"/>
                <w:color w:val="auto"/>
                <w:sz w:val="24"/>
                <w:szCs w:val="20"/>
              </w:rPr>
            </w:pPr>
          </w:p>
        </w:tc>
      </w:tr>
    </w:tbl>
    <w:p w14:paraId="6B3327B5">
      <w:pPr>
        <w:snapToGrid w:val="0"/>
        <w:spacing w:before="50" w:after="156" w:afterLines="50"/>
        <w:jc w:val="left"/>
        <w:rPr>
          <w:rFonts w:ascii="宋体" w:hAnsi="宋体"/>
          <w:color w:val="auto"/>
          <w:sz w:val="24"/>
          <w:szCs w:val="20"/>
        </w:rPr>
      </w:pPr>
    </w:p>
    <w:p w14:paraId="4C8ECE8C">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5CBB3862">
      <w:pPr>
        <w:spacing w:line="360" w:lineRule="auto"/>
        <w:contextualSpacing/>
        <w:jc w:val="left"/>
        <w:rPr>
          <w:rFonts w:ascii="宋体" w:hAnsi="宋体"/>
          <w:color w:val="auto"/>
          <w:sz w:val="24"/>
          <w:szCs w:val="20"/>
        </w:rPr>
      </w:pPr>
      <w:r>
        <w:rPr>
          <w:rFonts w:hint="eastAsia" w:ascii="宋体" w:hAnsi="宋体"/>
          <w:color w:val="auto"/>
          <w:sz w:val="24"/>
          <w:szCs w:val="20"/>
        </w:rPr>
        <w:t>1.在填写时，如本表格不适合供应商的实际情况，可根据本表格式自行制表填写。</w:t>
      </w:r>
    </w:p>
    <w:p w14:paraId="5BFF37AD">
      <w:pPr>
        <w:spacing w:line="360" w:lineRule="auto"/>
        <w:contextualSpacing/>
        <w:jc w:val="left"/>
        <w:rPr>
          <w:rFonts w:ascii="宋体" w:hAnsi="宋体"/>
          <w:color w:val="auto"/>
          <w:sz w:val="24"/>
          <w:szCs w:val="20"/>
        </w:rPr>
      </w:pPr>
      <w:r>
        <w:rPr>
          <w:rFonts w:hint="eastAsia" w:ascii="宋体" w:hAnsi="宋体"/>
          <w:color w:val="auto"/>
          <w:sz w:val="24"/>
          <w:szCs w:val="20"/>
        </w:rPr>
        <w:t>2.供应商应当附本表所列证书的扫描件并加盖供应商电子签章。</w:t>
      </w:r>
    </w:p>
    <w:p w14:paraId="4BFC37A5">
      <w:pPr>
        <w:spacing w:line="360" w:lineRule="auto"/>
        <w:contextualSpacing/>
        <w:rPr>
          <w:rFonts w:ascii="宋体" w:hAnsi="宋体"/>
          <w:color w:val="auto"/>
          <w:sz w:val="24"/>
        </w:rPr>
      </w:pPr>
    </w:p>
    <w:p w14:paraId="5A3041D7">
      <w:pPr>
        <w:spacing w:line="360" w:lineRule="auto"/>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r>
        <w:rPr>
          <w:rFonts w:hint="eastAsia" w:ascii="宋体" w:hAnsi="宋体"/>
          <w:color w:val="auto"/>
          <w:spacing w:val="20"/>
          <w:sz w:val="24"/>
          <w:u w:val="single"/>
        </w:rPr>
        <w:t xml:space="preserve">        </w:t>
      </w:r>
    </w:p>
    <w:p w14:paraId="32E2AFF1">
      <w:pPr>
        <w:spacing w:line="360" w:lineRule="auto"/>
        <w:contextualSpacing/>
        <w:jc w:val="left"/>
        <w:rPr>
          <w:rFonts w:ascii="宋体" w:hAnsi="宋体"/>
          <w:color w:val="auto"/>
          <w:spacing w:val="20"/>
          <w:sz w:val="24"/>
        </w:rPr>
      </w:pPr>
      <w:r>
        <w:rPr>
          <w:rFonts w:hint="eastAsia" w:ascii="宋体" w:hAnsi="宋体"/>
          <w:color w:val="auto"/>
          <w:spacing w:val="20"/>
          <w:sz w:val="24"/>
        </w:rPr>
        <w:t>供应商名称（电子签章）：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14:paraId="692278C3">
      <w:pPr>
        <w:spacing w:line="360" w:lineRule="auto"/>
        <w:contextualSpacing/>
        <w:jc w:val="left"/>
        <w:rPr>
          <w:rFonts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14:paraId="0C9A249B">
      <w:pPr>
        <w:spacing w:line="360" w:lineRule="auto"/>
        <w:ind w:right="-817" w:rightChars="-389" w:firstLine="4080" w:firstLineChars="1700"/>
        <w:contextualSpacing/>
        <w:rPr>
          <w:rFonts w:ascii="宋体" w:hAnsi="宋体" w:cs="仿宋_GB2312"/>
          <w:color w:val="auto"/>
          <w:sz w:val="24"/>
        </w:rPr>
      </w:pPr>
    </w:p>
    <w:p w14:paraId="64D71212">
      <w:pPr>
        <w:snapToGrid w:val="0"/>
        <w:spacing w:before="156" w:beforeLines="50" w:after="50"/>
        <w:ind w:left="142"/>
        <w:jc w:val="left"/>
        <w:rPr>
          <w:rFonts w:ascii="宋体" w:hAnsi="宋体"/>
          <w:b/>
          <w:bCs/>
          <w:color w:val="auto"/>
          <w:sz w:val="24"/>
        </w:rPr>
      </w:pPr>
      <w:r>
        <w:rPr>
          <w:rFonts w:ascii="宋体" w:hAnsi="宋体" w:cs="仿宋_GB2312"/>
          <w:color w:val="auto"/>
          <w:sz w:val="24"/>
        </w:rPr>
        <w:br w:type="page"/>
      </w:r>
    </w:p>
    <w:p w14:paraId="4551CD6F">
      <w:pPr>
        <w:spacing w:line="300" w:lineRule="auto"/>
        <w:rPr>
          <w:rFonts w:ascii="宋体" w:hAnsi="宋体"/>
          <w:color w:val="auto"/>
          <w:szCs w:val="21"/>
        </w:rPr>
      </w:pPr>
      <w:r>
        <w:rPr>
          <w:rFonts w:hint="eastAsia" w:ascii="宋体" w:hAnsi="宋体"/>
          <w:b/>
          <w:bCs/>
          <w:color w:val="auto"/>
          <w:sz w:val="24"/>
        </w:rPr>
        <w:t>其他文书、文件格式</w:t>
      </w:r>
    </w:p>
    <w:p w14:paraId="709355F5">
      <w:pPr>
        <w:jc w:val="center"/>
        <w:rPr>
          <w:rFonts w:ascii="仿宋" w:hAnsi="仿宋" w:eastAsia="仿宋" w:cs="仿宋"/>
          <w:color w:val="auto"/>
          <w:sz w:val="44"/>
          <w:szCs w:val="44"/>
        </w:rPr>
      </w:pPr>
      <w:bookmarkStart w:id="193" w:name="_Toc71365926"/>
      <w:r>
        <w:rPr>
          <w:rFonts w:hint="eastAsia" w:ascii="仿宋" w:hAnsi="仿宋" w:eastAsia="仿宋" w:cs="仿宋"/>
          <w:color w:val="auto"/>
          <w:sz w:val="44"/>
          <w:szCs w:val="44"/>
        </w:rPr>
        <w:t>中小企业声明函（服务）</w:t>
      </w:r>
      <w:bookmarkEnd w:id="193"/>
    </w:p>
    <w:p w14:paraId="5F46FFFC">
      <w:pPr>
        <w:spacing w:before="2" w:line="500" w:lineRule="exact"/>
        <w:ind w:firstLine="708" w:firstLineChars="294"/>
        <w:rPr>
          <w:rFonts w:ascii="宋体" w:hAnsi="宋体" w:cs="宋体"/>
          <w:b/>
          <w:bCs/>
          <w:color w:val="auto"/>
          <w:sz w:val="24"/>
        </w:rPr>
      </w:pPr>
    </w:p>
    <w:p w14:paraId="1DEC8A34">
      <w:pPr>
        <w:widowControl/>
        <w:spacing w:line="360" w:lineRule="auto"/>
        <w:ind w:firstLine="480" w:firstLineChars="200"/>
        <w:jc w:val="left"/>
        <w:rPr>
          <w:rFonts w:ascii="宋体" w:hAnsi="宋体" w:cs="Courier New"/>
          <w:color w:val="auto"/>
          <w:kern w:val="0"/>
          <w:sz w:val="24"/>
        </w:rPr>
      </w:pPr>
      <w:r>
        <w:rPr>
          <w:rFonts w:hint="eastAsia" w:ascii="宋体" w:hAnsi="宋体" w:cs="Courier New"/>
          <w:color w:val="auto"/>
          <w:kern w:val="0"/>
          <w:sz w:val="24"/>
        </w:rPr>
        <w:t>本公司郑重声明，根据《政府采购促进中小企业发展管理办法》（财库﹝2020﹞46 号）的规定，本公司参加</w:t>
      </w:r>
      <w:r>
        <w:rPr>
          <w:rFonts w:hint="eastAsia" w:ascii="宋体" w:hAnsi="宋体" w:cs="Courier New"/>
          <w:i/>
          <w:color w:val="auto"/>
          <w:kern w:val="0"/>
          <w:sz w:val="24"/>
          <w:u w:val="single"/>
        </w:rPr>
        <w:t>（单位名称）</w:t>
      </w:r>
      <w:r>
        <w:rPr>
          <w:rFonts w:hint="eastAsia" w:ascii="宋体" w:hAnsi="宋体" w:cs="Courier New"/>
          <w:color w:val="auto"/>
          <w:kern w:val="0"/>
          <w:sz w:val="24"/>
        </w:rPr>
        <w:t>的</w:t>
      </w:r>
      <w:r>
        <w:rPr>
          <w:rFonts w:hint="eastAsia" w:ascii="宋体" w:hAnsi="宋体" w:cs="Courier New"/>
          <w:i/>
          <w:color w:val="auto"/>
          <w:kern w:val="0"/>
          <w:sz w:val="24"/>
          <w:u w:val="single"/>
        </w:rPr>
        <w:t>（项目名称）</w:t>
      </w:r>
      <w:r>
        <w:rPr>
          <w:rFonts w:hint="eastAsia" w:ascii="宋体" w:hAnsi="宋体" w:cs="Courier New"/>
          <w:color w:val="auto"/>
          <w:kern w:val="0"/>
          <w:sz w:val="24"/>
        </w:rPr>
        <w:t>采购活动，服务全部由符合政策要求的中小企业承接。企业的具体情况如下：</w:t>
      </w:r>
    </w:p>
    <w:p w14:paraId="2F8E8515">
      <w:pPr>
        <w:widowControl/>
        <w:spacing w:line="360" w:lineRule="auto"/>
        <w:ind w:firstLine="480" w:firstLineChars="200"/>
        <w:jc w:val="left"/>
        <w:rPr>
          <w:rFonts w:ascii="宋体" w:hAnsi="宋体" w:cs="Courier New"/>
          <w:color w:val="auto"/>
          <w:kern w:val="0"/>
          <w:sz w:val="24"/>
        </w:rPr>
      </w:pPr>
      <w:r>
        <w:rPr>
          <w:rFonts w:hint="eastAsia" w:ascii="宋体" w:hAnsi="宋体" w:cs="Courier New"/>
          <w:color w:val="auto"/>
          <w:kern w:val="0"/>
          <w:sz w:val="24"/>
        </w:rPr>
        <w:t>1.</w:t>
      </w:r>
      <w:r>
        <w:rPr>
          <w:rFonts w:hint="eastAsia" w:ascii="宋体" w:hAnsi="宋体" w:cs="Courier New"/>
          <w:i/>
          <w:color w:val="auto"/>
          <w:kern w:val="0"/>
          <w:sz w:val="24"/>
          <w:u w:val="single"/>
        </w:rPr>
        <w:t>（标的名称）</w:t>
      </w:r>
      <w:r>
        <w:rPr>
          <w:rFonts w:hint="eastAsia" w:ascii="宋体" w:hAnsi="宋体" w:cs="Courier New"/>
          <w:color w:val="auto"/>
          <w:kern w:val="0"/>
          <w:sz w:val="24"/>
        </w:rPr>
        <w:t>，属于</w:t>
      </w:r>
      <w:r>
        <w:rPr>
          <w:rFonts w:hint="eastAsia" w:ascii="宋体" w:hAnsi="宋体" w:cs="Courier New"/>
          <w:i/>
          <w:color w:val="auto"/>
          <w:kern w:val="0"/>
          <w:sz w:val="24"/>
        </w:rPr>
        <w:t>（</w:t>
      </w:r>
      <w:r>
        <w:rPr>
          <w:rFonts w:hint="eastAsia" w:ascii="宋体" w:hAnsi="宋体" w:cs="Courier New"/>
          <w:i/>
          <w:color w:val="auto"/>
          <w:kern w:val="0"/>
          <w:sz w:val="24"/>
          <w:u w:val="single"/>
        </w:rPr>
        <w:t>采购文件中明确的所属行业）</w:t>
      </w:r>
      <w:r>
        <w:rPr>
          <w:rFonts w:hint="eastAsia" w:ascii="宋体" w:hAnsi="宋体" w:cs="Courier New"/>
          <w:color w:val="auto"/>
          <w:kern w:val="0"/>
          <w:sz w:val="24"/>
        </w:rPr>
        <w:t>；承建（承接）企业为</w:t>
      </w:r>
      <w:r>
        <w:rPr>
          <w:rFonts w:hint="eastAsia" w:ascii="宋体" w:hAnsi="宋体" w:cs="Courier New"/>
          <w:i/>
          <w:color w:val="auto"/>
          <w:kern w:val="0"/>
          <w:sz w:val="24"/>
          <w:u w:val="single"/>
        </w:rPr>
        <w:t>（企业名称）</w:t>
      </w:r>
      <w:r>
        <w:rPr>
          <w:rFonts w:hint="eastAsia" w:ascii="宋体" w:hAnsi="宋体" w:cs="Courier New"/>
          <w:color w:val="auto"/>
          <w:kern w:val="0"/>
          <w:sz w:val="24"/>
        </w:rPr>
        <w:t>，从业人员</w:t>
      </w:r>
      <w:r>
        <w:rPr>
          <w:rFonts w:ascii="宋体" w:hAnsi="宋体" w:cs="Courier New"/>
          <w:color w:val="auto"/>
          <w:kern w:val="0"/>
          <w:sz w:val="24"/>
          <w:u w:val="single"/>
        </w:rPr>
        <w:t xml:space="preserve"> </w:t>
      </w:r>
      <w:r>
        <w:rPr>
          <w:rFonts w:ascii="宋体" w:hAnsi="宋体" w:cs="Courier New"/>
          <w:color w:val="auto"/>
          <w:kern w:val="0"/>
          <w:sz w:val="24"/>
          <w:u w:val="single"/>
        </w:rPr>
        <w:tab/>
      </w:r>
      <w:r>
        <w:rPr>
          <w:rFonts w:hint="eastAsia" w:ascii="宋体" w:hAnsi="宋体" w:cs="Courier New"/>
          <w:color w:val="auto"/>
          <w:kern w:val="0"/>
          <w:sz w:val="24"/>
          <w:u w:val="single"/>
        </w:rPr>
        <w:t xml:space="preserve">  </w:t>
      </w:r>
      <w:r>
        <w:rPr>
          <w:rFonts w:hint="eastAsia" w:ascii="宋体" w:hAnsi="宋体" w:cs="Courier New"/>
          <w:color w:val="auto"/>
          <w:kern w:val="0"/>
          <w:sz w:val="24"/>
        </w:rPr>
        <w:t>人，营业收入为</w:t>
      </w:r>
      <w:r>
        <w:rPr>
          <w:rFonts w:hint="eastAsia" w:ascii="宋体" w:hAnsi="宋体" w:cs="Courier New"/>
          <w:color w:val="auto"/>
          <w:kern w:val="0"/>
          <w:sz w:val="24"/>
          <w:u w:val="single"/>
        </w:rPr>
        <w:t xml:space="preserve">  </w:t>
      </w:r>
      <w:r>
        <w:rPr>
          <w:rFonts w:hint="eastAsia" w:ascii="宋体" w:hAnsi="宋体" w:cs="Courier New"/>
          <w:color w:val="auto"/>
          <w:kern w:val="0"/>
          <w:sz w:val="24"/>
          <w:u w:val="single"/>
        </w:rPr>
        <w:tab/>
      </w:r>
      <w:r>
        <w:rPr>
          <w:rFonts w:hint="eastAsia" w:ascii="宋体" w:hAnsi="宋体" w:cs="Courier New"/>
          <w:color w:val="auto"/>
          <w:kern w:val="0"/>
          <w:sz w:val="24"/>
        </w:rPr>
        <w:t>万元，资产总额为</w:t>
      </w:r>
      <w:r>
        <w:rPr>
          <w:rFonts w:hint="eastAsia" w:ascii="宋体" w:hAnsi="宋体" w:cs="Courier New"/>
          <w:color w:val="auto"/>
          <w:kern w:val="0"/>
          <w:sz w:val="24"/>
          <w:u w:val="single"/>
        </w:rPr>
        <w:t xml:space="preserve"> </w:t>
      </w:r>
      <w:r>
        <w:rPr>
          <w:rFonts w:hint="eastAsia" w:ascii="宋体" w:hAnsi="宋体" w:cs="Courier New"/>
          <w:color w:val="auto"/>
          <w:kern w:val="0"/>
          <w:sz w:val="24"/>
          <w:u w:val="single"/>
        </w:rPr>
        <w:tab/>
      </w:r>
      <w:r>
        <w:rPr>
          <w:rFonts w:hint="eastAsia" w:ascii="宋体" w:hAnsi="宋体" w:cs="Courier New"/>
          <w:color w:val="auto"/>
          <w:kern w:val="0"/>
          <w:sz w:val="24"/>
        </w:rPr>
        <w:t>万元，属于</w:t>
      </w:r>
      <w:r>
        <w:rPr>
          <w:rFonts w:hint="eastAsia" w:ascii="宋体" w:hAnsi="宋体" w:cs="Courier New"/>
          <w:i/>
          <w:color w:val="auto"/>
          <w:kern w:val="0"/>
          <w:sz w:val="24"/>
          <w:u w:val="single"/>
        </w:rPr>
        <w:t>（中型企业、小型企业、微型企业）</w:t>
      </w:r>
      <w:r>
        <w:rPr>
          <w:rFonts w:hint="eastAsia" w:ascii="宋体" w:hAnsi="宋体" w:cs="Courier New"/>
          <w:color w:val="auto"/>
          <w:kern w:val="0"/>
          <w:sz w:val="24"/>
        </w:rPr>
        <w:t>；</w:t>
      </w:r>
    </w:p>
    <w:p w14:paraId="6B030D2D">
      <w:pPr>
        <w:widowControl/>
        <w:spacing w:line="360" w:lineRule="auto"/>
        <w:ind w:firstLine="480" w:firstLineChars="200"/>
        <w:jc w:val="left"/>
        <w:rPr>
          <w:rFonts w:ascii="宋体" w:hAnsi="宋体" w:cs="Courier New"/>
          <w:color w:val="auto"/>
          <w:kern w:val="0"/>
          <w:sz w:val="24"/>
        </w:rPr>
      </w:pPr>
      <w:r>
        <w:rPr>
          <w:rFonts w:hint="eastAsia" w:ascii="宋体" w:hAnsi="宋体" w:cs="Courier New"/>
          <w:color w:val="auto"/>
          <w:kern w:val="0"/>
          <w:sz w:val="24"/>
        </w:rPr>
        <w:t>2.</w:t>
      </w:r>
      <w:r>
        <w:rPr>
          <w:rFonts w:hint="eastAsia" w:ascii="宋体" w:hAnsi="宋体" w:cs="Courier New"/>
          <w:i/>
          <w:color w:val="auto"/>
          <w:kern w:val="0"/>
          <w:sz w:val="24"/>
          <w:u w:val="single"/>
        </w:rPr>
        <w:t>（标的名称）</w:t>
      </w:r>
      <w:r>
        <w:rPr>
          <w:rFonts w:hint="eastAsia" w:ascii="宋体" w:hAnsi="宋体" w:cs="Courier New"/>
          <w:color w:val="auto"/>
          <w:kern w:val="0"/>
          <w:sz w:val="24"/>
        </w:rPr>
        <w:t>，属于</w:t>
      </w:r>
      <w:r>
        <w:rPr>
          <w:rFonts w:hint="eastAsia" w:ascii="宋体" w:hAnsi="宋体" w:cs="Courier New"/>
          <w:i/>
          <w:color w:val="auto"/>
          <w:kern w:val="0"/>
          <w:sz w:val="24"/>
        </w:rPr>
        <w:t>（</w:t>
      </w:r>
      <w:r>
        <w:rPr>
          <w:rFonts w:hint="eastAsia" w:ascii="宋体" w:hAnsi="宋体" w:cs="Courier New"/>
          <w:i/>
          <w:color w:val="auto"/>
          <w:kern w:val="0"/>
          <w:sz w:val="24"/>
          <w:u w:val="single"/>
        </w:rPr>
        <w:t>采购文件中明确的所属行业）</w:t>
      </w:r>
      <w:r>
        <w:rPr>
          <w:rFonts w:hint="eastAsia" w:ascii="宋体" w:hAnsi="宋体" w:cs="Courier New"/>
          <w:color w:val="auto"/>
          <w:kern w:val="0"/>
          <w:sz w:val="24"/>
        </w:rPr>
        <w:t>；承建（承接）企业为</w:t>
      </w:r>
      <w:r>
        <w:rPr>
          <w:rFonts w:hint="eastAsia" w:ascii="宋体" w:hAnsi="宋体" w:cs="Courier New"/>
          <w:i/>
          <w:color w:val="auto"/>
          <w:kern w:val="0"/>
          <w:sz w:val="24"/>
          <w:u w:val="single"/>
        </w:rPr>
        <w:t>（企业名称）</w:t>
      </w:r>
      <w:r>
        <w:rPr>
          <w:rFonts w:hint="eastAsia" w:ascii="宋体" w:hAnsi="宋体" w:cs="Courier New"/>
          <w:color w:val="auto"/>
          <w:kern w:val="0"/>
          <w:sz w:val="24"/>
        </w:rPr>
        <w:t>，从业人员</w:t>
      </w:r>
      <w:r>
        <w:rPr>
          <w:rFonts w:ascii="宋体" w:hAnsi="宋体" w:cs="Courier New"/>
          <w:color w:val="auto"/>
          <w:kern w:val="0"/>
          <w:sz w:val="24"/>
          <w:u w:val="single"/>
        </w:rPr>
        <w:t xml:space="preserve"> </w:t>
      </w:r>
      <w:r>
        <w:rPr>
          <w:rFonts w:ascii="宋体" w:hAnsi="宋体" w:cs="Courier New"/>
          <w:color w:val="auto"/>
          <w:kern w:val="0"/>
          <w:sz w:val="24"/>
          <w:u w:val="single"/>
        </w:rPr>
        <w:tab/>
      </w:r>
      <w:r>
        <w:rPr>
          <w:rFonts w:hint="eastAsia" w:ascii="宋体" w:hAnsi="宋体" w:cs="Courier New"/>
          <w:color w:val="auto"/>
          <w:kern w:val="0"/>
          <w:sz w:val="24"/>
        </w:rPr>
        <w:t>人，营业收入为</w:t>
      </w:r>
      <w:r>
        <w:rPr>
          <w:rFonts w:hint="eastAsia" w:ascii="宋体" w:hAnsi="宋体" w:cs="Courier New"/>
          <w:color w:val="auto"/>
          <w:kern w:val="0"/>
          <w:sz w:val="24"/>
          <w:u w:val="single"/>
        </w:rPr>
        <w:t xml:space="preserve"> </w:t>
      </w:r>
      <w:r>
        <w:rPr>
          <w:rFonts w:hint="eastAsia" w:ascii="宋体" w:hAnsi="宋体" w:cs="Courier New"/>
          <w:color w:val="auto"/>
          <w:kern w:val="0"/>
          <w:sz w:val="24"/>
          <w:u w:val="single"/>
        </w:rPr>
        <w:tab/>
      </w:r>
      <w:r>
        <w:rPr>
          <w:rFonts w:hint="eastAsia" w:ascii="宋体" w:hAnsi="宋体" w:cs="Courier New"/>
          <w:color w:val="auto"/>
          <w:kern w:val="0"/>
          <w:sz w:val="24"/>
        </w:rPr>
        <w:t>万元，资产总额为</w:t>
      </w:r>
      <w:r>
        <w:rPr>
          <w:rFonts w:hint="eastAsia" w:ascii="宋体" w:hAnsi="宋体" w:cs="Courier New"/>
          <w:color w:val="auto"/>
          <w:kern w:val="0"/>
          <w:sz w:val="24"/>
          <w:u w:val="single"/>
        </w:rPr>
        <w:t xml:space="preserve"> </w:t>
      </w:r>
      <w:r>
        <w:rPr>
          <w:rFonts w:hint="eastAsia" w:ascii="宋体" w:hAnsi="宋体" w:cs="Courier New"/>
          <w:color w:val="auto"/>
          <w:kern w:val="0"/>
          <w:sz w:val="24"/>
          <w:u w:val="single"/>
        </w:rPr>
        <w:tab/>
      </w:r>
      <w:r>
        <w:rPr>
          <w:rFonts w:hint="eastAsia" w:ascii="宋体" w:hAnsi="宋体" w:cs="Courier New"/>
          <w:color w:val="auto"/>
          <w:kern w:val="0"/>
          <w:sz w:val="24"/>
        </w:rPr>
        <w:t>万元，属于</w:t>
      </w:r>
      <w:r>
        <w:rPr>
          <w:rFonts w:hint="eastAsia" w:ascii="宋体" w:hAnsi="宋体" w:cs="Courier New"/>
          <w:i/>
          <w:color w:val="auto"/>
          <w:kern w:val="0"/>
          <w:sz w:val="24"/>
          <w:u w:val="single"/>
        </w:rPr>
        <w:t>（中型企业、小型企业、微型企业）</w:t>
      </w:r>
      <w:r>
        <w:rPr>
          <w:rFonts w:hint="eastAsia" w:ascii="宋体" w:hAnsi="宋体" w:cs="Courier New"/>
          <w:color w:val="auto"/>
          <w:kern w:val="0"/>
          <w:sz w:val="24"/>
        </w:rPr>
        <w:t>；</w:t>
      </w:r>
    </w:p>
    <w:p w14:paraId="238205EA">
      <w:pPr>
        <w:widowControl/>
        <w:spacing w:line="360" w:lineRule="auto"/>
        <w:ind w:firstLine="480" w:firstLineChars="200"/>
        <w:jc w:val="left"/>
        <w:rPr>
          <w:rFonts w:ascii="宋体" w:hAnsi="宋体" w:cs="Courier New"/>
          <w:color w:val="auto"/>
          <w:kern w:val="0"/>
          <w:sz w:val="24"/>
        </w:rPr>
      </w:pPr>
      <w:r>
        <w:rPr>
          <w:rFonts w:hint="eastAsia" w:ascii="宋体" w:hAnsi="宋体" w:cs="Courier New"/>
          <w:color w:val="auto"/>
          <w:kern w:val="0"/>
          <w:sz w:val="24"/>
        </w:rPr>
        <w:t>……</w:t>
      </w:r>
    </w:p>
    <w:p w14:paraId="112B5625">
      <w:pPr>
        <w:widowControl/>
        <w:spacing w:line="360" w:lineRule="auto"/>
        <w:ind w:firstLine="480" w:firstLineChars="200"/>
        <w:jc w:val="left"/>
        <w:rPr>
          <w:rFonts w:ascii="宋体" w:hAnsi="宋体" w:cs="Courier New"/>
          <w:color w:val="auto"/>
          <w:kern w:val="0"/>
          <w:sz w:val="24"/>
        </w:rPr>
      </w:pPr>
      <w:r>
        <w:rPr>
          <w:rFonts w:hint="eastAsia" w:ascii="宋体" w:hAnsi="宋体" w:cs="Courier New"/>
          <w:color w:val="auto"/>
          <w:kern w:val="0"/>
          <w:sz w:val="24"/>
        </w:rPr>
        <w:t>以上企业，不属于大企业的分支机构，不存在控股股东为大企业的情形，也不存在与大企业的负责人为同一人的情 形。</w:t>
      </w:r>
    </w:p>
    <w:p w14:paraId="6F6D7FC2">
      <w:pPr>
        <w:widowControl/>
        <w:spacing w:line="360" w:lineRule="auto"/>
        <w:ind w:firstLine="480" w:firstLineChars="200"/>
        <w:jc w:val="left"/>
        <w:rPr>
          <w:rFonts w:ascii="宋体" w:hAnsi="宋体" w:cs="Courier New"/>
          <w:color w:val="auto"/>
          <w:kern w:val="0"/>
          <w:sz w:val="24"/>
        </w:rPr>
      </w:pPr>
      <w:r>
        <w:rPr>
          <w:rFonts w:hint="eastAsia" w:ascii="宋体" w:hAnsi="宋体" w:cs="Courier New"/>
          <w:color w:val="auto"/>
          <w:kern w:val="0"/>
          <w:sz w:val="24"/>
        </w:rPr>
        <w:t>本企业对上述声明内容的真实性负责。如有虚假，将依 法承担相应责任。</w:t>
      </w:r>
    </w:p>
    <w:p w14:paraId="29111007">
      <w:pPr>
        <w:widowControl/>
        <w:spacing w:line="360" w:lineRule="auto"/>
        <w:ind w:firstLine="480" w:firstLineChars="200"/>
        <w:jc w:val="left"/>
        <w:rPr>
          <w:rFonts w:ascii="宋体" w:hAnsi="宋体" w:cs="Courier New"/>
          <w:color w:val="auto"/>
          <w:kern w:val="0"/>
          <w:sz w:val="24"/>
        </w:rPr>
      </w:pPr>
    </w:p>
    <w:p w14:paraId="1C25B065">
      <w:pPr>
        <w:widowControl/>
        <w:spacing w:line="360" w:lineRule="auto"/>
        <w:ind w:firstLine="480" w:firstLineChars="200"/>
        <w:jc w:val="left"/>
        <w:rPr>
          <w:rFonts w:ascii="宋体" w:hAnsi="宋体" w:cs="Courier New"/>
          <w:color w:val="auto"/>
          <w:kern w:val="0"/>
          <w:sz w:val="24"/>
        </w:rPr>
      </w:pPr>
    </w:p>
    <w:p w14:paraId="32B9D8CA">
      <w:pPr>
        <w:tabs>
          <w:tab w:val="left" w:pos="1065"/>
          <w:tab w:val="left" w:pos="4262"/>
          <w:tab w:val="left" w:pos="6477"/>
        </w:tabs>
        <w:spacing w:before="20" w:line="500" w:lineRule="exact"/>
        <w:ind w:right="84" w:firstLine="5332" w:firstLineChars="2222"/>
        <w:rPr>
          <w:rFonts w:ascii="宋体" w:hAnsi="宋体"/>
          <w:color w:val="auto"/>
          <w:sz w:val="24"/>
        </w:rPr>
      </w:pPr>
      <w:r>
        <w:rPr>
          <w:rFonts w:hint="eastAsia" w:ascii="宋体" w:hAnsi="宋体" w:cs="Courier New"/>
          <w:color w:val="auto"/>
          <w:kern w:val="0"/>
          <w:sz w:val="24"/>
        </w:rPr>
        <w:t>企业名称（盖章）：</w:t>
      </w:r>
      <w:r>
        <w:rPr>
          <w:rFonts w:ascii="宋体" w:hAnsi="宋体"/>
          <w:color w:val="auto"/>
          <w:sz w:val="24"/>
        </w:rPr>
        <w:t xml:space="preserve"> </w:t>
      </w:r>
    </w:p>
    <w:p w14:paraId="18B25842">
      <w:pPr>
        <w:pStyle w:val="13"/>
        <w:spacing w:before="56" w:line="500" w:lineRule="exact"/>
        <w:ind w:right="1808" w:firstLine="5625" w:firstLineChars="2344"/>
        <w:rPr>
          <w:rFonts w:ascii="宋体" w:hAnsi="宋体"/>
          <w:color w:val="auto"/>
          <w:sz w:val="24"/>
        </w:rPr>
      </w:pPr>
      <w:r>
        <w:rPr>
          <w:rFonts w:ascii="宋体" w:hAnsi="宋体"/>
          <w:color w:val="auto"/>
          <w:sz w:val="24"/>
        </w:rPr>
        <w:t>日 期：</w:t>
      </w:r>
    </w:p>
    <w:p w14:paraId="002F02A5">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897FEE8">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仿宋" w:hAnsi="仿宋" w:eastAsia="仿宋" w:cs="仿宋"/>
          <w:color w:val="auto"/>
          <w:sz w:val="44"/>
          <w:szCs w:val="44"/>
        </w:rPr>
        <w:t>残疾人福利性单位声明函</w:t>
      </w:r>
    </w:p>
    <w:p w14:paraId="7F09414F">
      <w:pPr>
        <w:spacing w:line="360" w:lineRule="auto"/>
        <w:contextualSpacing/>
        <w:rPr>
          <w:rFonts w:ascii="仿宋_GB2312" w:hAnsi="仿宋_GB2312" w:eastAsia="仿宋_GB2312" w:cs="仿宋_GB2312"/>
          <w:color w:val="auto"/>
          <w:sz w:val="32"/>
          <w:szCs w:val="32"/>
        </w:rPr>
      </w:pPr>
    </w:p>
    <w:p w14:paraId="5116CE2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49A17245">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4EA4F535">
      <w:pPr>
        <w:spacing w:line="360" w:lineRule="auto"/>
        <w:contextualSpacing/>
        <w:rPr>
          <w:rFonts w:ascii="宋体" w:hAnsi="宋体" w:cs="仿宋_GB2312"/>
          <w:color w:val="auto"/>
          <w:sz w:val="24"/>
        </w:rPr>
      </w:pPr>
    </w:p>
    <w:p w14:paraId="6C888AE7">
      <w:pPr>
        <w:spacing w:line="360" w:lineRule="auto"/>
        <w:contextualSpacing/>
        <w:rPr>
          <w:rFonts w:ascii="宋体" w:hAnsi="宋体" w:cs="仿宋_GB2312"/>
          <w:color w:val="auto"/>
          <w:sz w:val="24"/>
        </w:rPr>
      </w:pPr>
    </w:p>
    <w:p w14:paraId="0134CA12">
      <w:pPr>
        <w:spacing w:line="360" w:lineRule="auto"/>
        <w:contextualSpacing/>
        <w:rPr>
          <w:rFonts w:ascii="宋体" w:hAnsi="宋体" w:cs="仿宋_GB2312"/>
          <w:color w:val="auto"/>
          <w:sz w:val="24"/>
        </w:rPr>
      </w:pPr>
    </w:p>
    <w:p w14:paraId="19800451">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14:paraId="13000A71">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14:paraId="12BE7F1E">
      <w:pPr>
        <w:spacing w:line="360" w:lineRule="auto"/>
        <w:contextualSpacing/>
        <w:rPr>
          <w:rFonts w:ascii="宋体" w:hAnsi="宋体" w:cs="仿宋_GB2312"/>
          <w:color w:val="auto"/>
          <w:sz w:val="24"/>
        </w:rPr>
      </w:pPr>
    </w:p>
    <w:p w14:paraId="6A1A28F4">
      <w:pPr>
        <w:spacing w:line="360" w:lineRule="auto"/>
        <w:contextualSpacing/>
        <w:rPr>
          <w:rFonts w:ascii="宋体" w:hAnsi="宋体" w:cs="仿宋_GB2312"/>
          <w:color w:val="auto"/>
          <w:sz w:val="24"/>
        </w:rPr>
      </w:pPr>
    </w:p>
    <w:p w14:paraId="056BBCCD">
      <w:pPr>
        <w:spacing w:line="360" w:lineRule="auto"/>
        <w:contextualSpacing/>
        <w:rPr>
          <w:rFonts w:ascii="宋体" w:hAnsi="宋体" w:cs="仿宋_GB2312"/>
          <w:color w:val="auto"/>
          <w:sz w:val="24"/>
        </w:rPr>
      </w:pPr>
    </w:p>
    <w:p w14:paraId="32AD0E24">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57B10C83">
      <w:pPr>
        <w:spacing w:line="360" w:lineRule="auto"/>
        <w:jc w:val="center"/>
        <w:rPr>
          <w:rFonts w:ascii="宋体" w:hAnsi="宋体" w:cs="仿宋_GB2312"/>
          <w:color w:val="auto"/>
          <w:sz w:val="24"/>
        </w:rPr>
      </w:pPr>
      <w:r>
        <w:rPr>
          <w:rFonts w:ascii="宋体" w:hAnsi="宋体" w:cs="仿宋_GB2312"/>
          <w:color w:val="auto"/>
          <w:sz w:val="24"/>
        </w:rPr>
        <w:br w:type="page"/>
      </w:r>
    </w:p>
    <w:p w14:paraId="1F091A44">
      <w:pPr>
        <w:spacing w:line="360" w:lineRule="auto"/>
        <w:jc w:val="center"/>
        <w:rPr>
          <w:rFonts w:ascii="宋体" w:hAnsi="宋体"/>
          <w:b/>
          <w:bCs/>
          <w:color w:val="auto"/>
          <w:sz w:val="32"/>
          <w:szCs w:val="32"/>
        </w:rPr>
      </w:pPr>
      <w:r>
        <w:rPr>
          <w:rFonts w:hint="eastAsia" w:ascii="仿宋" w:hAnsi="仿宋" w:eastAsia="仿宋" w:cs="仿宋"/>
          <w:color w:val="auto"/>
          <w:sz w:val="44"/>
          <w:szCs w:val="44"/>
        </w:rPr>
        <w:t>质疑函（格式）</w:t>
      </w:r>
    </w:p>
    <w:p w14:paraId="054482A7">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460C65C9">
      <w:pPr>
        <w:pStyle w:val="17"/>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280B696E">
      <w:pPr>
        <w:pStyle w:val="17"/>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109BA2A">
      <w:pPr>
        <w:pStyle w:val="17"/>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473B19A2">
      <w:pPr>
        <w:pStyle w:val="17"/>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6159B1C3">
      <w:pPr>
        <w:pStyle w:val="17"/>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0A6CF8D">
      <w:pPr>
        <w:pStyle w:val="17"/>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18251B4">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14:paraId="33A12698">
      <w:pPr>
        <w:pStyle w:val="17"/>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4ADD049D">
      <w:pPr>
        <w:pStyle w:val="17"/>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19D59A1A">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5FB3C442">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14:paraId="36DE6EB8">
      <w:pPr>
        <w:pStyle w:val="17"/>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3F5990A1">
      <w:pPr>
        <w:pStyle w:val="17"/>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14:paraId="6E4EBE5A">
      <w:pPr>
        <w:pStyle w:val="17"/>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14:paraId="15F747A4">
      <w:pPr>
        <w:pStyle w:val="17"/>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14:paraId="76426E68">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387B8AFF">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0B457901">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5423A45E">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14:paraId="09AE4FD4">
      <w:pPr>
        <w:pStyle w:val="17"/>
        <w:spacing w:line="360" w:lineRule="auto"/>
        <w:ind w:left="25" w:leftChars="12" w:firstLine="472" w:firstLineChars="197"/>
        <w:contextualSpacing/>
        <w:rPr>
          <w:rFonts w:hAnsi="宋体"/>
          <w:color w:val="auto"/>
          <w:sz w:val="24"/>
          <w:szCs w:val="24"/>
        </w:rPr>
      </w:pPr>
      <w:r>
        <w:rPr>
          <w:rFonts w:hAnsi="宋体"/>
          <w:color w:val="auto"/>
          <w:sz w:val="24"/>
          <w:szCs w:val="24"/>
        </w:rPr>
        <w:t>……</w:t>
      </w:r>
    </w:p>
    <w:p w14:paraId="696D9B60">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14:paraId="4BB032E1">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174B5445">
      <w:pPr>
        <w:pStyle w:val="17"/>
        <w:spacing w:line="360" w:lineRule="auto"/>
        <w:ind w:left="25" w:leftChars="12" w:firstLine="352" w:firstLineChars="147"/>
        <w:contextualSpacing/>
        <w:rPr>
          <w:rFonts w:hAnsi="宋体"/>
          <w:color w:val="auto"/>
          <w:sz w:val="24"/>
          <w:szCs w:val="24"/>
        </w:rPr>
      </w:pPr>
    </w:p>
    <w:p w14:paraId="4AEC7110">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14:paraId="2D357F9F">
      <w:pPr>
        <w:pStyle w:val="17"/>
        <w:spacing w:line="360" w:lineRule="auto"/>
        <w:ind w:firstLine="480" w:firstLineChars="200"/>
        <w:contextualSpacing/>
        <w:rPr>
          <w:rFonts w:hAnsi="宋体"/>
          <w:b/>
          <w:color w:val="auto"/>
          <w:sz w:val="24"/>
          <w:szCs w:val="24"/>
        </w:rPr>
      </w:pPr>
      <w:r>
        <w:rPr>
          <w:rFonts w:hint="eastAsia" w:hAnsi="宋体"/>
          <w:color w:val="auto"/>
          <w:sz w:val="24"/>
          <w:szCs w:val="24"/>
        </w:rPr>
        <w:t>日期：</w:t>
      </w:r>
    </w:p>
    <w:p w14:paraId="37650C9C">
      <w:pPr>
        <w:pStyle w:val="17"/>
        <w:spacing w:line="360" w:lineRule="auto"/>
        <w:contextualSpacing/>
        <w:rPr>
          <w:rFonts w:hAnsi="宋体"/>
          <w:b/>
          <w:color w:val="auto"/>
          <w:sz w:val="24"/>
          <w:szCs w:val="24"/>
        </w:rPr>
      </w:pPr>
      <w:r>
        <w:rPr>
          <w:rFonts w:hint="eastAsia" w:hAnsi="宋体"/>
          <w:b/>
          <w:color w:val="auto"/>
          <w:sz w:val="24"/>
          <w:szCs w:val="24"/>
        </w:rPr>
        <w:t>说明：</w:t>
      </w:r>
    </w:p>
    <w:p w14:paraId="3B41FB00">
      <w:pPr>
        <w:pStyle w:val="17"/>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4CB896C2">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D1B7E9">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14:paraId="6C258F26">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14:paraId="55713453">
      <w:pPr>
        <w:pStyle w:val="17"/>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20EE5CFD">
      <w:pPr>
        <w:rPr>
          <w:color w:val="auto"/>
          <w:sz w:val="32"/>
          <w:szCs w:val="40"/>
        </w:rPr>
      </w:pPr>
      <w:r>
        <w:rPr>
          <w:color w:val="auto"/>
          <w:sz w:val="32"/>
          <w:szCs w:val="40"/>
        </w:rPr>
        <w:br w:type="page"/>
      </w:r>
    </w:p>
    <w:p w14:paraId="4B8C81B3">
      <w:pPr>
        <w:spacing w:line="360" w:lineRule="auto"/>
        <w:jc w:val="center"/>
        <w:rPr>
          <w:rFonts w:ascii="仿宋" w:hAnsi="仿宋" w:eastAsia="仿宋" w:cs="仿宋"/>
          <w:color w:val="auto"/>
          <w:sz w:val="44"/>
          <w:szCs w:val="44"/>
        </w:rPr>
      </w:pPr>
      <w:r>
        <w:rPr>
          <w:rFonts w:hint="eastAsia" w:ascii="仿宋" w:hAnsi="仿宋" w:eastAsia="仿宋" w:cs="仿宋"/>
          <w:color w:val="auto"/>
          <w:sz w:val="44"/>
          <w:szCs w:val="44"/>
        </w:rPr>
        <w:t>投诉书（格式）</w:t>
      </w:r>
    </w:p>
    <w:p w14:paraId="270FA8E0">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7BD6B2BD">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258CE47E">
      <w:pPr>
        <w:pStyle w:val="17"/>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097B2E2">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632C8981">
      <w:pPr>
        <w:pStyle w:val="17"/>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24341F33">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1C610739">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2ACC3E63">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1C6B4B8">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14:paraId="099717CE">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64978C68">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25D7BCB4">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10A65968">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14:paraId="7F2F088D">
      <w:pPr>
        <w:pStyle w:val="17"/>
        <w:snapToGrid w:val="0"/>
        <w:spacing w:line="360" w:lineRule="auto"/>
        <w:ind w:firstLine="480" w:firstLineChars="200"/>
        <w:rPr>
          <w:rFonts w:hAnsi="宋体"/>
          <w:bCs/>
          <w:color w:val="auto"/>
          <w:sz w:val="24"/>
          <w:szCs w:val="24"/>
        </w:rPr>
      </w:pPr>
      <w:r>
        <w:rPr>
          <w:rFonts w:hAnsi="宋体"/>
          <w:bCs/>
          <w:color w:val="auto"/>
          <w:sz w:val="24"/>
          <w:szCs w:val="24"/>
        </w:rPr>
        <w:t>……</w:t>
      </w:r>
    </w:p>
    <w:p w14:paraId="0C4F0536">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75836B93">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1EFBD274">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6692910A">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60D79797">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50C73175">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0F7ECFA9">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498A93FE">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745FB7DD">
      <w:pPr>
        <w:pStyle w:val="17"/>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29AD86D5">
      <w:pPr>
        <w:pStyle w:val="17"/>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290CFB83">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381B932C">
      <w:pPr>
        <w:pStyle w:val="17"/>
        <w:spacing w:line="360" w:lineRule="auto"/>
        <w:ind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49337A4E">
      <w:pPr>
        <w:pStyle w:val="17"/>
        <w:spacing w:line="360" w:lineRule="auto"/>
        <w:ind w:firstLine="241"/>
        <w:rPr>
          <w:rFonts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2C44A7F8">
      <w:pPr>
        <w:pStyle w:val="17"/>
        <w:spacing w:line="360" w:lineRule="auto"/>
        <w:ind w:firstLine="241"/>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1B6E6824">
      <w:pPr>
        <w:pStyle w:val="17"/>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2B83B3F2">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22AE30C1">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01C27B3C">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5230C7B4">
      <w:pPr>
        <w:pStyle w:val="17"/>
        <w:spacing w:line="360" w:lineRule="auto"/>
        <w:ind w:left="25" w:leftChars="12" w:firstLine="472" w:firstLineChars="197"/>
        <w:rPr>
          <w:rFonts w:hAnsi="宋体"/>
          <w:color w:val="auto"/>
          <w:sz w:val="24"/>
          <w:szCs w:val="24"/>
        </w:rPr>
      </w:pPr>
      <w:r>
        <w:rPr>
          <w:rFonts w:hint="eastAsia" w:hAnsi="宋体"/>
          <w:bCs/>
          <w:color w:val="auto"/>
          <w:sz w:val="24"/>
          <w:szCs w:val="24"/>
          <w:u w:val="single"/>
        </w:rPr>
        <w:t xml:space="preserve">                                                                                        </w:t>
      </w:r>
    </w:p>
    <w:p w14:paraId="3DDF9D97">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59623CF9">
      <w:pPr>
        <w:pStyle w:val="17"/>
        <w:spacing w:line="360" w:lineRule="auto"/>
        <w:ind w:left="25" w:leftChars="12" w:firstLine="352" w:firstLineChars="147"/>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0638B1F0">
      <w:pPr>
        <w:pStyle w:val="17"/>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2B67914F">
      <w:pPr>
        <w:pStyle w:val="17"/>
        <w:spacing w:line="360" w:lineRule="auto"/>
        <w:ind w:left="25" w:leftChars="12" w:firstLine="472" w:firstLineChars="197"/>
        <w:rPr>
          <w:rFonts w:hAnsi="宋体"/>
          <w:bCs/>
          <w:color w:val="auto"/>
          <w:sz w:val="24"/>
          <w:szCs w:val="24"/>
        </w:rPr>
      </w:pPr>
      <w:r>
        <w:rPr>
          <w:rFonts w:hAnsi="宋体"/>
          <w:bCs/>
          <w:color w:val="auto"/>
          <w:sz w:val="24"/>
          <w:szCs w:val="24"/>
        </w:rPr>
        <w:t>……</w:t>
      </w:r>
    </w:p>
    <w:p w14:paraId="3D8FAB1F">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631D185F">
      <w:pPr>
        <w:pStyle w:val="17"/>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0243FEA2">
      <w:pPr>
        <w:pStyle w:val="17"/>
        <w:spacing w:line="360" w:lineRule="auto"/>
        <w:ind w:left="25" w:leftChars="12" w:firstLine="352" w:firstLineChars="147"/>
        <w:rPr>
          <w:rFonts w:hAnsi="宋体"/>
          <w:color w:val="auto"/>
          <w:sz w:val="24"/>
          <w:szCs w:val="24"/>
        </w:rPr>
      </w:pPr>
    </w:p>
    <w:p w14:paraId="1909B854">
      <w:pPr>
        <w:pStyle w:val="17"/>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57C27A15">
      <w:pPr>
        <w:pStyle w:val="17"/>
        <w:spacing w:line="360" w:lineRule="auto"/>
        <w:ind w:left="25" w:leftChars="12" w:firstLine="352" w:firstLineChars="147"/>
        <w:rPr>
          <w:rFonts w:hAnsi="宋体"/>
          <w:color w:val="auto"/>
          <w:sz w:val="24"/>
          <w:szCs w:val="24"/>
        </w:rPr>
      </w:pPr>
    </w:p>
    <w:p w14:paraId="1DAD8D5A">
      <w:pPr>
        <w:pStyle w:val="17"/>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4BCEC447">
      <w:pPr>
        <w:pStyle w:val="17"/>
        <w:spacing w:line="360" w:lineRule="auto"/>
        <w:ind w:left="25" w:leftChars="12" w:firstLine="472" w:firstLineChars="197"/>
        <w:rPr>
          <w:rFonts w:hAnsi="宋体"/>
          <w:b/>
          <w:color w:val="auto"/>
          <w:sz w:val="24"/>
          <w:szCs w:val="24"/>
        </w:rPr>
      </w:pPr>
      <w:r>
        <w:rPr>
          <w:rFonts w:hint="eastAsia" w:hAnsi="宋体"/>
          <w:bCs/>
          <w:color w:val="auto"/>
          <w:sz w:val="24"/>
          <w:szCs w:val="24"/>
        </w:rPr>
        <w:t xml:space="preserve">                                                                                 </w:t>
      </w:r>
    </w:p>
    <w:p w14:paraId="5C6EE2D5">
      <w:pPr>
        <w:pStyle w:val="17"/>
        <w:snapToGrid w:val="0"/>
        <w:spacing w:line="360" w:lineRule="auto"/>
        <w:rPr>
          <w:rFonts w:hAnsi="宋体"/>
          <w:b/>
          <w:color w:val="auto"/>
          <w:sz w:val="24"/>
          <w:szCs w:val="24"/>
        </w:rPr>
      </w:pPr>
      <w:r>
        <w:rPr>
          <w:rFonts w:hint="eastAsia" w:hAnsi="宋体"/>
          <w:b/>
          <w:color w:val="auto"/>
          <w:sz w:val="24"/>
          <w:szCs w:val="24"/>
        </w:rPr>
        <w:t>说明：</w:t>
      </w:r>
    </w:p>
    <w:p w14:paraId="3E92985B">
      <w:pPr>
        <w:pStyle w:val="17"/>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78F38B9C">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A2CED35">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2CDED838">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33DEB994">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70C9A1FC">
      <w:pPr>
        <w:pStyle w:val="17"/>
        <w:spacing w:line="360" w:lineRule="auto"/>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25FD091A">
      <w:pPr>
        <w:pStyle w:val="3"/>
        <w:jc w:val="center"/>
        <w:rPr>
          <w:color w:val="auto"/>
        </w:rPr>
      </w:pPr>
      <w:bookmarkStart w:id="194" w:name="_Toc74323461"/>
      <w:r>
        <w:rPr>
          <w:rFonts w:hint="eastAsia"/>
          <w:color w:val="auto"/>
        </w:rPr>
        <w:t>第六章 合同文本</w:t>
      </w:r>
      <w:bookmarkEnd w:id="194"/>
    </w:p>
    <w:p w14:paraId="2B0E28CE">
      <w:pPr>
        <w:rPr>
          <w:color w:val="auto"/>
        </w:rPr>
      </w:pPr>
    </w:p>
    <w:p w14:paraId="0E02A755">
      <w:pPr>
        <w:rPr>
          <w:color w:val="auto"/>
        </w:rPr>
      </w:pPr>
    </w:p>
    <w:p w14:paraId="3F2D561D">
      <w:pPr>
        <w:spacing w:line="520" w:lineRule="exact"/>
        <w:jc w:val="center"/>
        <w:rPr>
          <w:rFonts w:ascii="宋体" w:hAnsi="宋体" w:cs="Courier New"/>
          <w:b/>
          <w:color w:val="auto"/>
          <w:sz w:val="32"/>
          <w:szCs w:val="32"/>
        </w:rPr>
      </w:pPr>
      <w:r>
        <w:rPr>
          <w:rFonts w:hint="eastAsia" w:eastAsia="华文中宋"/>
          <w:b/>
          <w:color w:val="auto"/>
          <w:sz w:val="44"/>
          <w:szCs w:val="44"/>
        </w:rPr>
        <w:t>采 购 合 同（格式）</w:t>
      </w:r>
    </w:p>
    <w:p w14:paraId="58FE4F5C">
      <w:pPr>
        <w:spacing w:line="520" w:lineRule="exact"/>
        <w:rPr>
          <w:rFonts w:ascii="宋体" w:hAnsi="宋体" w:cs="Courier New"/>
          <w:b/>
          <w:color w:val="auto"/>
          <w:sz w:val="32"/>
          <w:szCs w:val="32"/>
        </w:rPr>
      </w:pPr>
    </w:p>
    <w:p w14:paraId="6511AA18">
      <w:pPr>
        <w:spacing w:line="520" w:lineRule="exact"/>
        <w:rPr>
          <w:rFonts w:ascii="宋体" w:hAnsi="宋体" w:cs="Courier New"/>
          <w:b/>
          <w:color w:val="auto"/>
          <w:sz w:val="32"/>
          <w:szCs w:val="32"/>
        </w:rPr>
      </w:pPr>
    </w:p>
    <w:p w14:paraId="5F01A94E">
      <w:pPr>
        <w:snapToGrid w:val="0"/>
        <w:spacing w:line="400" w:lineRule="exact"/>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pacing w:val="-20"/>
          <w:szCs w:val="21"/>
        </w:rPr>
        <w:t>采 购 计 划 号</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14:paraId="6BE99F35">
      <w:pPr>
        <w:snapToGrid w:val="0"/>
        <w:spacing w:line="400" w:lineRule="exact"/>
        <w:rPr>
          <w:rFonts w:ascii="宋体" w:hAnsi="宋体" w:cs="宋体"/>
          <w:color w:val="auto"/>
          <w:szCs w:val="21"/>
          <w:u w:val="single"/>
        </w:rPr>
      </w:pPr>
      <w:r>
        <w:rPr>
          <w:rFonts w:hint="eastAsia" w:ascii="宋体" w:hAnsi="宋体" w:cs="宋体"/>
          <w:color w:val="auto"/>
          <w:szCs w:val="21"/>
        </w:rPr>
        <w:t>供应商（乙方）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pacing w:val="-20"/>
          <w:szCs w:val="21"/>
        </w:rPr>
        <w:t>招  标  编  号</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14:paraId="74A70BA1">
      <w:pPr>
        <w:snapToGrid w:val="0"/>
        <w:spacing w:line="400" w:lineRule="exact"/>
        <w:rPr>
          <w:rFonts w:ascii="宋体" w:hAnsi="宋体" w:cs="宋体"/>
          <w:color w:val="auto"/>
          <w:szCs w:val="21"/>
          <w:u w:val="single"/>
        </w:rPr>
      </w:pPr>
      <w:r>
        <w:rPr>
          <w:rFonts w:hint="eastAsia" w:ascii="宋体" w:hAnsi="宋体" w:cs="宋体"/>
          <w:color w:val="auto"/>
          <w:szCs w:val="21"/>
        </w:rPr>
        <w:t xml:space="preserve">签  订  地  点  </w:t>
      </w:r>
      <w:r>
        <w:rPr>
          <w:rFonts w:hint="eastAsia" w:ascii="宋体" w:hAnsi="宋体" w:cs="宋体"/>
          <w:color w:val="auto"/>
          <w:szCs w:val="21"/>
          <w:u w:val="single"/>
        </w:rPr>
        <w:t xml:space="preserve">                          </w:t>
      </w:r>
      <w:r>
        <w:rPr>
          <w:rFonts w:hint="eastAsia" w:ascii="宋体" w:hAnsi="宋体" w:cs="宋体"/>
          <w:color w:val="auto"/>
          <w:szCs w:val="21"/>
        </w:rPr>
        <w:t xml:space="preserve">  签 订 时 间</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14:paraId="755E9442">
      <w:pPr>
        <w:spacing w:line="400" w:lineRule="exact"/>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 xml:space="preserve">   </w:t>
      </w:r>
      <w:r>
        <w:rPr>
          <w:rFonts w:hint="eastAsia" w:ascii="宋体" w:hAnsi="宋体" w:cs="宋体"/>
          <w:color w:val="auto"/>
          <w:szCs w:val="21"/>
        </w:rPr>
        <w:t>。</w:t>
      </w:r>
    </w:p>
    <w:p w14:paraId="7A8A0870">
      <w:pPr>
        <w:spacing w:line="400" w:lineRule="exact"/>
        <w:ind w:firstLine="420" w:firstLineChars="200"/>
        <w:rPr>
          <w:rFonts w:ascii="宋体" w:hAnsi="宋体" w:cs="宋体"/>
          <w:color w:val="auto"/>
          <w:szCs w:val="21"/>
        </w:rPr>
      </w:pPr>
    </w:p>
    <w:p w14:paraId="26CDD8F4">
      <w:pPr>
        <w:spacing w:line="40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根据《中华人民共和国政府采购法》、《中华人民共和国民法典》等法律、法规规定，按照采购文件规定条款和乙方响应文件及其承诺，甲乙双方签订本合同。</w:t>
      </w:r>
    </w:p>
    <w:p w14:paraId="262E248D">
      <w:pPr>
        <w:snapToGrid w:val="0"/>
        <w:spacing w:line="400" w:lineRule="exact"/>
        <w:ind w:firstLine="422" w:firstLineChars="200"/>
        <w:rPr>
          <w:rFonts w:ascii="宋体" w:hAnsi="宋体"/>
          <w:b/>
          <w:color w:val="auto"/>
          <w:szCs w:val="21"/>
        </w:rPr>
      </w:pPr>
      <w:r>
        <w:rPr>
          <w:rFonts w:hint="eastAsia" w:ascii="宋体" w:hAnsi="宋体"/>
          <w:b/>
          <w:color w:val="auto"/>
          <w:szCs w:val="21"/>
        </w:rPr>
        <w:t>第一条　合同标的</w:t>
      </w:r>
    </w:p>
    <w:p w14:paraId="3BC3323E">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1.服务项目</w:t>
      </w:r>
    </w:p>
    <w:p w14:paraId="44B6A8F8">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经甲方同意，乙方承担《</w:t>
      </w:r>
      <w:r>
        <w:rPr>
          <w:rFonts w:hint="eastAsia" w:ascii="宋体" w:hAnsi="宋体"/>
          <w:color w:val="auto"/>
          <w:szCs w:val="21"/>
          <w:u w:val="single"/>
        </w:rPr>
        <w:t xml:space="preserve">                   </w:t>
      </w:r>
      <w:r>
        <w:rPr>
          <w:rFonts w:hint="eastAsia" w:ascii="宋体" w:hAnsi="宋体"/>
          <w:color w:val="auto"/>
          <w:szCs w:val="21"/>
        </w:rPr>
        <w:t>》项目实施工作，并为甲方提供技术服务，以满足甲方对本合同项目服务需求及要求。</w:t>
      </w:r>
      <w:r>
        <w:rPr>
          <w:rFonts w:hint="eastAsia" w:ascii="宋体" w:hAnsi="宋体"/>
          <w:b/>
          <w:color w:val="auto"/>
          <w:szCs w:val="21"/>
          <w:u w:val="single"/>
        </w:rPr>
        <w:t>合同金额（大写）人民币            （¥       ）（详见合同附件“最后报价表”）</w:t>
      </w:r>
      <w:r>
        <w:rPr>
          <w:rFonts w:hint="eastAsia" w:ascii="宋体" w:hAnsi="宋体"/>
          <w:color w:val="auto"/>
          <w:szCs w:val="21"/>
        </w:rPr>
        <w:t>。</w:t>
      </w:r>
    </w:p>
    <w:p w14:paraId="3A2756D9">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2.项目服务所应实现的目标及技术要求以采购文件和响应文件承诺约定为准。</w:t>
      </w:r>
    </w:p>
    <w:p w14:paraId="15117285">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本项目报价是履行合同的最终价格，为全包价，包括但不限于：</w:t>
      </w:r>
    </w:p>
    <w:p w14:paraId="6305A1CE">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（1）包含收集已有材料、编制相关</w:t>
      </w:r>
      <w:r>
        <w:rPr>
          <w:rFonts w:hint="eastAsia" w:ascii="宋体" w:hAnsi="宋体"/>
          <w:color w:val="auto"/>
          <w:szCs w:val="21"/>
          <w:lang w:eastAsia="zh-CN"/>
        </w:rPr>
        <w:t>视频或宣传</w:t>
      </w:r>
      <w:r>
        <w:rPr>
          <w:rFonts w:hint="eastAsia" w:ascii="宋体" w:hAnsi="宋体"/>
          <w:color w:val="auto"/>
          <w:szCs w:val="21"/>
        </w:rPr>
        <w:t>等收取的所有费用。</w:t>
      </w:r>
    </w:p>
    <w:p w14:paraId="5184C631">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（2）必要的保险费用和各项税金。</w:t>
      </w:r>
    </w:p>
    <w:p w14:paraId="3E1B8D40">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（3）项目验收所产生的所有费用。</w:t>
      </w:r>
    </w:p>
    <w:p w14:paraId="00E9AC05">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（4）技术支持、售后服务的费用。</w:t>
      </w:r>
    </w:p>
    <w:p w14:paraId="6AD69A28">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（5）工作人员的工资、社保、交通、差旅费用和社会保险等。</w:t>
      </w:r>
    </w:p>
    <w:p w14:paraId="167FBAE9">
      <w:pPr>
        <w:tabs>
          <w:tab w:val="left" w:pos="8280"/>
        </w:tabs>
        <w:snapToGrid w:val="0"/>
        <w:spacing w:line="400" w:lineRule="exact"/>
        <w:ind w:right="26" w:firstLine="420" w:firstLineChars="200"/>
        <w:rPr>
          <w:rFonts w:ascii="宋体" w:hAnsi="宋体"/>
          <w:color w:val="auto"/>
          <w:szCs w:val="21"/>
        </w:rPr>
      </w:pPr>
      <w:r>
        <w:rPr>
          <w:rFonts w:hint="eastAsia" w:ascii="宋体" w:hAnsi="宋体"/>
          <w:color w:val="auto"/>
          <w:szCs w:val="21"/>
        </w:rPr>
        <w:t>（6）其他与本项目实施相关的费用。</w:t>
      </w:r>
    </w:p>
    <w:p w14:paraId="1243C6B4">
      <w:pPr>
        <w:snapToGrid w:val="0"/>
        <w:spacing w:line="400" w:lineRule="exact"/>
        <w:ind w:firstLine="413" w:firstLineChars="196"/>
        <w:rPr>
          <w:rFonts w:ascii="宋体" w:hAnsi="宋体"/>
          <w:color w:val="auto"/>
          <w:szCs w:val="21"/>
        </w:rPr>
      </w:pPr>
      <w:r>
        <w:rPr>
          <w:rFonts w:hint="eastAsia" w:ascii="宋体" w:hAnsi="宋体"/>
          <w:b/>
          <w:color w:val="auto"/>
          <w:szCs w:val="21"/>
        </w:rPr>
        <w:t>第二条</w:t>
      </w:r>
      <w:r>
        <w:rPr>
          <w:rFonts w:hint="eastAsia" w:ascii="宋体" w:hAnsi="宋体"/>
          <w:color w:val="auto"/>
          <w:szCs w:val="21"/>
        </w:rPr>
        <w:t xml:space="preserve">  提交服务成果时间和地点</w:t>
      </w:r>
    </w:p>
    <w:p w14:paraId="61D5D607">
      <w:pPr>
        <w:snapToGrid w:val="0"/>
        <w:spacing w:line="400" w:lineRule="exact"/>
        <w:ind w:firstLine="411" w:firstLineChars="196"/>
        <w:rPr>
          <w:rFonts w:ascii="宋体" w:hAnsi="宋体"/>
          <w:color w:val="auto"/>
          <w:szCs w:val="21"/>
        </w:rPr>
      </w:pPr>
      <w:r>
        <w:rPr>
          <w:rFonts w:hint="eastAsia" w:ascii="宋体" w:hAnsi="宋体"/>
          <w:color w:val="auto"/>
          <w:szCs w:val="21"/>
        </w:rPr>
        <w:t>1.提交服务成果时间：</w:t>
      </w:r>
      <w:r>
        <w:rPr>
          <w:rFonts w:hint="eastAsia" w:ascii="宋体" w:hAnsi="宋体"/>
          <w:color w:val="auto"/>
          <w:szCs w:val="21"/>
          <w:u w:val="single"/>
        </w:rPr>
        <w:t xml:space="preserve">                                             </w:t>
      </w:r>
    </w:p>
    <w:p w14:paraId="1EDBCB7E">
      <w:pPr>
        <w:snapToGrid w:val="0"/>
        <w:spacing w:line="400" w:lineRule="exact"/>
        <w:ind w:firstLine="411" w:firstLineChars="196"/>
        <w:rPr>
          <w:rFonts w:ascii="宋体" w:hAnsi="宋体"/>
          <w:color w:val="auto"/>
          <w:szCs w:val="21"/>
        </w:rPr>
      </w:pPr>
      <w:r>
        <w:rPr>
          <w:rFonts w:hint="eastAsia" w:ascii="宋体" w:hAnsi="宋体"/>
          <w:color w:val="auto"/>
          <w:szCs w:val="21"/>
        </w:rPr>
        <w:t xml:space="preserve">2.地 </w:t>
      </w:r>
      <w:r>
        <w:rPr>
          <w:rFonts w:ascii="宋体" w:hAnsi="宋体"/>
          <w:color w:val="auto"/>
          <w:szCs w:val="21"/>
        </w:rPr>
        <w:t xml:space="preserve"> </w:t>
      </w:r>
      <w:r>
        <w:rPr>
          <w:rFonts w:hint="eastAsia" w:ascii="宋体" w:hAnsi="宋体"/>
          <w:color w:val="auto"/>
          <w:szCs w:val="21"/>
        </w:rPr>
        <w:t>点：</w:t>
      </w:r>
      <w:r>
        <w:rPr>
          <w:rFonts w:hint="eastAsia" w:ascii="宋体" w:hAnsi="宋体"/>
          <w:color w:val="auto"/>
          <w:szCs w:val="21"/>
          <w:u w:val="single"/>
        </w:rPr>
        <w:t xml:space="preserve">                                             </w:t>
      </w:r>
    </w:p>
    <w:p w14:paraId="19FB91B9">
      <w:pPr>
        <w:snapToGrid w:val="0"/>
        <w:spacing w:line="400" w:lineRule="exact"/>
        <w:ind w:firstLine="411" w:firstLineChars="196"/>
        <w:rPr>
          <w:rFonts w:ascii="宋体" w:hAnsi="宋体"/>
          <w:color w:val="auto"/>
          <w:szCs w:val="21"/>
        </w:rPr>
      </w:pPr>
      <w:r>
        <w:rPr>
          <w:rFonts w:hint="eastAsia" w:ascii="宋体" w:hAnsi="宋体"/>
          <w:color w:val="auto"/>
          <w:szCs w:val="21"/>
        </w:rPr>
        <w:t>3.乙方必须按响应文件（含应答文件）承诺的服务相应条款向甲方提供服务。</w:t>
      </w:r>
    </w:p>
    <w:p w14:paraId="247A64FE">
      <w:pPr>
        <w:snapToGrid w:val="0"/>
        <w:spacing w:line="400" w:lineRule="exact"/>
        <w:ind w:firstLine="411" w:firstLineChars="196"/>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乙方提供不符合磋商文件和本合同规定的服务成果，甲方有权拒绝接受并要求乙方五个工作日内修改、重做，甲方也有权解除合同并追究乙方的违约责任。</w:t>
      </w:r>
    </w:p>
    <w:p w14:paraId="3B2711EF">
      <w:pPr>
        <w:snapToGrid w:val="0"/>
        <w:spacing w:line="400" w:lineRule="exact"/>
        <w:ind w:firstLine="411" w:firstLineChars="196"/>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乙方应对提交的服务成果作出全面检查和整理，并列出清单，作为甲方验收和使用的技术条件依据，清单应随提交的服务成果一并交给甲方。</w:t>
      </w:r>
    </w:p>
    <w:p w14:paraId="6D3DCA9B">
      <w:pPr>
        <w:snapToGrid w:val="0"/>
        <w:spacing w:line="400" w:lineRule="exact"/>
        <w:ind w:firstLine="411" w:firstLineChars="196"/>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乙方应按要求提交服务成果材料：提交的最终成果全部材料应须以书面形式和电子版形式提交，其中书面形式提交成果需打印装订成册；1式 4份，电子版3套。如有缺失应及时补齐，否则视为逾期交付。</w:t>
      </w:r>
    </w:p>
    <w:p w14:paraId="06C380B8">
      <w:pPr>
        <w:snapToGrid w:val="0"/>
        <w:spacing w:line="400" w:lineRule="exact"/>
        <w:ind w:firstLine="411" w:firstLineChars="196"/>
        <w:rPr>
          <w:rFonts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乙方在指定地点提交服务成果后，甲方应在七个工作日内进行验收，验收合格后由甲乙双方签署验收单并加盖采购单位公章，甲乙双方各执一份。</w:t>
      </w:r>
    </w:p>
    <w:p w14:paraId="04A9052F">
      <w:pPr>
        <w:snapToGrid w:val="0"/>
        <w:spacing w:line="400" w:lineRule="exact"/>
        <w:ind w:firstLine="411" w:firstLineChars="196"/>
        <w:rPr>
          <w:rFonts w:ascii="宋体" w:hAnsi="宋体"/>
          <w:color w:val="auto"/>
          <w:szCs w:val="21"/>
        </w:rPr>
      </w:pPr>
      <w:r>
        <w:rPr>
          <w:rFonts w:hint="eastAsia" w:ascii="宋体" w:hAnsi="宋体"/>
          <w:color w:val="auto"/>
          <w:szCs w:val="21"/>
        </w:rPr>
        <w:t>8</w:t>
      </w:r>
      <w:r>
        <w:rPr>
          <w:rFonts w:ascii="宋体" w:hAnsi="宋体"/>
          <w:color w:val="auto"/>
          <w:szCs w:val="21"/>
        </w:rPr>
        <w:t>.</w:t>
      </w:r>
      <w:r>
        <w:rPr>
          <w:rFonts w:hint="eastAsia" w:ascii="宋体" w:hAnsi="宋体"/>
          <w:color w:val="auto"/>
          <w:szCs w:val="21"/>
        </w:rPr>
        <w:t>甲方对验收有异议的，在验收后五个工作日内以书面形式向乙方提出，乙方应自收到甲方书面异议后 五个工作 日内及时予以解决并重新申请验收。乙方修改重做的，工期不顺延。乙方修改、重做不得超过3次，否则视为乙方提交的成果不合格，按前述第2点和本合同位于条款追究乙方违约责任。</w:t>
      </w:r>
    </w:p>
    <w:p w14:paraId="262531CF">
      <w:pPr>
        <w:snapToGrid w:val="0"/>
        <w:spacing w:line="400" w:lineRule="exact"/>
        <w:ind w:firstLine="413" w:firstLineChars="196"/>
        <w:rPr>
          <w:rFonts w:ascii="宋体" w:hAnsi="宋体"/>
          <w:b/>
          <w:color w:val="auto"/>
          <w:szCs w:val="21"/>
        </w:rPr>
      </w:pPr>
      <w:r>
        <w:rPr>
          <w:rFonts w:hint="eastAsia" w:ascii="宋体" w:hAnsi="宋体"/>
          <w:b/>
          <w:color w:val="auto"/>
          <w:szCs w:val="21"/>
        </w:rPr>
        <w:t xml:space="preserve">第三条 </w:t>
      </w:r>
      <w:r>
        <w:rPr>
          <w:rFonts w:ascii="宋体" w:hAnsi="宋体"/>
          <w:b/>
          <w:color w:val="auto"/>
          <w:szCs w:val="21"/>
        </w:rPr>
        <w:t xml:space="preserve"> </w:t>
      </w:r>
      <w:r>
        <w:rPr>
          <w:rFonts w:hint="eastAsia" w:ascii="宋体" w:hAnsi="宋体"/>
          <w:b/>
          <w:color w:val="auto"/>
          <w:szCs w:val="21"/>
        </w:rPr>
        <w:t>服务、质量保证期</w:t>
      </w:r>
    </w:p>
    <w:p w14:paraId="42AE0215">
      <w:pPr>
        <w:snapToGrid w:val="0"/>
        <w:spacing w:line="400" w:lineRule="exact"/>
        <w:ind w:firstLine="411" w:firstLineChars="196"/>
        <w:rPr>
          <w:rFonts w:ascii="宋体" w:hAnsi="宋体"/>
          <w:color w:val="auto"/>
          <w:szCs w:val="21"/>
        </w:rPr>
      </w:pPr>
      <w:r>
        <w:rPr>
          <w:rFonts w:hint="eastAsia" w:ascii="宋体" w:hAnsi="宋体"/>
          <w:color w:val="auto"/>
          <w:szCs w:val="21"/>
        </w:rPr>
        <w:t>乙方应按照本合同、国家有关法律法规以及磋商文件、响应文件为甲方提供技术服务。在半年内，甲方有权要求乙方就课题成果完善、修订。</w:t>
      </w:r>
    </w:p>
    <w:p w14:paraId="01697DB0">
      <w:pPr>
        <w:snapToGrid w:val="0"/>
        <w:spacing w:line="400" w:lineRule="exact"/>
        <w:ind w:firstLine="422" w:firstLineChars="200"/>
        <w:rPr>
          <w:rFonts w:ascii="宋体" w:hAnsi="宋体"/>
          <w:color w:val="auto"/>
          <w:szCs w:val="21"/>
        </w:rPr>
      </w:pPr>
      <w:r>
        <w:rPr>
          <w:rFonts w:hint="eastAsia" w:ascii="宋体" w:hAnsi="宋体"/>
          <w:b/>
          <w:color w:val="auto"/>
          <w:szCs w:val="21"/>
        </w:rPr>
        <w:t>第四条　权利保证</w:t>
      </w:r>
    </w:p>
    <w:p w14:paraId="15427146">
      <w:pPr>
        <w:snapToGrid w:val="0"/>
        <w:spacing w:line="40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甲方配合：甲方根据工作需要，可为乙方开展编制提供相关资料，但这些资料的提供并不能免除乙方的任何义务和责任。</w:t>
      </w:r>
    </w:p>
    <w:p w14:paraId="5F6DB3CE">
      <w:pPr>
        <w:snapToGrid w:val="0"/>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lang w:eastAsia="zh-CN"/>
        </w:rPr>
        <w:t>服务时间</w:t>
      </w:r>
      <w:r>
        <w:rPr>
          <w:rFonts w:hint="eastAsia" w:ascii="宋体" w:hAnsi="宋体"/>
          <w:color w:val="auto"/>
          <w:szCs w:val="21"/>
        </w:rPr>
        <w:t>承诺：乙方应按磋商文件、响应文件规定的时间向甲方提供全部服务成果及其有关技术资料。</w:t>
      </w:r>
    </w:p>
    <w:p w14:paraId="08D904B0">
      <w:pPr>
        <w:snapToGrid w:val="0"/>
        <w:spacing w:line="40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权利保证：乙方应保证所提供的服务成果不会侵犯任何第三方的知识产权和其他民事权利，包括但不限于专利权、商标权、著作权、商业秘密及/或任何其他权利。</w:t>
      </w:r>
    </w:p>
    <w:p w14:paraId="26018ECF">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保密承诺：没有甲方事先书面同意，乙方不得将由甲方提供的有关合同或任何合同条文、规格、计划、图纸、样品或资料提供或以任何形式泄漏给与履行本合同无关的任何其他人。即使向履行本合同有关的人员提供，也应注意保密并限于履行合同的必须范围并报甲方审查备案。</w:t>
      </w:r>
    </w:p>
    <w:p w14:paraId="521E57DF">
      <w:pPr>
        <w:snapToGrid w:val="0"/>
        <w:spacing w:line="40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乙方履行本合同义务过程中形成的所有成果的全部知识产权均归甲方所有。</w:t>
      </w:r>
    </w:p>
    <w:p w14:paraId="3F322D9E">
      <w:pPr>
        <w:snapToGrid w:val="0"/>
        <w:spacing w:line="400" w:lineRule="exact"/>
        <w:ind w:firstLine="422" w:firstLineChars="200"/>
        <w:rPr>
          <w:rFonts w:ascii="宋体" w:hAnsi="宋体"/>
          <w:color w:val="auto"/>
          <w:szCs w:val="21"/>
        </w:rPr>
      </w:pPr>
      <w:r>
        <w:rPr>
          <w:rFonts w:hint="eastAsia" w:ascii="宋体" w:hAnsi="宋体"/>
          <w:b/>
          <w:color w:val="auto"/>
          <w:szCs w:val="21"/>
        </w:rPr>
        <w:t>第五条　付款方式</w:t>
      </w:r>
    </w:p>
    <w:p w14:paraId="6311DF90">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在合同履行期间，甲方单方要求终止或解除合同，乙方已开始工作的，甲方应根据乙方已进行的实际工作量给予适当的补偿。如乙方要求终止、解除合同或以自己的行动表明不履行合同义务的，甲方有权解除合同，要求乙方全部返还甲方已经支付的合同价款，并按合同价款30%承担违约金，赔偿甲方由此造成的全部损失，包括但不限于甲方重新招标的损失。</w:t>
      </w:r>
    </w:p>
    <w:p w14:paraId="66432CA1">
      <w:pPr>
        <w:snapToGrid w:val="0"/>
        <w:spacing w:line="400" w:lineRule="exact"/>
        <w:ind w:left="-61" w:leftChars="-29" w:firstLine="514" w:firstLineChars="245"/>
        <w:rPr>
          <w:rFonts w:ascii="宋体" w:hAnsi="宋体"/>
          <w:color w:val="auto"/>
          <w:szCs w:val="21"/>
        </w:rPr>
      </w:pPr>
      <w:r>
        <w:rPr>
          <w:rFonts w:ascii="宋体" w:hAnsi="宋体"/>
          <w:color w:val="auto"/>
          <w:szCs w:val="21"/>
        </w:rPr>
        <w:t>2</w:t>
      </w:r>
      <w:r>
        <w:rPr>
          <w:rFonts w:hint="eastAsia" w:ascii="宋体" w:hAnsi="宋体"/>
          <w:color w:val="auto"/>
          <w:szCs w:val="21"/>
        </w:rPr>
        <w:t>.付款方式：</w:t>
      </w:r>
      <w:r>
        <w:rPr>
          <w:rFonts w:hint="eastAsia" w:ascii="宋体" w:hAnsi="宋体"/>
          <w:color w:val="auto"/>
          <w:szCs w:val="21"/>
          <w:lang w:eastAsia="zh-CN"/>
        </w:rPr>
        <w:t>在双方签订合同之日起</w:t>
      </w:r>
      <w:r>
        <w:rPr>
          <w:rFonts w:hint="eastAsia" w:ascii="宋体" w:hAnsi="宋体"/>
          <w:color w:val="auto"/>
          <w:szCs w:val="21"/>
          <w:lang w:val="en-US" w:eastAsia="zh-CN"/>
        </w:rPr>
        <w:t>10个工作日内</w:t>
      </w:r>
      <w:r>
        <w:rPr>
          <w:rFonts w:hint="eastAsia" w:ascii="宋体" w:hAnsi="宋体"/>
          <w:color w:val="auto"/>
          <w:szCs w:val="21"/>
          <w:lang w:eastAsia="zh-CN"/>
        </w:rPr>
        <w:t>甲方</w:t>
      </w:r>
      <w:r>
        <w:rPr>
          <w:rFonts w:hint="eastAsia" w:ascii="宋体" w:hAnsi="宋体"/>
          <w:color w:val="auto"/>
          <w:szCs w:val="21"/>
          <w:lang w:val="en-US" w:eastAsia="zh-CN"/>
        </w:rPr>
        <w:t>支付合同价款的50%给乙方，乙方完成宣传策划任务且通过甲方验收合格后10个工作日内甲方支付合同价款的50%给乙方。</w:t>
      </w:r>
    </w:p>
    <w:p w14:paraId="664BA365">
      <w:pPr>
        <w:snapToGrid w:val="0"/>
        <w:spacing w:line="400" w:lineRule="exact"/>
        <w:ind w:left="-61" w:leftChars="-29" w:firstLine="514" w:firstLineChars="245"/>
        <w:rPr>
          <w:rFonts w:ascii="宋体" w:hAnsi="宋体"/>
          <w:color w:val="auto"/>
          <w:szCs w:val="21"/>
        </w:rPr>
      </w:pPr>
      <w:r>
        <w:rPr>
          <w:rFonts w:ascii="宋体" w:hAnsi="宋体"/>
          <w:color w:val="auto"/>
          <w:szCs w:val="21"/>
        </w:rPr>
        <w:t>3</w:t>
      </w:r>
      <w:r>
        <w:rPr>
          <w:rFonts w:hint="eastAsia" w:ascii="宋体" w:hAnsi="宋体"/>
          <w:color w:val="auto"/>
          <w:szCs w:val="21"/>
        </w:rPr>
        <w:t>.乙方应在规定时间按要求完成服务工作，并按合同及磋商承诺提供技术服务，合同期间，甲方不另行支付任何费用。</w:t>
      </w:r>
    </w:p>
    <w:p w14:paraId="28E926E5">
      <w:pPr>
        <w:snapToGrid w:val="0"/>
        <w:spacing w:line="400" w:lineRule="exact"/>
        <w:ind w:left="-61" w:leftChars="-29" w:firstLine="517" w:firstLineChars="245"/>
        <w:rPr>
          <w:rFonts w:ascii="宋体" w:hAnsi="宋体"/>
          <w:b/>
          <w:color w:val="auto"/>
          <w:szCs w:val="21"/>
        </w:rPr>
      </w:pPr>
      <w:r>
        <w:rPr>
          <w:rFonts w:hint="eastAsia" w:ascii="宋体" w:hAnsi="宋体"/>
          <w:b/>
          <w:color w:val="auto"/>
          <w:szCs w:val="21"/>
        </w:rPr>
        <w:t>第六条　履约保证金</w:t>
      </w:r>
    </w:p>
    <w:p w14:paraId="67789CA8">
      <w:pPr>
        <w:snapToGrid w:val="0"/>
        <w:spacing w:line="400" w:lineRule="exact"/>
        <w:ind w:left="-61" w:leftChars="-29" w:firstLine="514" w:firstLineChars="245"/>
        <w:rPr>
          <w:rFonts w:ascii="宋体" w:hAnsi="宋体"/>
          <w:color w:val="auto"/>
          <w:szCs w:val="21"/>
          <w:u w:val="single"/>
        </w:rPr>
      </w:pPr>
      <w:r>
        <w:rPr>
          <w:rFonts w:hint="eastAsia" w:ascii="宋体" w:hAnsi="宋体" w:cs="宋体"/>
          <w:color w:val="auto"/>
          <w:szCs w:val="21"/>
          <w:u w:val="none"/>
          <w:lang w:val="en-US" w:eastAsia="zh-CN"/>
        </w:rPr>
        <w:t>本项目不收取履约保证金</w:t>
      </w:r>
      <w:r>
        <w:rPr>
          <w:rFonts w:hint="eastAsia" w:ascii="宋体" w:hAnsi="宋体" w:cs="宋体"/>
          <w:color w:val="auto"/>
          <w:szCs w:val="21"/>
          <w:u w:val="none"/>
        </w:rPr>
        <w:t>。</w:t>
      </w:r>
    </w:p>
    <w:p w14:paraId="00CB0B3E">
      <w:pPr>
        <w:snapToGrid w:val="0"/>
        <w:spacing w:line="400" w:lineRule="exact"/>
        <w:ind w:left="-61" w:leftChars="-29" w:firstLine="517" w:firstLineChars="245"/>
        <w:rPr>
          <w:rFonts w:ascii="宋体" w:hAnsi="宋体"/>
          <w:color w:val="auto"/>
          <w:szCs w:val="21"/>
        </w:rPr>
      </w:pPr>
      <w:r>
        <w:rPr>
          <w:rFonts w:hint="eastAsia" w:ascii="宋体" w:hAnsi="宋体"/>
          <w:b/>
          <w:color w:val="auto"/>
          <w:szCs w:val="21"/>
        </w:rPr>
        <w:t>第七条</w:t>
      </w:r>
      <w:r>
        <w:rPr>
          <w:rFonts w:hint="eastAsia" w:ascii="宋体" w:hAnsi="宋体"/>
          <w:color w:val="auto"/>
          <w:szCs w:val="21"/>
        </w:rPr>
        <w:t xml:space="preserve">  违约责任</w:t>
      </w:r>
    </w:p>
    <w:p w14:paraId="6628248D">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乙方未按期限提交成果，每逾期一日乙方应向甲方支付合同总额10‰的违约金，逾期超过10日或者修订后再次提交的成果不符合约定的，甲方有权解除合同、没收履约保证金</w:t>
      </w:r>
      <w:r>
        <w:rPr>
          <w:rFonts w:hint="eastAsia" w:ascii="宋体" w:hAnsi="宋体"/>
          <w:color w:val="auto"/>
          <w:szCs w:val="21"/>
          <w:lang w:eastAsia="zh-CN"/>
        </w:rPr>
        <w:t>（如有）</w:t>
      </w:r>
      <w:r>
        <w:rPr>
          <w:rFonts w:hint="eastAsia" w:ascii="宋体" w:hAnsi="宋体"/>
          <w:color w:val="auto"/>
          <w:szCs w:val="21"/>
        </w:rPr>
        <w:t xml:space="preserve">并拒绝支付任何费用，已经支付的费用乙方应当全额退还（逾期退还的，按资金占用期间同期银行贷款利息的两倍支付利息），并且乙方应向甲方支付相当于合同金额30%的违约金，违约金不足以赔偿甲方损失的，乙方还须赔偿甲方全部损失。                                       </w:t>
      </w:r>
    </w:p>
    <w:p w14:paraId="35E41F6C">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乙方提供的成果如侵犯了第三方合法权益而引发的任何纠纷或诉讼，均由乙方负责交涉并承担全部责任，由此造成甲方损失的，包括但不限于应诉的律师费诉讼费等，均由乙方全部赔偿。</w:t>
      </w:r>
    </w:p>
    <w:p w14:paraId="28F1352E">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由于甲方的原因造成合同不能如期履行的，双方可根据具体情况顺延合同的履行期，对乙方因此遭受的实际损失，甲方应予以合理补偿。</w:t>
      </w:r>
    </w:p>
    <w:p w14:paraId="0E78FFA1">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乙方未按本合同和采购文件、响应中规定的服务承诺提供服务的，按照本条第1款执行。</w:t>
      </w:r>
    </w:p>
    <w:p w14:paraId="6281C6CA">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乙方成交后被发现其在竞标活动中提供任何虚假材料的，甲方有权解除合同，并按照本条第1款追究乙方违约责任。</w:t>
      </w:r>
    </w:p>
    <w:p w14:paraId="43FD1E05">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乙方违反本合同约定或法律规定的，应当赔偿给甲方造成的全部损失，包括但不限于直接损失、预期利益损失、甲方向第三人支付的违约金、赔偿金及甲方为索赔或应对第三方索赔而支出的诉讼费、律师费、公证费、保全费、担保费、鉴定费、评估费等全部费用。</w:t>
      </w:r>
    </w:p>
    <w:p w14:paraId="3BB38028">
      <w:pPr>
        <w:snapToGrid w:val="0"/>
        <w:spacing w:line="400" w:lineRule="exact"/>
        <w:ind w:left="-61" w:leftChars="-29" w:firstLine="517" w:firstLineChars="245"/>
        <w:rPr>
          <w:rFonts w:ascii="宋体" w:hAnsi="宋体"/>
          <w:color w:val="auto"/>
          <w:szCs w:val="21"/>
        </w:rPr>
      </w:pPr>
      <w:r>
        <w:rPr>
          <w:rFonts w:hint="eastAsia" w:ascii="宋体" w:hAnsi="宋体"/>
          <w:b/>
          <w:color w:val="auto"/>
          <w:szCs w:val="21"/>
        </w:rPr>
        <w:t>第八条</w:t>
      </w:r>
      <w:r>
        <w:rPr>
          <w:rFonts w:hint="eastAsia" w:ascii="宋体" w:hAnsi="宋体"/>
          <w:color w:val="auto"/>
          <w:szCs w:val="21"/>
        </w:rPr>
        <w:t xml:space="preserve">  不可抗力事件处理</w:t>
      </w:r>
    </w:p>
    <w:p w14:paraId="7B4C0C03">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本合同所称“不可抗力”系指双方在合同订立时不能预见、不能避免、不可控制的意外事故，例如（1）自然灾害、如台风、洪水、冰雹、地震、海啸、火灾、旱灾、大雪、山崩；（2）政府行为，如征收、征用、法令、政策；（3）社会异常事件，如罢工、骚乱等。</w:t>
      </w:r>
    </w:p>
    <w:p w14:paraId="322DD5E9">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若不可抗力发生使合同执行受阻，则合同执行时间根据受影响的时间相应延长，但合同价格不得调整。</w:t>
      </w:r>
    </w:p>
    <w:p w14:paraId="615F4B80">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如发生不可抗力，乙方应在不可抗力影响消除后48小时内通知甲方并应提供官方机构的证明文件。除非甲方另有书面指示，乙方应继续依可行方式及其他不受不可抗力制约的替代形式履行合同义务。</w:t>
      </w:r>
    </w:p>
    <w:p w14:paraId="2421AF7A">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任何因不可抗力所导致延误履行合同或不能履行合同，受阻方将不因此构成违约。</w:t>
      </w:r>
    </w:p>
    <w:p w14:paraId="0581E4E1">
      <w:pPr>
        <w:snapToGrid w:val="0"/>
        <w:spacing w:line="400" w:lineRule="exact"/>
        <w:ind w:left="-61" w:leftChars="-29" w:firstLine="514" w:firstLineChars="245"/>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在发生任何不可抗力的情况时，甲乙双方应尽力继续履行其合同中的义务，并尽力减小不可抗力所造成的损失，否则应对不可抗力所造成的扩大损失承担违约责任和赔偿责任。</w:t>
      </w:r>
    </w:p>
    <w:p w14:paraId="37AECFB5">
      <w:pPr>
        <w:snapToGrid w:val="0"/>
        <w:spacing w:line="400" w:lineRule="exact"/>
        <w:ind w:firstLine="413" w:firstLineChars="196"/>
        <w:rPr>
          <w:rFonts w:ascii="宋体" w:hAnsi="宋体"/>
          <w:color w:val="auto"/>
          <w:szCs w:val="21"/>
        </w:rPr>
      </w:pPr>
      <w:r>
        <w:rPr>
          <w:rFonts w:hint="eastAsia" w:ascii="宋体" w:hAnsi="宋体"/>
          <w:b/>
          <w:color w:val="auto"/>
          <w:szCs w:val="21"/>
        </w:rPr>
        <w:t>第九条</w:t>
      </w:r>
      <w:r>
        <w:rPr>
          <w:rFonts w:hint="eastAsia" w:ascii="宋体" w:hAnsi="宋体"/>
          <w:color w:val="auto"/>
          <w:szCs w:val="21"/>
        </w:rPr>
        <w:t xml:space="preserve">  合同争议解决</w:t>
      </w:r>
    </w:p>
    <w:p w14:paraId="0E581C60">
      <w:pPr>
        <w:snapToGrid w:val="0"/>
        <w:spacing w:line="400" w:lineRule="exact"/>
        <w:ind w:firstLine="411" w:firstLineChars="196"/>
        <w:rPr>
          <w:rFonts w:ascii="宋体" w:hAnsi="宋体"/>
          <w:color w:val="auto"/>
          <w:szCs w:val="21"/>
        </w:rPr>
      </w:pPr>
      <w:r>
        <w:rPr>
          <w:rFonts w:hint="eastAsia" w:ascii="宋体" w:hAnsi="宋体"/>
          <w:color w:val="auto"/>
          <w:szCs w:val="21"/>
        </w:rPr>
        <w:t>1.因履行本合同引起的或与本合同有关的争议，甲乙双方应首先通过友好协商解决，如果协商不能解决，可向甲方所在地人民法院提起诉讼。</w:t>
      </w:r>
    </w:p>
    <w:p w14:paraId="5351654A">
      <w:pPr>
        <w:snapToGrid w:val="0"/>
        <w:spacing w:line="400" w:lineRule="exact"/>
        <w:ind w:firstLine="411" w:firstLineChars="196"/>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诉讼期间，本合同无争议条款应继续履行，除非甲方同意或要求不履行。</w:t>
      </w:r>
    </w:p>
    <w:p w14:paraId="0CADBA69">
      <w:pPr>
        <w:snapToGrid w:val="0"/>
        <w:spacing w:line="400" w:lineRule="exact"/>
        <w:ind w:firstLine="413" w:firstLineChars="196"/>
        <w:rPr>
          <w:rFonts w:ascii="宋体" w:hAnsi="宋体"/>
          <w:color w:val="auto"/>
          <w:szCs w:val="21"/>
        </w:rPr>
      </w:pPr>
      <w:r>
        <w:rPr>
          <w:rFonts w:hint="eastAsia" w:ascii="宋体" w:hAnsi="宋体"/>
          <w:b/>
          <w:color w:val="auto"/>
          <w:szCs w:val="21"/>
        </w:rPr>
        <w:t>第十条</w:t>
      </w:r>
      <w:r>
        <w:rPr>
          <w:rFonts w:hint="eastAsia" w:ascii="宋体" w:hAnsi="宋体"/>
          <w:color w:val="auto"/>
          <w:szCs w:val="21"/>
        </w:rPr>
        <w:t xml:space="preserve">  合同生效及其它</w:t>
      </w:r>
    </w:p>
    <w:p w14:paraId="4DFF039E">
      <w:pPr>
        <w:snapToGrid w:val="0"/>
        <w:spacing w:line="400" w:lineRule="exact"/>
        <w:ind w:firstLine="411" w:firstLineChars="196"/>
        <w:rPr>
          <w:rFonts w:ascii="宋体" w:hAnsi="宋体"/>
          <w:color w:val="auto"/>
          <w:szCs w:val="21"/>
        </w:rPr>
      </w:pPr>
      <w:r>
        <w:rPr>
          <w:rFonts w:hint="eastAsia" w:ascii="宋体" w:hAnsi="宋体"/>
          <w:color w:val="auto"/>
          <w:szCs w:val="21"/>
        </w:rPr>
        <w:t>1.合同经双方法定代表人或授权委托代理人签字并加盖单位公章或合同专用章后，以最终签订日期为生效日期。</w:t>
      </w:r>
    </w:p>
    <w:p w14:paraId="7A5C73C4">
      <w:pPr>
        <w:snapToGrid w:val="0"/>
        <w:spacing w:line="400" w:lineRule="exact"/>
        <w:ind w:firstLine="411" w:firstLineChars="196"/>
        <w:rPr>
          <w:rFonts w:ascii="宋体" w:hAnsi="宋体"/>
          <w:color w:val="auto"/>
          <w:szCs w:val="21"/>
        </w:rPr>
      </w:pPr>
      <w:r>
        <w:rPr>
          <w:rFonts w:hint="eastAsia" w:ascii="宋体" w:hAnsi="宋体"/>
          <w:color w:val="auto"/>
          <w:szCs w:val="21"/>
        </w:rPr>
        <w:t>2.合同执行中涉及采购资金和采购内容修改或补充的，须经合同双方协商一致签订补充协议后作为主合同不可分割的一部分。</w:t>
      </w:r>
    </w:p>
    <w:p w14:paraId="61C5BE2C">
      <w:pPr>
        <w:snapToGrid w:val="0"/>
        <w:spacing w:line="400" w:lineRule="exact"/>
        <w:ind w:firstLine="413" w:firstLineChars="196"/>
        <w:rPr>
          <w:rFonts w:ascii="宋体" w:hAnsi="宋体"/>
          <w:color w:val="auto"/>
          <w:szCs w:val="21"/>
        </w:rPr>
      </w:pPr>
      <w:r>
        <w:rPr>
          <w:rFonts w:hint="eastAsia" w:ascii="宋体" w:hAnsi="宋体"/>
          <w:b/>
          <w:color w:val="auto"/>
          <w:szCs w:val="21"/>
        </w:rPr>
        <w:t>第十一条</w:t>
      </w:r>
      <w:r>
        <w:rPr>
          <w:rFonts w:hint="eastAsia" w:ascii="宋体" w:hAnsi="宋体"/>
          <w:color w:val="auto"/>
          <w:szCs w:val="21"/>
        </w:rPr>
        <w:t>　合同的变更、终止与转让</w:t>
      </w:r>
    </w:p>
    <w:p w14:paraId="2B6EC2D5">
      <w:pPr>
        <w:snapToGrid w:val="0"/>
        <w:spacing w:line="400" w:lineRule="exact"/>
        <w:ind w:firstLine="411" w:firstLineChars="196"/>
        <w:rPr>
          <w:rFonts w:ascii="宋体" w:hAnsi="宋体"/>
          <w:color w:val="auto"/>
          <w:szCs w:val="21"/>
        </w:rPr>
      </w:pPr>
      <w:r>
        <w:rPr>
          <w:rFonts w:hint="eastAsia" w:ascii="宋体" w:hAnsi="宋体"/>
          <w:color w:val="auto"/>
          <w:szCs w:val="21"/>
        </w:rPr>
        <w:t>1.除《中华人民共和国政府采购法》第五十条规定的情形外，本合同一经签订，甲乙双方不得擅自变更、中止或终止。</w:t>
      </w:r>
    </w:p>
    <w:p w14:paraId="45F7C841">
      <w:pPr>
        <w:snapToGrid w:val="0"/>
        <w:spacing w:line="400" w:lineRule="exact"/>
        <w:ind w:firstLine="411" w:firstLineChars="196"/>
        <w:rPr>
          <w:rFonts w:ascii="宋体" w:hAnsi="宋体"/>
          <w:color w:val="auto"/>
          <w:szCs w:val="21"/>
        </w:rPr>
      </w:pPr>
      <w:r>
        <w:rPr>
          <w:rFonts w:hint="eastAsia" w:ascii="宋体" w:hAnsi="宋体"/>
          <w:color w:val="auto"/>
          <w:szCs w:val="21"/>
        </w:rPr>
        <w:t>2.未经甲方书面同意，乙方不得擅自转让本合同权利义务，不得转包分包服务内容，否则按第七条解除合同并违约处罚。</w:t>
      </w:r>
    </w:p>
    <w:p w14:paraId="5851968D">
      <w:pPr>
        <w:snapToGrid w:val="0"/>
        <w:spacing w:line="400" w:lineRule="exact"/>
        <w:ind w:firstLine="411" w:firstLineChars="196"/>
        <w:rPr>
          <w:rFonts w:ascii="宋体" w:hAnsi="宋体"/>
          <w:color w:val="auto"/>
          <w:szCs w:val="21"/>
        </w:rPr>
      </w:pPr>
      <w:r>
        <w:rPr>
          <w:rFonts w:hint="eastAsia" w:ascii="宋体" w:hAnsi="宋体"/>
          <w:color w:val="auto"/>
          <w:szCs w:val="21"/>
        </w:rPr>
        <w:t>3.合同执行中涉及采购资金和采购内容修改或补充的，须经双方协商一致，并签书面补充协议，方可作为主合同不可分割的一部分。</w:t>
      </w:r>
    </w:p>
    <w:p w14:paraId="0793DF55">
      <w:pPr>
        <w:snapToGrid w:val="0"/>
        <w:spacing w:line="400" w:lineRule="exact"/>
        <w:ind w:firstLine="411" w:firstLineChars="196"/>
        <w:rPr>
          <w:rFonts w:ascii="宋体" w:hAnsi="宋体"/>
          <w:color w:val="auto"/>
          <w:szCs w:val="21"/>
        </w:rPr>
      </w:pPr>
      <w:r>
        <w:rPr>
          <w:rFonts w:hint="eastAsia" w:ascii="宋体" w:hAnsi="宋体"/>
          <w:color w:val="auto"/>
          <w:szCs w:val="21"/>
        </w:rPr>
        <w:t>4.本合同未尽事宜，遵照《中华人民共和国民法典》有关条文执行。</w:t>
      </w:r>
    </w:p>
    <w:p w14:paraId="10C98291">
      <w:pPr>
        <w:snapToGrid w:val="0"/>
        <w:spacing w:line="400" w:lineRule="exact"/>
        <w:ind w:firstLine="422" w:firstLineChars="200"/>
        <w:rPr>
          <w:rFonts w:ascii="宋体" w:hAnsi="宋体"/>
          <w:b/>
          <w:bCs/>
          <w:color w:val="auto"/>
          <w:kern w:val="0"/>
          <w:szCs w:val="21"/>
        </w:rPr>
      </w:pPr>
      <w:r>
        <w:rPr>
          <w:rFonts w:hint="eastAsia" w:ascii="宋体" w:hAnsi="宋体"/>
          <w:b/>
          <w:color w:val="auto"/>
          <w:szCs w:val="21"/>
        </w:rPr>
        <w:t>第十二条　</w:t>
      </w:r>
      <w:r>
        <w:rPr>
          <w:rFonts w:hint="eastAsia" w:ascii="宋体" w:hAnsi="宋体"/>
          <w:b/>
          <w:bCs/>
          <w:color w:val="auto"/>
          <w:kern w:val="0"/>
          <w:szCs w:val="21"/>
        </w:rPr>
        <w:t>合同组成及解释</w:t>
      </w:r>
    </w:p>
    <w:p w14:paraId="259ACB36">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本项目的采购文件（含采购答疑）、符合采购要求的竞标文件、甲方确认采购要求、本合同履行过程中双方签章确认的合同或其他文件均为本合同的组成部分，若合同组成文件之间发生矛盾的，以下排列顺序为合同组成文件之间的优先解释顺序：</w:t>
      </w:r>
    </w:p>
    <w:p w14:paraId="7231D7F4">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（1）竞争性磋商文件（含澄清或者修改文件）；</w:t>
      </w:r>
    </w:p>
    <w:p w14:paraId="6814C812">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（2）乙方响应文件（含澄清或者说明文件）；</w:t>
      </w:r>
    </w:p>
    <w:p w14:paraId="3CE798F7">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（3）成交通知书；</w:t>
      </w:r>
    </w:p>
    <w:p w14:paraId="728E27E0">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（4）本合同及其补充合同、变更协议；</w:t>
      </w:r>
    </w:p>
    <w:p w14:paraId="15EE911A">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（5）其他相关合同文件。</w:t>
      </w:r>
    </w:p>
    <w:p w14:paraId="7D3148B9">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0590FB3A">
      <w:pPr>
        <w:snapToGrid w:val="0"/>
        <w:spacing w:line="400" w:lineRule="exact"/>
        <w:ind w:firstLine="420" w:firstLineChars="200"/>
        <w:rPr>
          <w:rFonts w:ascii="宋体" w:hAnsi="宋体"/>
          <w:b/>
          <w:color w:val="auto"/>
          <w:kern w:val="0"/>
          <w:szCs w:val="21"/>
        </w:rPr>
      </w:pPr>
      <w:r>
        <w:rPr>
          <w:rFonts w:hint="eastAsia" w:ascii="宋体" w:hAnsi="宋体"/>
          <w:color w:val="auto"/>
          <w:kern w:val="0"/>
          <w:szCs w:val="21"/>
        </w:rPr>
        <w:t>3.前述各项文件包括双方就该合同组成文件所作出的补充和修改，属于同一项文件的，应以最新签署的为准。</w:t>
      </w:r>
    </w:p>
    <w:p w14:paraId="2E5D60DB">
      <w:pPr>
        <w:snapToGrid w:val="0"/>
        <w:spacing w:line="400" w:lineRule="exact"/>
        <w:ind w:firstLine="422" w:firstLineChars="200"/>
        <w:rPr>
          <w:rFonts w:ascii="宋体" w:hAnsi="宋体"/>
          <w:bCs/>
          <w:color w:val="auto"/>
          <w:szCs w:val="21"/>
        </w:rPr>
      </w:pPr>
      <w:r>
        <w:rPr>
          <w:rFonts w:hint="eastAsia" w:ascii="宋体" w:hAnsi="宋体"/>
          <w:b/>
          <w:color w:val="auto"/>
          <w:szCs w:val="21"/>
        </w:rPr>
        <w:t>第十三条　通知与送达</w:t>
      </w:r>
    </w:p>
    <w:p w14:paraId="299E6587">
      <w:pPr>
        <w:snapToGrid w:val="0"/>
        <w:spacing w:line="400" w:lineRule="exact"/>
        <w:ind w:firstLine="420" w:firstLineChars="200"/>
        <w:rPr>
          <w:rFonts w:ascii="宋体" w:hAnsi="宋体"/>
          <w:bCs/>
          <w:color w:val="auto"/>
          <w:szCs w:val="21"/>
        </w:rPr>
      </w:pPr>
      <w:r>
        <w:rPr>
          <w:rFonts w:hint="eastAsia" w:ascii="宋体" w:hAnsi="宋体"/>
          <w:bCs/>
          <w:color w:val="auto"/>
          <w:szCs w:val="21"/>
        </w:rPr>
        <w:t>1.本合同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7D6AA251">
      <w:pPr>
        <w:snapToGrid w:val="0"/>
        <w:spacing w:line="400" w:lineRule="exact"/>
        <w:ind w:firstLine="420" w:firstLineChars="200"/>
        <w:rPr>
          <w:rFonts w:ascii="宋体" w:hAnsi="宋体"/>
          <w:bCs/>
          <w:color w:val="auto"/>
          <w:szCs w:val="21"/>
        </w:rPr>
      </w:pPr>
      <w:r>
        <w:rPr>
          <w:rFonts w:hint="eastAsia" w:ascii="宋体" w:hAnsi="宋体"/>
          <w:bCs/>
          <w:color w:val="auto"/>
          <w:szCs w:val="21"/>
        </w:rPr>
        <w:t>2.任何一方当事人向对/他方所发出的通知或请求送达时间：</w:t>
      </w:r>
    </w:p>
    <w:p w14:paraId="1F610993">
      <w:pPr>
        <w:snapToGrid w:val="0"/>
        <w:spacing w:line="400" w:lineRule="exact"/>
        <w:ind w:firstLine="420" w:firstLineChars="200"/>
        <w:rPr>
          <w:rFonts w:ascii="宋体" w:hAnsi="宋体"/>
          <w:bCs/>
          <w:color w:val="auto"/>
          <w:szCs w:val="21"/>
        </w:rPr>
      </w:pPr>
      <w:r>
        <w:rPr>
          <w:rFonts w:hint="eastAsia" w:ascii="宋体" w:hAnsi="宋体"/>
          <w:bCs/>
          <w:color w:val="auto"/>
          <w:szCs w:val="21"/>
        </w:rPr>
        <w:t>（1）如果是传真，则在发送当日视为送达；</w:t>
      </w:r>
    </w:p>
    <w:p w14:paraId="37B6DD49">
      <w:pPr>
        <w:snapToGrid w:val="0"/>
        <w:spacing w:line="400" w:lineRule="exact"/>
        <w:ind w:firstLine="420" w:firstLineChars="200"/>
        <w:rPr>
          <w:rFonts w:ascii="宋体" w:hAnsi="宋体"/>
          <w:bCs/>
          <w:color w:val="auto"/>
          <w:szCs w:val="21"/>
        </w:rPr>
      </w:pPr>
      <w:r>
        <w:rPr>
          <w:rFonts w:hint="eastAsia" w:ascii="宋体" w:hAnsi="宋体"/>
          <w:bCs/>
          <w:color w:val="auto"/>
          <w:szCs w:val="21"/>
        </w:rPr>
        <w:t>（2）如果是短信/微信/电子邮件，自电子文件内容在发送方正确填写地址且未被系统退回的情况下，进入对方数据电文接收系统当日视为送达。</w:t>
      </w:r>
    </w:p>
    <w:p w14:paraId="3CDA29A3">
      <w:pPr>
        <w:snapToGrid w:val="0"/>
        <w:spacing w:line="400" w:lineRule="exact"/>
        <w:ind w:firstLine="420" w:firstLineChars="200"/>
        <w:rPr>
          <w:rFonts w:ascii="宋体" w:hAnsi="宋体"/>
          <w:bCs/>
          <w:color w:val="auto"/>
          <w:szCs w:val="21"/>
        </w:rPr>
      </w:pPr>
      <w:r>
        <w:rPr>
          <w:rFonts w:hint="eastAsia" w:ascii="宋体" w:hAnsi="宋体"/>
          <w:bCs/>
          <w:color w:val="auto"/>
          <w:szCs w:val="21"/>
        </w:rPr>
        <w:t>（3）如果是信函，在挂号信交邮后第三日视为送达；</w:t>
      </w:r>
    </w:p>
    <w:p w14:paraId="5C9A969B">
      <w:pPr>
        <w:snapToGrid w:val="0"/>
        <w:spacing w:line="400" w:lineRule="exact"/>
        <w:ind w:firstLine="420" w:firstLineChars="200"/>
        <w:rPr>
          <w:rFonts w:ascii="宋体" w:hAnsi="宋体"/>
          <w:bCs/>
          <w:color w:val="auto"/>
          <w:szCs w:val="21"/>
        </w:rPr>
      </w:pPr>
      <w:r>
        <w:rPr>
          <w:rFonts w:hint="eastAsia" w:ascii="宋体" w:hAnsi="宋体"/>
          <w:bCs/>
          <w:color w:val="auto"/>
          <w:szCs w:val="21"/>
        </w:rPr>
        <w:t>（4）如果是派人专程送达，则在收件人签收之日视为收到；</w:t>
      </w:r>
    </w:p>
    <w:p w14:paraId="595A5468">
      <w:pPr>
        <w:snapToGrid w:val="0"/>
        <w:spacing w:line="400" w:lineRule="exact"/>
        <w:ind w:firstLine="420" w:firstLineChars="200"/>
        <w:rPr>
          <w:rFonts w:ascii="宋体" w:hAnsi="宋体"/>
          <w:bCs/>
          <w:color w:val="auto"/>
          <w:szCs w:val="21"/>
        </w:rPr>
      </w:pPr>
      <w:r>
        <w:rPr>
          <w:rFonts w:hint="eastAsia" w:ascii="宋体" w:hAnsi="宋体"/>
          <w:bCs/>
          <w:color w:val="auto"/>
          <w:szCs w:val="21"/>
        </w:rPr>
        <w:t>（5）如果同时使用几种通知方式的，以其中较快到达接收方者为准。</w:t>
      </w:r>
    </w:p>
    <w:p w14:paraId="411BE77E">
      <w:pPr>
        <w:snapToGrid w:val="0"/>
        <w:spacing w:line="400" w:lineRule="exact"/>
        <w:ind w:firstLine="420" w:firstLineChars="200"/>
        <w:rPr>
          <w:rFonts w:ascii="宋体" w:hAnsi="宋体"/>
          <w:bCs/>
          <w:color w:val="auto"/>
          <w:szCs w:val="21"/>
        </w:rPr>
      </w:pPr>
      <w:r>
        <w:rPr>
          <w:rFonts w:hint="eastAsia" w:ascii="宋体" w:hAnsi="宋体"/>
          <w:bCs/>
          <w:color w:val="auto"/>
          <w:szCs w:val="21"/>
        </w:rPr>
        <w:t>（6）若送达日为非工作日,则视为在下一工作日送达。</w:t>
      </w:r>
    </w:p>
    <w:p w14:paraId="1C36BDA6">
      <w:pPr>
        <w:snapToGrid w:val="0"/>
        <w:spacing w:line="400" w:lineRule="exact"/>
        <w:ind w:firstLine="420" w:firstLineChars="200"/>
        <w:rPr>
          <w:rFonts w:ascii="宋体" w:hAnsi="宋体"/>
          <w:bCs/>
          <w:color w:val="auto"/>
          <w:szCs w:val="21"/>
        </w:rPr>
      </w:pPr>
      <w:r>
        <w:rPr>
          <w:rFonts w:hint="eastAsia" w:ascii="宋体" w:hAnsi="宋体"/>
          <w:bCs/>
          <w:color w:val="auto"/>
          <w:szCs w:val="21"/>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7E2E7885">
      <w:pPr>
        <w:snapToGrid w:val="0"/>
        <w:spacing w:line="400" w:lineRule="exact"/>
        <w:ind w:firstLine="420" w:firstLineChars="200"/>
        <w:rPr>
          <w:rFonts w:ascii="宋体" w:hAnsi="宋体"/>
          <w:b/>
          <w:color w:val="auto"/>
          <w:szCs w:val="21"/>
        </w:rPr>
      </w:pPr>
      <w:r>
        <w:rPr>
          <w:rFonts w:hint="eastAsia" w:ascii="宋体" w:hAnsi="宋体"/>
          <w:bCs/>
          <w:color w:val="auto"/>
          <w:szCs w:val="21"/>
        </w:rPr>
        <w:t>4.合同送达条款与争议解决条款均为独立条款，不受合同整体或其他条款的效力的影响。</w:t>
      </w:r>
    </w:p>
    <w:p w14:paraId="5BD93529">
      <w:pPr>
        <w:snapToGrid w:val="0"/>
        <w:spacing w:line="400" w:lineRule="exact"/>
        <w:ind w:firstLine="413" w:firstLineChars="196"/>
        <w:rPr>
          <w:rFonts w:ascii="宋体" w:hAnsi="宋体"/>
          <w:color w:val="auto"/>
          <w:szCs w:val="21"/>
        </w:rPr>
      </w:pPr>
      <w:r>
        <w:rPr>
          <w:rFonts w:hint="eastAsia" w:ascii="宋体" w:hAnsi="宋体"/>
          <w:b/>
          <w:color w:val="auto"/>
          <w:szCs w:val="21"/>
        </w:rPr>
        <w:t xml:space="preserve">第十四条  </w:t>
      </w:r>
      <w:r>
        <w:rPr>
          <w:rFonts w:hint="eastAsia" w:ascii="宋体" w:hAnsi="宋体"/>
          <w:color w:val="auto"/>
          <w:szCs w:val="21"/>
        </w:rPr>
        <w:t>本合同一式五份，具有同等法律效力，甲方二份，乙方二份，采购代理机构一份。</w:t>
      </w:r>
    </w:p>
    <w:tbl>
      <w:tblPr>
        <w:tblStyle w:val="25"/>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7"/>
        <w:gridCol w:w="4548"/>
      </w:tblGrid>
      <w:tr w14:paraId="05E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47" w:type="dxa"/>
            <w:vAlign w:val="center"/>
          </w:tcPr>
          <w:p w14:paraId="56585214">
            <w:pPr>
              <w:snapToGrid w:val="0"/>
              <w:spacing w:line="400" w:lineRule="exact"/>
              <w:rPr>
                <w:rFonts w:ascii="宋体" w:hAnsi="宋体"/>
                <w:color w:val="auto"/>
                <w:szCs w:val="21"/>
              </w:rPr>
            </w:pPr>
            <w:r>
              <w:rPr>
                <w:rFonts w:hint="eastAsia" w:ascii="宋体" w:hAnsi="宋体"/>
                <w:color w:val="auto"/>
                <w:szCs w:val="21"/>
              </w:rPr>
              <w:t xml:space="preserve">甲方（章）           </w:t>
            </w:r>
          </w:p>
          <w:p w14:paraId="021E8DB7">
            <w:pPr>
              <w:snapToGrid w:val="0"/>
              <w:spacing w:line="400" w:lineRule="exact"/>
              <w:rPr>
                <w:rFonts w:ascii="宋体" w:hAnsi="宋体"/>
                <w:color w:val="auto"/>
                <w:szCs w:val="21"/>
              </w:rPr>
            </w:pPr>
          </w:p>
          <w:p w14:paraId="1E14797D">
            <w:pPr>
              <w:snapToGrid w:val="0"/>
              <w:spacing w:line="40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548" w:type="dxa"/>
            <w:vAlign w:val="center"/>
          </w:tcPr>
          <w:p w14:paraId="3D7ED175">
            <w:pPr>
              <w:snapToGrid w:val="0"/>
              <w:spacing w:line="400" w:lineRule="exact"/>
              <w:rPr>
                <w:rFonts w:ascii="宋体" w:hAnsi="宋体"/>
                <w:color w:val="auto"/>
                <w:szCs w:val="21"/>
              </w:rPr>
            </w:pPr>
            <w:r>
              <w:rPr>
                <w:rFonts w:hint="eastAsia" w:ascii="宋体" w:hAnsi="宋体"/>
                <w:color w:val="auto"/>
                <w:szCs w:val="21"/>
              </w:rPr>
              <w:t xml:space="preserve">乙方（章）              </w:t>
            </w:r>
          </w:p>
          <w:p w14:paraId="3C74766B">
            <w:pPr>
              <w:snapToGrid w:val="0"/>
              <w:spacing w:line="400" w:lineRule="exact"/>
              <w:rPr>
                <w:rFonts w:ascii="宋体" w:hAnsi="宋体"/>
                <w:color w:val="auto"/>
                <w:szCs w:val="21"/>
              </w:rPr>
            </w:pPr>
          </w:p>
          <w:p w14:paraId="5AA71E3F">
            <w:pPr>
              <w:snapToGrid w:val="0"/>
              <w:spacing w:line="400" w:lineRule="exact"/>
              <w:jc w:val="right"/>
              <w:rPr>
                <w:rFonts w:ascii="宋体" w:hAnsi="宋体"/>
                <w:color w:val="auto"/>
                <w:szCs w:val="21"/>
              </w:rPr>
            </w:pPr>
            <w:r>
              <w:rPr>
                <w:rFonts w:hint="eastAsia" w:ascii="宋体" w:hAnsi="宋体"/>
                <w:color w:val="auto"/>
                <w:szCs w:val="21"/>
              </w:rPr>
              <w:t xml:space="preserve"> 年   月   日</w:t>
            </w:r>
          </w:p>
        </w:tc>
      </w:tr>
      <w:tr w14:paraId="0843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vAlign w:val="center"/>
          </w:tcPr>
          <w:p w14:paraId="2B553645">
            <w:pPr>
              <w:snapToGrid w:val="0"/>
              <w:spacing w:line="400" w:lineRule="exact"/>
              <w:rPr>
                <w:rFonts w:ascii="宋体" w:hAnsi="宋体"/>
                <w:color w:val="auto"/>
                <w:szCs w:val="21"/>
              </w:rPr>
            </w:pPr>
            <w:r>
              <w:rPr>
                <w:rFonts w:hint="eastAsia" w:ascii="宋体" w:hAnsi="宋体"/>
                <w:color w:val="auto"/>
                <w:szCs w:val="21"/>
              </w:rPr>
              <w:t>单位地址：</w:t>
            </w:r>
          </w:p>
        </w:tc>
        <w:tc>
          <w:tcPr>
            <w:tcW w:w="4548" w:type="dxa"/>
            <w:vAlign w:val="center"/>
          </w:tcPr>
          <w:p w14:paraId="55B4BEFE">
            <w:pPr>
              <w:snapToGrid w:val="0"/>
              <w:spacing w:line="400" w:lineRule="exact"/>
              <w:rPr>
                <w:rFonts w:ascii="宋体" w:hAnsi="宋体"/>
                <w:color w:val="auto"/>
                <w:szCs w:val="21"/>
              </w:rPr>
            </w:pPr>
            <w:r>
              <w:rPr>
                <w:rFonts w:hint="eastAsia" w:ascii="宋体" w:hAnsi="宋体"/>
                <w:color w:val="auto"/>
                <w:szCs w:val="21"/>
              </w:rPr>
              <w:t>单位地址：</w:t>
            </w:r>
          </w:p>
        </w:tc>
      </w:tr>
      <w:tr w14:paraId="6716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vAlign w:val="center"/>
          </w:tcPr>
          <w:p w14:paraId="2684BE11">
            <w:pPr>
              <w:snapToGrid w:val="0"/>
              <w:spacing w:line="400" w:lineRule="exact"/>
              <w:rPr>
                <w:rFonts w:ascii="宋体" w:hAnsi="宋体"/>
                <w:color w:val="auto"/>
                <w:szCs w:val="21"/>
              </w:rPr>
            </w:pPr>
            <w:r>
              <w:rPr>
                <w:rFonts w:hint="eastAsia" w:ascii="宋体" w:hAnsi="宋体"/>
                <w:color w:val="auto"/>
                <w:szCs w:val="21"/>
              </w:rPr>
              <w:t>法定代表人：</w:t>
            </w:r>
          </w:p>
        </w:tc>
        <w:tc>
          <w:tcPr>
            <w:tcW w:w="4548" w:type="dxa"/>
            <w:vAlign w:val="center"/>
          </w:tcPr>
          <w:p w14:paraId="2D7648B7">
            <w:pPr>
              <w:snapToGrid w:val="0"/>
              <w:spacing w:line="400" w:lineRule="exact"/>
              <w:rPr>
                <w:rFonts w:ascii="宋体" w:hAnsi="宋体"/>
                <w:color w:val="auto"/>
                <w:szCs w:val="21"/>
              </w:rPr>
            </w:pPr>
            <w:r>
              <w:rPr>
                <w:rFonts w:hint="eastAsia" w:ascii="宋体" w:hAnsi="宋体"/>
                <w:color w:val="auto"/>
                <w:szCs w:val="21"/>
              </w:rPr>
              <w:t>法定代表人：</w:t>
            </w:r>
          </w:p>
        </w:tc>
      </w:tr>
      <w:tr w14:paraId="5D6C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tcPr>
          <w:p w14:paraId="6EC57F67">
            <w:pPr>
              <w:snapToGrid w:val="0"/>
              <w:spacing w:line="400" w:lineRule="exact"/>
              <w:rPr>
                <w:rFonts w:ascii="宋体" w:hAnsi="宋体"/>
                <w:color w:val="auto"/>
                <w:szCs w:val="21"/>
              </w:rPr>
            </w:pPr>
            <w:r>
              <w:rPr>
                <w:rFonts w:hint="eastAsia" w:ascii="宋体" w:hAnsi="宋体"/>
                <w:color w:val="auto"/>
                <w:szCs w:val="21"/>
              </w:rPr>
              <w:t>委托代理人：</w:t>
            </w:r>
          </w:p>
        </w:tc>
        <w:tc>
          <w:tcPr>
            <w:tcW w:w="4548" w:type="dxa"/>
            <w:vAlign w:val="center"/>
          </w:tcPr>
          <w:p w14:paraId="383590F5">
            <w:pPr>
              <w:snapToGrid w:val="0"/>
              <w:spacing w:line="400" w:lineRule="exact"/>
              <w:rPr>
                <w:rFonts w:ascii="宋体" w:hAnsi="宋体"/>
                <w:color w:val="auto"/>
                <w:szCs w:val="21"/>
              </w:rPr>
            </w:pPr>
            <w:r>
              <w:rPr>
                <w:rFonts w:hint="eastAsia" w:ascii="宋体" w:hAnsi="宋体"/>
                <w:color w:val="auto"/>
                <w:szCs w:val="21"/>
              </w:rPr>
              <w:t>委托代理人：</w:t>
            </w:r>
          </w:p>
        </w:tc>
      </w:tr>
      <w:tr w14:paraId="0CA2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vAlign w:val="center"/>
          </w:tcPr>
          <w:p w14:paraId="087C91B1">
            <w:pPr>
              <w:snapToGrid w:val="0"/>
              <w:spacing w:line="400" w:lineRule="exact"/>
              <w:rPr>
                <w:rFonts w:ascii="宋体" w:hAnsi="宋体"/>
                <w:color w:val="auto"/>
                <w:szCs w:val="21"/>
              </w:rPr>
            </w:pPr>
            <w:r>
              <w:rPr>
                <w:rFonts w:hint="eastAsia" w:ascii="宋体" w:hAnsi="宋体"/>
                <w:color w:val="auto"/>
                <w:szCs w:val="21"/>
              </w:rPr>
              <w:t>电话：</w:t>
            </w:r>
          </w:p>
        </w:tc>
        <w:tc>
          <w:tcPr>
            <w:tcW w:w="4548" w:type="dxa"/>
            <w:vAlign w:val="center"/>
          </w:tcPr>
          <w:p w14:paraId="50F492FF">
            <w:pPr>
              <w:snapToGrid w:val="0"/>
              <w:spacing w:line="400" w:lineRule="exact"/>
              <w:rPr>
                <w:rFonts w:ascii="宋体" w:hAnsi="宋体"/>
                <w:color w:val="auto"/>
                <w:szCs w:val="21"/>
              </w:rPr>
            </w:pPr>
            <w:r>
              <w:rPr>
                <w:rFonts w:hint="eastAsia" w:ascii="宋体" w:hAnsi="宋体"/>
                <w:color w:val="auto"/>
                <w:szCs w:val="21"/>
              </w:rPr>
              <w:t>电话：</w:t>
            </w:r>
          </w:p>
        </w:tc>
      </w:tr>
      <w:tr w14:paraId="43EE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vAlign w:val="center"/>
          </w:tcPr>
          <w:p w14:paraId="129450CD">
            <w:pPr>
              <w:snapToGrid w:val="0"/>
              <w:spacing w:line="400" w:lineRule="exact"/>
              <w:rPr>
                <w:rFonts w:ascii="宋体" w:hAnsi="宋体"/>
                <w:color w:val="auto"/>
                <w:szCs w:val="21"/>
              </w:rPr>
            </w:pPr>
            <w:r>
              <w:rPr>
                <w:rFonts w:hint="eastAsia" w:ascii="宋体" w:hAnsi="宋体"/>
                <w:color w:val="auto"/>
                <w:szCs w:val="21"/>
              </w:rPr>
              <w:t>电子邮箱：</w:t>
            </w:r>
          </w:p>
        </w:tc>
        <w:tc>
          <w:tcPr>
            <w:tcW w:w="4548" w:type="dxa"/>
            <w:vAlign w:val="center"/>
          </w:tcPr>
          <w:p w14:paraId="485D972B">
            <w:pPr>
              <w:snapToGrid w:val="0"/>
              <w:spacing w:line="400" w:lineRule="exact"/>
              <w:rPr>
                <w:rFonts w:ascii="宋体" w:hAnsi="宋体"/>
                <w:color w:val="auto"/>
                <w:szCs w:val="21"/>
              </w:rPr>
            </w:pPr>
            <w:r>
              <w:rPr>
                <w:rFonts w:hint="eastAsia" w:ascii="宋体" w:hAnsi="宋体"/>
                <w:color w:val="auto"/>
                <w:szCs w:val="21"/>
              </w:rPr>
              <w:t>电子邮箱：</w:t>
            </w:r>
          </w:p>
        </w:tc>
      </w:tr>
      <w:tr w14:paraId="015A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vAlign w:val="center"/>
          </w:tcPr>
          <w:p w14:paraId="41268DA9">
            <w:pPr>
              <w:snapToGrid w:val="0"/>
              <w:spacing w:line="400" w:lineRule="exact"/>
              <w:rPr>
                <w:rFonts w:ascii="宋体" w:hAnsi="宋体"/>
                <w:color w:val="auto"/>
                <w:szCs w:val="21"/>
              </w:rPr>
            </w:pPr>
            <w:r>
              <w:rPr>
                <w:rFonts w:hint="eastAsia" w:ascii="宋体" w:hAnsi="宋体"/>
                <w:color w:val="auto"/>
                <w:szCs w:val="21"/>
              </w:rPr>
              <w:t>开户银行：</w:t>
            </w:r>
          </w:p>
        </w:tc>
        <w:tc>
          <w:tcPr>
            <w:tcW w:w="4548" w:type="dxa"/>
            <w:vAlign w:val="center"/>
          </w:tcPr>
          <w:p w14:paraId="36D1FB7E">
            <w:pPr>
              <w:snapToGrid w:val="0"/>
              <w:spacing w:line="400" w:lineRule="exact"/>
              <w:rPr>
                <w:rFonts w:ascii="宋体" w:hAnsi="宋体"/>
                <w:color w:val="auto"/>
                <w:szCs w:val="21"/>
              </w:rPr>
            </w:pPr>
            <w:r>
              <w:rPr>
                <w:rFonts w:hint="eastAsia" w:ascii="宋体" w:hAnsi="宋体"/>
                <w:color w:val="auto"/>
                <w:szCs w:val="21"/>
              </w:rPr>
              <w:t>开户银行：</w:t>
            </w:r>
          </w:p>
        </w:tc>
      </w:tr>
      <w:tr w14:paraId="6DBE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vAlign w:val="center"/>
          </w:tcPr>
          <w:p w14:paraId="16F88139">
            <w:pPr>
              <w:snapToGrid w:val="0"/>
              <w:spacing w:line="400" w:lineRule="exact"/>
              <w:rPr>
                <w:rFonts w:ascii="宋体" w:hAnsi="宋体"/>
                <w:color w:val="auto"/>
                <w:szCs w:val="21"/>
              </w:rPr>
            </w:pPr>
            <w:r>
              <w:rPr>
                <w:rFonts w:hint="eastAsia" w:ascii="宋体" w:hAnsi="宋体"/>
                <w:color w:val="auto"/>
                <w:szCs w:val="21"/>
              </w:rPr>
              <w:t>账号：</w:t>
            </w:r>
          </w:p>
        </w:tc>
        <w:tc>
          <w:tcPr>
            <w:tcW w:w="4548" w:type="dxa"/>
            <w:vAlign w:val="center"/>
          </w:tcPr>
          <w:p w14:paraId="7770EFC7">
            <w:pPr>
              <w:snapToGrid w:val="0"/>
              <w:spacing w:line="400" w:lineRule="exact"/>
              <w:rPr>
                <w:rFonts w:ascii="宋体" w:hAnsi="宋体"/>
                <w:color w:val="auto"/>
                <w:szCs w:val="21"/>
              </w:rPr>
            </w:pPr>
            <w:r>
              <w:rPr>
                <w:rFonts w:hint="eastAsia" w:ascii="宋体" w:hAnsi="宋体"/>
                <w:color w:val="auto"/>
                <w:szCs w:val="21"/>
              </w:rPr>
              <w:t>账号：</w:t>
            </w:r>
          </w:p>
        </w:tc>
      </w:tr>
      <w:tr w14:paraId="41DB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vAlign w:val="center"/>
          </w:tcPr>
          <w:p w14:paraId="7C7D1784">
            <w:pPr>
              <w:snapToGrid w:val="0"/>
              <w:spacing w:line="400" w:lineRule="exact"/>
              <w:rPr>
                <w:rFonts w:ascii="宋体" w:hAnsi="宋体"/>
                <w:color w:val="auto"/>
                <w:szCs w:val="21"/>
              </w:rPr>
            </w:pPr>
            <w:r>
              <w:rPr>
                <w:rFonts w:hint="eastAsia" w:ascii="宋体" w:hAnsi="宋体"/>
                <w:color w:val="auto"/>
                <w:szCs w:val="21"/>
              </w:rPr>
              <w:t>纳税人识别号或统一社会信用代码：</w:t>
            </w:r>
          </w:p>
        </w:tc>
        <w:tc>
          <w:tcPr>
            <w:tcW w:w="4548" w:type="dxa"/>
            <w:vAlign w:val="center"/>
          </w:tcPr>
          <w:p w14:paraId="5DEE2ED6">
            <w:pPr>
              <w:snapToGrid w:val="0"/>
              <w:spacing w:line="400" w:lineRule="exact"/>
              <w:rPr>
                <w:rFonts w:ascii="宋体" w:hAnsi="宋体"/>
                <w:color w:val="auto"/>
                <w:szCs w:val="21"/>
              </w:rPr>
            </w:pPr>
            <w:r>
              <w:rPr>
                <w:rFonts w:hint="eastAsia" w:ascii="宋体" w:hAnsi="宋体"/>
                <w:color w:val="auto"/>
                <w:szCs w:val="21"/>
              </w:rPr>
              <w:t>纳税人识别号或统一社会信用代码：</w:t>
            </w:r>
          </w:p>
        </w:tc>
      </w:tr>
      <w:tr w14:paraId="4F13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47" w:type="dxa"/>
            <w:vAlign w:val="center"/>
          </w:tcPr>
          <w:p w14:paraId="07181E4E">
            <w:pPr>
              <w:snapToGrid w:val="0"/>
              <w:spacing w:line="400" w:lineRule="exact"/>
              <w:rPr>
                <w:rFonts w:ascii="宋体" w:hAnsi="宋体"/>
                <w:color w:val="auto"/>
                <w:szCs w:val="21"/>
              </w:rPr>
            </w:pPr>
            <w:r>
              <w:rPr>
                <w:rFonts w:hint="eastAsia" w:ascii="宋体" w:hAnsi="宋体"/>
                <w:color w:val="auto"/>
                <w:szCs w:val="21"/>
              </w:rPr>
              <w:t>邮政编码：</w:t>
            </w:r>
          </w:p>
        </w:tc>
        <w:tc>
          <w:tcPr>
            <w:tcW w:w="4548" w:type="dxa"/>
            <w:vAlign w:val="center"/>
          </w:tcPr>
          <w:p w14:paraId="27B40380">
            <w:pPr>
              <w:snapToGrid w:val="0"/>
              <w:spacing w:line="400" w:lineRule="exact"/>
              <w:rPr>
                <w:rFonts w:ascii="宋体" w:hAnsi="宋体"/>
                <w:color w:val="auto"/>
                <w:szCs w:val="21"/>
              </w:rPr>
            </w:pPr>
            <w:r>
              <w:rPr>
                <w:rFonts w:hint="eastAsia" w:ascii="宋体" w:hAnsi="宋体"/>
                <w:color w:val="auto"/>
                <w:szCs w:val="21"/>
              </w:rPr>
              <w:t>邮政编码：</w:t>
            </w:r>
          </w:p>
        </w:tc>
      </w:tr>
    </w:tbl>
    <w:p w14:paraId="2895A038">
      <w:pPr>
        <w:spacing w:line="520" w:lineRule="exact"/>
        <w:jc w:val="center"/>
        <w:rPr>
          <w:rFonts w:ascii="宋体" w:hAnsi="宋体" w:cs="宋体"/>
          <w:color w:val="auto"/>
          <w:sz w:val="6"/>
          <w:szCs w:val="6"/>
        </w:rPr>
      </w:pPr>
    </w:p>
    <w:sectPr>
      <w:footerReference r:id="rId8" w:type="first"/>
      <w:footerReference r:id="rId7"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847C30-923D-4BD5-848D-06DB29CF45F7}"/>
  </w:font>
  <w:font w:name="黑体">
    <w:panose1 w:val="02010609060101010101"/>
    <w:charset w:val="86"/>
    <w:family w:val="auto"/>
    <w:pitch w:val="default"/>
    <w:sig w:usb0="800002BF" w:usb1="38CF7CFA" w:usb2="00000016" w:usb3="00000000" w:csb0="00040001" w:csb1="00000000"/>
    <w:embedRegular r:id="rId2" w:fontKey="{5FFF6687-D9B1-409C-9C95-DBD17D59A629}"/>
  </w:font>
  <w:font w:name="Courier New">
    <w:panose1 w:val="02070309020205020404"/>
    <w:charset w:val="01"/>
    <w:family w:val="modern"/>
    <w:pitch w:val="default"/>
    <w:sig w:usb0="E0002EFF" w:usb1="C0007843" w:usb2="00000009" w:usb3="00000000" w:csb0="400001FF" w:csb1="FFFF0000"/>
    <w:embedRegular r:id="rId3" w:fontKey="{56AEEFD9-B0F5-43B2-98A1-05AB7D23332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F3E22F9A-58E2-41FE-B367-38AEE8693892}"/>
  </w:font>
  <w:font w:name="Tahoma">
    <w:panose1 w:val="020B0604030504040204"/>
    <w:charset w:val="00"/>
    <w:family w:val="swiss"/>
    <w:pitch w:val="default"/>
    <w:sig w:usb0="E1002EFF" w:usb1="C000605B" w:usb2="00000029" w:usb3="00000000" w:csb0="200101FF" w:csb1="20280000"/>
    <w:embedRegular r:id="rId5" w:fontKey="{7E9F2B55-5EA0-44A1-B28D-2609D7078963}"/>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AAF864A2-7CA5-4669-8227-B565B3EBD229}"/>
  </w:font>
  <w:font w:name="华文新魏">
    <w:panose1 w:val="02010800040101010101"/>
    <w:charset w:val="86"/>
    <w:family w:val="auto"/>
    <w:pitch w:val="default"/>
    <w:sig w:usb0="00000001" w:usb1="080F0000" w:usb2="00000000" w:usb3="00000000" w:csb0="00040000" w:csb1="00000000"/>
    <w:embedRegular r:id="rId7" w:fontKey="{0544AAF7-BE5F-400B-803E-FF95EE5C1C70}"/>
  </w:font>
  <w:font w:name="微软雅黑">
    <w:panose1 w:val="020B0503020204020204"/>
    <w:charset w:val="86"/>
    <w:family w:val="swiss"/>
    <w:pitch w:val="default"/>
    <w:sig w:usb0="80000287" w:usb1="2ACF3C50" w:usb2="00000016" w:usb3="00000000" w:csb0="0004001F" w:csb1="00000000"/>
    <w:embedRegular r:id="rId8" w:fontKey="{2ED132F8-4205-4D6A-95E9-29125F2E4766}"/>
  </w:font>
  <w:font w:name="MS Mincho">
    <w:altName w:val="Yu Gothic UI"/>
    <w:panose1 w:val="02020609040205080304"/>
    <w:charset w:val="80"/>
    <w:family w:val="modern"/>
    <w:pitch w:val="default"/>
    <w:sig w:usb0="00000000" w:usb1="00000000" w:usb2="00000000" w:usb3="00000000" w:csb0="00000000" w:csb1="00000000"/>
    <w:embedRegular r:id="rId9" w:fontKey="{34BB1007-BAC4-40A0-8901-6BD0FC138B6B}"/>
  </w:font>
  <w:font w:name="Arial Unicode MS">
    <w:panose1 w:val="020B0604020202020204"/>
    <w:charset w:val="86"/>
    <w:family w:val="swiss"/>
    <w:pitch w:val="default"/>
    <w:sig w:usb0="FFFFFFFF" w:usb1="E9FFFFFF" w:usb2="0000003F" w:usb3="00000000" w:csb0="603F01FF" w:csb1="FFFF0000"/>
    <w:embedRegular r:id="rId10" w:fontKey="{5EB6F456-2B89-44E8-BFE9-ADFD3714B095}"/>
  </w:font>
  <w:font w:name="等线">
    <w:panose1 w:val="02010600030101010101"/>
    <w:charset w:val="86"/>
    <w:family w:val="auto"/>
    <w:pitch w:val="default"/>
    <w:sig w:usb0="A00002BF" w:usb1="38CF7CFA" w:usb2="00000016" w:usb3="00000000" w:csb0="0004000F" w:csb1="00000000"/>
    <w:embedRegular r:id="rId11" w:fontKey="{73056E14-530E-4BC0-9C51-819CB745503A}"/>
  </w:font>
  <w:font w:name="Wingdings 2">
    <w:panose1 w:val="05020102010507070707"/>
    <w:charset w:val="02"/>
    <w:family w:val="roman"/>
    <w:pitch w:val="default"/>
    <w:sig w:usb0="00000000" w:usb1="00000000" w:usb2="00000000" w:usb3="00000000" w:csb0="80000000" w:csb1="00000000"/>
    <w:embedRegular r:id="rId12" w:fontKey="{47AFAF77-4F0B-4227-9BB6-581CDDB65417}"/>
  </w:font>
  <w:font w:name="华文中宋">
    <w:panose1 w:val="02010600040101010101"/>
    <w:charset w:val="86"/>
    <w:family w:val="auto"/>
    <w:pitch w:val="default"/>
    <w:sig w:usb0="00000287" w:usb1="080F0000" w:usb2="00000000" w:usb3="00000000" w:csb0="0004009F" w:csb1="DFD70000"/>
    <w:embedRegular r:id="rId13" w:fontKey="{339C31F1-8173-4CCF-A072-EC159BC561C7}"/>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567C2">
    <w:pPr>
      <w:pStyle w:val="20"/>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1DEBB4">
                          <w:pPr>
                            <w:pStyle w:val="2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409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80qCs0BAACcAwAADgAAAAAAAAABACAAAAAeAQAAZHJzL2Uy&#10;b0RvYy54bWxQSwUGAAAAAAYABgBZAQAAXQUAAAAA&#10;">
              <v:fill on="f" focussize="0,0"/>
              <v:stroke on="f"/>
              <v:imagedata o:title=""/>
              <o:lock v:ext="edit" aspectratio="f"/>
              <v:textbox inset="0mm,0mm,0mm,0mm" style="mso-fit-shape-to-text:t;">
                <w:txbxContent>
                  <w:p w14:paraId="141DEBB4">
                    <w:pPr>
                      <w:pStyle w:val="20"/>
                    </w:pPr>
                    <w:r>
                      <w:fldChar w:fldCharType="begin"/>
                    </w:r>
                    <w:r>
                      <w:instrText xml:space="preserve"> PAGE  \* MERGEFORMAT </w:instrText>
                    </w:r>
                    <w:r>
                      <w:fldChar w:fldCharType="separate"/>
                    </w:r>
                    <w:r>
                      <w:t>2</w:t>
                    </w:r>
                    <w:r>
                      <w:fldChar w:fldCharType="end"/>
                    </w:r>
                  </w:p>
                </w:txbxContent>
              </v:textbox>
            </v:shape>
          </w:pict>
        </mc:Fallback>
      </mc:AlternateContent>
    </w:r>
  </w:p>
  <w:p w14:paraId="3A3E4D6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1910">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9650FD"/>
                      </w:txbxContent>
                    </wps:txbx>
                    <wps:bodyPr wrap="none" lIns="0" tIns="0" rIns="0" bIns="0" upright="1">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QabAMoBAACcAwAADgAAAAAAAAABACAAAAAeAQAAZHJzL2Uyb0Rv&#10;Yy54bWxQSwUGAAAAAAYABgBZAQAAWgUAAAAA&#10;">
              <v:fill on="f" focussize="0,0"/>
              <v:stroke on="f"/>
              <v:imagedata o:title=""/>
              <o:lock v:ext="edit" aspectratio="f"/>
              <v:textbox inset="0mm,0mm,0mm,0mm" style="mso-fit-shape-to-text:t;">
                <w:txbxContent>
                  <w:p w14:paraId="2A9650F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A924">
    <w:pPr>
      <w:pStyle w:val="20"/>
      <w:jc w:val="center"/>
    </w:pPr>
    <w:r>
      <w:fldChar w:fldCharType="begin"/>
    </w:r>
    <w:r>
      <w:instrText xml:space="preserve">PAGE   \* MERGEFORMAT</w:instrText>
    </w:r>
    <w:r>
      <w:fldChar w:fldCharType="separate"/>
    </w:r>
    <w:r>
      <w:rPr>
        <w:lang w:val="zh-CN"/>
      </w:rPr>
      <w:t>81</w:t>
    </w:r>
    <w:r>
      <w:rPr>
        <w:lang w:val="zh-CN"/>
      </w:rPr>
      <w:fldChar w:fldCharType="end"/>
    </w:r>
  </w:p>
  <w:p w14:paraId="2F68622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34C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66BA2">
                          <w:pPr>
                            <w:pStyle w:val="2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9H5iRzAEAAJwDAAAOAAAAAAAAAAEAIAAAAB4BAABkcnMvZTJv&#10;RG9jLnhtbFBLBQYAAAAABgAGAFkBAABcBQAAAAA=&#10;">
              <v:fill on="f" focussize="0,0"/>
              <v:stroke on="f"/>
              <v:imagedata o:title=""/>
              <o:lock v:ext="edit" aspectratio="f"/>
              <v:textbox inset="0mm,0mm,0mm,0mm" style="mso-fit-shape-to-text:t;">
                <w:txbxContent>
                  <w:p w14:paraId="04266BA2">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091D">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D450">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ZjUzODBjNDk3Y2Q0ZjA5MTIwYzkzNDZjOGFhYTIifQ=="/>
  </w:docVars>
  <w:rsids>
    <w:rsidRoot w:val="00F34B14"/>
    <w:rsid w:val="000002A1"/>
    <w:rsid w:val="000002E0"/>
    <w:rsid w:val="0000049A"/>
    <w:rsid w:val="00000672"/>
    <w:rsid w:val="000006F1"/>
    <w:rsid w:val="00001013"/>
    <w:rsid w:val="00001078"/>
    <w:rsid w:val="0000137A"/>
    <w:rsid w:val="00001799"/>
    <w:rsid w:val="0000183B"/>
    <w:rsid w:val="0000196E"/>
    <w:rsid w:val="0000199D"/>
    <w:rsid w:val="00001AF2"/>
    <w:rsid w:val="00001ECA"/>
    <w:rsid w:val="00002222"/>
    <w:rsid w:val="00002373"/>
    <w:rsid w:val="00002D29"/>
    <w:rsid w:val="000039ED"/>
    <w:rsid w:val="00003B93"/>
    <w:rsid w:val="00004093"/>
    <w:rsid w:val="0000474D"/>
    <w:rsid w:val="00004B06"/>
    <w:rsid w:val="00004C09"/>
    <w:rsid w:val="00005553"/>
    <w:rsid w:val="00005712"/>
    <w:rsid w:val="000059B3"/>
    <w:rsid w:val="00005FDF"/>
    <w:rsid w:val="000060C2"/>
    <w:rsid w:val="000061E3"/>
    <w:rsid w:val="0000644A"/>
    <w:rsid w:val="00006B17"/>
    <w:rsid w:val="00006F82"/>
    <w:rsid w:val="0000705B"/>
    <w:rsid w:val="000070B3"/>
    <w:rsid w:val="00007478"/>
    <w:rsid w:val="000076B8"/>
    <w:rsid w:val="0001021B"/>
    <w:rsid w:val="00010896"/>
    <w:rsid w:val="000109DC"/>
    <w:rsid w:val="00010CF2"/>
    <w:rsid w:val="00010D39"/>
    <w:rsid w:val="0001172C"/>
    <w:rsid w:val="00011BC9"/>
    <w:rsid w:val="00011D0E"/>
    <w:rsid w:val="00011DC4"/>
    <w:rsid w:val="00011DF0"/>
    <w:rsid w:val="00012854"/>
    <w:rsid w:val="00012EA6"/>
    <w:rsid w:val="00013359"/>
    <w:rsid w:val="000134EC"/>
    <w:rsid w:val="00013620"/>
    <w:rsid w:val="000139CF"/>
    <w:rsid w:val="00013AA4"/>
    <w:rsid w:val="00013DFE"/>
    <w:rsid w:val="000141EA"/>
    <w:rsid w:val="00015371"/>
    <w:rsid w:val="00016185"/>
    <w:rsid w:val="0001659A"/>
    <w:rsid w:val="00016975"/>
    <w:rsid w:val="000169A4"/>
    <w:rsid w:val="00016ABC"/>
    <w:rsid w:val="000177DB"/>
    <w:rsid w:val="00017915"/>
    <w:rsid w:val="00017938"/>
    <w:rsid w:val="000179C9"/>
    <w:rsid w:val="00017CCC"/>
    <w:rsid w:val="00020227"/>
    <w:rsid w:val="00020263"/>
    <w:rsid w:val="00020455"/>
    <w:rsid w:val="00020813"/>
    <w:rsid w:val="000215D0"/>
    <w:rsid w:val="00021F1C"/>
    <w:rsid w:val="000220B2"/>
    <w:rsid w:val="000223AE"/>
    <w:rsid w:val="0002264C"/>
    <w:rsid w:val="00022731"/>
    <w:rsid w:val="00022792"/>
    <w:rsid w:val="0002291F"/>
    <w:rsid w:val="00022CAA"/>
    <w:rsid w:val="00022F3D"/>
    <w:rsid w:val="00023466"/>
    <w:rsid w:val="00023F0A"/>
    <w:rsid w:val="0002445F"/>
    <w:rsid w:val="00024463"/>
    <w:rsid w:val="00025461"/>
    <w:rsid w:val="00025571"/>
    <w:rsid w:val="00025636"/>
    <w:rsid w:val="00025E36"/>
    <w:rsid w:val="0002640E"/>
    <w:rsid w:val="00026855"/>
    <w:rsid w:val="00026886"/>
    <w:rsid w:val="00027426"/>
    <w:rsid w:val="0002785D"/>
    <w:rsid w:val="00027B83"/>
    <w:rsid w:val="00027F3F"/>
    <w:rsid w:val="000307BE"/>
    <w:rsid w:val="000309BC"/>
    <w:rsid w:val="00030C63"/>
    <w:rsid w:val="00030E27"/>
    <w:rsid w:val="0003133D"/>
    <w:rsid w:val="0003146B"/>
    <w:rsid w:val="000324CD"/>
    <w:rsid w:val="000329E0"/>
    <w:rsid w:val="00033648"/>
    <w:rsid w:val="00033E11"/>
    <w:rsid w:val="0003408B"/>
    <w:rsid w:val="000342E7"/>
    <w:rsid w:val="00034467"/>
    <w:rsid w:val="00034510"/>
    <w:rsid w:val="00034837"/>
    <w:rsid w:val="0003489D"/>
    <w:rsid w:val="00034C74"/>
    <w:rsid w:val="00035019"/>
    <w:rsid w:val="00035205"/>
    <w:rsid w:val="000352E9"/>
    <w:rsid w:val="00035494"/>
    <w:rsid w:val="00036125"/>
    <w:rsid w:val="000362A5"/>
    <w:rsid w:val="00036433"/>
    <w:rsid w:val="00036497"/>
    <w:rsid w:val="0003699B"/>
    <w:rsid w:val="00036A07"/>
    <w:rsid w:val="00036ADB"/>
    <w:rsid w:val="00036E9E"/>
    <w:rsid w:val="000374A3"/>
    <w:rsid w:val="0003780B"/>
    <w:rsid w:val="00037F3D"/>
    <w:rsid w:val="00040571"/>
    <w:rsid w:val="00040973"/>
    <w:rsid w:val="00040FA5"/>
    <w:rsid w:val="0004156E"/>
    <w:rsid w:val="00041713"/>
    <w:rsid w:val="00041CAC"/>
    <w:rsid w:val="00042418"/>
    <w:rsid w:val="00042CCA"/>
    <w:rsid w:val="00043B69"/>
    <w:rsid w:val="00043BB9"/>
    <w:rsid w:val="0004436F"/>
    <w:rsid w:val="00044370"/>
    <w:rsid w:val="0004440C"/>
    <w:rsid w:val="0004452C"/>
    <w:rsid w:val="0004461E"/>
    <w:rsid w:val="0004580B"/>
    <w:rsid w:val="0004595E"/>
    <w:rsid w:val="00045F6F"/>
    <w:rsid w:val="00046B10"/>
    <w:rsid w:val="00046B5E"/>
    <w:rsid w:val="00046D9F"/>
    <w:rsid w:val="000470CB"/>
    <w:rsid w:val="00047112"/>
    <w:rsid w:val="000472BA"/>
    <w:rsid w:val="0004778D"/>
    <w:rsid w:val="0004793F"/>
    <w:rsid w:val="0005039C"/>
    <w:rsid w:val="000509D9"/>
    <w:rsid w:val="00050EBD"/>
    <w:rsid w:val="00051250"/>
    <w:rsid w:val="000512AF"/>
    <w:rsid w:val="000514F3"/>
    <w:rsid w:val="00051960"/>
    <w:rsid w:val="00051ACB"/>
    <w:rsid w:val="00052255"/>
    <w:rsid w:val="0005266E"/>
    <w:rsid w:val="0005300E"/>
    <w:rsid w:val="00053055"/>
    <w:rsid w:val="0005313F"/>
    <w:rsid w:val="000533E7"/>
    <w:rsid w:val="0005533D"/>
    <w:rsid w:val="000558D3"/>
    <w:rsid w:val="00055CB1"/>
    <w:rsid w:val="00055D41"/>
    <w:rsid w:val="00055D5D"/>
    <w:rsid w:val="000561D1"/>
    <w:rsid w:val="00056B36"/>
    <w:rsid w:val="00056EF6"/>
    <w:rsid w:val="000574D4"/>
    <w:rsid w:val="00057CD6"/>
    <w:rsid w:val="000603EE"/>
    <w:rsid w:val="00060A8E"/>
    <w:rsid w:val="00060B19"/>
    <w:rsid w:val="00060DCE"/>
    <w:rsid w:val="000610E3"/>
    <w:rsid w:val="000614F3"/>
    <w:rsid w:val="00061DAE"/>
    <w:rsid w:val="00062291"/>
    <w:rsid w:val="000623B4"/>
    <w:rsid w:val="00062405"/>
    <w:rsid w:val="000628F8"/>
    <w:rsid w:val="00062A07"/>
    <w:rsid w:val="00062B3F"/>
    <w:rsid w:val="00062C59"/>
    <w:rsid w:val="00062D56"/>
    <w:rsid w:val="00062E31"/>
    <w:rsid w:val="00062F0B"/>
    <w:rsid w:val="0006309B"/>
    <w:rsid w:val="000634A7"/>
    <w:rsid w:val="0006352D"/>
    <w:rsid w:val="00063B0B"/>
    <w:rsid w:val="00063C3B"/>
    <w:rsid w:val="00063CF6"/>
    <w:rsid w:val="00063E84"/>
    <w:rsid w:val="00063F81"/>
    <w:rsid w:val="00064847"/>
    <w:rsid w:val="000649F3"/>
    <w:rsid w:val="00064BE7"/>
    <w:rsid w:val="00064C83"/>
    <w:rsid w:val="00064DA0"/>
    <w:rsid w:val="00064E4F"/>
    <w:rsid w:val="00064FEE"/>
    <w:rsid w:val="00065450"/>
    <w:rsid w:val="00065C9C"/>
    <w:rsid w:val="00065E08"/>
    <w:rsid w:val="00066B9C"/>
    <w:rsid w:val="00066D2F"/>
    <w:rsid w:val="000673E2"/>
    <w:rsid w:val="00067EF1"/>
    <w:rsid w:val="0007063F"/>
    <w:rsid w:val="000707FD"/>
    <w:rsid w:val="00070949"/>
    <w:rsid w:val="000711E4"/>
    <w:rsid w:val="0007120E"/>
    <w:rsid w:val="0007124D"/>
    <w:rsid w:val="00071646"/>
    <w:rsid w:val="00071E9B"/>
    <w:rsid w:val="000720A1"/>
    <w:rsid w:val="000724D9"/>
    <w:rsid w:val="00072AED"/>
    <w:rsid w:val="00072C36"/>
    <w:rsid w:val="00073463"/>
    <w:rsid w:val="00073DE6"/>
    <w:rsid w:val="00073F47"/>
    <w:rsid w:val="00074457"/>
    <w:rsid w:val="000745EE"/>
    <w:rsid w:val="00074677"/>
    <w:rsid w:val="0007473E"/>
    <w:rsid w:val="0007484F"/>
    <w:rsid w:val="0007492F"/>
    <w:rsid w:val="00074CC4"/>
    <w:rsid w:val="00074ED8"/>
    <w:rsid w:val="00075001"/>
    <w:rsid w:val="00075B7E"/>
    <w:rsid w:val="00075C22"/>
    <w:rsid w:val="00076213"/>
    <w:rsid w:val="00076263"/>
    <w:rsid w:val="00076484"/>
    <w:rsid w:val="0007685A"/>
    <w:rsid w:val="00076921"/>
    <w:rsid w:val="00076E30"/>
    <w:rsid w:val="00077291"/>
    <w:rsid w:val="000772A0"/>
    <w:rsid w:val="00077450"/>
    <w:rsid w:val="0007791A"/>
    <w:rsid w:val="00077ACA"/>
    <w:rsid w:val="00077C70"/>
    <w:rsid w:val="00077E8B"/>
    <w:rsid w:val="000813B5"/>
    <w:rsid w:val="0008191E"/>
    <w:rsid w:val="00081BA3"/>
    <w:rsid w:val="00081D2E"/>
    <w:rsid w:val="00081EA7"/>
    <w:rsid w:val="00081F89"/>
    <w:rsid w:val="00082619"/>
    <w:rsid w:val="000829E8"/>
    <w:rsid w:val="00082D02"/>
    <w:rsid w:val="0008331B"/>
    <w:rsid w:val="0008381A"/>
    <w:rsid w:val="00083871"/>
    <w:rsid w:val="00083B91"/>
    <w:rsid w:val="00083C00"/>
    <w:rsid w:val="000840E2"/>
    <w:rsid w:val="0008462D"/>
    <w:rsid w:val="0008473C"/>
    <w:rsid w:val="0008520B"/>
    <w:rsid w:val="000857DE"/>
    <w:rsid w:val="00085956"/>
    <w:rsid w:val="00085B50"/>
    <w:rsid w:val="00085D3B"/>
    <w:rsid w:val="000860BD"/>
    <w:rsid w:val="00086483"/>
    <w:rsid w:val="000865D9"/>
    <w:rsid w:val="000871B8"/>
    <w:rsid w:val="00087B0A"/>
    <w:rsid w:val="00087BF1"/>
    <w:rsid w:val="00090191"/>
    <w:rsid w:val="00090210"/>
    <w:rsid w:val="000904E9"/>
    <w:rsid w:val="000905CF"/>
    <w:rsid w:val="0009153B"/>
    <w:rsid w:val="000916DA"/>
    <w:rsid w:val="000917CC"/>
    <w:rsid w:val="00091AAB"/>
    <w:rsid w:val="00092442"/>
    <w:rsid w:val="0009247D"/>
    <w:rsid w:val="0009269F"/>
    <w:rsid w:val="000929EF"/>
    <w:rsid w:val="00092C26"/>
    <w:rsid w:val="000932D1"/>
    <w:rsid w:val="000933BE"/>
    <w:rsid w:val="00094428"/>
    <w:rsid w:val="00094471"/>
    <w:rsid w:val="000944BE"/>
    <w:rsid w:val="0009465C"/>
    <w:rsid w:val="00094AC4"/>
    <w:rsid w:val="00094CBA"/>
    <w:rsid w:val="000952EA"/>
    <w:rsid w:val="00095435"/>
    <w:rsid w:val="0009560F"/>
    <w:rsid w:val="000957F4"/>
    <w:rsid w:val="0009588E"/>
    <w:rsid w:val="000959EE"/>
    <w:rsid w:val="00096092"/>
    <w:rsid w:val="000967DC"/>
    <w:rsid w:val="0009682D"/>
    <w:rsid w:val="00096BE4"/>
    <w:rsid w:val="00096DB9"/>
    <w:rsid w:val="00097183"/>
    <w:rsid w:val="000971A0"/>
    <w:rsid w:val="0009725B"/>
    <w:rsid w:val="000972CB"/>
    <w:rsid w:val="000972F5"/>
    <w:rsid w:val="00097608"/>
    <w:rsid w:val="000976B4"/>
    <w:rsid w:val="00097D31"/>
    <w:rsid w:val="000A0B57"/>
    <w:rsid w:val="000A0BE0"/>
    <w:rsid w:val="000A0E01"/>
    <w:rsid w:val="000A0F35"/>
    <w:rsid w:val="000A0FDC"/>
    <w:rsid w:val="000A1175"/>
    <w:rsid w:val="000A13F3"/>
    <w:rsid w:val="000A1C18"/>
    <w:rsid w:val="000A23B1"/>
    <w:rsid w:val="000A2B0E"/>
    <w:rsid w:val="000A2F12"/>
    <w:rsid w:val="000A3090"/>
    <w:rsid w:val="000A3222"/>
    <w:rsid w:val="000A324E"/>
    <w:rsid w:val="000A346F"/>
    <w:rsid w:val="000A37D1"/>
    <w:rsid w:val="000A398F"/>
    <w:rsid w:val="000A3C10"/>
    <w:rsid w:val="000A3C77"/>
    <w:rsid w:val="000A448C"/>
    <w:rsid w:val="000A452A"/>
    <w:rsid w:val="000A5067"/>
    <w:rsid w:val="000A509C"/>
    <w:rsid w:val="000A5361"/>
    <w:rsid w:val="000A54A7"/>
    <w:rsid w:val="000A5644"/>
    <w:rsid w:val="000A595C"/>
    <w:rsid w:val="000A5A17"/>
    <w:rsid w:val="000A6007"/>
    <w:rsid w:val="000A616A"/>
    <w:rsid w:val="000A6386"/>
    <w:rsid w:val="000A65A6"/>
    <w:rsid w:val="000A6AE3"/>
    <w:rsid w:val="000A70E3"/>
    <w:rsid w:val="000A7275"/>
    <w:rsid w:val="000A7A12"/>
    <w:rsid w:val="000A7A72"/>
    <w:rsid w:val="000B011E"/>
    <w:rsid w:val="000B0779"/>
    <w:rsid w:val="000B0950"/>
    <w:rsid w:val="000B0CEA"/>
    <w:rsid w:val="000B1202"/>
    <w:rsid w:val="000B1248"/>
    <w:rsid w:val="000B1431"/>
    <w:rsid w:val="000B1801"/>
    <w:rsid w:val="000B19D8"/>
    <w:rsid w:val="000B1D0C"/>
    <w:rsid w:val="000B1E2E"/>
    <w:rsid w:val="000B1FA3"/>
    <w:rsid w:val="000B2273"/>
    <w:rsid w:val="000B2BC6"/>
    <w:rsid w:val="000B2D03"/>
    <w:rsid w:val="000B37F2"/>
    <w:rsid w:val="000B3815"/>
    <w:rsid w:val="000B3C7B"/>
    <w:rsid w:val="000B3DCA"/>
    <w:rsid w:val="000B3E68"/>
    <w:rsid w:val="000B3F27"/>
    <w:rsid w:val="000B40CD"/>
    <w:rsid w:val="000B4321"/>
    <w:rsid w:val="000B4A85"/>
    <w:rsid w:val="000B4E99"/>
    <w:rsid w:val="000B4FF8"/>
    <w:rsid w:val="000B5AE4"/>
    <w:rsid w:val="000B6A6B"/>
    <w:rsid w:val="000B6C95"/>
    <w:rsid w:val="000B6E6E"/>
    <w:rsid w:val="000B7118"/>
    <w:rsid w:val="000B7621"/>
    <w:rsid w:val="000B79FC"/>
    <w:rsid w:val="000B7D27"/>
    <w:rsid w:val="000C0306"/>
    <w:rsid w:val="000C0A94"/>
    <w:rsid w:val="000C0E21"/>
    <w:rsid w:val="000C10BB"/>
    <w:rsid w:val="000C117E"/>
    <w:rsid w:val="000C1679"/>
    <w:rsid w:val="000C1EE3"/>
    <w:rsid w:val="000C2310"/>
    <w:rsid w:val="000C2836"/>
    <w:rsid w:val="000C32D1"/>
    <w:rsid w:val="000C34F2"/>
    <w:rsid w:val="000C3AE7"/>
    <w:rsid w:val="000C3CC9"/>
    <w:rsid w:val="000C3D2D"/>
    <w:rsid w:val="000C479F"/>
    <w:rsid w:val="000C4E2B"/>
    <w:rsid w:val="000C4EBB"/>
    <w:rsid w:val="000C50E5"/>
    <w:rsid w:val="000C59C6"/>
    <w:rsid w:val="000C64C1"/>
    <w:rsid w:val="000C6B53"/>
    <w:rsid w:val="000C6DE4"/>
    <w:rsid w:val="000C6FEC"/>
    <w:rsid w:val="000C7202"/>
    <w:rsid w:val="000D0011"/>
    <w:rsid w:val="000D0732"/>
    <w:rsid w:val="000D0A89"/>
    <w:rsid w:val="000D12DE"/>
    <w:rsid w:val="000D135B"/>
    <w:rsid w:val="000D1389"/>
    <w:rsid w:val="000D15F6"/>
    <w:rsid w:val="000D1798"/>
    <w:rsid w:val="000D1B1E"/>
    <w:rsid w:val="000D1E6B"/>
    <w:rsid w:val="000D2135"/>
    <w:rsid w:val="000D22E3"/>
    <w:rsid w:val="000D2354"/>
    <w:rsid w:val="000D2626"/>
    <w:rsid w:val="000D263E"/>
    <w:rsid w:val="000D329E"/>
    <w:rsid w:val="000D341A"/>
    <w:rsid w:val="000D3457"/>
    <w:rsid w:val="000D3874"/>
    <w:rsid w:val="000D4016"/>
    <w:rsid w:val="000D411D"/>
    <w:rsid w:val="000D42A0"/>
    <w:rsid w:val="000D4589"/>
    <w:rsid w:val="000D4809"/>
    <w:rsid w:val="000D48AE"/>
    <w:rsid w:val="000D4B9C"/>
    <w:rsid w:val="000D553F"/>
    <w:rsid w:val="000D57EF"/>
    <w:rsid w:val="000D5B36"/>
    <w:rsid w:val="000D6118"/>
    <w:rsid w:val="000D65F0"/>
    <w:rsid w:val="000D688F"/>
    <w:rsid w:val="000D6A25"/>
    <w:rsid w:val="000D6D9E"/>
    <w:rsid w:val="000D70B4"/>
    <w:rsid w:val="000D73DD"/>
    <w:rsid w:val="000E1189"/>
    <w:rsid w:val="000E1C51"/>
    <w:rsid w:val="000E1D52"/>
    <w:rsid w:val="000E2683"/>
    <w:rsid w:val="000E268E"/>
    <w:rsid w:val="000E284A"/>
    <w:rsid w:val="000E28AB"/>
    <w:rsid w:val="000E2E3E"/>
    <w:rsid w:val="000E2EE3"/>
    <w:rsid w:val="000E3583"/>
    <w:rsid w:val="000E3AF0"/>
    <w:rsid w:val="000E4E04"/>
    <w:rsid w:val="000E5430"/>
    <w:rsid w:val="000E693B"/>
    <w:rsid w:val="000E6D5C"/>
    <w:rsid w:val="000E6EC9"/>
    <w:rsid w:val="000E70B4"/>
    <w:rsid w:val="000E733A"/>
    <w:rsid w:val="000E7596"/>
    <w:rsid w:val="000E7A35"/>
    <w:rsid w:val="000E7B62"/>
    <w:rsid w:val="000F0E1E"/>
    <w:rsid w:val="000F0E57"/>
    <w:rsid w:val="000F14B5"/>
    <w:rsid w:val="000F1A1B"/>
    <w:rsid w:val="000F1E9D"/>
    <w:rsid w:val="000F1F81"/>
    <w:rsid w:val="000F2488"/>
    <w:rsid w:val="000F275D"/>
    <w:rsid w:val="000F2975"/>
    <w:rsid w:val="000F2A95"/>
    <w:rsid w:val="000F2D25"/>
    <w:rsid w:val="000F3281"/>
    <w:rsid w:val="000F32FD"/>
    <w:rsid w:val="000F3733"/>
    <w:rsid w:val="000F41A4"/>
    <w:rsid w:val="000F4B02"/>
    <w:rsid w:val="000F5DA4"/>
    <w:rsid w:val="000F5F8B"/>
    <w:rsid w:val="000F5FE8"/>
    <w:rsid w:val="000F6153"/>
    <w:rsid w:val="000F62D0"/>
    <w:rsid w:val="000F64AA"/>
    <w:rsid w:val="000F6FC5"/>
    <w:rsid w:val="000F71B4"/>
    <w:rsid w:val="000F7485"/>
    <w:rsid w:val="000F74EE"/>
    <w:rsid w:val="000F7AF4"/>
    <w:rsid w:val="000F7C33"/>
    <w:rsid w:val="000F7F0C"/>
    <w:rsid w:val="001004D6"/>
    <w:rsid w:val="00100F93"/>
    <w:rsid w:val="001014FC"/>
    <w:rsid w:val="001017A1"/>
    <w:rsid w:val="00101A51"/>
    <w:rsid w:val="00101D1B"/>
    <w:rsid w:val="00102433"/>
    <w:rsid w:val="00102676"/>
    <w:rsid w:val="0010290E"/>
    <w:rsid w:val="00102BE3"/>
    <w:rsid w:val="00102E2D"/>
    <w:rsid w:val="00103646"/>
    <w:rsid w:val="00103918"/>
    <w:rsid w:val="00103B24"/>
    <w:rsid w:val="00104441"/>
    <w:rsid w:val="00104759"/>
    <w:rsid w:val="00104897"/>
    <w:rsid w:val="00104EDE"/>
    <w:rsid w:val="00104F54"/>
    <w:rsid w:val="0010522F"/>
    <w:rsid w:val="001055BA"/>
    <w:rsid w:val="001059DD"/>
    <w:rsid w:val="00105CDA"/>
    <w:rsid w:val="00105DE7"/>
    <w:rsid w:val="001061EF"/>
    <w:rsid w:val="0010691D"/>
    <w:rsid w:val="00106BEE"/>
    <w:rsid w:val="0010711C"/>
    <w:rsid w:val="00107368"/>
    <w:rsid w:val="00107686"/>
    <w:rsid w:val="00107944"/>
    <w:rsid w:val="00107BDF"/>
    <w:rsid w:val="00107C74"/>
    <w:rsid w:val="00107F3E"/>
    <w:rsid w:val="001100AA"/>
    <w:rsid w:val="001106E0"/>
    <w:rsid w:val="0011091C"/>
    <w:rsid w:val="00110E9C"/>
    <w:rsid w:val="00110EB4"/>
    <w:rsid w:val="00111266"/>
    <w:rsid w:val="001112EB"/>
    <w:rsid w:val="00111C47"/>
    <w:rsid w:val="00112368"/>
    <w:rsid w:val="0011247D"/>
    <w:rsid w:val="00112764"/>
    <w:rsid w:val="001127B7"/>
    <w:rsid w:val="00113033"/>
    <w:rsid w:val="00113271"/>
    <w:rsid w:val="00113678"/>
    <w:rsid w:val="00113A7D"/>
    <w:rsid w:val="00113C3E"/>
    <w:rsid w:val="00113F5D"/>
    <w:rsid w:val="00113F6A"/>
    <w:rsid w:val="00113F9B"/>
    <w:rsid w:val="00114871"/>
    <w:rsid w:val="00115747"/>
    <w:rsid w:val="00115E11"/>
    <w:rsid w:val="00115EEE"/>
    <w:rsid w:val="00115F56"/>
    <w:rsid w:val="00116BAC"/>
    <w:rsid w:val="00116CA9"/>
    <w:rsid w:val="00116CC8"/>
    <w:rsid w:val="00116F38"/>
    <w:rsid w:val="00116F8A"/>
    <w:rsid w:val="001170A4"/>
    <w:rsid w:val="0011734A"/>
    <w:rsid w:val="0011763C"/>
    <w:rsid w:val="00117A6F"/>
    <w:rsid w:val="00117AE7"/>
    <w:rsid w:val="00117B85"/>
    <w:rsid w:val="00117CBD"/>
    <w:rsid w:val="00117F4F"/>
    <w:rsid w:val="0012006A"/>
    <w:rsid w:val="00120BC9"/>
    <w:rsid w:val="0012195E"/>
    <w:rsid w:val="00121979"/>
    <w:rsid w:val="00121C78"/>
    <w:rsid w:val="00122064"/>
    <w:rsid w:val="0012229E"/>
    <w:rsid w:val="00122306"/>
    <w:rsid w:val="0012277D"/>
    <w:rsid w:val="00122A67"/>
    <w:rsid w:val="00122D31"/>
    <w:rsid w:val="00122F1C"/>
    <w:rsid w:val="00122F99"/>
    <w:rsid w:val="001231E0"/>
    <w:rsid w:val="001232A3"/>
    <w:rsid w:val="00123A7A"/>
    <w:rsid w:val="00124250"/>
    <w:rsid w:val="00124323"/>
    <w:rsid w:val="00124341"/>
    <w:rsid w:val="00124492"/>
    <w:rsid w:val="0012450B"/>
    <w:rsid w:val="001245EE"/>
    <w:rsid w:val="00124B12"/>
    <w:rsid w:val="001250A0"/>
    <w:rsid w:val="001260D2"/>
    <w:rsid w:val="0012639F"/>
    <w:rsid w:val="001263B8"/>
    <w:rsid w:val="00130217"/>
    <w:rsid w:val="00130577"/>
    <w:rsid w:val="00130783"/>
    <w:rsid w:val="00130A47"/>
    <w:rsid w:val="00130C64"/>
    <w:rsid w:val="00130FB0"/>
    <w:rsid w:val="00131452"/>
    <w:rsid w:val="00132B47"/>
    <w:rsid w:val="001337F8"/>
    <w:rsid w:val="00134015"/>
    <w:rsid w:val="00134099"/>
    <w:rsid w:val="001347BC"/>
    <w:rsid w:val="001348B4"/>
    <w:rsid w:val="00134AFB"/>
    <w:rsid w:val="00135034"/>
    <w:rsid w:val="0013506E"/>
    <w:rsid w:val="001351CB"/>
    <w:rsid w:val="00135530"/>
    <w:rsid w:val="00135947"/>
    <w:rsid w:val="001359A2"/>
    <w:rsid w:val="00135F92"/>
    <w:rsid w:val="00136020"/>
    <w:rsid w:val="00136445"/>
    <w:rsid w:val="00136586"/>
    <w:rsid w:val="00136A9C"/>
    <w:rsid w:val="00136BE8"/>
    <w:rsid w:val="00136D16"/>
    <w:rsid w:val="00136F71"/>
    <w:rsid w:val="001370C7"/>
    <w:rsid w:val="00137176"/>
    <w:rsid w:val="001371DA"/>
    <w:rsid w:val="00137389"/>
    <w:rsid w:val="0013781C"/>
    <w:rsid w:val="00140132"/>
    <w:rsid w:val="0014107A"/>
    <w:rsid w:val="0014137E"/>
    <w:rsid w:val="00141394"/>
    <w:rsid w:val="001414AE"/>
    <w:rsid w:val="0014174B"/>
    <w:rsid w:val="00141C9C"/>
    <w:rsid w:val="0014277F"/>
    <w:rsid w:val="00142976"/>
    <w:rsid w:val="00142A54"/>
    <w:rsid w:val="00142E6F"/>
    <w:rsid w:val="001434BE"/>
    <w:rsid w:val="0014374A"/>
    <w:rsid w:val="0014375F"/>
    <w:rsid w:val="00143848"/>
    <w:rsid w:val="00143985"/>
    <w:rsid w:val="00143AAD"/>
    <w:rsid w:val="00143B8F"/>
    <w:rsid w:val="00144050"/>
    <w:rsid w:val="00144052"/>
    <w:rsid w:val="00144072"/>
    <w:rsid w:val="00144369"/>
    <w:rsid w:val="001446B8"/>
    <w:rsid w:val="0014479F"/>
    <w:rsid w:val="001452B4"/>
    <w:rsid w:val="00145320"/>
    <w:rsid w:val="00145B56"/>
    <w:rsid w:val="00145E75"/>
    <w:rsid w:val="00146408"/>
    <w:rsid w:val="0014679B"/>
    <w:rsid w:val="00146E1A"/>
    <w:rsid w:val="001470B6"/>
    <w:rsid w:val="001476D3"/>
    <w:rsid w:val="00147CC0"/>
    <w:rsid w:val="00150649"/>
    <w:rsid w:val="001509CF"/>
    <w:rsid w:val="00150B74"/>
    <w:rsid w:val="00150D1D"/>
    <w:rsid w:val="00150E12"/>
    <w:rsid w:val="001510B2"/>
    <w:rsid w:val="00151191"/>
    <w:rsid w:val="00151494"/>
    <w:rsid w:val="0015159E"/>
    <w:rsid w:val="00151762"/>
    <w:rsid w:val="00151BB3"/>
    <w:rsid w:val="001523CF"/>
    <w:rsid w:val="001525AA"/>
    <w:rsid w:val="00152A87"/>
    <w:rsid w:val="00152AC1"/>
    <w:rsid w:val="00152EC5"/>
    <w:rsid w:val="00153BB5"/>
    <w:rsid w:val="00153D9A"/>
    <w:rsid w:val="00153E1D"/>
    <w:rsid w:val="00154204"/>
    <w:rsid w:val="00154518"/>
    <w:rsid w:val="0015457A"/>
    <w:rsid w:val="00154AC0"/>
    <w:rsid w:val="00155434"/>
    <w:rsid w:val="001555AC"/>
    <w:rsid w:val="00155934"/>
    <w:rsid w:val="00155E13"/>
    <w:rsid w:val="001562E7"/>
    <w:rsid w:val="00156359"/>
    <w:rsid w:val="00156DD6"/>
    <w:rsid w:val="001574B4"/>
    <w:rsid w:val="0015771C"/>
    <w:rsid w:val="001577A7"/>
    <w:rsid w:val="001604F2"/>
    <w:rsid w:val="001605DA"/>
    <w:rsid w:val="0016086E"/>
    <w:rsid w:val="001609B9"/>
    <w:rsid w:val="00160D0C"/>
    <w:rsid w:val="00160DD1"/>
    <w:rsid w:val="00161172"/>
    <w:rsid w:val="00161998"/>
    <w:rsid w:val="00161D84"/>
    <w:rsid w:val="00161E65"/>
    <w:rsid w:val="00162508"/>
    <w:rsid w:val="00162597"/>
    <w:rsid w:val="001627D2"/>
    <w:rsid w:val="0016286C"/>
    <w:rsid w:val="001629AF"/>
    <w:rsid w:val="001629FD"/>
    <w:rsid w:val="00162D3A"/>
    <w:rsid w:val="001630C5"/>
    <w:rsid w:val="001635FF"/>
    <w:rsid w:val="001636EC"/>
    <w:rsid w:val="00163A6B"/>
    <w:rsid w:val="00163BF1"/>
    <w:rsid w:val="0016428A"/>
    <w:rsid w:val="00164788"/>
    <w:rsid w:val="001647C9"/>
    <w:rsid w:val="00164FF0"/>
    <w:rsid w:val="00165627"/>
    <w:rsid w:val="001661A3"/>
    <w:rsid w:val="0016622A"/>
    <w:rsid w:val="00166617"/>
    <w:rsid w:val="0016672F"/>
    <w:rsid w:val="00166D3F"/>
    <w:rsid w:val="00166E64"/>
    <w:rsid w:val="00167226"/>
    <w:rsid w:val="0016740D"/>
    <w:rsid w:val="0016744D"/>
    <w:rsid w:val="0016782B"/>
    <w:rsid w:val="0016784D"/>
    <w:rsid w:val="00167853"/>
    <w:rsid w:val="00167887"/>
    <w:rsid w:val="00167D3E"/>
    <w:rsid w:val="00167E45"/>
    <w:rsid w:val="00170217"/>
    <w:rsid w:val="001704F9"/>
    <w:rsid w:val="00170830"/>
    <w:rsid w:val="00170B7B"/>
    <w:rsid w:val="00170F6A"/>
    <w:rsid w:val="001711D2"/>
    <w:rsid w:val="0017135B"/>
    <w:rsid w:val="00171A68"/>
    <w:rsid w:val="00172570"/>
    <w:rsid w:val="001726BE"/>
    <w:rsid w:val="00172B84"/>
    <w:rsid w:val="00172CA8"/>
    <w:rsid w:val="00173256"/>
    <w:rsid w:val="001739A8"/>
    <w:rsid w:val="00173AD8"/>
    <w:rsid w:val="00173B0E"/>
    <w:rsid w:val="00173E03"/>
    <w:rsid w:val="001742B3"/>
    <w:rsid w:val="00174873"/>
    <w:rsid w:val="00174CFF"/>
    <w:rsid w:val="00174F6D"/>
    <w:rsid w:val="0017512C"/>
    <w:rsid w:val="001755B8"/>
    <w:rsid w:val="001756AF"/>
    <w:rsid w:val="0017586A"/>
    <w:rsid w:val="00175BA6"/>
    <w:rsid w:val="00175E87"/>
    <w:rsid w:val="0017642E"/>
    <w:rsid w:val="00176600"/>
    <w:rsid w:val="0017661E"/>
    <w:rsid w:val="00176745"/>
    <w:rsid w:val="00176CA7"/>
    <w:rsid w:val="00176D0C"/>
    <w:rsid w:val="00176F8E"/>
    <w:rsid w:val="00177230"/>
    <w:rsid w:val="00177360"/>
    <w:rsid w:val="00177366"/>
    <w:rsid w:val="00177723"/>
    <w:rsid w:val="001778C5"/>
    <w:rsid w:val="00177E56"/>
    <w:rsid w:val="00177F0A"/>
    <w:rsid w:val="00180C04"/>
    <w:rsid w:val="00180DA0"/>
    <w:rsid w:val="00181318"/>
    <w:rsid w:val="00181B77"/>
    <w:rsid w:val="00181C87"/>
    <w:rsid w:val="00181EAD"/>
    <w:rsid w:val="001823D4"/>
    <w:rsid w:val="00182862"/>
    <w:rsid w:val="001829E9"/>
    <w:rsid w:val="00182C41"/>
    <w:rsid w:val="001837C3"/>
    <w:rsid w:val="00183C21"/>
    <w:rsid w:val="00184D35"/>
    <w:rsid w:val="00184F57"/>
    <w:rsid w:val="00185091"/>
    <w:rsid w:val="00185544"/>
    <w:rsid w:val="00185617"/>
    <w:rsid w:val="0018563F"/>
    <w:rsid w:val="00185FBE"/>
    <w:rsid w:val="0018645C"/>
    <w:rsid w:val="00186DC1"/>
    <w:rsid w:val="00186FE1"/>
    <w:rsid w:val="00187292"/>
    <w:rsid w:val="00187A14"/>
    <w:rsid w:val="00187C4C"/>
    <w:rsid w:val="00190066"/>
    <w:rsid w:val="00190341"/>
    <w:rsid w:val="001909CD"/>
    <w:rsid w:val="0019158C"/>
    <w:rsid w:val="0019171E"/>
    <w:rsid w:val="00191F63"/>
    <w:rsid w:val="00192368"/>
    <w:rsid w:val="001923A0"/>
    <w:rsid w:val="00192756"/>
    <w:rsid w:val="0019277C"/>
    <w:rsid w:val="001928B1"/>
    <w:rsid w:val="001929BA"/>
    <w:rsid w:val="00192FD7"/>
    <w:rsid w:val="00192FE1"/>
    <w:rsid w:val="00193537"/>
    <w:rsid w:val="00193846"/>
    <w:rsid w:val="00193F63"/>
    <w:rsid w:val="001941E6"/>
    <w:rsid w:val="001943D2"/>
    <w:rsid w:val="001945E3"/>
    <w:rsid w:val="00194A87"/>
    <w:rsid w:val="00194FC8"/>
    <w:rsid w:val="001950AD"/>
    <w:rsid w:val="001951AC"/>
    <w:rsid w:val="00195424"/>
    <w:rsid w:val="001955FF"/>
    <w:rsid w:val="0019603A"/>
    <w:rsid w:val="00196442"/>
    <w:rsid w:val="00196812"/>
    <w:rsid w:val="00196EF8"/>
    <w:rsid w:val="0019744A"/>
    <w:rsid w:val="0019788B"/>
    <w:rsid w:val="00197A9B"/>
    <w:rsid w:val="00197AEB"/>
    <w:rsid w:val="00197EDD"/>
    <w:rsid w:val="001A0294"/>
    <w:rsid w:val="001A02B3"/>
    <w:rsid w:val="001A033A"/>
    <w:rsid w:val="001A04BB"/>
    <w:rsid w:val="001A063B"/>
    <w:rsid w:val="001A0650"/>
    <w:rsid w:val="001A08D0"/>
    <w:rsid w:val="001A09D7"/>
    <w:rsid w:val="001A0B97"/>
    <w:rsid w:val="001A188A"/>
    <w:rsid w:val="001A1B39"/>
    <w:rsid w:val="001A1BED"/>
    <w:rsid w:val="001A2120"/>
    <w:rsid w:val="001A28C6"/>
    <w:rsid w:val="001A2A9A"/>
    <w:rsid w:val="001A2E69"/>
    <w:rsid w:val="001A3C34"/>
    <w:rsid w:val="001A3EDE"/>
    <w:rsid w:val="001A4222"/>
    <w:rsid w:val="001A4372"/>
    <w:rsid w:val="001A46F6"/>
    <w:rsid w:val="001A4B35"/>
    <w:rsid w:val="001A50EA"/>
    <w:rsid w:val="001A5286"/>
    <w:rsid w:val="001A541A"/>
    <w:rsid w:val="001A573B"/>
    <w:rsid w:val="001A5E24"/>
    <w:rsid w:val="001A6436"/>
    <w:rsid w:val="001A661D"/>
    <w:rsid w:val="001A6795"/>
    <w:rsid w:val="001A689C"/>
    <w:rsid w:val="001A6AED"/>
    <w:rsid w:val="001A6B27"/>
    <w:rsid w:val="001A6C32"/>
    <w:rsid w:val="001A6D39"/>
    <w:rsid w:val="001A6D8B"/>
    <w:rsid w:val="001A6DAA"/>
    <w:rsid w:val="001A6FDC"/>
    <w:rsid w:val="001A7008"/>
    <w:rsid w:val="001A7717"/>
    <w:rsid w:val="001A7777"/>
    <w:rsid w:val="001A77F8"/>
    <w:rsid w:val="001A793A"/>
    <w:rsid w:val="001A7AE6"/>
    <w:rsid w:val="001B002E"/>
    <w:rsid w:val="001B0D55"/>
    <w:rsid w:val="001B0DE9"/>
    <w:rsid w:val="001B125A"/>
    <w:rsid w:val="001B1CCC"/>
    <w:rsid w:val="001B1E67"/>
    <w:rsid w:val="001B1EBA"/>
    <w:rsid w:val="001B2142"/>
    <w:rsid w:val="001B248C"/>
    <w:rsid w:val="001B2F2B"/>
    <w:rsid w:val="001B3125"/>
    <w:rsid w:val="001B327A"/>
    <w:rsid w:val="001B329A"/>
    <w:rsid w:val="001B35DE"/>
    <w:rsid w:val="001B3643"/>
    <w:rsid w:val="001B3A13"/>
    <w:rsid w:val="001B3A7A"/>
    <w:rsid w:val="001B3BEA"/>
    <w:rsid w:val="001B3F5C"/>
    <w:rsid w:val="001B40D4"/>
    <w:rsid w:val="001B421D"/>
    <w:rsid w:val="001B4650"/>
    <w:rsid w:val="001B4699"/>
    <w:rsid w:val="001B4BA5"/>
    <w:rsid w:val="001B4E75"/>
    <w:rsid w:val="001B5249"/>
    <w:rsid w:val="001B57C9"/>
    <w:rsid w:val="001B59FF"/>
    <w:rsid w:val="001B5C0A"/>
    <w:rsid w:val="001B6512"/>
    <w:rsid w:val="001B65D7"/>
    <w:rsid w:val="001B6752"/>
    <w:rsid w:val="001B6768"/>
    <w:rsid w:val="001B6F1F"/>
    <w:rsid w:val="001B7B9D"/>
    <w:rsid w:val="001B7ECC"/>
    <w:rsid w:val="001C01FD"/>
    <w:rsid w:val="001C025B"/>
    <w:rsid w:val="001C02E6"/>
    <w:rsid w:val="001C115F"/>
    <w:rsid w:val="001C12A6"/>
    <w:rsid w:val="001C12EC"/>
    <w:rsid w:val="001C16A2"/>
    <w:rsid w:val="001C1B9B"/>
    <w:rsid w:val="001C1D21"/>
    <w:rsid w:val="001C1DED"/>
    <w:rsid w:val="001C1EAB"/>
    <w:rsid w:val="001C213E"/>
    <w:rsid w:val="001C25A7"/>
    <w:rsid w:val="001C2775"/>
    <w:rsid w:val="001C2791"/>
    <w:rsid w:val="001C3079"/>
    <w:rsid w:val="001C318C"/>
    <w:rsid w:val="001C33D4"/>
    <w:rsid w:val="001C35C4"/>
    <w:rsid w:val="001C3BEA"/>
    <w:rsid w:val="001C3DD6"/>
    <w:rsid w:val="001C4287"/>
    <w:rsid w:val="001C4479"/>
    <w:rsid w:val="001C4C7A"/>
    <w:rsid w:val="001C512B"/>
    <w:rsid w:val="001C5190"/>
    <w:rsid w:val="001C6005"/>
    <w:rsid w:val="001C6081"/>
    <w:rsid w:val="001C697E"/>
    <w:rsid w:val="001C6A3B"/>
    <w:rsid w:val="001C6D64"/>
    <w:rsid w:val="001C6DC3"/>
    <w:rsid w:val="001C73EB"/>
    <w:rsid w:val="001C7726"/>
    <w:rsid w:val="001C7B48"/>
    <w:rsid w:val="001C7C16"/>
    <w:rsid w:val="001C7C55"/>
    <w:rsid w:val="001D0488"/>
    <w:rsid w:val="001D0606"/>
    <w:rsid w:val="001D08D7"/>
    <w:rsid w:val="001D0B09"/>
    <w:rsid w:val="001D0CFB"/>
    <w:rsid w:val="001D1231"/>
    <w:rsid w:val="001D1350"/>
    <w:rsid w:val="001D1A0D"/>
    <w:rsid w:val="001D1B2B"/>
    <w:rsid w:val="001D20FC"/>
    <w:rsid w:val="001D2613"/>
    <w:rsid w:val="001D2C5B"/>
    <w:rsid w:val="001D343C"/>
    <w:rsid w:val="001D3947"/>
    <w:rsid w:val="001D3FE1"/>
    <w:rsid w:val="001D4976"/>
    <w:rsid w:val="001D4A21"/>
    <w:rsid w:val="001D5009"/>
    <w:rsid w:val="001D56E2"/>
    <w:rsid w:val="001D58A1"/>
    <w:rsid w:val="001D58C2"/>
    <w:rsid w:val="001D5A8A"/>
    <w:rsid w:val="001D5C4A"/>
    <w:rsid w:val="001D5CED"/>
    <w:rsid w:val="001D5FBB"/>
    <w:rsid w:val="001D61CA"/>
    <w:rsid w:val="001D6E87"/>
    <w:rsid w:val="001D735E"/>
    <w:rsid w:val="001D73C8"/>
    <w:rsid w:val="001D7AAA"/>
    <w:rsid w:val="001D7BC6"/>
    <w:rsid w:val="001D7FA7"/>
    <w:rsid w:val="001E0680"/>
    <w:rsid w:val="001E0A1F"/>
    <w:rsid w:val="001E0C4E"/>
    <w:rsid w:val="001E129E"/>
    <w:rsid w:val="001E175C"/>
    <w:rsid w:val="001E1760"/>
    <w:rsid w:val="001E1951"/>
    <w:rsid w:val="001E1B0E"/>
    <w:rsid w:val="001E1D2C"/>
    <w:rsid w:val="001E1E21"/>
    <w:rsid w:val="001E204F"/>
    <w:rsid w:val="001E2845"/>
    <w:rsid w:val="001E2C77"/>
    <w:rsid w:val="001E2D2E"/>
    <w:rsid w:val="001E2FBF"/>
    <w:rsid w:val="001E2FFE"/>
    <w:rsid w:val="001E3994"/>
    <w:rsid w:val="001E3B63"/>
    <w:rsid w:val="001E3BBC"/>
    <w:rsid w:val="001E4F83"/>
    <w:rsid w:val="001E5108"/>
    <w:rsid w:val="001E5274"/>
    <w:rsid w:val="001E5787"/>
    <w:rsid w:val="001E5A94"/>
    <w:rsid w:val="001E6DB1"/>
    <w:rsid w:val="001E6E04"/>
    <w:rsid w:val="001E6EE9"/>
    <w:rsid w:val="001E776B"/>
    <w:rsid w:val="001E7E78"/>
    <w:rsid w:val="001E7EB9"/>
    <w:rsid w:val="001F0152"/>
    <w:rsid w:val="001F13FD"/>
    <w:rsid w:val="001F230F"/>
    <w:rsid w:val="001F24F8"/>
    <w:rsid w:val="001F2A2E"/>
    <w:rsid w:val="001F2A59"/>
    <w:rsid w:val="001F2E1C"/>
    <w:rsid w:val="001F2F31"/>
    <w:rsid w:val="001F3356"/>
    <w:rsid w:val="001F37E6"/>
    <w:rsid w:val="001F3C63"/>
    <w:rsid w:val="001F4349"/>
    <w:rsid w:val="001F437F"/>
    <w:rsid w:val="001F4460"/>
    <w:rsid w:val="001F53ED"/>
    <w:rsid w:val="001F5461"/>
    <w:rsid w:val="001F56DA"/>
    <w:rsid w:val="001F5E9D"/>
    <w:rsid w:val="001F5FE1"/>
    <w:rsid w:val="001F62A2"/>
    <w:rsid w:val="001F6C1E"/>
    <w:rsid w:val="001F6C96"/>
    <w:rsid w:val="001F711A"/>
    <w:rsid w:val="001F75B0"/>
    <w:rsid w:val="001F763B"/>
    <w:rsid w:val="001F7A2E"/>
    <w:rsid w:val="00200147"/>
    <w:rsid w:val="0020057C"/>
    <w:rsid w:val="0020083C"/>
    <w:rsid w:val="00200CE5"/>
    <w:rsid w:val="00200F7C"/>
    <w:rsid w:val="00200F97"/>
    <w:rsid w:val="002011EB"/>
    <w:rsid w:val="002014D1"/>
    <w:rsid w:val="002014DB"/>
    <w:rsid w:val="0020150B"/>
    <w:rsid w:val="0020174B"/>
    <w:rsid w:val="00201988"/>
    <w:rsid w:val="00201ACC"/>
    <w:rsid w:val="00201E12"/>
    <w:rsid w:val="00202080"/>
    <w:rsid w:val="00202295"/>
    <w:rsid w:val="00202C76"/>
    <w:rsid w:val="002033B5"/>
    <w:rsid w:val="0020346B"/>
    <w:rsid w:val="0020382C"/>
    <w:rsid w:val="00203ABB"/>
    <w:rsid w:val="0020437A"/>
    <w:rsid w:val="0020454C"/>
    <w:rsid w:val="002045EF"/>
    <w:rsid w:val="00204740"/>
    <w:rsid w:val="00204E64"/>
    <w:rsid w:val="00204EF4"/>
    <w:rsid w:val="00205129"/>
    <w:rsid w:val="0020521F"/>
    <w:rsid w:val="0020532C"/>
    <w:rsid w:val="00205380"/>
    <w:rsid w:val="00205603"/>
    <w:rsid w:val="00205743"/>
    <w:rsid w:val="00205D95"/>
    <w:rsid w:val="00206775"/>
    <w:rsid w:val="002067CC"/>
    <w:rsid w:val="00206EBE"/>
    <w:rsid w:val="0020722E"/>
    <w:rsid w:val="00207965"/>
    <w:rsid w:val="002100BF"/>
    <w:rsid w:val="002101AE"/>
    <w:rsid w:val="002114C7"/>
    <w:rsid w:val="00211787"/>
    <w:rsid w:val="00211DC2"/>
    <w:rsid w:val="00211EF6"/>
    <w:rsid w:val="0021302C"/>
    <w:rsid w:val="00213157"/>
    <w:rsid w:val="00213688"/>
    <w:rsid w:val="00213B1C"/>
    <w:rsid w:val="00213C89"/>
    <w:rsid w:val="00213F1E"/>
    <w:rsid w:val="00214202"/>
    <w:rsid w:val="00214355"/>
    <w:rsid w:val="002148E3"/>
    <w:rsid w:val="0021497F"/>
    <w:rsid w:val="0021513D"/>
    <w:rsid w:val="00215174"/>
    <w:rsid w:val="0021552D"/>
    <w:rsid w:val="002156AE"/>
    <w:rsid w:val="00215927"/>
    <w:rsid w:val="002159F9"/>
    <w:rsid w:val="00215E12"/>
    <w:rsid w:val="00215E99"/>
    <w:rsid w:val="00216431"/>
    <w:rsid w:val="00217057"/>
    <w:rsid w:val="00217F26"/>
    <w:rsid w:val="002200F8"/>
    <w:rsid w:val="0022054D"/>
    <w:rsid w:val="0022070A"/>
    <w:rsid w:val="00220E1A"/>
    <w:rsid w:val="0022107B"/>
    <w:rsid w:val="00221416"/>
    <w:rsid w:val="00221C9E"/>
    <w:rsid w:val="00222635"/>
    <w:rsid w:val="00222842"/>
    <w:rsid w:val="00223B0D"/>
    <w:rsid w:val="00223DDB"/>
    <w:rsid w:val="00223FA4"/>
    <w:rsid w:val="00223FB0"/>
    <w:rsid w:val="0022405A"/>
    <w:rsid w:val="00224067"/>
    <w:rsid w:val="0022421C"/>
    <w:rsid w:val="002244E4"/>
    <w:rsid w:val="0022483B"/>
    <w:rsid w:val="00224C4A"/>
    <w:rsid w:val="00224E83"/>
    <w:rsid w:val="0022510B"/>
    <w:rsid w:val="00225405"/>
    <w:rsid w:val="00225664"/>
    <w:rsid w:val="002257FD"/>
    <w:rsid w:val="00225839"/>
    <w:rsid w:val="00225E51"/>
    <w:rsid w:val="0022663D"/>
    <w:rsid w:val="00227B1E"/>
    <w:rsid w:val="00227BAD"/>
    <w:rsid w:val="00227C56"/>
    <w:rsid w:val="00227D95"/>
    <w:rsid w:val="00227F2D"/>
    <w:rsid w:val="00230704"/>
    <w:rsid w:val="00230A50"/>
    <w:rsid w:val="00230BFB"/>
    <w:rsid w:val="00231274"/>
    <w:rsid w:val="002312A4"/>
    <w:rsid w:val="00231851"/>
    <w:rsid w:val="002319FB"/>
    <w:rsid w:val="00231B89"/>
    <w:rsid w:val="00231F11"/>
    <w:rsid w:val="00231F5E"/>
    <w:rsid w:val="002323F6"/>
    <w:rsid w:val="002326D0"/>
    <w:rsid w:val="00232724"/>
    <w:rsid w:val="0023326A"/>
    <w:rsid w:val="00233434"/>
    <w:rsid w:val="00233636"/>
    <w:rsid w:val="0023421F"/>
    <w:rsid w:val="002343EB"/>
    <w:rsid w:val="002346B4"/>
    <w:rsid w:val="00234B7A"/>
    <w:rsid w:val="00234F6E"/>
    <w:rsid w:val="00235454"/>
    <w:rsid w:val="002355BE"/>
    <w:rsid w:val="002358EA"/>
    <w:rsid w:val="00235987"/>
    <w:rsid w:val="00235D04"/>
    <w:rsid w:val="00235D9B"/>
    <w:rsid w:val="00236578"/>
    <w:rsid w:val="002367EA"/>
    <w:rsid w:val="00236DE9"/>
    <w:rsid w:val="00237342"/>
    <w:rsid w:val="0023756A"/>
    <w:rsid w:val="00237585"/>
    <w:rsid w:val="002376E8"/>
    <w:rsid w:val="00237D2B"/>
    <w:rsid w:val="00237D5A"/>
    <w:rsid w:val="00237FC0"/>
    <w:rsid w:val="00240C3E"/>
    <w:rsid w:val="00240D75"/>
    <w:rsid w:val="00240F56"/>
    <w:rsid w:val="002415AE"/>
    <w:rsid w:val="0024173A"/>
    <w:rsid w:val="00241B3D"/>
    <w:rsid w:val="00241D3C"/>
    <w:rsid w:val="00242109"/>
    <w:rsid w:val="00242394"/>
    <w:rsid w:val="00242A0F"/>
    <w:rsid w:val="00242D20"/>
    <w:rsid w:val="00242DF0"/>
    <w:rsid w:val="00242E9F"/>
    <w:rsid w:val="00243189"/>
    <w:rsid w:val="0024364B"/>
    <w:rsid w:val="00243751"/>
    <w:rsid w:val="002439AB"/>
    <w:rsid w:val="00243C19"/>
    <w:rsid w:val="00243DB4"/>
    <w:rsid w:val="00243F1E"/>
    <w:rsid w:val="00243F38"/>
    <w:rsid w:val="0024441D"/>
    <w:rsid w:val="002448BA"/>
    <w:rsid w:val="00244AE8"/>
    <w:rsid w:val="00244DC9"/>
    <w:rsid w:val="00245587"/>
    <w:rsid w:val="00245901"/>
    <w:rsid w:val="00245F2B"/>
    <w:rsid w:val="002466CD"/>
    <w:rsid w:val="00246772"/>
    <w:rsid w:val="00246DF5"/>
    <w:rsid w:val="0024732E"/>
    <w:rsid w:val="00247491"/>
    <w:rsid w:val="00247D5E"/>
    <w:rsid w:val="00247F3A"/>
    <w:rsid w:val="00250122"/>
    <w:rsid w:val="0025024D"/>
    <w:rsid w:val="002505A9"/>
    <w:rsid w:val="00250755"/>
    <w:rsid w:val="00251043"/>
    <w:rsid w:val="00251C4A"/>
    <w:rsid w:val="0025204D"/>
    <w:rsid w:val="002521BE"/>
    <w:rsid w:val="002526CA"/>
    <w:rsid w:val="0025271C"/>
    <w:rsid w:val="0025277A"/>
    <w:rsid w:val="00252C81"/>
    <w:rsid w:val="00253119"/>
    <w:rsid w:val="002533CD"/>
    <w:rsid w:val="002534B5"/>
    <w:rsid w:val="002535EA"/>
    <w:rsid w:val="00253627"/>
    <w:rsid w:val="002536F8"/>
    <w:rsid w:val="0025389C"/>
    <w:rsid w:val="00253A26"/>
    <w:rsid w:val="002543A3"/>
    <w:rsid w:val="00254A85"/>
    <w:rsid w:val="00254D88"/>
    <w:rsid w:val="00254EAB"/>
    <w:rsid w:val="0025528F"/>
    <w:rsid w:val="002552C0"/>
    <w:rsid w:val="002556F5"/>
    <w:rsid w:val="002557AF"/>
    <w:rsid w:val="0025589C"/>
    <w:rsid w:val="00255B62"/>
    <w:rsid w:val="00256373"/>
    <w:rsid w:val="002566A6"/>
    <w:rsid w:val="002566B1"/>
    <w:rsid w:val="00256C2E"/>
    <w:rsid w:val="002571FA"/>
    <w:rsid w:val="002575E3"/>
    <w:rsid w:val="00257A74"/>
    <w:rsid w:val="00257C5D"/>
    <w:rsid w:val="00260177"/>
    <w:rsid w:val="002603C1"/>
    <w:rsid w:val="00260561"/>
    <w:rsid w:val="002605E8"/>
    <w:rsid w:val="002609A1"/>
    <w:rsid w:val="00260D75"/>
    <w:rsid w:val="002610C5"/>
    <w:rsid w:val="002612B1"/>
    <w:rsid w:val="00261428"/>
    <w:rsid w:val="00262355"/>
    <w:rsid w:val="00262BF3"/>
    <w:rsid w:val="00262C49"/>
    <w:rsid w:val="00262F19"/>
    <w:rsid w:val="0026331B"/>
    <w:rsid w:val="0026374E"/>
    <w:rsid w:val="002641A9"/>
    <w:rsid w:val="00265A12"/>
    <w:rsid w:val="002660E1"/>
    <w:rsid w:val="00266165"/>
    <w:rsid w:val="00266C74"/>
    <w:rsid w:val="00266F2C"/>
    <w:rsid w:val="00266FF4"/>
    <w:rsid w:val="002670BF"/>
    <w:rsid w:val="002677D8"/>
    <w:rsid w:val="00267874"/>
    <w:rsid w:val="00270D63"/>
    <w:rsid w:val="0027105E"/>
    <w:rsid w:val="0027125E"/>
    <w:rsid w:val="00271767"/>
    <w:rsid w:val="002717EA"/>
    <w:rsid w:val="00271BC2"/>
    <w:rsid w:val="00272293"/>
    <w:rsid w:val="002723C8"/>
    <w:rsid w:val="0027272E"/>
    <w:rsid w:val="00272889"/>
    <w:rsid w:val="00272F9C"/>
    <w:rsid w:val="002735C4"/>
    <w:rsid w:val="00273633"/>
    <w:rsid w:val="00273C2A"/>
    <w:rsid w:val="00273CBE"/>
    <w:rsid w:val="002745E9"/>
    <w:rsid w:val="002746B1"/>
    <w:rsid w:val="00274874"/>
    <w:rsid w:val="00274BAD"/>
    <w:rsid w:val="00274D04"/>
    <w:rsid w:val="00275801"/>
    <w:rsid w:val="00276BF2"/>
    <w:rsid w:val="00276C93"/>
    <w:rsid w:val="00276E99"/>
    <w:rsid w:val="00277F9A"/>
    <w:rsid w:val="00280701"/>
    <w:rsid w:val="002807B0"/>
    <w:rsid w:val="00281605"/>
    <w:rsid w:val="002818EB"/>
    <w:rsid w:val="00282ABE"/>
    <w:rsid w:val="00282D56"/>
    <w:rsid w:val="00283554"/>
    <w:rsid w:val="002835B0"/>
    <w:rsid w:val="00283AFD"/>
    <w:rsid w:val="00283C74"/>
    <w:rsid w:val="0028407E"/>
    <w:rsid w:val="0028410F"/>
    <w:rsid w:val="00284260"/>
    <w:rsid w:val="00284572"/>
    <w:rsid w:val="00284B84"/>
    <w:rsid w:val="00284D30"/>
    <w:rsid w:val="00284ED6"/>
    <w:rsid w:val="002850AA"/>
    <w:rsid w:val="00285111"/>
    <w:rsid w:val="00285221"/>
    <w:rsid w:val="0028581C"/>
    <w:rsid w:val="002858EB"/>
    <w:rsid w:val="00285918"/>
    <w:rsid w:val="00285927"/>
    <w:rsid w:val="00285D20"/>
    <w:rsid w:val="00285E0E"/>
    <w:rsid w:val="00285FE6"/>
    <w:rsid w:val="0028628C"/>
    <w:rsid w:val="002865A5"/>
    <w:rsid w:val="00286AA9"/>
    <w:rsid w:val="00286F7E"/>
    <w:rsid w:val="00286FB5"/>
    <w:rsid w:val="002872EC"/>
    <w:rsid w:val="002876D2"/>
    <w:rsid w:val="00287763"/>
    <w:rsid w:val="00287D79"/>
    <w:rsid w:val="00290606"/>
    <w:rsid w:val="002909B2"/>
    <w:rsid w:val="00290A7E"/>
    <w:rsid w:val="00290DEC"/>
    <w:rsid w:val="002911C0"/>
    <w:rsid w:val="00291D6D"/>
    <w:rsid w:val="00291FF1"/>
    <w:rsid w:val="0029233D"/>
    <w:rsid w:val="00292AA2"/>
    <w:rsid w:val="00292E24"/>
    <w:rsid w:val="00293343"/>
    <w:rsid w:val="00293361"/>
    <w:rsid w:val="00293459"/>
    <w:rsid w:val="00293498"/>
    <w:rsid w:val="00293A63"/>
    <w:rsid w:val="00293C09"/>
    <w:rsid w:val="00293D31"/>
    <w:rsid w:val="002941AB"/>
    <w:rsid w:val="002942DC"/>
    <w:rsid w:val="00294312"/>
    <w:rsid w:val="002946A9"/>
    <w:rsid w:val="00294B25"/>
    <w:rsid w:val="00294F10"/>
    <w:rsid w:val="002952B1"/>
    <w:rsid w:val="0029532C"/>
    <w:rsid w:val="00295821"/>
    <w:rsid w:val="0029588E"/>
    <w:rsid w:val="00295D11"/>
    <w:rsid w:val="00295EB0"/>
    <w:rsid w:val="00295F59"/>
    <w:rsid w:val="002962F5"/>
    <w:rsid w:val="00296303"/>
    <w:rsid w:val="002968C5"/>
    <w:rsid w:val="00296FB6"/>
    <w:rsid w:val="00297FDB"/>
    <w:rsid w:val="002A0001"/>
    <w:rsid w:val="002A0B2B"/>
    <w:rsid w:val="002A0BD9"/>
    <w:rsid w:val="002A0C3A"/>
    <w:rsid w:val="002A0DF8"/>
    <w:rsid w:val="002A0F1C"/>
    <w:rsid w:val="002A1130"/>
    <w:rsid w:val="002A15CD"/>
    <w:rsid w:val="002A1615"/>
    <w:rsid w:val="002A1880"/>
    <w:rsid w:val="002A1B82"/>
    <w:rsid w:val="002A203F"/>
    <w:rsid w:val="002A23B7"/>
    <w:rsid w:val="002A27FB"/>
    <w:rsid w:val="002A3577"/>
    <w:rsid w:val="002A3A57"/>
    <w:rsid w:val="002A3D39"/>
    <w:rsid w:val="002A3F81"/>
    <w:rsid w:val="002A4B4F"/>
    <w:rsid w:val="002A4B66"/>
    <w:rsid w:val="002A5222"/>
    <w:rsid w:val="002A5644"/>
    <w:rsid w:val="002A56A4"/>
    <w:rsid w:val="002A57A8"/>
    <w:rsid w:val="002A5F88"/>
    <w:rsid w:val="002A61BD"/>
    <w:rsid w:val="002A6DEF"/>
    <w:rsid w:val="002A770B"/>
    <w:rsid w:val="002B013E"/>
    <w:rsid w:val="002B02A4"/>
    <w:rsid w:val="002B043E"/>
    <w:rsid w:val="002B04AF"/>
    <w:rsid w:val="002B058D"/>
    <w:rsid w:val="002B0C16"/>
    <w:rsid w:val="002B0CE2"/>
    <w:rsid w:val="002B0EC4"/>
    <w:rsid w:val="002B15E3"/>
    <w:rsid w:val="002B1677"/>
    <w:rsid w:val="002B1C0F"/>
    <w:rsid w:val="002B2456"/>
    <w:rsid w:val="002B2AC5"/>
    <w:rsid w:val="002B2B1B"/>
    <w:rsid w:val="002B2EBF"/>
    <w:rsid w:val="002B2FF1"/>
    <w:rsid w:val="002B3430"/>
    <w:rsid w:val="002B349A"/>
    <w:rsid w:val="002B3528"/>
    <w:rsid w:val="002B3539"/>
    <w:rsid w:val="002B3A7E"/>
    <w:rsid w:val="002B3D21"/>
    <w:rsid w:val="002B4312"/>
    <w:rsid w:val="002B4395"/>
    <w:rsid w:val="002B4532"/>
    <w:rsid w:val="002B4DB0"/>
    <w:rsid w:val="002B4DD9"/>
    <w:rsid w:val="002B5042"/>
    <w:rsid w:val="002B508D"/>
    <w:rsid w:val="002B53B8"/>
    <w:rsid w:val="002B54A6"/>
    <w:rsid w:val="002B5B7E"/>
    <w:rsid w:val="002B5C72"/>
    <w:rsid w:val="002B60E0"/>
    <w:rsid w:val="002B63D3"/>
    <w:rsid w:val="002B68ED"/>
    <w:rsid w:val="002B69CC"/>
    <w:rsid w:val="002B6D71"/>
    <w:rsid w:val="002B6E30"/>
    <w:rsid w:val="002B795C"/>
    <w:rsid w:val="002C03AE"/>
    <w:rsid w:val="002C0895"/>
    <w:rsid w:val="002C0AB0"/>
    <w:rsid w:val="002C0BF5"/>
    <w:rsid w:val="002C0C1C"/>
    <w:rsid w:val="002C1068"/>
    <w:rsid w:val="002C19A8"/>
    <w:rsid w:val="002C33B6"/>
    <w:rsid w:val="002C35C0"/>
    <w:rsid w:val="002C3910"/>
    <w:rsid w:val="002C3972"/>
    <w:rsid w:val="002C3B82"/>
    <w:rsid w:val="002C41BF"/>
    <w:rsid w:val="002C46C4"/>
    <w:rsid w:val="002C48E5"/>
    <w:rsid w:val="002C4D3C"/>
    <w:rsid w:val="002C54C2"/>
    <w:rsid w:val="002C572D"/>
    <w:rsid w:val="002C5D34"/>
    <w:rsid w:val="002C5F52"/>
    <w:rsid w:val="002C60BB"/>
    <w:rsid w:val="002C661A"/>
    <w:rsid w:val="002C6A39"/>
    <w:rsid w:val="002C6BB1"/>
    <w:rsid w:val="002C6CF0"/>
    <w:rsid w:val="002C71BD"/>
    <w:rsid w:val="002C7912"/>
    <w:rsid w:val="002C7C9C"/>
    <w:rsid w:val="002D045C"/>
    <w:rsid w:val="002D0D6F"/>
    <w:rsid w:val="002D1782"/>
    <w:rsid w:val="002D17DC"/>
    <w:rsid w:val="002D24E0"/>
    <w:rsid w:val="002D25FC"/>
    <w:rsid w:val="002D2A34"/>
    <w:rsid w:val="002D2D77"/>
    <w:rsid w:val="002D3D47"/>
    <w:rsid w:val="002D4422"/>
    <w:rsid w:val="002D465A"/>
    <w:rsid w:val="002D4AC6"/>
    <w:rsid w:val="002D580A"/>
    <w:rsid w:val="002D580B"/>
    <w:rsid w:val="002D59BF"/>
    <w:rsid w:val="002D59CF"/>
    <w:rsid w:val="002D5BF5"/>
    <w:rsid w:val="002D5EE8"/>
    <w:rsid w:val="002D5F70"/>
    <w:rsid w:val="002D62CF"/>
    <w:rsid w:val="002D6F6D"/>
    <w:rsid w:val="002D7360"/>
    <w:rsid w:val="002D7648"/>
    <w:rsid w:val="002D765F"/>
    <w:rsid w:val="002D79A6"/>
    <w:rsid w:val="002D7BAB"/>
    <w:rsid w:val="002D7C80"/>
    <w:rsid w:val="002E05F5"/>
    <w:rsid w:val="002E07C3"/>
    <w:rsid w:val="002E109C"/>
    <w:rsid w:val="002E193E"/>
    <w:rsid w:val="002E1A94"/>
    <w:rsid w:val="002E1C10"/>
    <w:rsid w:val="002E1D02"/>
    <w:rsid w:val="002E1D55"/>
    <w:rsid w:val="002E1E75"/>
    <w:rsid w:val="002E1FD8"/>
    <w:rsid w:val="002E218B"/>
    <w:rsid w:val="002E218F"/>
    <w:rsid w:val="002E2420"/>
    <w:rsid w:val="002E26C4"/>
    <w:rsid w:val="002E2734"/>
    <w:rsid w:val="002E30A5"/>
    <w:rsid w:val="002E31D1"/>
    <w:rsid w:val="002E31F6"/>
    <w:rsid w:val="002E3CCE"/>
    <w:rsid w:val="002E3FA0"/>
    <w:rsid w:val="002E452A"/>
    <w:rsid w:val="002E4748"/>
    <w:rsid w:val="002E47E4"/>
    <w:rsid w:val="002E4BF9"/>
    <w:rsid w:val="002E4D61"/>
    <w:rsid w:val="002E4EA1"/>
    <w:rsid w:val="002E52B4"/>
    <w:rsid w:val="002E53F6"/>
    <w:rsid w:val="002E5A19"/>
    <w:rsid w:val="002E5A81"/>
    <w:rsid w:val="002E5E6C"/>
    <w:rsid w:val="002E5FF5"/>
    <w:rsid w:val="002E6336"/>
    <w:rsid w:val="002E65EC"/>
    <w:rsid w:val="002E68A7"/>
    <w:rsid w:val="002E6CB7"/>
    <w:rsid w:val="002E6E6C"/>
    <w:rsid w:val="002E7120"/>
    <w:rsid w:val="002E734A"/>
    <w:rsid w:val="002E7884"/>
    <w:rsid w:val="002E7EB5"/>
    <w:rsid w:val="002E7F23"/>
    <w:rsid w:val="002F016E"/>
    <w:rsid w:val="002F0361"/>
    <w:rsid w:val="002F0421"/>
    <w:rsid w:val="002F04EE"/>
    <w:rsid w:val="002F0522"/>
    <w:rsid w:val="002F0CAC"/>
    <w:rsid w:val="002F15A1"/>
    <w:rsid w:val="002F16DD"/>
    <w:rsid w:val="002F199D"/>
    <w:rsid w:val="002F1BCB"/>
    <w:rsid w:val="002F213C"/>
    <w:rsid w:val="002F2453"/>
    <w:rsid w:val="002F28A1"/>
    <w:rsid w:val="002F3336"/>
    <w:rsid w:val="002F3458"/>
    <w:rsid w:val="002F352D"/>
    <w:rsid w:val="002F381E"/>
    <w:rsid w:val="002F3904"/>
    <w:rsid w:val="002F4084"/>
    <w:rsid w:val="002F434D"/>
    <w:rsid w:val="002F45AD"/>
    <w:rsid w:val="002F46C5"/>
    <w:rsid w:val="002F4A08"/>
    <w:rsid w:val="002F4AC1"/>
    <w:rsid w:val="002F4ADB"/>
    <w:rsid w:val="002F4C5B"/>
    <w:rsid w:val="002F531E"/>
    <w:rsid w:val="002F5381"/>
    <w:rsid w:val="002F548D"/>
    <w:rsid w:val="002F5804"/>
    <w:rsid w:val="002F5AA0"/>
    <w:rsid w:val="002F5ACC"/>
    <w:rsid w:val="002F5FD7"/>
    <w:rsid w:val="002F67FC"/>
    <w:rsid w:val="002F6AF4"/>
    <w:rsid w:val="002F704B"/>
    <w:rsid w:val="002F7084"/>
    <w:rsid w:val="002F7202"/>
    <w:rsid w:val="002F72C3"/>
    <w:rsid w:val="002F75A0"/>
    <w:rsid w:val="002F768C"/>
    <w:rsid w:val="002F7D1E"/>
    <w:rsid w:val="00300201"/>
    <w:rsid w:val="0030025A"/>
    <w:rsid w:val="00301523"/>
    <w:rsid w:val="003016F0"/>
    <w:rsid w:val="00302966"/>
    <w:rsid w:val="00302C4C"/>
    <w:rsid w:val="00302EFC"/>
    <w:rsid w:val="00303243"/>
    <w:rsid w:val="00303615"/>
    <w:rsid w:val="00303BCC"/>
    <w:rsid w:val="00303F2B"/>
    <w:rsid w:val="00303F8D"/>
    <w:rsid w:val="00304545"/>
    <w:rsid w:val="00304AD2"/>
    <w:rsid w:val="00304E41"/>
    <w:rsid w:val="003054D3"/>
    <w:rsid w:val="0030572D"/>
    <w:rsid w:val="0030586A"/>
    <w:rsid w:val="0030622D"/>
    <w:rsid w:val="003064F5"/>
    <w:rsid w:val="003065EA"/>
    <w:rsid w:val="00306811"/>
    <w:rsid w:val="00306F32"/>
    <w:rsid w:val="00307006"/>
    <w:rsid w:val="003074C5"/>
    <w:rsid w:val="00307A3C"/>
    <w:rsid w:val="00307DA3"/>
    <w:rsid w:val="00307E09"/>
    <w:rsid w:val="00307FA4"/>
    <w:rsid w:val="00310290"/>
    <w:rsid w:val="00310588"/>
    <w:rsid w:val="00310CC1"/>
    <w:rsid w:val="00310CED"/>
    <w:rsid w:val="00311226"/>
    <w:rsid w:val="00311285"/>
    <w:rsid w:val="0031134C"/>
    <w:rsid w:val="00311A20"/>
    <w:rsid w:val="00311B1B"/>
    <w:rsid w:val="00311F58"/>
    <w:rsid w:val="003120E9"/>
    <w:rsid w:val="0031229D"/>
    <w:rsid w:val="00312504"/>
    <w:rsid w:val="00312B89"/>
    <w:rsid w:val="00313026"/>
    <w:rsid w:val="00313913"/>
    <w:rsid w:val="0031421F"/>
    <w:rsid w:val="00314B31"/>
    <w:rsid w:val="0031534A"/>
    <w:rsid w:val="0031557E"/>
    <w:rsid w:val="0031591F"/>
    <w:rsid w:val="00315A65"/>
    <w:rsid w:val="00315B59"/>
    <w:rsid w:val="003165D7"/>
    <w:rsid w:val="0031666B"/>
    <w:rsid w:val="00316982"/>
    <w:rsid w:val="00316ABE"/>
    <w:rsid w:val="00316BAF"/>
    <w:rsid w:val="00317022"/>
    <w:rsid w:val="003172ED"/>
    <w:rsid w:val="0031749B"/>
    <w:rsid w:val="0031770C"/>
    <w:rsid w:val="0031777C"/>
    <w:rsid w:val="00317BA7"/>
    <w:rsid w:val="00320BE2"/>
    <w:rsid w:val="00320F96"/>
    <w:rsid w:val="00321047"/>
    <w:rsid w:val="003217FF"/>
    <w:rsid w:val="00321886"/>
    <w:rsid w:val="003219BB"/>
    <w:rsid w:val="00321EDC"/>
    <w:rsid w:val="00322689"/>
    <w:rsid w:val="00322CB8"/>
    <w:rsid w:val="00323694"/>
    <w:rsid w:val="003238E2"/>
    <w:rsid w:val="00323BE7"/>
    <w:rsid w:val="00323E94"/>
    <w:rsid w:val="0032415F"/>
    <w:rsid w:val="00324C3A"/>
    <w:rsid w:val="00324D63"/>
    <w:rsid w:val="0032510A"/>
    <w:rsid w:val="003255AF"/>
    <w:rsid w:val="003256EB"/>
    <w:rsid w:val="0032589C"/>
    <w:rsid w:val="003259DB"/>
    <w:rsid w:val="00325AAD"/>
    <w:rsid w:val="00326449"/>
    <w:rsid w:val="00326B81"/>
    <w:rsid w:val="00326FE1"/>
    <w:rsid w:val="0032795B"/>
    <w:rsid w:val="003300EE"/>
    <w:rsid w:val="003303CD"/>
    <w:rsid w:val="00330569"/>
    <w:rsid w:val="003308EE"/>
    <w:rsid w:val="003309E9"/>
    <w:rsid w:val="00330E9A"/>
    <w:rsid w:val="00331032"/>
    <w:rsid w:val="00331072"/>
    <w:rsid w:val="003310F9"/>
    <w:rsid w:val="003314D9"/>
    <w:rsid w:val="003315B3"/>
    <w:rsid w:val="00331653"/>
    <w:rsid w:val="00331A48"/>
    <w:rsid w:val="00331BCC"/>
    <w:rsid w:val="00331CB5"/>
    <w:rsid w:val="0033299E"/>
    <w:rsid w:val="003330C9"/>
    <w:rsid w:val="0033364C"/>
    <w:rsid w:val="003337F5"/>
    <w:rsid w:val="00333C85"/>
    <w:rsid w:val="00334362"/>
    <w:rsid w:val="00334415"/>
    <w:rsid w:val="0033456C"/>
    <w:rsid w:val="00334CBF"/>
    <w:rsid w:val="00335190"/>
    <w:rsid w:val="00335358"/>
    <w:rsid w:val="003353DE"/>
    <w:rsid w:val="00335EA1"/>
    <w:rsid w:val="0033691E"/>
    <w:rsid w:val="00336A6A"/>
    <w:rsid w:val="00336CCB"/>
    <w:rsid w:val="00336EF1"/>
    <w:rsid w:val="00336F94"/>
    <w:rsid w:val="00337575"/>
    <w:rsid w:val="00337636"/>
    <w:rsid w:val="00337764"/>
    <w:rsid w:val="0033781A"/>
    <w:rsid w:val="00340415"/>
    <w:rsid w:val="00340662"/>
    <w:rsid w:val="00340A73"/>
    <w:rsid w:val="003410A4"/>
    <w:rsid w:val="003411D1"/>
    <w:rsid w:val="003411E5"/>
    <w:rsid w:val="00341278"/>
    <w:rsid w:val="0034139C"/>
    <w:rsid w:val="003416BA"/>
    <w:rsid w:val="00341903"/>
    <w:rsid w:val="00342051"/>
    <w:rsid w:val="00342148"/>
    <w:rsid w:val="003428EC"/>
    <w:rsid w:val="00342F99"/>
    <w:rsid w:val="003432A1"/>
    <w:rsid w:val="00343624"/>
    <w:rsid w:val="00344877"/>
    <w:rsid w:val="00344D1B"/>
    <w:rsid w:val="00345675"/>
    <w:rsid w:val="0034575A"/>
    <w:rsid w:val="00345F57"/>
    <w:rsid w:val="003464F0"/>
    <w:rsid w:val="00346811"/>
    <w:rsid w:val="00347230"/>
    <w:rsid w:val="003475EC"/>
    <w:rsid w:val="00347C82"/>
    <w:rsid w:val="00347FB4"/>
    <w:rsid w:val="00350458"/>
    <w:rsid w:val="00350D5A"/>
    <w:rsid w:val="00350E32"/>
    <w:rsid w:val="00350E6C"/>
    <w:rsid w:val="00351330"/>
    <w:rsid w:val="0035173A"/>
    <w:rsid w:val="00351772"/>
    <w:rsid w:val="003518A6"/>
    <w:rsid w:val="00351B29"/>
    <w:rsid w:val="00351E7F"/>
    <w:rsid w:val="003521CC"/>
    <w:rsid w:val="00352953"/>
    <w:rsid w:val="00352D36"/>
    <w:rsid w:val="003531B5"/>
    <w:rsid w:val="0035346C"/>
    <w:rsid w:val="00353545"/>
    <w:rsid w:val="00353AE5"/>
    <w:rsid w:val="00353DD4"/>
    <w:rsid w:val="00354062"/>
    <w:rsid w:val="0035459E"/>
    <w:rsid w:val="00354AE9"/>
    <w:rsid w:val="00354B3A"/>
    <w:rsid w:val="0035507D"/>
    <w:rsid w:val="0035564D"/>
    <w:rsid w:val="00355C0D"/>
    <w:rsid w:val="00356339"/>
    <w:rsid w:val="003566A9"/>
    <w:rsid w:val="00356988"/>
    <w:rsid w:val="003569D3"/>
    <w:rsid w:val="00356CE9"/>
    <w:rsid w:val="003570BB"/>
    <w:rsid w:val="00357128"/>
    <w:rsid w:val="0035755E"/>
    <w:rsid w:val="0035773A"/>
    <w:rsid w:val="00357A80"/>
    <w:rsid w:val="0036039C"/>
    <w:rsid w:val="00360B0F"/>
    <w:rsid w:val="00361427"/>
    <w:rsid w:val="00361441"/>
    <w:rsid w:val="003616A2"/>
    <w:rsid w:val="003617F3"/>
    <w:rsid w:val="00361B8B"/>
    <w:rsid w:val="00361CDB"/>
    <w:rsid w:val="00361D5F"/>
    <w:rsid w:val="00362432"/>
    <w:rsid w:val="0036246C"/>
    <w:rsid w:val="00362A34"/>
    <w:rsid w:val="00362BBF"/>
    <w:rsid w:val="00362E43"/>
    <w:rsid w:val="00363029"/>
    <w:rsid w:val="00363C05"/>
    <w:rsid w:val="00363F39"/>
    <w:rsid w:val="003640FC"/>
    <w:rsid w:val="0036445C"/>
    <w:rsid w:val="00364627"/>
    <w:rsid w:val="003646ED"/>
    <w:rsid w:val="00364AB0"/>
    <w:rsid w:val="00364C33"/>
    <w:rsid w:val="00364D71"/>
    <w:rsid w:val="00365008"/>
    <w:rsid w:val="00365309"/>
    <w:rsid w:val="0036540C"/>
    <w:rsid w:val="0036635D"/>
    <w:rsid w:val="003667B0"/>
    <w:rsid w:val="003667DD"/>
    <w:rsid w:val="00366807"/>
    <w:rsid w:val="00366B48"/>
    <w:rsid w:val="00366C62"/>
    <w:rsid w:val="0036714E"/>
    <w:rsid w:val="00367296"/>
    <w:rsid w:val="003676DC"/>
    <w:rsid w:val="00367764"/>
    <w:rsid w:val="003679F3"/>
    <w:rsid w:val="00370316"/>
    <w:rsid w:val="00370DC7"/>
    <w:rsid w:val="0037106D"/>
    <w:rsid w:val="003713F4"/>
    <w:rsid w:val="003714AF"/>
    <w:rsid w:val="00371CBA"/>
    <w:rsid w:val="00371CBD"/>
    <w:rsid w:val="00371F20"/>
    <w:rsid w:val="003721E3"/>
    <w:rsid w:val="00372B98"/>
    <w:rsid w:val="00372E45"/>
    <w:rsid w:val="00372E94"/>
    <w:rsid w:val="00372E9E"/>
    <w:rsid w:val="003737B7"/>
    <w:rsid w:val="00373920"/>
    <w:rsid w:val="003740CC"/>
    <w:rsid w:val="003745F4"/>
    <w:rsid w:val="00374678"/>
    <w:rsid w:val="0037491A"/>
    <w:rsid w:val="00374E79"/>
    <w:rsid w:val="0037529A"/>
    <w:rsid w:val="00375388"/>
    <w:rsid w:val="003753DA"/>
    <w:rsid w:val="00375559"/>
    <w:rsid w:val="00375FB9"/>
    <w:rsid w:val="00376122"/>
    <w:rsid w:val="00376170"/>
    <w:rsid w:val="00376851"/>
    <w:rsid w:val="00376FA2"/>
    <w:rsid w:val="00377133"/>
    <w:rsid w:val="003775AD"/>
    <w:rsid w:val="00377A3B"/>
    <w:rsid w:val="00377E3C"/>
    <w:rsid w:val="00380874"/>
    <w:rsid w:val="00380BBE"/>
    <w:rsid w:val="00380C7B"/>
    <w:rsid w:val="00381D70"/>
    <w:rsid w:val="0038235E"/>
    <w:rsid w:val="003829D0"/>
    <w:rsid w:val="00382BC9"/>
    <w:rsid w:val="0038326A"/>
    <w:rsid w:val="003836F9"/>
    <w:rsid w:val="00383E0C"/>
    <w:rsid w:val="0038444F"/>
    <w:rsid w:val="00384AB5"/>
    <w:rsid w:val="00385376"/>
    <w:rsid w:val="00385E7D"/>
    <w:rsid w:val="003861F0"/>
    <w:rsid w:val="00386488"/>
    <w:rsid w:val="00387051"/>
    <w:rsid w:val="0038721D"/>
    <w:rsid w:val="00387DD8"/>
    <w:rsid w:val="00387ECF"/>
    <w:rsid w:val="0039021B"/>
    <w:rsid w:val="00390429"/>
    <w:rsid w:val="00390432"/>
    <w:rsid w:val="003906A0"/>
    <w:rsid w:val="00390CF2"/>
    <w:rsid w:val="00391D5F"/>
    <w:rsid w:val="003923D5"/>
    <w:rsid w:val="003924DD"/>
    <w:rsid w:val="00392598"/>
    <w:rsid w:val="003928EE"/>
    <w:rsid w:val="00393196"/>
    <w:rsid w:val="003931AF"/>
    <w:rsid w:val="0039326B"/>
    <w:rsid w:val="0039366C"/>
    <w:rsid w:val="003938FD"/>
    <w:rsid w:val="00393EC8"/>
    <w:rsid w:val="00394A44"/>
    <w:rsid w:val="003957C3"/>
    <w:rsid w:val="00395E42"/>
    <w:rsid w:val="00396409"/>
    <w:rsid w:val="00396A2D"/>
    <w:rsid w:val="00396A4A"/>
    <w:rsid w:val="00396A8B"/>
    <w:rsid w:val="00396FC3"/>
    <w:rsid w:val="00397448"/>
    <w:rsid w:val="003A054D"/>
    <w:rsid w:val="003A07F9"/>
    <w:rsid w:val="003A0CAB"/>
    <w:rsid w:val="003A1431"/>
    <w:rsid w:val="003A1A94"/>
    <w:rsid w:val="003A1D29"/>
    <w:rsid w:val="003A204E"/>
    <w:rsid w:val="003A2649"/>
    <w:rsid w:val="003A2A9E"/>
    <w:rsid w:val="003A2D25"/>
    <w:rsid w:val="003A3188"/>
    <w:rsid w:val="003A3619"/>
    <w:rsid w:val="003A36B7"/>
    <w:rsid w:val="003A386F"/>
    <w:rsid w:val="003A3B5B"/>
    <w:rsid w:val="003A433C"/>
    <w:rsid w:val="003A4449"/>
    <w:rsid w:val="003A5101"/>
    <w:rsid w:val="003A55A3"/>
    <w:rsid w:val="003A5728"/>
    <w:rsid w:val="003A580F"/>
    <w:rsid w:val="003A5965"/>
    <w:rsid w:val="003A5EA5"/>
    <w:rsid w:val="003A60E7"/>
    <w:rsid w:val="003A67DB"/>
    <w:rsid w:val="003A699B"/>
    <w:rsid w:val="003A7092"/>
    <w:rsid w:val="003A72A1"/>
    <w:rsid w:val="003A7611"/>
    <w:rsid w:val="003A7C6C"/>
    <w:rsid w:val="003A7D1F"/>
    <w:rsid w:val="003A7FED"/>
    <w:rsid w:val="003B019D"/>
    <w:rsid w:val="003B04BF"/>
    <w:rsid w:val="003B0B6A"/>
    <w:rsid w:val="003B10BF"/>
    <w:rsid w:val="003B22F7"/>
    <w:rsid w:val="003B25B2"/>
    <w:rsid w:val="003B2628"/>
    <w:rsid w:val="003B2635"/>
    <w:rsid w:val="003B29CF"/>
    <w:rsid w:val="003B2A2B"/>
    <w:rsid w:val="003B388A"/>
    <w:rsid w:val="003B3A90"/>
    <w:rsid w:val="003B3C56"/>
    <w:rsid w:val="003B3D01"/>
    <w:rsid w:val="003B3D61"/>
    <w:rsid w:val="003B4C02"/>
    <w:rsid w:val="003B534F"/>
    <w:rsid w:val="003B5354"/>
    <w:rsid w:val="003B5578"/>
    <w:rsid w:val="003B5EA5"/>
    <w:rsid w:val="003B6332"/>
    <w:rsid w:val="003B6AC2"/>
    <w:rsid w:val="003B6B8F"/>
    <w:rsid w:val="003B6C8A"/>
    <w:rsid w:val="003B7A79"/>
    <w:rsid w:val="003B7E80"/>
    <w:rsid w:val="003B7EFE"/>
    <w:rsid w:val="003C002C"/>
    <w:rsid w:val="003C0182"/>
    <w:rsid w:val="003C0244"/>
    <w:rsid w:val="003C0BDA"/>
    <w:rsid w:val="003C0EBC"/>
    <w:rsid w:val="003C0FE1"/>
    <w:rsid w:val="003C127E"/>
    <w:rsid w:val="003C151A"/>
    <w:rsid w:val="003C154D"/>
    <w:rsid w:val="003C1865"/>
    <w:rsid w:val="003C2DB6"/>
    <w:rsid w:val="003C2F46"/>
    <w:rsid w:val="003C350C"/>
    <w:rsid w:val="003C3733"/>
    <w:rsid w:val="003C37ED"/>
    <w:rsid w:val="003C3903"/>
    <w:rsid w:val="003C3BA0"/>
    <w:rsid w:val="003C4343"/>
    <w:rsid w:val="003C4580"/>
    <w:rsid w:val="003C4C06"/>
    <w:rsid w:val="003C51DC"/>
    <w:rsid w:val="003C527A"/>
    <w:rsid w:val="003C5644"/>
    <w:rsid w:val="003C5C5E"/>
    <w:rsid w:val="003C6690"/>
    <w:rsid w:val="003C6746"/>
    <w:rsid w:val="003C6841"/>
    <w:rsid w:val="003C70CF"/>
    <w:rsid w:val="003C7555"/>
    <w:rsid w:val="003C7898"/>
    <w:rsid w:val="003C7B15"/>
    <w:rsid w:val="003C7E75"/>
    <w:rsid w:val="003D0F72"/>
    <w:rsid w:val="003D0FF5"/>
    <w:rsid w:val="003D11A3"/>
    <w:rsid w:val="003D14FD"/>
    <w:rsid w:val="003D1537"/>
    <w:rsid w:val="003D183C"/>
    <w:rsid w:val="003D25FC"/>
    <w:rsid w:val="003D2D1B"/>
    <w:rsid w:val="003D2E3D"/>
    <w:rsid w:val="003D3D9E"/>
    <w:rsid w:val="003D442A"/>
    <w:rsid w:val="003D4854"/>
    <w:rsid w:val="003D48C7"/>
    <w:rsid w:val="003D4C16"/>
    <w:rsid w:val="003D4C27"/>
    <w:rsid w:val="003D4DC5"/>
    <w:rsid w:val="003D59CD"/>
    <w:rsid w:val="003D5FE4"/>
    <w:rsid w:val="003D6149"/>
    <w:rsid w:val="003D61B6"/>
    <w:rsid w:val="003D6569"/>
    <w:rsid w:val="003D6B90"/>
    <w:rsid w:val="003D6D79"/>
    <w:rsid w:val="003D7109"/>
    <w:rsid w:val="003D74E3"/>
    <w:rsid w:val="003D769B"/>
    <w:rsid w:val="003D7CE8"/>
    <w:rsid w:val="003E01FE"/>
    <w:rsid w:val="003E0327"/>
    <w:rsid w:val="003E0404"/>
    <w:rsid w:val="003E0514"/>
    <w:rsid w:val="003E080D"/>
    <w:rsid w:val="003E0B75"/>
    <w:rsid w:val="003E1032"/>
    <w:rsid w:val="003E11C1"/>
    <w:rsid w:val="003E13BF"/>
    <w:rsid w:val="003E1904"/>
    <w:rsid w:val="003E285E"/>
    <w:rsid w:val="003E28CB"/>
    <w:rsid w:val="003E2E5F"/>
    <w:rsid w:val="003E2FB4"/>
    <w:rsid w:val="003E3124"/>
    <w:rsid w:val="003E3300"/>
    <w:rsid w:val="003E35D5"/>
    <w:rsid w:val="003E37DD"/>
    <w:rsid w:val="003E3ABF"/>
    <w:rsid w:val="003E3C30"/>
    <w:rsid w:val="003E4070"/>
    <w:rsid w:val="003E43D3"/>
    <w:rsid w:val="003E48E1"/>
    <w:rsid w:val="003E4904"/>
    <w:rsid w:val="003E49AF"/>
    <w:rsid w:val="003E4DAF"/>
    <w:rsid w:val="003E50DE"/>
    <w:rsid w:val="003E50F4"/>
    <w:rsid w:val="003E5416"/>
    <w:rsid w:val="003E59BB"/>
    <w:rsid w:val="003E5FC6"/>
    <w:rsid w:val="003E6117"/>
    <w:rsid w:val="003E617F"/>
    <w:rsid w:val="003E61CB"/>
    <w:rsid w:val="003E6225"/>
    <w:rsid w:val="003E65AC"/>
    <w:rsid w:val="003E66AE"/>
    <w:rsid w:val="003E6ADF"/>
    <w:rsid w:val="003E72B9"/>
    <w:rsid w:val="003E7612"/>
    <w:rsid w:val="003E7C7D"/>
    <w:rsid w:val="003E7ED4"/>
    <w:rsid w:val="003F043D"/>
    <w:rsid w:val="003F0A8A"/>
    <w:rsid w:val="003F0CAA"/>
    <w:rsid w:val="003F0CF8"/>
    <w:rsid w:val="003F0E52"/>
    <w:rsid w:val="003F0F6B"/>
    <w:rsid w:val="003F1FC6"/>
    <w:rsid w:val="003F1FE3"/>
    <w:rsid w:val="003F2359"/>
    <w:rsid w:val="003F27BE"/>
    <w:rsid w:val="003F2B8F"/>
    <w:rsid w:val="003F3232"/>
    <w:rsid w:val="003F3839"/>
    <w:rsid w:val="003F3865"/>
    <w:rsid w:val="003F38AC"/>
    <w:rsid w:val="003F3A0F"/>
    <w:rsid w:val="003F3D55"/>
    <w:rsid w:val="003F412C"/>
    <w:rsid w:val="003F44E2"/>
    <w:rsid w:val="003F4632"/>
    <w:rsid w:val="003F47BA"/>
    <w:rsid w:val="003F4FE6"/>
    <w:rsid w:val="003F5638"/>
    <w:rsid w:val="003F6617"/>
    <w:rsid w:val="003F686C"/>
    <w:rsid w:val="003F7070"/>
    <w:rsid w:val="00400B93"/>
    <w:rsid w:val="00401388"/>
    <w:rsid w:val="00401A5F"/>
    <w:rsid w:val="004020F9"/>
    <w:rsid w:val="00402332"/>
    <w:rsid w:val="004024F6"/>
    <w:rsid w:val="004025C2"/>
    <w:rsid w:val="00402F5D"/>
    <w:rsid w:val="00402FF3"/>
    <w:rsid w:val="00403195"/>
    <w:rsid w:val="004033A9"/>
    <w:rsid w:val="004034C9"/>
    <w:rsid w:val="0040378C"/>
    <w:rsid w:val="004037C9"/>
    <w:rsid w:val="00403E55"/>
    <w:rsid w:val="0040407C"/>
    <w:rsid w:val="0040416C"/>
    <w:rsid w:val="004041CA"/>
    <w:rsid w:val="00404681"/>
    <w:rsid w:val="00404F7F"/>
    <w:rsid w:val="00405302"/>
    <w:rsid w:val="00405445"/>
    <w:rsid w:val="00405A10"/>
    <w:rsid w:val="00405AC1"/>
    <w:rsid w:val="00405C0D"/>
    <w:rsid w:val="0040675B"/>
    <w:rsid w:val="00406923"/>
    <w:rsid w:val="0040763D"/>
    <w:rsid w:val="00407AA7"/>
    <w:rsid w:val="0041026C"/>
    <w:rsid w:val="00410758"/>
    <w:rsid w:val="00410797"/>
    <w:rsid w:val="00410D17"/>
    <w:rsid w:val="00410DFE"/>
    <w:rsid w:val="00410E6C"/>
    <w:rsid w:val="00411412"/>
    <w:rsid w:val="00411445"/>
    <w:rsid w:val="00411563"/>
    <w:rsid w:val="0041199C"/>
    <w:rsid w:val="00411C17"/>
    <w:rsid w:val="00412150"/>
    <w:rsid w:val="0041296A"/>
    <w:rsid w:val="00412AA9"/>
    <w:rsid w:val="00413442"/>
    <w:rsid w:val="00413821"/>
    <w:rsid w:val="004139B8"/>
    <w:rsid w:val="00413BA5"/>
    <w:rsid w:val="00413E1F"/>
    <w:rsid w:val="004141A3"/>
    <w:rsid w:val="00414909"/>
    <w:rsid w:val="00414C50"/>
    <w:rsid w:val="0041582F"/>
    <w:rsid w:val="004159E1"/>
    <w:rsid w:val="00415E19"/>
    <w:rsid w:val="00416112"/>
    <w:rsid w:val="00416167"/>
    <w:rsid w:val="0041660A"/>
    <w:rsid w:val="0041696B"/>
    <w:rsid w:val="004171E1"/>
    <w:rsid w:val="004172C7"/>
    <w:rsid w:val="00417A18"/>
    <w:rsid w:val="00417AE0"/>
    <w:rsid w:val="00417BAA"/>
    <w:rsid w:val="00420196"/>
    <w:rsid w:val="0042027F"/>
    <w:rsid w:val="0042042B"/>
    <w:rsid w:val="00420673"/>
    <w:rsid w:val="004206B1"/>
    <w:rsid w:val="00420B45"/>
    <w:rsid w:val="00420D7A"/>
    <w:rsid w:val="00420DCE"/>
    <w:rsid w:val="00421257"/>
    <w:rsid w:val="00421524"/>
    <w:rsid w:val="004217A4"/>
    <w:rsid w:val="004217EC"/>
    <w:rsid w:val="00421868"/>
    <w:rsid w:val="00421A47"/>
    <w:rsid w:val="00422193"/>
    <w:rsid w:val="004223B5"/>
    <w:rsid w:val="004223BA"/>
    <w:rsid w:val="004223DE"/>
    <w:rsid w:val="00422894"/>
    <w:rsid w:val="004228EA"/>
    <w:rsid w:val="00422A10"/>
    <w:rsid w:val="00422C7F"/>
    <w:rsid w:val="00423C04"/>
    <w:rsid w:val="004246CF"/>
    <w:rsid w:val="00424955"/>
    <w:rsid w:val="00424C00"/>
    <w:rsid w:val="00424D17"/>
    <w:rsid w:val="00424E4E"/>
    <w:rsid w:val="004257C9"/>
    <w:rsid w:val="00425DFD"/>
    <w:rsid w:val="0042620F"/>
    <w:rsid w:val="004263A3"/>
    <w:rsid w:val="004271AE"/>
    <w:rsid w:val="004275DF"/>
    <w:rsid w:val="00427713"/>
    <w:rsid w:val="0042778C"/>
    <w:rsid w:val="0042782C"/>
    <w:rsid w:val="00427CCC"/>
    <w:rsid w:val="0043013A"/>
    <w:rsid w:val="004303E3"/>
    <w:rsid w:val="00430421"/>
    <w:rsid w:val="0043070C"/>
    <w:rsid w:val="0043074F"/>
    <w:rsid w:val="00430A36"/>
    <w:rsid w:val="00430B4F"/>
    <w:rsid w:val="00431084"/>
    <w:rsid w:val="004310D7"/>
    <w:rsid w:val="004313F3"/>
    <w:rsid w:val="00431C8A"/>
    <w:rsid w:val="004322D6"/>
    <w:rsid w:val="00432589"/>
    <w:rsid w:val="00432A94"/>
    <w:rsid w:val="00432C2B"/>
    <w:rsid w:val="00432C95"/>
    <w:rsid w:val="0043361B"/>
    <w:rsid w:val="00433827"/>
    <w:rsid w:val="00433850"/>
    <w:rsid w:val="00433A40"/>
    <w:rsid w:val="00433F13"/>
    <w:rsid w:val="004343DC"/>
    <w:rsid w:val="00434B50"/>
    <w:rsid w:val="00434B70"/>
    <w:rsid w:val="00434DAC"/>
    <w:rsid w:val="004352D2"/>
    <w:rsid w:val="004352DB"/>
    <w:rsid w:val="004359B0"/>
    <w:rsid w:val="00435C27"/>
    <w:rsid w:val="00435CEB"/>
    <w:rsid w:val="004360C8"/>
    <w:rsid w:val="00436261"/>
    <w:rsid w:val="00436775"/>
    <w:rsid w:val="00436823"/>
    <w:rsid w:val="0043687D"/>
    <w:rsid w:val="004371D5"/>
    <w:rsid w:val="0043795B"/>
    <w:rsid w:val="0044006B"/>
    <w:rsid w:val="0044033F"/>
    <w:rsid w:val="00440630"/>
    <w:rsid w:val="004412F7"/>
    <w:rsid w:val="00441BF2"/>
    <w:rsid w:val="00441F0F"/>
    <w:rsid w:val="004422C9"/>
    <w:rsid w:val="0044244A"/>
    <w:rsid w:val="00442965"/>
    <w:rsid w:val="00442E79"/>
    <w:rsid w:val="00443113"/>
    <w:rsid w:val="004432B6"/>
    <w:rsid w:val="00443A5C"/>
    <w:rsid w:val="00444157"/>
    <w:rsid w:val="0044417C"/>
    <w:rsid w:val="00444298"/>
    <w:rsid w:val="00444411"/>
    <w:rsid w:val="00444A14"/>
    <w:rsid w:val="00444D88"/>
    <w:rsid w:val="00444DB3"/>
    <w:rsid w:val="004451AD"/>
    <w:rsid w:val="00445617"/>
    <w:rsid w:val="004456E1"/>
    <w:rsid w:val="00445A2F"/>
    <w:rsid w:val="00446686"/>
    <w:rsid w:val="0044684E"/>
    <w:rsid w:val="0044685F"/>
    <w:rsid w:val="00446F22"/>
    <w:rsid w:val="00447360"/>
    <w:rsid w:val="0044747E"/>
    <w:rsid w:val="00447700"/>
    <w:rsid w:val="0044784E"/>
    <w:rsid w:val="00447917"/>
    <w:rsid w:val="00447B0B"/>
    <w:rsid w:val="0045019F"/>
    <w:rsid w:val="004503A4"/>
    <w:rsid w:val="00450555"/>
    <w:rsid w:val="004505B7"/>
    <w:rsid w:val="004506FA"/>
    <w:rsid w:val="004507F9"/>
    <w:rsid w:val="00450DBC"/>
    <w:rsid w:val="00450DC6"/>
    <w:rsid w:val="004516A5"/>
    <w:rsid w:val="00451E9C"/>
    <w:rsid w:val="004526BB"/>
    <w:rsid w:val="0045280F"/>
    <w:rsid w:val="00452899"/>
    <w:rsid w:val="00452A11"/>
    <w:rsid w:val="0045309D"/>
    <w:rsid w:val="004535AE"/>
    <w:rsid w:val="00453A08"/>
    <w:rsid w:val="00454121"/>
    <w:rsid w:val="0045420A"/>
    <w:rsid w:val="0045444D"/>
    <w:rsid w:val="0045463A"/>
    <w:rsid w:val="004547C7"/>
    <w:rsid w:val="00454AC9"/>
    <w:rsid w:val="00454B8E"/>
    <w:rsid w:val="00454D0A"/>
    <w:rsid w:val="00455050"/>
    <w:rsid w:val="004554A3"/>
    <w:rsid w:val="004555E5"/>
    <w:rsid w:val="00455991"/>
    <w:rsid w:val="00455A6E"/>
    <w:rsid w:val="00455B9A"/>
    <w:rsid w:val="00455EAD"/>
    <w:rsid w:val="00456B55"/>
    <w:rsid w:val="00457113"/>
    <w:rsid w:val="004578EB"/>
    <w:rsid w:val="00457EE8"/>
    <w:rsid w:val="004604D5"/>
    <w:rsid w:val="00460697"/>
    <w:rsid w:val="0046117B"/>
    <w:rsid w:val="004619EA"/>
    <w:rsid w:val="00461A25"/>
    <w:rsid w:val="00461FC2"/>
    <w:rsid w:val="00463E12"/>
    <w:rsid w:val="00464AB7"/>
    <w:rsid w:val="00465DE5"/>
    <w:rsid w:val="00465F45"/>
    <w:rsid w:val="00465FDF"/>
    <w:rsid w:val="00465FED"/>
    <w:rsid w:val="00466AFD"/>
    <w:rsid w:val="00466B87"/>
    <w:rsid w:val="00467456"/>
    <w:rsid w:val="00467E25"/>
    <w:rsid w:val="00467EF8"/>
    <w:rsid w:val="00467F52"/>
    <w:rsid w:val="00470095"/>
    <w:rsid w:val="00470217"/>
    <w:rsid w:val="00470539"/>
    <w:rsid w:val="004708AF"/>
    <w:rsid w:val="00470DA2"/>
    <w:rsid w:val="00471AC3"/>
    <w:rsid w:val="00471B5A"/>
    <w:rsid w:val="00471B99"/>
    <w:rsid w:val="00472429"/>
    <w:rsid w:val="004725E5"/>
    <w:rsid w:val="0047261F"/>
    <w:rsid w:val="00472751"/>
    <w:rsid w:val="004730F9"/>
    <w:rsid w:val="00473128"/>
    <w:rsid w:val="0047314E"/>
    <w:rsid w:val="004733CE"/>
    <w:rsid w:val="00473DF6"/>
    <w:rsid w:val="00473EE6"/>
    <w:rsid w:val="00474031"/>
    <w:rsid w:val="00474329"/>
    <w:rsid w:val="004748F5"/>
    <w:rsid w:val="00475078"/>
    <w:rsid w:val="004755D9"/>
    <w:rsid w:val="004755E9"/>
    <w:rsid w:val="00475609"/>
    <w:rsid w:val="00475767"/>
    <w:rsid w:val="0047633E"/>
    <w:rsid w:val="004763EC"/>
    <w:rsid w:val="00476764"/>
    <w:rsid w:val="00476DD6"/>
    <w:rsid w:val="00477063"/>
    <w:rsid w:val="00477979"/>
    <w:rsid w:val="004779A0"/>
    <w:rsid w:val="00477C2E"/>
    <w:rsid w:val="00477EF3"/>
    <w:rsid w:val="00480574"/>
    <w:rsid w:val="00480827"/>
    <w:rsid w:val="004808C6"/>
    <w:rsid w:val="004808E3"/>
    <w:rsid w:val="00481016"/>
    <w:rsid w:val="004815E2"/>
    <w:rsid w:val="00481F08"/>
    <w:rsid w:val="0048204C"/>
    <w:rsid w:val="004821BB"/>
    <w:rsid w:val="0048237A"/>
    <w:rsid w:val="004826FE"/>
    <w:rsid w:val="004827D5"/>
    <w:rsid w:val="004829AE"/>
    <w:rsid w:val="00482A5E"/>
    <w:rsid w:val="00482AF2"/>
    <w:rsid w:val="00483058"/>
    <w:rsid w:val="004830C9"/>
    <w:rsid w:val="00483347"/>
    <w:rsid w:val="004833DA"/>
    <w:rsid w:val="00483E2E"/>
    <w:rsid w:val="00484B69"/>
    <w:rsid w:val="00485406"/>
    <w:rsid w:val="0048590F"/>
    <w:rsid w:val="00486D60"/>
    <w:rsid w:val="0048722B"/>
    <w:rsid w:val="004903DD"/>
    <w:rsid w:val="00490514"/>
    <w:rsid w:val="00490586"/>
    <w:rsid w:val="00490C5C"/>
    <w:rsid w:val="00490F1A"/>
    <w:rsid w:val="00491524"/>
    <w:rsid w:val="004915E3"/>
    <w:rsid w:val="004915E7"/>
    <w:rsid w:val="004915F4"/>
    <w:rsid w:val="004916C9"/>
    <w:rsid w:val="00491937"/>
    <w:rsid w:val="00491C71"/>
    <w:rsid w:val="00491EA2"/>
    <w:rsid w:val="00491FA1"/>
    <w:rsid w:val="0049203A"/>
    <w:rsid w:val="004920B4"/>
    <w:rsid w:val="0049263D"/>
    <w:rsid w:val="00492A25"/>
    <w:rsid w:val="00492ADA"/>
    <w:rsid w:val="004938A3"/>
    <w:rsid w:val="0049394C"/>
    <w:rsid w:val="00493A12"/>
    <w:rsid w:val="0049461D"/>
    <w:rsid w:val="004953AB"/>
    <w:rsid w:val="0049558B"/>
    <w:rsid w:val="00495690"/>
    <w:rsid w:val="00496350"/>
    <w:rsid w:val="0049670C"/>
    <w:rsid w:val="004974AF"/>
    <w:rsid w:val="0049797C"/>
    <w:rsid w:val="00497AF0"/>
    <w:rsid w:val="004A0441"/>
    <w:rsid w:val="004A071E"/>
    <w:rsid w:val="004A0825"/>
    <w:rsid w:val="004A1073"/>
    <w:rsid w:val="004A1405"/>
    <w:rsid w:val="004A15BD"/>
    <w:rsid w:val="004A1B59"/>
    <w:rsid w:val="004A1E28"/>
    <w:rsid w:val="004A1F2B"/>
    <w:rsid w:val="004A1FC6"/>
    <w:rsid w:val="004A25F5"/>
    <w:rsid w:val="004A2670"/>
    <w:rsid w:val="004A277D"/>
    <w:rsid w:val="004A2E5F"/>
    <w:rsid w:val="004A38C2"/>
    <w:rsid w:val="004A3C03"/>
    <w:rsid w:val="004A3DB7"/>
    <w:rsid w:val="004A4224"/>
    <w:rsid w:val="004A463B"/>
    <w:rsid w:val="004A4678"/>
    <w:rsid w:val="004A5088"/>
    <w:rsid w:val="004A5255"/>
    <w:rsid w:val="004A5948"/>
    <w:rsid w:val="004A5EF4"/>
    <w:rsid w:val="004A63C5"/>
    <w:rsid w:val="004A6877"/>
    <w:rsid w:val="004A6B28"/>
    <w:rsid w:val="004A6CB0"/>
    <w:rsid w:val="004A70FF"/>
    <w:rsid w:val="004A75D0"/>
    <w:rsid w:val="004A7EDE"/>
    <w:rsid w:val="004B012D"/>
    <w:rsid w:val="004B030E"/>
    <w:rsid w:val="004B06E6"/>
    <w:rsid w:val="004B0D74"/>
    <w:rsid w:val="004B0D93"/>
    <w:rsid w:val="004B0FAB"/>
    <w:rsid w:val="004B10A5"/>
    <w:rsid w:val="004B11B5"/>
    <w:rsid w:val="004B12FC"/>
    <w:rsid w:val="004B16FA"/>
    <w:rsid w:val="004B1C95"/>
    <w:rsid w:val="004B1FA4"/>
    <w:rsid w:val="004B2106"/>
    <w:rsid w:val="004B29AC"/>
    <w:rsid w:val="004B35DF"/>
    <w:rsid w:val="004B3627"/>
    <w:rsid w:val="004B393A"/>
    <w:rsid w:val="004B39F4"/>
    <w:rsid w:val="004B458E"/>
    <w:rsid w:val="004B4922"/>
    <w:rsid w:val="004B4FB5"/>
    <w:rsid w:val="004B57D4"/>
    <w:rsid w:val="004B57DF"/>
    <w:rsid w:val="004B5976"/>
    <w:rsid w:val="004B5DAB"/>
    <w:rsid w:val="004B5DC0"/>
    <w:rsid w:val="004B62B9"/>
    <w:rsid w:val="004B68A7"/>
    <w:rsid w:val="004B70C2"/>
    <w:rsid w:val="004B722E"/>
    <w:rsid w:val="004B72E6"/>
    <w:rsid w:val="004B72E8"/>
    <w:rsid w:val="004B74DA"/>
    <w:rsid w:val="004B76BB"/>
    <w:rsid w:val="004B7AE9"/>
    <w:rsid w:val="004B7F3B"/>
    <w:rsid w:val="004C01A5"/>
    <w:rsid w:val="004C0412"/>
    <w:rsid w:val="004C0717"/>
    <w:rsid w:val="004C07B9"/>
    <w:rsid w:val="004C0F05"/>
    <w:rsid w:val="004C12E6"/>
    <w:rsid w:val="004C1634"/>
    <w:rsid w:val="004C1AE3"/>
    <w:rsid w:val="004C2138"/>
    <w:rsid w:val="004C2260"/>
    <w:rsid w:val="004C2AA4"/>
    <w:rsid w:val="004C3153"/>
    <w:rsid w:val="004C3940"/>
    <w:rsid w:val="004C4704"/>
    <w:rsid w:val="004C4EF9"/>
    <w:rsid w:val="004C51FD"/>
    <w:rsid w:val="004C52B3"/>
    <w:rsid w:val="004C568C"/>
    <w:rsid w:val="004C5C82"/>
    <w:rsid w:val="004C5E7F"/>
    <w:rsid w:val="004C65A8"/>
    <w:rsid w:val="004C6689"/>
    <w:rsid w:val="004C6859"/>
    <w:rsid w:val="004C737E"/>
    <w:rsid w:val="004C743A"/>
    <w:rsid w:val="004C7CF5"/>
    <w:rsid w:val="004D0006"/>
    <w:rsid w:val="004D07C7"/>
    <w:rsid w:val="004D09B2"/>
    <w:rsid w:val="004D139A"/>
    <w:rsid w:val="004D14DC"/>
    <w:rsid w:val="004D17C6"/>
    <w:rsid w:val="004D18D0"/>
    <w:rsid w:val="004D20EE"/>
    <w:rsid w:val="004D2858"/>
    <w:rsid w:val="004D2D16"/>
    <w:rsid w:val="004D2D68"/>
    <w:rsid w:val="004D2E49"/>
    <w:rsid w:val="004D35BA"/>
    <w:rsid w:val="004D38E5"/>
    <w:rsid w:val="004D394F"/>
    <w:rsid w:val="004D3C5A"/>
    <w:rsid w:val="004D418A"/>
    <w:rsid w:val="004D449A"/>
    <w:rsid w:val="004D45F9"/>
    <w:rsid w:val="004D4701"/>
    <w:rsid w:val="004D4728"/>
    <w:rsid w:val="004D47C7"/>
    <w:rsid w:val="004D49A6"/>
    <w:rsid w:val="004D4B0A"/>
    <w:rsid w:val="004D4B2B"/>
    <w:rsid w:val="004D4E38"/>
    <w:rsid w:val="004D4F35"/>
    <w:rsid w:val="004D4FEB"/>
    <w:rsid w:val="004D51EE"/>
    <w:rsid w:val="004D5D45"/>
    <w:rsid w:val="004D618D"/>
    <w:rsid w:val="004D62A9"/>
    <w:rsid w:val="004D6BE1"/>
    <w:rsid w:val="004D6BF9"/>
    <w:rsid w:val="004D6FC3"/>
    <w:rsid w:val="004D7436"/>
    <w:rsid w:val="004D7476"/>
    <w:rsid w:val="004D7716"/>
    <w:rsid w:val="004D7959"/>
    <w:rsid w:val="004D7A14"/>
    <w:rsid w:val="004D7F46"/>
    <w:rsid w:val="004E0306"/>
    <w:rsid w:val="004E0572"/>
    <w:rsid w:val="004E058C"/>
    <w:rsid w:val="004E089C"/>
    <w:rsid w:val="004E08E0"/>
    <w:rsid w:val="004E0BCD"/>
    <w:rsid w:val="004E0EE4"/>
    <w:rsid w:val="004E1491"/>
    <w:rsid w:val="004E1641"/>
    <w:rsid w:val="004E1818"/>
    <w:rsid w:val="004E1990"/>
    <w:rsid w:val="004E1E53"/>
    <w:rsid w:val="004E25A8"/>
    <w:rsid w:val="004E30E4"/>
    <w:rsid w:val="004E34B7"/>
    <w:rsid w:val="004E3930"/>
    <w:rsid w:val="004E3A90"/>
    <w:rsid w:val="004E3B9F"/>
    <w:rsid w:val="004E3ED9"/>
    <w:rsid w:val="004E4555"/>
    <w:rsid w:val="004E4FCD"/>
    <w:rsid w:val="004E506B"/>
    <w:rsid w:val="004E50CD"/>
    <w:rsid w:val="004E5866"/>
    <w:rsid w:val="004E58E8"/>
    <w:rsid w:val="004E5B2A"/>
    <w:rsid w:val="004E5D85"/>
    <w:rsid w:val="004E5E01"/>
    <w:rsid w:val="004E6097"/>
    <w:rsid w:val="004E61EF"/>
    <w:rsid w:val="004E63C6"/>
    <w:rsid w:val="004E6C67"/>
    <w:rsid w:val="004E6CD8"/>
    <w:rsid w:val="004E70BF"/>
    <w:rsid w:val="004E76A7"/>
    <w:rsid w:val="004E7B03"/>
    <w:rsid w:val="004F0064"/>
    <w:rsid w:val="004F028E"/>
    <w:rsid w:val="004F06AC"/>
    <w:rsid w:val="004F06CB"/>
    <w:rsid w:val="004F0716"/>
    <w:rsid w:val="004F0D99"/>
    <w:rsid w:val="004F0E50"/>
    <w:rsid w:val="004F1D2A"/>
    <w:rsid w:val="004F1FD2"/>
    <w:rsid w:val="004F243F"/>
    <w:rsid w:val="004F252C"/>
    <w:rsid w:val="004F2B8F"/>
    <w:rsid w:val="004F36A3"/>
    <w:rsid w:val="004F3E0C"/>
    <w:rsid w:val="004F4308"/>
    <w:rsid w:val="004F45E7"/>
    <w:rsid w:val="004F4631"/>
    <w:rsid w:val="004F46C4"/>
    <w:rsid w:val="004F546F"/>
    <w:rsid w:val="004F5741"/>
    <w:rsid w:val="004F5F13"/>
    <w:rsid w:val="004F628A"/>
    <w:rsid w:val="004F6F50"/>
    <w:rsid w:val="004F6FEA"/>
    <w:rsid w:val="004F70D5"/>
    <w:rsid w:val="004F7160"/>
    <w:rsid w:val="0050012C"/>
    <w:rsid w:val="005001C4"/>
    <w:rsid w:val="00500258"/>
    <w:rsid w:val="0050089F"/>
    <w:rsid w:val="00500B2D"/>
    <w:rsid w:val="00500ED4"/>
    <w:rsid w:val="005010DC"/>
    <w:rsid w:val="0050118D"/>
    <w:rsid w:val="005019F8"/>
    <w:rsid w:val="00501A99"/>
    <w:rsid w:val="00501E52"/>
    <w:rsid w:val="00501E71"/>
    <w:rsid w:val="0050213D"/>
    <w:rsid w:val="00502530"/>
    <w:rsid w:val="00502808"/>
    <w:rsid w:val="00502858"/>
    <w:rsid w:val="00503180"/>
    <w:rsid w:val="005034A4"/>
    <w:rsid w:val="005038A4"/>
    <w:rsid w:val="00503D29"/>
    <w:rsid w:val="00503DFC"/>
    <w:rsid w:val="005043C6"/>
    <w:rsid w:val="00504B1A"/>
    <w:rsid w:val="00504C10"/>
    <w:rsid w:val="00504C6D"/>
    <w:rsid w:val="00504C7D"/>
    <w:rsid w:val="00504CD4"/>
    <w:rsid w:val="0050524B"/>
    <w:rsid w:val="00505450"/>
    <w:rsid w:val="00505FC6"/>
    <w:rsid w:val="0050632A"/>
    <w:rsid w:val="00507553"/>
    <w:rsid w:val="005100B7"/>
    <w:rsid w:val="005102D3"/>
    <w:rsid w:val="005105DE"/>
    <w:rsid w:val="005113C9"/>
    <w:rsid w:val="00511DAB"/>
    <w:rsid w:val="00511FFE"/>
    <w:rsid w:val="00512050"/>
    <w:rsid w:val="00512055"/>
    <w:rsid w:val="0051280C"/>
    <w:rsid w:val="00512842"/>
    <w:rsid w:val="005128BE"/>
    <w:rsid w:val="00512B4A"/>
    <w:rsid w:val="00513157"/>
    <w:rsid w:val="0051356F"/>
    <w:rsid w:val="00513E7C"/>
    <w:rsid w:val="005140BB"/>
    <w:rsid w:val="00514133"/>
    <w:rsid w:val="00514555"/>
    <w:rsid w:val="00514FBE"/>
    <w:rsid w:val="00514FD9"/>
    <w:rsid w:val="005150B9"/>
    <w:rsid w:val="0051550A"/>
    <w:rsid w:val="005157EB"/>
    <w:rsid w:val="0051608F"/>
    <w:rsid w:val="005162B8"/>
    <w:rsid w:val="00516480"/>
    <w:rsid w:val="00516DA5"/>
    <w:rsid w:val="00517304"/>
    <w:rsid w:val="00517C83"/>
    <w:rsid w:val="00517D32"/>
    <w:rsid w:val="00517D9E"/>
    <w:rsid w:val="005200F5"/>
    <w:rsid w:val="005201AC"/>
    <w:rsid w:val="00520247"/>
    <w:rsid w:val="00520389"/>
    <w:rsid w:val="005205B8"/>
    <w:rsid w:val="00520694"/>
    <w:rsid w:val="00520825"/>
    <w:rsid w:val="005208A7"/>
    <w:rsid w:val="00520C2E"/>
    <w:rsid w:val="00520EF8"/>
    <w:rsid w:val="005210F7"/>
    <w:rsid w:val="00521440"/>
    <w:rsid w:val="00521753"/>
    <w:rsid w:val="00521975"/>
    <w:rsid w:val="00521DEC"/>
    <w:rsid w:val="005221CE"/>
    <w:rsid w:val="00522300"/>
    <w:rsid w:val="0052239D"/>
    <w:rsid w:val="005224EE"/>
    <w:rsid w:val="00522879"/>
    <w:rsid w:val="00522AFA"/>
    <w:rsid w:val="00523ACB"/>
    <w:rsid w:val="00523BB1"/>
    <w:rsid w:val="00523DF0"/>
    <w:rsid w:val="00524114"/>
    <w:rsid w:val="00524368"/>
    <w:rsid w:val="005244DC"/>
    <w:rsid w:val="00524AAD"/>
    <w:rsid w:val="00524B23"/>
    <w:rsid w:val="00525019"/>
    <w:rsid w:val="005251DC"/>
    <w:rsid w:val="005252D0"/>
    <w:rsid w:val="0052537F"/>
    <w:rsid w:val="0052570E"/>
    <w:rsid w:val="005260CD"/>
    <w:rsid w:val="00526265"/>
    <w:rsid w:val="0052655D"/>
    <w:rsid w:val="005265E0"/>
    <w:rsid w:val="00526BC3"/>
    <w:rsid w:val="00526D01"/>
    <w:rsid w:val="005273BB"/>
    <w:rsid w:val="0052758A"/>
    <w:rsid w:val="00530064"/>
    <w:rsid w:val="00530077"/>
    <w:rsid w:val="00530552"/>
    <w:rsid w:val="005306CF"/>
    <w:rsid w:val="005310DB"/>
    <w:rsid w:val="00531761"/>
    <w:rsid w:val="005321A0"/>
    <w:rsid w:val="0053248F"/>
    <w:rsid w:val="00532608"/>
    <w:rsid w:val="005327AB"/>
    <w:rsid w:val="00532D5F"/>
    <w:rsid w:val="0053332A"/>
    <w:rsid w:val="0053358A"/>
    <w:rsid w:val="00533888"/>
    <w:rsid w:val="00533C39"/>
    <w:rsid w:val="00533E7B"/>
    <w:rsid w:val="00534085"/>
    <w:rsid w:val="00534668"/>
    <w:rsid w:val="00534DDD"/>
    <w:rsid w:val="00535291"/>
    <w:rsid w:val="0053556C"/>
    <w:rsid w:val="00535A6C"/>
    <w:rsid w:val="00535A94"/>
    <w:rsid w:val="00535C1B"/>
    <w:rsid w:val="00536104"/>
    <w:rsid w:val="0053702C"/>
    <w:rsid w:val="0053734D"/>
    <w:rsid w:val="00537874"/>
    <w:rsid w:val="00537954"/>
    <w:rsid w:val="0053795F"/>
    <w:rsid w:val="00537D3D"/>
    <w:rsid w:val="00540082"/>
    <w:rsid w:val="005403F0"/>
    <w:rsid w:val="00540470"/>
    <w:rsid w:val="00540511"/>
    <w:rsid w:val="00540578"/>
    <w:rsid w:val="00540808"/>
    <w:rsid w:val="0054080E"/>
    <w:rsid w:val="005408D3"/>
    <w:rsid w:val="00540D1A"/>
    <w:rsid w:val="00540DE5"/>
    <w:rsid w:val="00540EA1"/>
    <w:rsid w:val="0054148D"/>
    <w:rsid w:val="00541E5A"/>
    <w:rsid w:val="00542653"/>
    <w:rsid w:val="0054358E"/>
    <w:rsid w:val="00543723"/>
    <w:rsid w:val="00543AF4"/>
    <w:rsid w:val="00543BC5"/>
    <w:rsid w:val="00543F53"/>
    <w:rsid w:val="00544191"/>
    <w:rsid w:val="0054440C"/>
    <w:rsid w:val="00544470"/>
    <w:rsid w:val="005448EC"/>
    <w:rsid w:val="00544C0A"/>
    <w:rsid w:val="00544C27"/>
    <w:rsid w:val="00544C81"/>
    <w:rsid w:val="00544F39"/>
    <w:rsid w:val="00545560"/>
    <w:rsid w:val="005457FB"/>
    <w:rsid w:val="0054632F"/>
    <w:rsid w:val="00546885"/>
    <w:rsid w:val="0054695C"/>
    <w:rsid w:val="00546B96"/>
    <w:rsid w:val="00546C51"/>
    <w:rsid w:val="00546F90"/>
    <w:rsid w:val="00547BBF"/>
    <w:rsid w:val="00547EFB"/>
    <w:rsid w:val="00547FD0"/>
    <w:rsid w:val="00550192"/>
    <w:rsid w:val="00550764"/>
    <w:rsid w:val="00550A06"/>
    <w:rsid w:val="00550A3D"/>
    <w:rsid w:val="00550CD6"/>
    <w:rsid w:val="00550D99"/>
    <w:rsid w:val="00550E54"/>
    <w:rsid w:val="00551590"/>
    <w:rsid w:val="00551820"/>
    <w:rsid w:val="00551EC6"/>
    <w:rsid w:val="00551FD2"/>
    <w:rsid w:val="00552014"/>
    <w:rsid w:val="0055227C"/>
    <w:rsid w:val="005522F2"/>
    <w:rsid w:val="005524B1"/>
    <w:rsid w:val="0055295B"/>
    <w:rsid w:val="00552AB3"/>
    <w:rsid w:val="00552D6C"/>
    <w:rsid w:val="005531DF"/>
    <w:rsid w:val="005535AF"/>
    <w:rsid w:val="00553874"/>
    <w:rsid w:val="00553A06"/>
    <w:rsid w:val="00553DCE"/>
    <w:rsid w:val="005540FE"/>
    <w:rsid w:val="005541E0"/>
    <w:rsid w:val="00554577"/>
    <w:rsid w:val="00554AD8"/>
    <w:rsid w:val="00554C99"/>
    <w:rsid w:val="00554F78"/>
    <w:rsid w:val="00554FC6"/>
    <w:rsid w:val="00555157"/>
    <w:rsid w:val="00555789"/>
    <w:rsid w:val="005559D3"/>
    <w:rsid w:val="00555A6C"/>
    <w:rsid w:val="00555DA1"/>
    <w:rsid w:val="00556BF7"/>
    <w:rsid w:val="00556E53"/>
    <w:rsid w:val="00556F59"/>
    <w:rsid w:val="00557374"/>
    <w:rsid w:val="005576FF"/>
    <w:rsid w:val="005577ED"/>
    <w:rsid w:val="00557887"/>
    <w:rsid w:val="005578CE"/>
    <w:rsid w:val="00557F60"/>
    <w:rsid w:val="00560681"/>
    <w:rsid w:val="00560D80"/>
    <w:rsid w:val="00560E6B"/>
    <w:rsid w:val="0056102B"/>
    <w:rsid w:val="00561730"/>
    <w:rsid w:val="005617ED"/>
    <w:rsid w:val="00561B97"/>
    <w:rsid w:val="00561C0A"/>
    <w:rsid w:val="005620A8"/>
    <w:rsid w:val="00562149"/>
    <w:rsid w:val="005628F6"/>
    <w:rsid w:val="00562983"/>
    <w:rsid w:val="00563F30"/>
    <w:rsid w:val="0056400A"/>
    <w:rsid w:val="005640EB"/>
    <w:rsid w:val="00564349"/>
    <w:rsid w:val="005645EF"/>
    <w:rsid w:val="00564A01"/>
    <w:rsid w:val="00564B19"/>
    <w:rsid w:val="00564D68"/>
    <w:rsid w:val="00565184"/>
    <w:rsid w:val="005659C5"/>
    <w:rsid w:val="005663CD"/>
    <w:rsid w:val="005666A4"/>
    <w:rsid w:val="005670AD"/>
    <w:rsid w:val="005672F0"/>
    <w:rsid w:val="00567435"/>
    <w:rsid w:val="00567B5D"/>
    <w:rsid w:val="00567F38"/>
    <w:rsid w:val="00570757"/>
    <w:rsid w:val="005708DB"/>
    <w:rsid w:val="005709F1"/>
    <w:rsid w:val="00570D9D"/>
    <w:rsid w:val="00571041"/>
    <w:rsid w:val="0057107D"/>
    <w:rsid w:val="00571515"/>
    <w:rsid w:val="00571ACD"/>
    <w:rsid w:val="00571E0C"/>
    <w:rsid w:val="0057200E"/>
    <w:rsid w:val="0057267E"/>
    <w:rsid w:val="005734BD"/>
    <w:rsid w:val="00573733"/>
    <w:rsid w:val="005738EC"/>
    <w:rsid w:val="00573F8B"/>
    <w:rsid w:val="00574458"/>
    <w:rsid w:val="00574554"/>
    <w:rsid w:val="00574DBC"/>
    <w:rsid w:val="00574E06"/>
    <w:rsid w:val="005751BB"/>
    <w:rsid w:val="00575CDC"/>
    <w:rsid w:val="00576089"/>
    <w:rsid w:val="0057617A"/>
    <w:rsid w:val="00576426"/>
    <w:rsid w:val="005764B1"/>
    <w:rsid w:val="00576852"/>
    <w:rsid w:val="0057695A"/>
    <w:rsid w:val="00576D06"/>
    <w:rsid w:val="005770A7"/>
    <w:rsid w:val="00577772"/>
    <w:rsid w:val="005779E4"/>
    <w:rsid w:val="00577A1C"/>
    <w:rsid w:val="00577ACD"/>
    <w:rsid w:val="00577B96"/>
    <w:rsid w:val="00577EE9"/>
    <w:rsid w:val="005804B0"/>
    <w:rsid w:val="0058098F"/>
    <w:rsid w:val="00580EC7"/>
    <w:rsid w:val="00581A4C"/>
    <w:rsid w:val="00581DBA"/>
    <w:rsid w:val="00581E23"/>
    <w:rsid w:val="0058289C"/>
    <w:rsid w:val="00582A8D"/>
    <w:rsid w:val="00582E13"/>
    <w:rsid w:val="0058331A"/>
    <w:rsid w:val="0058369A"/>
    <w:rsid w:val="005836C7"/>
    <w:rsid w:val="005836E8"/>
    <w:rsid w:val="005838DC"/>
    <w:rsid w:val="00583F2B"/>
    <w:rsid w:val="0058408E"/>
    <w:rsid w:val="005843EE"/>
    <w:rsid w:val="005844C3"/>
    <w:rsid w:val="005848AA"/>
    <w:rsid w:val="00584C4C"/>
    <w:rsid w:val="00584C9A"/>
    <w:rsid w:val="0058510C"/>
    <w:rsid w:val="00585374"/>
    <w:rsid w:val="005854C4"/>
    <w:rsid w:val="005854CA"/>
    <w:rsid w:val="00585FAB"/>
    <w:rsid w:val="00586FDA"/>
    <w:rsid w:val="005878A0"/>
    <w:rsid w:val="00587949"/>
    <w:rsid w:val="00590671"/>
    <w:rsid w:val="0059087E"/>
    <w:rsid w:val="00590B77"/>
    <w:rsid w:val="00590D9A"/>
    <w:rsid w:val="005913A3"/>
    <w:rsid w:val="00591A5A"/>
    <w:rsid w:val="00592755"/>
    <w:rsid w:val="00592A3E"/>
    <w:rsid w:val="00593125"/>
    <w:rsid w:val="00593393"/>
    <w:rsid w:val="005940D4"/>
    <w:rsid w:val="0059434D"/>
    <w:rsid w:val="00594A7B"/>
    <w:rsid w:val="00594BE3"/>
    <w:rsid w:val="00594C9C"/>
    <w:rsid w:val="00594FA6"/>
    <w:rsid w:val="00595180"/>
    <w:rsid w:val="00595219"/>
    <w:rsid w:val="00595769"/>
    <w:rsid w:val="0059580E"/>
    <w:rsid w:val="00595D90"/>
    <w:rsid w:val="005966C1"/>
    <w:rsid w:val="00596A6F"/>
    <w:rsid w:val="00596FCE"/>
    <w:rsid w:val="005A0C23"/>
    <w:rsid w:val="005A0E34"/>
    <w:rsid w:val="005A11BC"/>
    <w:rsid w:val="005A1525"/>
    <w:rsid w:val="005A1534"/>
    <w:rsid w:val="005A1797"/>
    <w:rsid w:val="005A17D1"/>
    <w:rsid w:val="005A1E17"/>
    <w:rsid w:val="005A247E"/>
    <w:rsid w:val="005A252B"/>
    <w:rsid w:val="005A2A8F"/>
    <w:rsid w:val="005A3008"/>
    <w:rsid w:val="005A31F0"/>
    <w:rsid w:val="005A3204"/>
    <w:rsid w:val="005A3341"/>
    <w:rsid w:val="005A3914"/>
    <w:rsid w:val="005A3C39"/>
    <w:rsid w:val="005A3C3D"/>
    <w:rsid w:val="005A433A"/>
    <w:rsid w:val="005A4546"/>
    <w:rsid w:val="005A46EC"/>
    <w:rsid w:val="005A4E25"/>
    <w:rsid w:val="005A5EAE"/>
    <w:rsid w:val="005A6111"/>
    <w:rsid w:val="005A6407"/>
    <w:rsid w:val="005A663F"/>
    <w:rsid w:val="005A6865"/>
    <w:rsid w:val="005A726C"/>
    <w:rsid w:val="005A7475"/>
    <w:rsid w:val="005B0633"/>
    <w:rsid w:val="005B07EC"/>
    <w:rsid w:val="005B0FCE"/>
    <w:rsid w:val="005B0FF1"/>
    <w:rsid w:val="005B1C08"/>
    <w:rsid w:val="005B295F"/>
    <w:rsid w:val="005B2B11"/>
    <w:rsid w:val="005B32A4"/>
    <w:rsid w:val="005B32BE"/>
    <w:rsid w:val="005B3371"/>
    <w:rsid w:val="005B338D"/>
    <w:rsid w:val="005B33A1"/>
    <w:rsid w:val="005B3852"/>
    <w:rsid w:val="005B38C9"/>
    <w:rsid w:val="005B39EA"/>
    <w:rsid w:val="005B3BAF"/>
    <w:rsid w:val="005B46D8"/>
    <w:rsid w:val="005B4988"/>
    <w:rsid w:val="005B4B4E"/>
    <w:rsid w:val="005B4DA3"/>
    <w:rsid w:val="005B556D"/>
    <w:rsid w:val="005B574F"/>
    <w:rsid w:val="005B5BEE"/>
    <w:rsid w:val="005B6E5E"/>
    <w:rsid w:val="005B7213"/>
    <w:rsid w:val="005B77D2"/>
    <w:rsid w:val="005B7E41"/>
    <w:rsid w:val="005B7FCE"/>
    <w:rsid w:val="005C0195"/>
    <w:rsid w:val="005C019B"/>
    <w:rsid w:val="005C01A8"/>
    <w:rsid w:val="005C03DB"/>
    <w:rsid w:val="005C05D1"/>
    <w:rsid w:val="005C0726"/>
    <w:rsid w:val="005C08D0"/>
    <w:rsid w:val="005C0A67"/>
    <w:rsid w:val="005C0C32"/>
    <w:rsid w:val="005C0E13"/>
    <w:rsid w:val="005C1486"/>
    <w:rsid w:val="005C1AED"/>
    <w:rsid w:val="005C1B93"/>
    <w:rsid w:val="005C1DC2"/>
    <w:rsid w:val="005C1E5A"/>
    <w:rsid w:val="005C2136"/>
    <w:rsid w:val="005C2635"/>
    <w:rsid w:val="005C30F5"/>
    <w:rsid w:val="005C3840"/>
    <w:rsid w:val="005C51A5"/>
    <w:rsid w:val="005C534E"/>
    <w:rsid w:val="005C557A"/>
    <w:rsid w:val="005C566F"/>
    <w:rsid w:val="005C56C8"/>
    <w:rsid w:val="005C5C47"/>
    <w:rsid w:val="005C61DD"/>
    <w:rsid w:val="005C6438"/>
    <w:rsid w:val="005C6B8B"/>
    <w:rsid w:val="005C6C23"/>
    <w:rsid w:val="005C6F25"/>
    <w:rsid w:val="005C727F"/>
    <w:rsid w:val="005C7507"/>
    <w:rsid w:val="005C7F2D"/>
    <w:rsid w:val="005D02E3"/>
    <w:rsid w:val="005D078E"/>
    <w:rsid w:val="005D0A8D"/>
    <w:rsid w:val="005D0E30"/>
    <w:rsid w:val="005D11C7"/>
    <w:rsid w:val="005D1726"/>
    <w:rsid w:val="005D17B9"/>
    <w:rsid w:val="005D1BD2"/>
    <w:rsid w:val="005D1DF2"/>
    <w:rsid w:val="005D1F34"/>
    <w:rsid w:val="005D1F56"/>
    <w:rsid w:val="005D2516"/>
    <w:rsid w:val="005D2748"/>
    <w:rsid w:val="005D2C1F"/>
    <w:rsid w:val="005D2DB3"/>
    <w:rsid w:val="005D30F2"/>
    <w:rsid w:val="005D3281"/>
    <w:rsid w:val="005D340A"/>
    <w:rsid w:val="005D34B2"/>
    <w:rsid w:val="005D35CC"/>
    <w:rsid w:val="005D387B"/>
    <w:rsid w:val="005D3B54"/>
    <w:rsid w:val="005D3F5D"/>
    <w:rsid w:val="005D40CD"/>
    <w:rsid w:val="005D51A6"/>
    <w:rsid w:val="005D574F"/>
    <w:rsid w:val="005D6B59"/>
    <w:rsid w:val="005D6C19"/>
    <w:rsid w:val="005D7140"/>
    <w:rsid w:val="005D71F3"/>
    <w:rsid w:val="005D7442"/>
    <w:rsid w:val="005D7532"/>
    <w:rsid w:val="005D7754"/>
    <w:rsid w:val="005D77D4"/>
    <w:rsid w:val="005D784B"/>
    <w:rsid w:val="005E03E4"/>
    <w:rsid w:val="005E0454"/>
    <w:rsid w:val="005E05F6"/>
    <w:rsid w:val="005E0671"/>
    <w:rsid w:val="005E093A"/>
    <w:rsid w:val="005E0A43"/>
    <w:rsid w:val="005E0ED3"/>
    <w:rsid w:val="005E1033"/>
    <w:rsid w:val="005E1B9D"/>
    <w:rsid w:val="005E1BDA"/>
    <w:rsid w:val="005E1E61"/>
    <w:rsid w:val="005E236D"/>
    <w:rsid w:val="005E2442"/>
    <w:rsid w:val="005E2637"/>
    <w:rsid w:val="005E2778"/>
    <w:rsid w:val="005E2C57"/>
    <w:rsid w:val="005E3111"/>
    <w:rsid w:val="005E31E4"/>
    <w:rsid w:val="005E3481"/>
    <w:rsid w:val="005E3490"/>
    <w:rsid w:val="005E3CA0"/>
    <w:rsid w:val="005E3D16"/>
    <w:rsid w:val="005E3D48"/>
    <w:rsid w:val="005E3F85"/>
    <w:rsid w:val="005E4A5F"/>
    <w:rsid w:val="005E516A"/>
    <w:rsid w:val="005E51F7"/>
    <w:rsid w:val="005E54DF"/>
    <w:rsid w:val="005E5598"/>
    <w:rsid w:val="005E57B0"/>
    <w:rsid w:val="005E5B01"/>
    <w:rsid w:val="005E5F9D"/>
    <w:rsid w:val="005E6274"/>
    <w:rsid w:val="005E6A84"/>
    <w:rsid w:val="005E6D3B"/>
    <w:rsid w:val="005E6F78"/>
    <w:rsid w:val="005E7C29"/>
    <w:rsid w:val="005E7F9D"/>
    <w:rsid w:val="005F009E"/>
    <w:rsid w:val="005F024B"/>
    <w:rsid w:val="005F05FA"/>
    <w:rsid w:val="005F075A"/>
    <w:rsid w:val="005F0A17"/>
    <w:rsid w:val="005F0DC6"/>
    <w:rsid w:val="005F0DF1"/>
    <w:rsid w:val="005F1516"/>
    <w:rsid w:val="005F1A6F"/>
    <w:rsid w:val="005F1B38"/>
    <w:rsid w:val="005F1F62"/>
    <w:rsid w:val="005F229E"/>
    <w:rsid w:val="005F2564"/>
    <w:rsid w:val="005F266E"/>
    <w:rsid w:val="005F26BA"/>
    <w:rsid w:val="005F3822"/>
    <w:rsid w:val="005F4635"/>
    <w:rsid w:val="005F4900"/>
    <w:rsid w:val="005F4B19"/>
    <w:rsid w:val="005F4E52"/>
    <w:rsid w:val="005F56F4"/>
    <w:rsid w:val="005F5B5D"/>
    <w:rsid w:val="005F6164"/>
    <w:rsid w:val="005F6B37"/>
    <w:rsid w:val="005F6D36"/>
    <w:rsid w:val="005F6D58"/>
    <w:rsid w:val="005F7383"/>
    <w:rsid w:val="005F749B"/>
    <w:rsid w:val="0060000E"/>
    <w:rsid w:val="0060058E"/>
    <w:rsid w:val="006005AA"/>
    <w:rsid w:val="006006F9"/>
    <w:rsid w:val="00600F49"/>
    <w:rsid w:val="0060109A"/>
    <w:rsid w:val="0060148F"/>
    <w:rsid w:val="00601D61"/>
    <w:rsid w:val="0060250E"/>
    <w:rsid w:val="006026A3"/>
    <w:rsid w:val="00602870"/>
    <w:rsid w:val="00602945"/>
    <w:rsid w:val="00602A3C"/>
    <w:rsid w:val="0060332B"/>
    <w:rsid w:val="00603EFD"/>
    <w:rsid w:val="00604161"/>
    <w:rsid w:val="006041B6"/>
    <w:rsid w:val="00604303"/>
    <w:rsid w:val="0060475B"/>
    <w:rsid w:val="00604995"/>
    <w:rsid w:val="00604A58"/>
    <w:rsid w:val="00604BED"/>
    <w:rsid w:val="00604E85"/>
    <w:rsid w:val="00604FB6"/>
    <w:rsid w:val="00605029"/>
    <w:rsid w:val="006050C4"/>
    <w:rsid w:val="006051A4"/>
    <w:rsid w:val="00605387"/>
    <w:rsid w:val="00605845"/>
    <w:rsid w:val="00605F65"/>
    <w:rsid w:val="00606149"/>
    <w:rsid w:val="00606302"/>
    <w:rsid w:val="00606C0A"/>
    <w:rsid w:val="00606FA3"/>
    <w:rsid w:val="00607520"/>
    <w:rsid w:val="006076FD"/>
    <w:rsid w:val="00607C5A"/>
    <w:rsid w:val="006105E3"/>
    <w:rsid w:val="0061068F"/>
    <w:rsid w:val="00610779"/>
    <w:rsid w:val="00610811"/>
    <w:rsid w:val="0061143F"/>
    <w:rsid w:val="006114D8"/>
    <w:rsid w:val="00611B46"/>
    <w:rsid w:val="006121C2"/>
    <w:rsid w:val="006124E4"/>
    <w:rsid w:val="00612614"/>
    <w:rsid w:val="00612835"/>
    <w:rsid w:val="00612B3E"/>
    <w:rsid w:val="00612D3F"/>
    <w:rsid w:val="0061317D"/>
    <w:rsid w:val="00613553"/>
    <w:rsid w:val="00613601"/>
    <w:rsid w:val="00613791"/>
    <w:rsid w:val="00614CD2"/>
    <w:rsid w:val="00615042"/>
    <w:rsid w:val="006150D6"/>
    <w:rsid w:val="00615245"/>
    <w:rsid w:val="006154C6"/>
    <w:rsid w:val="0061590D"/>
    <w:rsid w:val="00615F3E"/>
    <w:rsid w:val="00616B7A"/>
    <w:rsid w:val="00617AA2"/>
    <w:rsid w:val="00617EEE"/>
    <w:rsid w:val="00620392"/>
    <w:rsid w:val="00620A1F"/>
    <w:rsid w:val="00620D2E"/>
    <w:rsid w:val="0062169D"/>
    <w:rsid w:val="00621771"/>
    <w:rsid w:val="0062181E"/>
    <w:rsid w:val="006219F1"/>
    <w:rsid w:val="00621A07"/>
    <w:rsid w:val="0062211B"/>
    <w:rsid w:val="006222C0"/>
    <w:rsid w:val="006224B7"/>
    <w:rsid w:val="00622BB7"/>
    <w:rsid w:val="00622C1E"/>
    <w:rsid w:val="00622C7B"/>
    <w:rsid w:val="006231CA"/>
    <w:rsid w:val="00623389"/>
    <w:rsid w:val="00623989"/>
    <w:rsid w:val="00623DAA"/>
    <w:rsid w:val="00623FAF"/>
    <w:rsid w:val="0062465B"/>
    <w:rsid w:val="00624B4F"/>
    <w:rsid w:val="00625DFB"/>
    <w:rsid w:val="00625EEB"/>
    <w:rsid w:val="006262B0"/>
    <w:rsid w:val="006265C4"/>
    <w:rsid w:val="006266AA"/>
    <w:rsid w:val="0062678A"/>
    <w:rsid w:val="006270AF"/>
    <w:rsid w:val="0062737B"/>
    <w:rsid w:val="0062759C"/>
    <w:rsid w:val="00627704"/>
    <w:rsid w:val="006277C8"/>
    <w:rsid w:val="00627B97"/>
    <w:rsid w:val="00627F51"/>
    <w:rsid w:val="0063029E"/>
    <w:rsid w:val="00630622"/>
    <w:rsid w:val="00630796"/>
    <w:rsid w:val="006307E6"/>
    <w:rsid w:val="00631173"/>
    <w:rsid w:val="006323FB"/>
    <w:rsid w:val="0063435B"/>
    <w:rsid w:val="00634367"/>
    <w:rsid w:val="00634D73"/>
    <w:rsid w:val="00635C9A"/>
    <w:rsid w:val="006362B0"/>
    <w:rsid w:val="0063677C"/>
    <w:rsid w:val="00636B2D"/>
    <w:rsid w:val="00636CE3"/>
    <w:rsid w:val="00636DA9"/>
    <w:rsid w:val="0063702B"/>
    <w:rsid w:val="006375A0"/>
    <w:rsid w:val="006375BA"/>
    <w:rsid w:val="00637B4E"/>
    <w:rsid w:val="00640082"/>
    <w:rsid w:val="00640291"/>
    <w:rsid w:val="006403CD"/>
    <w:rsid w:val="00640B0A"/>
    <w:rsid w:val="00640B16"/>
    <w:rsid w:val="00640EFE"/>
    <w:rsid w:val="00641108"/>
    <w:rsid w:val="006416B2"/>
    <w:rsid w:val="00641D6D"/>
    <w:rsid w:val="00641FAC"/>
    <w:rsid w:val="0064202C"/>
    <w:rsid w:val="0064204C"/>
    <w:rsid w:val="00642086"/>
    <w:rsid w:val="00642CF1"/>
    <w:rsid w:val="00642EFB"/>
    <w:rsid w:val="00642F22"/>
    <w:rsid w:val="00643664"/>
    <w:rsid w:val="0064375A"/>
    <w:rsid w:val="006437CC"/>
    <w:rsid w:val="00643CAA"/>
    <w:rsid w:val="00643D51"/>
    <w:rsid w:val="0064490E"/>
    <w:rsid w:val="00644F16"/>
    <w:rsid w:val="006455EB"/>
    <w:rsid w:val="006456C2"/>
    <w:rsid w:val="00645A65"/>
    <w:rsid w:val="006461F3"/>
    <w:rsid w:val="006463D0"/>
    <w:rsid w:val="0064653C"/>
    <w:rsid w:val="006465D8"/>
    <w:rsid w:val="00646814"/>
    <w:rsid w:val="00646959"/>
    <w:rsid w:val="00647184"/>
    <w:rsid w:val="00647494"/>
    <w:rsid w:val="00647571"/>
    <w:rsid w:val="006477F0"/>
    <w:rsid w:val="00647868"/>
    <w:rsid w:val="006478E4"/>
    <w:rsid w:val="00647C9B"/>
    <w:rsid w:val="00650685"/>
    <w:rsid w:val="0065081A"/>
    <w:rsid w:val="00650887"/>
    <w:rsid w:val="00651329"/>
    <w:rsid w:val="006515C7"/>
    <w:rsid w:val="0065171A"/>
    <w:rsid w:val="00651BDE"/>
    <w:rsid w:val="00651EDE"/>
    <w:rsid w:val="00652680"/>
    <w:rsid w:val="00652C2D"/>
    <w:rsid w:val="006532C4"/>
    <w:rsid w:val="00653751"/>
    <w:rsid w:val="00653CDE"/>
    <w:rsid w:val="006542B7"/>
    <w:rsid w:val="00654585"/>
    <w:rsid w:val="006547AE"/>
    <w:rsid w:val="00654C94"/>
    <w:rsid w:val="00654CD7"/>
    <w:rsid w:val="00654FBF"/>
    <w:rsid w:val="0065503F"/>
    <w:rsid w:val="00655602"/>
    <w:rsid w:val="0065566E"/>
    <w:rsid w:val="00655AB6"/>
    <w:rsid w:val="00655B50"/>
    <w:rsid w:val="00655EFA"/>
    <w:rsid w:val="00656061"/>
    <w:rsid w:val="00656281"/>
    <w:rsid w:val="0065636A"/>
    <w:rsid w:val="00656494"/>
    <w:rsid w:val="00657003"/>
    <w:rsid w:val="006574DD"/>
    <w:rsid w:val="00657566"/>
    <w:rsid w:val="00657C2E"/>
    <w:rsid w:val="00657C8D"/>
    <w:rsid w:val="00657CCE"/>
    <w:rsid w:val="00660238"/>
    <w:rsid w:val="006602AB"/>
    <w:rsid w:val="006602EF"/>
    <w:rsid w:val="00661277"/>
    <w:rsid w:val="006618E7"/>
    <w:rsid w:val="006619E0"/>
    <w:rsid w:val="0066204D"/>
    <w:rsid w:val="006628B1"/>
    <w:rsid w:val="00663FEA"/>
    <w:rsid w:val="00664803"/>
    <w:rsid w:val="00664973"/>
    <w:rsid w:val="00664BD9"/>
    <w:rsid w:val="00664BE6"/>
    <w:rsid w:val="006653D5"/>
    <w:rsid w:val="006654A1"/>
    <w:rsid w:val="006657C5"/>
    <w:rsid w:val="00665D75"/>
    <w:rsid w:val="006661A4"/>
    <w:rsid w:val="0066686C"/>
    <w:rsid w:val="00666AC0"/>
    <w:rsid w:val="00666D54"/>
    <w:rsid w:val="006670E0"/>
    <w:rsid w:val="006671B8"/>
    <w:rsid w:val="00667275"/>
    <w:rsid w:val="00667532"/>
    <w:rsid w:val="0066783E"/>
    <w:rsid w:val="00667E53"/>
    <w:rsid w:val="00667F75"/>
    <w:rsid w:val="0067063D"/>
    <w:rsid w:val="0067071C"/>
    <w:rsid w:val="00670859"/>
    <w:rsid w:val="006711C4"/>
    <w:rsid w:val="006713AB"/>
    <w:rsid w:val="00671596"/>
    <w:rsid w:val="00671D58"/>
    <w:rsid w:val="0067285D"/>
    <w:rsid w:val="00672CA5"/>
    <w:rsid w:val="006734DA"/>
    <w:rsid w:val="006736E7"/>
    <w:rsid w:val="00673711"/>
    <w:rsid w:val="00673AA7"/>
    <w:rsid w:val="00673C48"/>
    <w:rsid w:val="00673E9C"/>
    <w:rsid w:val="00673F82"/>
    <w:rsid w:val="00674D48"/>
    <w:rsid w:val="00674F74"/>
    <w:rsid w:val="0067508F"/>
    <w:rsid w:val="00675275"/>
    <w:rsid w:val="00675562"/>
    <w:rsid w:val="00675E19"/>
    <w:rsid w:val="006762A7"/>
    <w:rsid w:val="00676E90"/>
    <w:rsid w:val="00677319"/>
    <w:rsid w:val="00677576"/>
    <w:rsid w:val="0067769A"/>
    <w:rsid w:val="0068051E"/>
    <w:rsid w:val="00680B9D"/>
    <w:rsid w:val="00680E57"/>
    <w:rsid w:val="006810CE"/>
    <w:rsid w:val="006816E0"/>
    <w:rsid w:val="0068184E"/>
    <w:rsid w:val="0068185D"/>
    <w:rsid w:val="00681D50"/>
    <w:rsid w:val="00681F13"/>
    <w:rsid w:val="0068231C"/>
    <w:rsid w:val="00682344"/>
    <w:rsid w:val="00682F28"/>
    <w:rsid w:val="00683515"/>
    <w:rsid w:val="006835E0"/>
    <w:rsid w:val="00683888"/>
    <w:rsid w:val="006838DC"/>
    <w:rsid w:val="00683E84"/>
    <w:rsid w:val="00684842"/>
    <w:rsid w:val="00684920"/>
    <w:rsid w:val="00684A87"/>
    <w:rsid w:val="006852DF"/>
    <w:rsid w:val="00685628"/>
    <w:rsid w:val="006858E7"/>
    <w:rsid w:val="006859AA"/>
    <w:rsid w:val="00685AF8"/>
    <w:rsid w:val="00685BD6"/>
    <w:rsid w:val="006862E6"/>
    <w:rsid w:val="00686BE0"/>
    <w:rsid w:val="00687116"/>
    <w:rsid w:val="006878A6"/>
    <w:rsid w:val="00687D5F"/>
    <w:rsid w:val="0069012A"/>
    <w:rsid w:val="006901D4"/>
    <w:rsid w:val="00690437"/>
    <w:rsid w:val="00690964"/>
    <w:rsid w:val="00690DC3"/>
    <w:rsid w:val="00690E65"/>
    <w:rsid w:val="006911B7"/>
    <w:rsid w:val="006911D6"/>
    <w:rsid w:val="00691387"/>
    <w:rsid w:val="006914FB"/>
    <w:rsid w:val="0069188E"/>
    <w:rsid w:val="00691974"/>
    <w:rsid w:val="00691D20"/>
    <w:rsid w:val="00692388"/>
    <w:rsid w:val="00692BF6"/>
    <w:rsid w:val="00692CE6"/>
    <w:rsid w:val="00693105"/>
    <w:rsid w:val="00693186"/>
    <w:rsid w:val="00693381"/>
    <w:rsid w:val="00693B6C"/>
    <w:rsid w:val="00694186"/>
    <w:rsid w:val="006942AE"/>
    <w:rsid w:val="0069432A"/>
    <w:rsid w:val="00694804"/>
    <w:rsid w:val="00694A82"/>
    <w:rsid w:val="00695421"/>
    <w:rsid w:val="00695BE1"/>
    <w:rsid w:val="0069642D"/>
    <w:rsid w:val="006964F8"/>
    <w:rsid w:val="00696F10"/>
    <w:rsid w:val="00697935"/>
    <w:rsid w:val="00697B42"/>
    <w:rsid w:val="00697BD3"/>
    <w:rsid w:val="00697DFA"/>
    <w:rsid w:val="006A0078"/>
    <w:rsid w:val="006A0982"/>
    <w:rsid w:val="006A0AC0"/>
    <w:rsid w:val="006A0C7D"/>
    <w:rsid w:val="006A0E4A"/>
    <w:rsid w:val="006A16D5"/>
    <w:rsid w:val="006A1704"/>
    <w:rsid w:val="006A1772"/>
    <w:rsid w:val="006A1780"/>
    <w:rsid w:val="006A21DD"/>
    <w:rsid w:val="006A24A4"/>
    <w:rsid w:val="006A2546"/>
    <w:rsid w:val="006A26C6"/>
    <w:rsid w:val="006A3302"/>
    <w:rsid w:val="006A3B28"/>
    <w:rsid w:val="006A3D11"/>
    <w:rsid w:val="006A4084"/>
    <w:rsid w:val="006A4FEE"/>
    <w:rsid w:val="006A5148"/>
    <w:rsid w:val="006A5236"/>
    <w:rsid w:val="006A5549"/>
    <w:rsid w:val="006A5D08"/>
    <w:rsid w:val="006A5FD4"/>
    <w:rsid w:val="006A6380"/>
    <w:rsid w:val="006A6D8B"/>
    <w:rsid w:val="006A703E"/>
    <w:rsid w:val="006A77A3"/>
    <w:rsid w:val="006A79C0"/>
    <w:rsid w:val="006A7BE3"/>
    <w:rsid w:val="006A7D32"/>
    <w:rsid w:val="006B01D1"/>
    <w:rsid w:val="006B0ACD"/>
    <w:rsid w:val="006B0DF4"/>
    <w:rsid w:val="006B0EA6"/>
    <w:rsid w:val="006B12F9"/>
    <w:rsid w:val="006B15FB"/>
    <w:rsid w:val="006B16EA"/>
    <w:rsid w:val="006B1780"/>
    <w:rsid w:val="006B1849"/>
    <w:rsid w:val="006B1A1D"/>
    <w:rsid w:val="006B1CC5"/>
    <w:rsid w:val="006B1E5F"/>
    <w:rsid w:val="006B1E81"/>
    <w:rsid w:val="006B21DC"/>
    <w:rsid w:val="006B220B"/>
    <w:rsid w:val="006B224E"/>
    <w:rsid w:val="006B3193"/>
    <w:rsid w:val="006B3224"/>
    <w:rsid w:val="006B35A9"/>
    <w:rsid w:val="006B376E"/>
    <w:rsid w:val="006B4248"/>
    <w:rsid w:val="006B4589"/>
    <w:rsid w:val="006B4BA9"/>
    <w:rsid w:val="006B5009"/>
    <w:rsid w:val="006B50F6"/>
    <w:rsid w:val="006B5157"/>
    <w:rsid w:val="006B570C"/>
    <w:rsid w:val="006B610E"/>
    <w:rsid w:val="006B6805"/>
    <w:rsid w:val="006B6C07"/>
    <w:rsid w:val="006B6DE0"/>
    <w:rsid w:val="006B74BE"/>
    <w:rsid w:val="006B7D76"/>
    <w:rsid w:val="006B7F7A"/>
    <w:rsid w:val="006C0008"/>
    <w:rsid w:val="006C03BD"/>
    <w:rsid w:val="006C06BC"/>
    <w:rsid w:val="006C098F"/>
    <w:rsid w:val="006C0CC9"/>
    <w:rsid w:val="006C137D"/>
    <w:rsid w:val="006C16C3"/>
    <w:rsid w:val="006C1B45"/>
    <w:rsid w:val="006C1C0E"/>
    <w:rsid w:val="006C1CB9"/>
    <w:rsid w:val="006C1FFE"/>
    <w:rsid w:val="006C216D"/>
    <w:rsid w:val="006C2187"/>
    <w:rsid w:val="006C27D9"/>
    <w:rsid w:val="006C2A0A"/>
    <w:rsid w:val="006C2A54"/>
    <w:rsid w:val="006C2F79"/>
    <w:rsid w:val="006C3125"/>
    <w:rsid w:val="006C3254"/>
    <w:rsid w:val="006C32F4"/>
    <w:rsid w:val="006C3BA9"/>
    <w:rsid w:val="006C3C54"/>
    <w:rsid w:val="006C4269"/>
    <w:rsid w:val="006C4B6B"/>
    <w:rsid w:val="006C4CE1"/>
    <w:rsid w:val="006C4F9F"/>
    <w:rsid w:val="006C5873"/>
    <w:rsid w:val="006C71A2"/>
    <w:rsid w:val="006C725C"/>
    <w:rsid w:val="006C73EC"/>
    <w:rsid w:val="006C7C57"/>
    <w:rsid w:val="006D0261"/>
    <w:rsid w:val="006D0445"/>
    <w:rsid w:val="006D087A"/>
    <w:rsid w:val="006D0C1D"/>
    <w:rsid w:val="006D19DB"/>
    <w:rsid w:val="006D2066"/>
    <w:rsid w:val="006D2487"/>
    <w:rsid w:val="006D2537"/>
    <w:rsid w:val="006D28F3"/>
    <w:rsid w:val="006D29CD"/>
    <w:rsid w:val="006D2E9D"/>
    <w:rsid w:val="006D3103"/>
    <w:rsid w:val="006D3840"/>
    <w:rsid w:val="006D3E19"/>
    <w:rsid w:val="006D42B2"/>
    <w:rsid w:val="006D4A4E"/>
    <w:rsid w:val="006D4C42"/>
    <w:rsid w:val="006D508A"/>
    <w:rsid w:val="006D5389"/>
    <w:rsid w:val="006D53A2"/>
    <w:rsid w:val="006D546E"/>
    <w:rsid w:val="006D54D9"/>
    <w:rsid w:val="006D5809"/>
    <w:rsid w:val="006D5DB2"/>
    <w:rsid w:val="006D607E"/>
    <w:rsid w:val="006D6E12"/>
    <w:rsid w:val="006D6E85"/>
    <w:rsid w:val="006D70CB"/>
    <w:rsid w:val="006D715C"/>
    <w:rsid w:val="006D7363"/>
    <w:rsid w:val="006D774E"/>
    <w:rsid w:val="006D7935"/>
    <w:rsid w:val="006D7DCD"/>
    <w:rsid w:val="006E02C7"/>
    <w:rsid w:val="006E036C"/>
    <w:rsid w:val="006E0754"/>
    <w:rsid w:val="006E0BA9"/>
    <w:rsid w:val="006E0D74"/>
    <w:rsid w:val="006E0DC8"/>
    <w:rsid w:val="006E1283"/>
    <w:rsid w:val="006E169C"/>
    <w:rsid w:val="006E1C77"/>
    <w:rsid w:val="006E1EA9"/>
    <w:rsid w:val="006E25DF"/>
    <w:rsid w:val="006E2668"/>
    <w:rsid w:val="006E2C25"/>
    <w:rsid w:val="006E2D32"/>
    <w:rsid w:val="006E2D39"/>
    <w:rsid w:val="006E2FE9"/>
    <w:rsid w:val="006E30FD"/>
    <w:rsid w:val="006E32B0"/>
    <w:rsid w:val="006E348E"/>
    <w:rsid w:val="006E3790"/>
    <w:rsid w:val="006E38D2"/>
    <w:rsid w:val="006E396A"/>
    <w:rsid w:val="006E3C5A"/>
    <w:rsid w:val="006E3D63"/>
    <w:rsid w:val="006E42C0"/>
    <w:rsid w:val="006E458E"/>
    <w:rsid w:val="006E4A65"/>
    <w:rsid w:val="006E5309"/>
    <w:rsid w:val="006E5415"/>
    <w:rsid w:val="006E58BF"/>
    <w:rsid w:val="006E5DD8"/>
    <w:rsid w:val="006E5EA1"/>
    <w:rsid w:val="006E6DEE"/>
    <w:rsid w:val="006E7CE6"/>
    <w:rsid w:val="006E7D4B"/>
    <w:rsid w:val="006F018A"/>
    <w:rsid w:val="006F0760"/>
    <w:rsid w:val="006F0A4B"/>
    <w:rsid w:val="006F11E2"/>
    <w:rsid w:val="006F1C08"/>
    <w:rsid w:val="006F1FAD"/>
    <w:rsid w:val="006F2574"/>
    <w:rsid w:val="006F26D9"/>
    <w:rsid w:val="006F3231"/>
    <w:rsid w:val="006F33E8"/>
    <w:rsid w:val="006F3DE3"/>
    <w:rsid w:val="006F4787"/>
    <w:rsid w:val="006F4C82"/>
    <w:rsid w:val="006F5588"/>
    <w:rsid w:val="006F5593"/>
    <w:rsid w:val="006F5A2F"/>
    <w:rsid w:val="006F5B17"/>
    <w:rsid w:val="006F5DE1"/>
    <w:rsid w:val="006F5E6D"/>
    <w:rsid w:val="006F6093"/>
    <w:rsid w:val="006F61D8"/>
    <w:rsid w:val="006F62B7"/>
    <w:rsid w:val="006F64ED"/>
    <w:rsid w:val="006F68D6"/>
    <w:rsid w:val="006F70BC"/>
    <w:rsid w:val="006F7204"/>
    <w:rsid w:val="006F726C"/>
    <w:rsid w:val="006F7E7C"/>
    <w:rsid w:val="00700643"/>
    <w:rsid w:val="00700A09"/>
    <w:rsid w:val="00700DFC"/>
    <w:rsid w:val="00701628"/>
    <w:rsid w:val="0070174E"/>
    <w:rsid w:val="00701751"/>
    <w:rsid w:val="007018DB"/>
    <w:rsid w:val="00701DE6"/>
    <w:rsid w:val="007025DA"/>
    <w:rsid w:val="007025E2"/>
    <w:rsid w:val="00702740"/>
    <w:rsid w:val="00702AC7"/>
    <w:rsid w:val="00703048"/>
    <w:rsid w:val="0070381B"/>
    <w:rsid w:val="0070432A"/>
    <w:rsid w:val="00704E90"/>
    <w:rsid w:val="00704FFC"/>
    <w:rsid w:val="00705250"/>
    <w:rsid w:val="00706309"/>
    <w:rsid w:val="0070638B"/>
    <w:rsid w:val="00706802"/>
    <w:rsid w:val="00706D3C"/>
    <w:rsid w:val="007074F2"/>
    <w:rsid w:val="0070796C"/>
    <w:rsid w:val="00707F00"/>
    <w:rsid w:val="007102B5"/>
    <w:rsid w:val="00710977"/>
    <w:rsid w:val="007109BB"/>
    <w:rsid w:val="00710A59"/>
    <w:rsid w:val="00710EBF"/>
    <w:rsid w:val="00710FB7"/>
    <w:rsid w:val="007110B8"/>
    <w:rsid w:val="007117A0"/>
    <w:rsid w:val="007117AC"/>
    <w:rsid w:val="0071209F"/>
    <w:rsid w:val="00712431"/>
    <w:rsid w:val="007125A2"/>
    <w:rsid w:val="0071350B"/>
    <w:rsid w:val="0071366F"/>
    <w:rsid w:val="007137F6"/>
    <w:rsid w:val="00713DD9"/>
    <w:rsid w:val="00713F79"/>
    <w:rsid w:val="007148A8"/>
    <w:rsid w:val="007152C5"/>
    <w:rsid w:val="0071538E"/>
    <w:rsid w:val="0071549F"/>
    <w:rsid w:val="007157F0"/>
    <w:rsid w:val="0071598A"/>
    <w:rsid w:val="007160BB"/>
    <w:rsid w:val="00716AC8"/>
    <w:rsid w:val="00716E54"/>
    <w:rsid w:val="00717046"/>
    <w:rsid w:val="00717A43"/>
    <w:rsid w:val="00717F48"/>
    <w:rsid w:val="0072033C"/>
    <w:rsid w:val="00720B1B"/>
    <w:rsid w:val="00720B88"/>
    <w:rsid w:val="00720E32"/>
    <w:rsid w:val="00721062"/>
    <w:rsid w:val="007219D9"/>
    <w:rsid w:val="00721CFF"/>
    <w:rsid w:val="00721E5D"/>
    <w:rsid w:val="00722336"/>
    <w:rsid w:val="00722868"/>
    <w:rsid w:val="007229D4"/>
    <w:rsid w:val="00722A2E"/>
    <w:rsid w:val="007230F8"/>
    <w:rsid w:val="00723253"/>
    <w:rsid w:val="007233F4"/>
    <w:rsid w:val="007236EA"/>
    <w:rsid w:val="00723843"/>
    <w:rsid w:val="00723CF7"/>
    <w:rsid w:val="00724044"/>
    <w:rsid w:val="007240EC"/>
    <w:rsid w:val="007243F2"/>
    <w:rsid w:val="00724791"/>
    <w:rsid w:val="007248D3"/>
    <w:rsid w:val="00724DF8"/>
    <w:rsid w:val="00725137"/>
    <w:rsid w:val="00725378"/>
    <w:rsid w:val="007261D6"/>
    <w:rsid w:val="00727A43"/>
    <w:rsid w:val="00727E62"/>
    <w:rsid w:val="00727FF2"/>
    <w:rsid w:val="007301D7"/>
    <w:rsid w:val="00730550"/>
    <w:rsid w:val="00730885"/>
    <w:rsid w:val="00730B52"/>
    <w:rsid w:val="00730C2A"/>
    <w:rsid w:val="00730C72"/>
    <w:rsid w:val="00731434"/>
    <w:rsid w:val="00731C67"/>
    <w:rsid w:val="00731E59"/>
    <w:rsid w:val="00731F9B"/>
    <w:rsid w:val="007323E0"/>
    <w:rsid w:val="00732653"/>
    <w:rsid w:val="00732911"/>
    <w:rsid w:val="007329C5"/>
    <w:rsid w:val="00732A0B"/>
    <w:rsid w:val="00732D96"/>
    <w:rsid w:val="0073319F"/>
    <w:rsid w:val="007332FF"/>
    <w:rsid w:val="00733721"/>
    <w:rsid w:val="00733A38"/>
    <w:rsid w:val="00733DE2"/>
    <w:rsid w:val="00734142"/>
    <w:rsid w:val="00734530"/>
    <w:rsid w:val="00734A7C"/>
    <w:rsid w:val="007352EA"/>
    <w:rsid w:val="00735DEB"/>
    <w:rsid w:val="00736349"/>
    <w:rsid w:val="0073732F"/>
    <w:rsid w:val="0073774E"/>
    <w:rsid w:val="0073792F"/>
    <w:rsid w:val="00737BF1"/>
    <w:rsid w:val="007406DB"/>
    <w:rsid w:val="007409B6"/>
    <w:rsid w:val="00740C81"/>
    <w:rsid w:val="00740DA6"/>
    <w:rsid w:val="00740DB7"/>
    <w:rsid w:val="00740DF6"/>
    <w:rsid w:val="007411F0"/>
    <w:rsid w:val="0074166D"/>
    <w:rsid w:val="00741884"/>
    <w:rsid w:val="007419D4"/>
    <w:rsid w:val="00741AA9"/>
    <w:rsid w:val="00741B4B"/>
    <w:rsid w:val="00741C1D"/>
    <w:rsid w:val="00741D1E"/>
    <w:rsid w:val="00741DD6"/>
    <w:rsid w:val="00741EE2"/>
    <w:rsid w:val="00741F6B"/>
    <w:rsid w:val="0074207F"/>
    <w:rsid w:val="00742367"/>
    <w:rsid w:val="00742EAA"/>
    <w:rsid w:val="00743360"/>
    <w:rsid w:val="00743365"/>
    <w:rsid w:val="00743818"/>
    <w:rsid w:val="00743857"/>
    <w:rsid w:val="00743B44"/>
    <w:rsid w:val="00743C9B"/>
    <w:rsid w:val="007441FB"/>
    <w:rsid w:val="00744338"/>
    <w:rsid w:val="00744517"/>
    <w:rsid w:val="00744AD6"/>
    <w:rsid w:val="0074522A"/>
    <w:rsid w:val="00745CAC"/>
    <w:rsid w:val="0074650A"/>
    <w:rsid w:val="00746DDB"/>
    <w:rsid w:val="00747295"/>
    <w:rsid w:val="00747822"/>
    <w:rsid w:val="00747829"/>
    <w:rsid w:val="0074789C"/>
    <w:rsid w:val="00747905"/>
    <w:rsid w:val="00747B13"/>
    <w:rsid w:val="00747DE2"/>
    <w:rsid w:val="007502D0"/>
    <w:rsid w:val="007504BF"/>
    <w:rsid w:val="007506BB"/>
    <w:rsid w:val="007506CD"/>
    <w:rsid w:val="00750C49"/>
    <w:rsid w:val="00750CFA"/>
    <w:rsid w:val="00751C65"/>
    <w:rsid w:val="00751DEA"/>
    <w:rsid w:val="00751E23"/>
    <w:rsid w:val="0075267F"/>
    <w:rsid w:val="007526EC"/>
    <w:rsid w:val="0075281A"/>
    <w:rsid w:val="0075301E"/>
    <w:rsid w:val="0075315C"/>
    <w:rsid w:val="0075388C"/>
    <w:rsid w:val="00753C48"/>
    <w:rsid w:val="00754250"/>
    <w:rsid w:val="00754712"/>
    <w:rsid w:val="00754FE4"/>
    <w:rsid w:val="00755216"/>
    <w:rsid w:val="007558B8"/>
    <w:rsid w:val="00755A76"/>
    <w:rsid w:val="00756236"/>
    <w:rsid w:val="00756271"/>
    <w:rsid w:val="00756348"/>
    <w:rsid w:val="007564BC"/>
    <w:rsid w:val="00756521"/>
    <w:rsid w:val="00756643"/>
    <w:rsid w:val="00756AB7"/>
    <w:rsid w:val="00757371"/>
    <w:rsid w:val="00757462"/>
    <w:rsid w:val="0075765F"/>
    <w:rsid w:val="00757764"/>
    <w:rsid w:val="00757FA7"/>
    <w:rsid w:val="0076042D"/>
    <w:rsid w:val="0076074D"/>
    <w:rsid w:val="0076106D"/>
    <w:rsid w:val="0076154B"/>
    <w:rsid w:val="007618B6"/>
    <w:rsid w:val="00761E6D"/>
    <w:rsid w:val="00762386"/>
    <w:rsid w:val="007623FB"/>
    <w:rsid w:val="00762517"/>
    <w:rsid w:val="007625E6"/>
    <w:rsid w:val="00763147"/>
    <w:rsid w:val="00763240"/>
    <w:rsid w:val="00763454"/>
    <w:rsid w:val="0076376A"/>
    <w:rsid w:val="00763D79"/>
    <w:rsid w:val="00764142"/>
    <w:rsid w:val="00764265"/>
    <w:rsid w:val="007648A6"/>
    <w:rsid w:val="007648AD"/>
    <w:rsid w:val="00764D4C"/>
    <w:rsid w:val="0076504E"/>
    <w:rsid w:val="007650A6"/>
    <w:rsid w:val="0076566F"/>
    <w:rsid w:val="00765D6D"/>
    <w:rsid w:val="007669AC"/>
    <w:rsid w:val="00766AAD"/>
    <w:rsid w:val="00766AE7"/>
    <w:rsid w:val="00766B12"/>
    <w:rsid w:val="007677BE"/>
    <w:rsid w:val="007677D2"/>
    <w:rsid w:val="007679B2"/>
    <w:rsid w:val="00767BFD"/>
    <w:rsid w:val="00767DAD"/>
    <w:rsid w:val="00767E69"/>
    <w:rsid w:val="00767EA0"/>
    <w:rsid w:val="00770522"/>
    <w:rsid w:val="0077068F"/>
    <w:rsid w:val="00771367"/>
    <w:rsid w:val="007714B0"/>
    <w:rsid w:val="00771EDF"/>
    <w:rsid w:val="00772434"/>
    <w:rsid w:val="007727B3"/>
    <w:rsid w:val="00772A90"/>
    <w:rsid w:val="00772C6A"/>
    <w:rsid w:val="00772F8D"/>
    <w:rsid w:val="0077320A"/>
    <w:rsid w:val="0077358F"/>
    <w:rsid w:val="00773860"/>
    <w:rsid w:val="007738DB"/>
    <w:rsid w:val="007738FD"/>
    <w:rsid w:val="0077400C"/>
    <w:rsid w:val="0077408D"/>
    <w:rsid w:val="00774270"/>
    <w:rsid w:val="00774396"/>
    <w:rsid w:val="007743F6"/>
    <w:rsid w:val="0077447F"/>
    <w:rsid w:val="0077478B"/>
    <w:rsid w:val="00774D50"/>
    <w:rsid w:val="00775047"/>
    <w:rsid w:val="0077566B"/>
    <w:rsid w:val="00775679"/>
    <w:rsid w:val="00775683"/>
    <w:rsid w:val="0077574F"/>
    <w:rsid w:val="00775823"/>
    <w:rsid w:val="00775C97"/>
    <w:rsid w:val="00776379"/>
    <w:rsid w:val="007768E9"/>
    <w:rsid w:val="00776B46"/>
    <w:rsid w:val="00777153"/>
    <w:rsid w:val="0077719A"/>
    <w:rsid w:val="00777200"/>
    <w:rsid w:val="007774A1"/>
    <w:rsid w:val="007777CC"/>
    <w:rsid w:val="00777803"/>
    <w:rsid w:val="00777A65"/>
    <w:rsid w:val="00777ACE"/>
    <w:rsid w:val="00777B32"/>
    <w:rsid w:val="0078003D"/>
    <w:rsid w:val="0078051E"/>
    <w:rsid w:val="00780A02"/>
    <w:rsid w:val="00780FFD"/>
    <w:rsid w:val="00781089"/>
    <w:rsid w:val="00781168"/>
    <w:rsid w:val="00781CB6"/>
    <w:rsid w:val="0078240B"/>
    <w:rsid w:val="00782667"/>
    <w:rsid w:val="007838F3"/>
    <w:rsid w:val="00784AB7"/>
    <w:rsid w:val="00784F98"/>
    <w:rsid w:val="00785685"/>
    <w:rsid w:val="007856FE"/>
    <w:rsid w:val="00785F46"/>
    <w:rsid w:val="007861E5"/>
    <w:rsid w:val="007865F4"/>
    <w:rsid w:val="00786B94"/>
    <w:rsid w:val="00786C6C"/>
    <w:rsid w:val="00786CED"/>
    <w:rsid w:val="00786D5C"/>
    <w:rsid w:val="00786E96"/>
    <w:rsid w:val="00787574"/>
    <w:rsid w:val="00787BB6"/>
    <w:rsid w:val="00787CFB"/>
    <w:rsid w:val="00787DFF"/>
    <w:rsid w:val="00787F93"/>
    <w:rsid w:val="00790304"/>
    <w:rsid w:val="007903AE"/>
    <w:rsid w:val="0079112A"/>
    <w:rsid w:val="00791E6D"/>
    <w:rsid w:val="00791EB5"/>
    <w:rsid w:val="0079225B"/>
    <w:rsid w:val="0079257B"/>
    <w:rsid w:val="007925ED"/>
    <w:rsid w:val="0079274F"/>
    <w:rsid w:val="00792CB6"/>
    <w:rsid w:val="00792D54"/>
    <w:rsid w:val="00792D91"/>
    <w:rsid w:val="007933DB"/>
    <w:rsid w:val="007933E6"/>
    <w:rsid w:val="0079343F"/>
    <w:rsid w:val="00793696"/>
    <w:rsid w:val="00793C6B"/>
    <w:rsid w:val="00793F7C"/>
    <w:rsid w:val="00794008"/>
    <w:rsid w:val="007940EA"/>
    <w:rsid w:val="007947AF"/>
    <w:rsid w:val="00794CB7"/>
    <w:rsid w:val="00794DD3"/>
    <w:rsid w:val="00794E96"/>
    <w:rsid w:val="007951A1"/>
    <w:rsid w:val="007951B8"/>
    <w:rsid w:val="007955DA"/>
    <w:rsid w:val="00795C0B"/>
    <w:rsid w:val="00795CC3"/>
    <w:rsid w:val="007968E6"/>
    <w:rsid w:val="00796914"/>
    <w:rsid w:val="00796A67"/>
    <w:rsid w:val="00796F65"/>
    <w:rsid w:val="0079725C"/>
    <w:rsid w:val="007977DC"/>
    <w:rsid w:val="007978AD"/>
    <w:rsid w:val="00797BEB"/>
    <w:rsid w:val="00797EB3"/>
    <w:rsid w:val="007A0812"/>
    <w:rsid w:val="007A08BF"/>
    <w:rsid w:val="007A0BA3"/>
    <w:rsid w:val="007A1052"/>
    <w:rsid w:val="007A11C2"/>
    <w:rsid w:val="007A18BB"/>
    <w:rsid w:val="007A1AEA"/>
    <w:rsid w:val="007A1F92"/>
    <w:rsid w:val="007A2031"/>
    <w:rsid w:val="007A232B"/>
    <w:rsid w:val="007A2494"/>
    <w:rsid w:val="007A27DD"/>
    <w:rsid w:val="007A2A06"/>
    <w:rsid w:val="007A2A7C"/>
    <w:rsid w:val="007A2ED4"/>
    <w:rsid w:val="007A3098"/>
    <w:rsid w:val="007A3B36"/>
    <w:rsid w:val="007A3E2E"/>
    <w:rsid w:val="007A41BF"/>
    <w:rsid w:val="007A438A"/>
    <w:rsid w:val="007A484B"/>
    <w:rsid w:val="007A490A"/>
    <w:rsid w:val="007A528B"/>
    <w:rsid w:val="007A5757"/>
    <w:rsid w:val="007A634D"/>
    <w:rsid w:val="007A6FE0"/>
    <w:rsid w:val="007A72E8"/>
    <w:rsid w:val="007A7B95"/>
    <w:rsid w:val="007A7BAA"/>
    <w:rsid w:val="007A7ED6"/>
    <w:rsid w:val="007B00EC"/>
    <w:rsid w:val="007B00F2"/>
    <w:rsid w:val="007B0297"/>
    <w:rsid w:val="007B02FA"/>
    <w:rsid w:val="007B0622"/>
    <w:rsid w:val="007B0F53"/>
    <w:rsid w:val="007B1196"/>
    <w:rsid w:val="007B180D"/>
    <w:rsid w:val="007B1A8A"/>
    <w:rsid w:val="007B1D19"/>
    <w:rsid w:val="007B216A"/>
    <w:rsid w:val="007B21AE"/>
    <w:rsid w:val="007B2570"/>
    <w:rsid w:val="007B28DE"/>
    <w:rsid w:val="007B3113"/>
    <w:rsid w:val="007B315F"/>
    <w:rsid w:val="007B326E"/>
    <w:rsid w:val="007B3304"/>
    <w:rsid w:val="007B39E4"/>
    <w:rsid w:val="007B3B70"/>
    <w:rsid w:val="007B3BF0"/>
    <w:rsid w:val="007B3E32"/>
    <w:rsid w:val="007B4497"/>
    <w:rsid w:val="007B45BD"/>
    <w:rsid w:val="007B4652"/>
    <w:rsid w:val="007B465F"/>
    <w:rsid w:val="007B5817"/>
    <w:rsid w:val="007B6539"/>
    <w:rsid w:val="007B697A"/>
    <w:rsid w:val="007B69BC"/>
    <w:rsid w:val="007B7490"/>
    <w:rsid w:val="007B78D1"/>
    <w:rsid w:val="007B7D08"/>
    <w:rsid w:val="007B7DD9"/>
    <w:rsid w:val="007C0207"/>
    <w:rsid w:val="007C0525"/>
    <w:rsid w:val="007C12F6"/>
    <w:rsid w:val="007C13F7"/>
    <w:rsid w:val="007C1632"/>
    <w:rsid w:val="007C1B37"/>
    <w:rsid w:val="007C1D77"/>
    <w:rsid w:val="007C218D"/>
    <w:rsid w:val="007C2693"/>
    <w:rsid w:val="007C29E5"/>
    <w:rsid w:val="007C2D28"/>
    <w:rsid w:val="007C326F"/>
    <w:rsid w:val="007C3512"/>
    <w:rsid w:val="007C3E22"/>
    <w:rsid w:val="007C46B3"/>
    <w:rsid w:val="007C4E2B"/>
    <w:rsid w:val="007C58C1"/>
    <w:rsid w:val="007C58EA"/>
    <w:rsid w:val="007C5987"/>
    <w:rsid w:val="007C6218"/>
    <w:rsid w:val="007C6484"/>
    <w:rsid w:val="007C6792"/>
    <w:rsid w:val="007C67C6"/>
    <w:rsid w:val="007C75F7"/>
    <w:rsid w:val="007C78BE"/>
    <w:rsid w:val="007C7A5D"/>
    <w:rsid w:val="007C7E59"/>
    <w:rsid w:val="007C7E5D"/>
    <w:rsid w:val="007D002D"/>
    <w:rsid w:val="007D0476"/>
    <w:rsid w:val="007D0594"/>
    <w:rsid w:val="007D092E"/>
    <w:rsid w:val="007D09C1"/>
    <w:rsid w:val="007D0B91"/>
    <w:rsid w:val="007D0C8D"/>
    <w:rsid w:val="007D0FE7"/>
    <w:rsid w:val="007D0FF9"/>
    <w:rsid w:val="007D1233"/>
    <w:rsid w:val="007D1265"/>
    <w:rsid w:val="007D1409"/>
    <w:rsid w:val="007D1452"/>
    <w:rsid w:val="007D1563"/>
    <w:rsid w:val="007D1584"/>
    <w:rsid w:val="007D17AC"/>
    <w:rsid w:val="007D1E3D"/>
    <w:rsid w:val="007D2603"/>
    <w:rsid w:val="007D288B"/>
    <w:rsid w:val="007D32ED"/>
    <w:rsid w:val="007D33C5"/>
    <w:rsid w:val="007D343F"/>
    <w:rsid w:val="007D3AFE"/>
    <w:rsid w:val="007D3DCB"/>
    <w:rsid w:val="007D460C"/>
    <w:rsid w:val="007D497D"/>
    <w:rsid w:val="007D4996"/>
    <w:rsid w:val="007D4AD3"/>
    <w:rsid w:val="007D4EAD"/>
    <w:rsid w:val="007D4FCB"/>
    <w:rsid w:val="007D5D19"/>
    <w:rsid w:val="007D5E2D"/>
    <w:rsid w:val="007D5FDC"/>
    <w:rsid w:val="007D6176"/>
    <w:rsid w:val="007D6276"/>
    <w:rsid w:val="007D63AF"/>
    <w:rsid w:val="007D68F1"/>
    <w:rsid w:val="007D69CD"/>
    <w:rsid w:val="007D6AFB"/>
    <w:rsid w:val="007D6D68"/>
    <w:rsid w:val="007D6DD2"/>
    <w:rsid w:val="007D76C5"/>
    <w:rsid w:val="007E0695"/>
    <w:rsid w:val="007E0A69"/>
    <w:rsid w:val="007E0E64"/>
    <w:rsid w:val="007E0F0E"/>
    <w:rsid w:val="007E1057"/>
    <w:rsid w:val="007E194F"/>
    <w:rsid w:val="007E2BA4"/>
    <w:rsid w:val="007E30ED"/>
    <w:rsid w:val="007E326D"/>
    <w:rsid w:val="007E32DA"/>
    <w:rsid w:val="007E4998"/>
    <w:rsid w:val="007E4A9C"/>
    <w:rsid w:val="007E4C05"/>
    <w:rsid w:val="007E4F3A"/>
    <w:rsid w:val="007E6914"/>
    <w:rsid w:val="007E6D32"/>
    <w:rsid w:val="007E6FB4"/>
    <w:rsid w:val="007E738C"/>
    <w:rsid w:val="007E740F"/>
    <w:rsid w:val="007E751C"/>
    <w:rsid w:val="007E7714"/>
    <w:rsid w:val="007E779B"/>
    <w:rsid w:val="007E7B92"/>
    <w:rsid w:val="007E7BA4"/>
    <w:rsid w:val="007E7E65"/>
    <w:rsid w:val="007E7F78"/>
    <w:rsid w:val="007F008C"/>
    <w:rsid w:val="007F0179"/>
    <w:rsid w:val="007F03A8"/>
    <w:rsid w:val="007F0423"/>
    <w:rsid w:val="007F0F13"/>
    <w:rsid w:val="007F0FCE"/>
    <w:rsid w:val="007F1AD4"/>
    <w:rsid w:val="007F1FF4"/>
    <w:rsid w:val="007F2344"/>
    <w:rsid w:val="007F241E"/>
    <w:rsid w:val="007F2C13"/>
    <w:rsid w:val="007F2CEC"/>
    <w:rsid w:val="007F2ED1"/>
    <w:rsid w:val="007F3435"/>
    <w:rsid w:val="007F3DFB"/>
    <w:rsid w:val="007F3E9B"/>
    <w:rsid w:val="007F412A"/>
    <w:rsid w:val="007F43E5"/>
    <w:rsid w:val="007F494F"/>
    <w:rsid w:val="007F4D27"/>
    <w:rsid w:val="007F4E0D"/>
    <w:rsid w:val="007F4EFB"/>
    <w:rsid w:val="007F505D"/>
    <w:rsid w:val="007F51F9"/>
    <w:rsid w:val="007F531B"/>
    <w:rsid w:val="007F5347"/>
    <w:rsid w:val="007F55DE"/>
    <w:rsid w:val="007F5A14"/>
    <w:rsid w:val="007F6886"/>
    <w:rsid w:val="007F6C52"/>
    <w:rsid w:val="007F762D"/>
    <w:rsid w:val="007F7677"/>
    <w:rsid w:val="007F78F0"/>
    <w:rsid w:val="007F78FF"/>
    <w:rsid w:val="007F7C83"/>
    <w:rsid w:val="007F7FCA"/>
    <w:rsid w:val="008001C5"/>
    <w:rsid w:val="0080042E"/>
    <w:rsid w:val="008008C4"/>
    <w:rsid w:val="00800C67"/>
    <w:rsid w:val="00800F6C"/>
    <w:rsid w:val="00801065"/>
    <w:rsid w:val="00801211"/>
    <w:rsid w:val="008019EB"/>
    <w:rsid w:val="00801A04"/>
    <w:rsid w:val="00801C1E"/>
    <w:rsid w:val="00801D8D"/>
    <w:rsid w:val="00802313"/>
    <w:rsid w:val="008029B7"/>
    <w:rsid w:val="00802B4B"/>
    <w:rsid w:val="00802BB0"/>
    <w:rsid w:val="00802C0B"/>
    <w:rsid w:val="008030FA"/>
    <w:rsid w:val="008038D3"/>
    <w:rsid w:val="008039D2"/>
    <w:rsid w:val="00803ED3"/>
    <w:rsid w:val="008046C5"/>
    <w:rsid w:val="008048CA"/>
    <w:rsid w:val="00804FA6"/>
    <w:rsid w:val="00805040"/>
    <w:rsid w:val="008050F4"/>
    <w:rsid w:val="008051FC"/>
    <w:rsid w:val="008055A9"/>
    <w:rsid w:val="008056A2"/>
    <w:rsid w:val="008056C4"/>
    <w:rsid w:val="008057FD"/>
    <w:rsid w:val="0080587B"/>
    <w:rsid w:val="00805D8B"/>
    <w:rsid w:val="00805F7B"/>
    <w:rsid w:val="008061BF"/>
    <w:rsid w:val="0080660A"/>
    <w:rsid w:val="008066D9"/>
    <w:rsid w:val="00806816"/>
    <w:rsid w:val="00806985"/>
    <w:rsid w:val="00806E9C"/>
    <w:rsid w:val="00807693"/>
    <w:rsid w:val="00807C69"/>
    <w:rsid w:val="0081010F"/>
    <w:rsid w:val="0081059F"/>
    <w:rsid w:val="00810905"/>
    <w:rsid w:val="00810BB6"/>
    <w:rsid w:val="00810C61"/>
    <w:rsid w:val="00810E8E"/>
    <w:rsid w:val="00810FE8"/>
    <w:rsid w:val="00811066"/>
    <w:rsid w:val="00811B99"/>
    <w:rsid w:val="00811B9D"/>
    <w:rsid w:val="00812937"/>
    <w:rsid w:val="00812AA9"/>
    <w:rsid w:val="00812B2B"/>
    <w:rsid w:val="00812C44"/>
    <w:rsid w:val="0081347D"/>
    <w:rsid w:val="008135E1"/>
    <w:rsid w:val="008136E4"/>
    <w:rsid w:val="00813779"/>
    <w:rsid w:val="00813E26"/>
    <w:rsid w:val="00813E7C"/>
    <w:rsid w:val="00814160"/>
    <w:rsid w:val="00814182"/>
    <w:rsid w:val="0081481D"/>
    <w:rsid w:val="00814BE8"/>
    <w:rsid w:val="00814D26"/>
    <w:rsid w:val="00814F6E"/>
    <w:rsid w:val="008156AC"/>
    <w:rsid w:val="00815A71"/>
    <w:rsid w:val="00815B84"/>
    <w:rsid w:val="00816309"/>
    <w:rsid w:val="00816342"/>
    <w:rsid w:val="008166F6"/>
    <w:rsid w:val="00816BE9"/>
    <w:rsid w:val="00816F2B"/>
    <w:rsid w:val="00817A35"/>
    <w:rsid w:val="00817D10"/>
    <w:rsid w:val="00817F99"/>
    <w:rsid w:val="008205DC"/>
    <w:rsid w:val="0082082D"/>
    <w:rsid w:val="00821788"/>
    <w:rsid w:val="0082194F"/>
    <w:rsid w:val="00822266"/>
    <w:rsid w:val="00822518"/>
    <w:rsid w:val="008226DE"/>
    <w:rsid w:val="008226F5"/>
    <w:rsid w:val="00822BBC"/>
    <w:rsid w:val="00822DAC"/>
    <w:rsid w:val="0082324F"/>
    <w:rsid w:val="00823883"/>
    <w:rsid w:val="00823FC6"/>
    <w:rsid w:val="008241E4"/>
    <w:rsid w:val="00824306"/>
    <w:rsid w:val="00824BB1"/>
    <w:rsid w:val="00825098"/>
    <w:rsid w:val="00825B13"/>
    <w:rsid w:val="00825C74"/>
    <w:rsid w:val="00825CFA"/>
    <w:rsid w:val="00825E97"/>
    <w:rsid w:val="00826AB9"/>
    <w:rsid w:val="00826E0E"/>
    <w:rsid w:val="0082754E"/>
    <w:rsid w:val="00827D11"/>
    <w:rsid w:val="00827E0F"/>
    <w:rsid w:val="00827F6E"/>
    <w:rsid w:val="00830113"/>
    <w:rsid w:val="008303D1"/>
    <w:rsid w:val="008305F2"/>
    <w:rsid w:val="00830B49"/>
    <w:rsid w:val="00830D08"/>
    <w:rsid w:val="008312BE"/>
    <w:rsid w:val="00831355"/>
    <w:rsid w:val="0083155B"/>
    <w:rsid w:val="008315DF"/>
    <w:rsid w:val="00831758"/>
    <w:rsid w:val="008317D9"/>
    <w:rsid w:val="00831AEC"/>
    <w:rsid w:val="00831B1A"/>
    <w:rsid w:val="00831F4F"/>
    <w:rsid w:val="00831F92"/>
    <w:rsid w:val="008324CF"/>
    <w:rsid w:val="0083268B"/>
    <w:rsid w:val="0083279F"/>
    <w:rsid w:val="008327B9"/>
    <w:rsid w:val="00832CE9"/>
    <w:rsid w:val="008330F8"/>
    <w:rsid w:val="008334DB"/>
    <w:rsid w:val="00833762"/>
    <w:rsid w:val="00833854"/>
    <w:rsid w:val="00833B3A"/>
    <w:rsid w:val="00833B7F"/>
    <w:rsid w:val="00833BA4"/>
    <w:rsid w:val="00833E8E"/>
    <w:rsid w:val="00834906"/>
    <w:rsid w:val="00834CF0"/>
    <w:rsid w:val="00834E6B"/>
    <w:rsid w:val="008352AF"/>
    <w:rsid w:val="00835954"/>
    <w:rsid w:val="008359ED"/>
    <w:rsid w:val="00835CC0"/>
    <w:rsid w:val="00836075"/>
    <w:rsid w:val="00836417"/>
    <w:rsid w:val="0083664E"/>
    <w:rsid w:val="00836D47"/>
    <w:rsid w:val="00837211"/>
    <w:rsid w:val="00837251"/>
    <w:rsid w:val="00837526"/>
    <w:rsid w:val="00837CEE"/>
    <w:rsid w:val="00840226"/>
    <w:rsid w:val="00840343"/>
    <w:rsid w:val="00840479"/>
    <w:rsid w:val="008407A7"/>
    <w:rsid w:val="00841361"/>
    <w:rsid w:val="00841971"/>
    <w:rsid w:val="00842018"/>
    <w:rsid w:val="00842B02"/>
    <w:rsid w:val="008430E9"/>
    <w:rsid w:val="0084322B"/>
    <w:rsid w:val="0084374B"/>
    <w:rsid w:val="00843AB3"/>
    <w:rsid w:val="00843E60"/>
    <w:rsid w:val="00843F81"/>
    <w:rsid w:val="00844087"/>
    <w:rsid w:val="00844652"/>
    <w:rsid w:val="008448F1"/>
    <w:rsid w:val="0084501B"/>
    <w:rsid w:val="0084514C"/>
    <w:rsid w:val="0084519E"/>
    <w:rsid w:val="008456E5"/>
    <w:rsid w:val="00845CAE"/>
    <w:rsid w:val="00845E0B"/>
    <w:rsid w:val="00845EF8"/>
    <w:rsid w:val="00846072"/>
    <w:rsid w:val="008462C5"/>
    <w:rsid w:val="008462FA"/>
    <w:rsid w:val="00846370"/>
    <w:rsid w:val="0084661C"/>
    <w:rsid w:val="0084676A"/>
    <w:rsid w:val="00846873"/>
    <w:rsid w:val="00846C39"/>
    <w:rsid w:val="00846D61"/>
    <w:rsid w:val="008477E7"/>
    <w:rsid w:val="00847817"/>
    <w:rsid w:val="00847898"/>
    <w:rsid w:val="00847C2B"/>
    <w:rsid w:val="008500B9"/>
    <w:rsid w:val="00850272"/>
    <w:rsid w:val="008506B9"/>
    <w:rsid w:val="0085086F"/>
    <w:rsid w:val="00850893"/>
    <w:rsid w:val="00851822"/>
    <w:rsid w:val="0085195D"/>
    <w:rsid w:val="00851C16"/>
    <w:rsid w:val="00852090"/>
    <w:rsid w:val="008529CE"/>
    <w:rsid w:val="00852F76"/>
    <w:rsid w:val="008532BF"/>
    <w:rsid w:val="008534F3"/>
    <w:rsid w:val="008536B7"/>
    <w:rsid w:val="008537FC"/>
    <w:rsid w:val="008539B2"/>
    <w:rsid w:val="00853BF4"/>
    <w:rsid w:val="00853FC3"/>
    <w:rsid w:val="00854294"/>
    <w:rsid w:val="00854295"/>
    <w:rsid w:val="008543A3"/>
    <w:rsid w:val="008543D1"/>
    <w:rsid w:val="0085446C"/>
    <w:rsid w:val="00854BE6"/>
    <w:rsid w:val="0085572E"/>
    <w:rsid w:val="00855F8E"/>
    <w:rsid w:val="00855FF6"/>
    <w:rsid w:val="00856097"/>
    <w:rsid w:val="00856118"/>
    <w:rsid w:val="0085671C"/>
    <w:rsid w:val="00856751"/>
    <w:rsid w:val="00856CA8"/>
    <w:rsid w:val="0085788B"/>
    <w:rsid w:val="00857A9E"/>
    <w:rsid w:val="00857DE2"/>
    <w:rsid w:val="0086003D"/>
    <w:rsid w:val="00861576"/>
    <w:rsid w:val="008617B2"/>
    <w:rsid w:val="008623D8"/>
    <w:rsid w:val="008628A3"/>
    <w:rsid w:val="00862B77"/>
    <w:rsid w:val="00862CEE"/>
    <w:rsid w:val="00863915"/>
    <w:rsid w:val="00863A8E"/>
    <w:rsid w:val="00863AE1"/>
    <w:rsid w:val="00863D19"/>
    <w:rsid w:val="00863E3E"/>
    <w:rsid w:val="0086407F"/>
    <w:rsid w:val="00864398"/>
    <w:rsid w:val="008645E3"/>
    <w:rsid w:val="008647B9"/>
    <w:rsid w:val="0086486A"/>
    <w:rsid w:val="00864E79"/>
    <w:rsid w:val="00865295"/>
    <w:rsid w:val="0086572B"/>
    <w:rsid w:val="008658DE"/>
    <w:rsid w:val="00866053"/>
    <w:rsid w:val="00866615"/>
    <w:rsid w:val="0086661F"/>
    <w:rsid w:val="00866808"/>
    <w:rsid w:val="0086694E"/>
    <w:rsid w:val="00866A0D"/>
    <w:rsid w:val="00866D6A"/>
    <w:rsid w:val="00866DB5"/>
    <w:rsid w:val="0086701D"/>
    <w:rsid w:val="0086702B"/>
    <w:rsid w:val="008672E2"/>
    <w:rsid w:val="0086784E"/>
    <w:rsid w:val="00867BB0"/>
    <w:rsid w:val="00867FD2"/>
    <w:rsid w:val="008706A1"/>
    <w:rsid w:val="0087080B"/>
    <w:rsid w:val="00870F05"/>
    <w:rsid w:val="00870F38"/>
    <w:rsid w:val="0087115B"/>
    <w:rsid w:val="0087121C"/>
    <w:rsid w:val="00871283"/>
    <w:rsid w:val="008712D4"/>
    <w:rsid w:val="00871FD2"/>
    <w:rsid w:val="00872084"/>
    <w:rsid w:val="008726E1"/>
    <w:rsid w:val="00872827"/>
    <w:rsid w:val="00872846"/>
    <w:rsid w:val="00872A32"/>
    <w:rsid w:val="00872CA1"/>
    <w:rsid w:val="00873218"/>
    <w:rsid w:val="00873898"/>
    <w:rsid w:val="00873C1B"/>
    <w:rsid w:val="00873E2E"/>
    <w:rsid w:val="00874911"/>
    <w:rsid w:val="00874921"/>
    <w:rsid w:val="00874C11"/>
    <w:rsid w:val="008753D0"/>
    <w:rsid w:val="008754E4"/>
    <w:rsid w:val="008754FC"/>
    <w:rsid w:val="00875D1D"/>
    <w:rsid w:val="00875E64"/>
    <w:rsid w:val="0087666A"/>
    <w:rsid w:val="00876AF3"/>
    <w:rsid w:val="00876E11"/>
    <w:rsid w:val="00876EAE"/>
    <w:rsid w:val="0087725D"/>
    <w:rsid w:val="008777A8"/>
    <w:rsid w:val="00877827"/>
    <w:rsid w:val="00877AEB"/>
    <w:rsid w:val="00880106"/>
    <w:rsid w:val="008807AE"/>
    <w:rsid w:val="008808EB"/>
    <w:rsid w:val="00880F95"/>
    <w:rsid w:val="00881539"/>
    <w:rsid w:val="00881712"/>
    <w:rsid w:val="0088186E"/>
    <w:rsid w:val="00881CCD"/>
    <w:rsid w:val="00881E3B"/>
    <w:rsid w:val="00881F8B"/>
    <w:rsid w:val="00882368"/>
    <w:rsid w:val="00882B44"/>
    <w:rsid w:val="00882FC9"/>
    <w:rsid w:val="0088371D"/>
    <w:rsid w:val="008838AD"/>
    <w:rsid w:val="00884557"/>
    <w:rsid w:val="00884DC0"/>
    <w:rsid w:val="00884E48"/>
    <w:rsid w:val="00885551"/>
    <w:rsid w:val="00885BC9"/>
    <w:rsid w:val="00886153"/>
    <w:rsid w:val="00886257"/>
    <w:rsid w:val="0088635C"/>
    <w:rsid w:val="008864B3"/>
    <w:rsid w:val="008865E5"/>
    <w:rsid w:val="0088672C"/>
    <w:rsid w:val="008871B0"/>
    <w:rsid w:val="00887229"/>
    <w:rsid w:val="0089026E"/>
    <w:rsid w:val="00890B57"/>
    <w:rsid w:val="00891390"/>
    <w:rsid w:val="008916BA"/>
    <w:rsid w:val="00891B51"/>
    <w:rsid w:val="00891CF5"/>
    <w:rsid w:val="00892145"/>
    <w:rsid w:val="0089217C"/>
    <w:rsid w:val="00892790"/>
    <w:rsid w:val="00892950"/>
    <w:rsid w:val="00892A24"/>
    <w:rsid w:val="00893671"/>
    <w:rsid w:val="00894165"/>
    <w:rsid w:val="00895838"/>
    <w:rsid w:val="00895A1E"/>
    <w:rsid w:val="00895A72"/>
    <w:rsid w:val="00895B4B"/>
    <w:rsid w:val="00895CDF"/>
    <w:rsid w:val="00896679"/>
    <w:rsid w:val="0089671B"/>
    <w:rsid w:val="00896CC5"/>
    <w:rsid w:val="00896D8C"/>
    <w:rsid w:val="0089779C"/>
    <w:rsid w:val="00897890"/>
    <w:rsid w:val="00897BA4"/>
    <w:rsid w:val="00897DD0"/>
    <w:rsid w:val="008A004B"/>
    <w:rsid w:val="008A048D"/>
    <w:rsid w:val="008A08F5"/>
    <w:rsid w:val="008A0AD4"/>
    <w:rsid w:val="008A0FC9"/>
    <w:rsid w:val="008A13F1"/>
    <w:rsid w:val="008A1772"/>
    <w:rsid w:val="008A17DA"/>
    <w:rsid w:val="008A1956"/>
    <w:rsid w:val="008A1977"/>
    <w:rsid w:val="008A1A7C"/>
    <w:rsid w:val="008A1CED"/>
    <w:rsid w:val="008A1DF4"/>
    <w:rsid w:val="008A1E5D"/>
    <w:rsid w:val="008A203A"/>
    <w:rsid w:val="008A2305"/>
    <w:rsid w:val="008A244C"/>
    <w:rsid w:val="008A2CE2"/>
    <w:rsid w:val="008A2D59"/>
    <w:rsid w:val="008A2F60"/>
    <w:rsid w:val="008A35AE"/>
    <w:rsid w:val="008A3841"/>
    <w:rsid w:val="008A3BC5"/>
    <w:rsid w:val="008A40D3"/>
    <w:rsid w:val="008A469C"/>
    <w:rsid w:val="008A4DA1"/>
    <w:rsid w:val="008A50FB"/>
    <w:rsid w:val="008A5108"/>
    <w:rsid w:val="008A51A5"/>
    <w:rsid w:val="008A51D1"/>
    <w:rsid w:val="008A521A"/>
    <w:rsid w:val="008A52F4"/>
    <w:rsid w:val="008A5632"/>
    <w:rsid w:val="008A5DCE"/>
    <w:rsid w:val="008A5E2E"/>
    <w:rsid w:val="008A6571"/>
    <w:rsid w:val="008A65A8"/>
    <w:rsid w:val="008A68BD"/>
    <w:rsid w:val="008A6B49"/>
    <w:rsid w:val="008A6CBA"/>
    <w:rsid w:val="008A75D3"/>
    <w:rsid w:val="008A76DF"/>
    <w:rsid w:val="008A7E0D"/>
    <w:rsid w:val="008A7EB1"/>
    <w:rsid w:val="008A7F48"/>
    <w:rsid w:val="008B0114"/>
    <w:rsid w:val="008B05DD"/>
    <w:rsid w:val="008B05E0"/>
    <w:rsid w:val="008B07B8"/>
    <w:rsid w:val="008B0977"/>
    <w:rsid w:val="008B17E8"/>
    <w:rsid w:val="008B1AC6"/>
    <w:rsid w:val="008B22F0"/>
    <w:rsid w:val="008B2385"/>
    <w:rsid w:val="008B2C45"/>
    <w:rsid w:val="008B2E7C"/>
    <w:rsid w:val="008B30AD"/>
    <w:rsid w:val="008B3123"/>
    <w:rsid w:val="008B333E"/>
    <w:rsid w:val="008B399A"/>
    <w:rsid w:val="008B45F0"/>
    <w:rsid w:val="008B4684"/>
    <w:rsid w:val="008B4A70"/>
    <w:rsid w:val="008B502F"/>
    <w:rsid w:val="008B521F"/>
    <w:rsid w:val="008B5A8A"/>
    <w:rsid w:val="008B6264"/>
    <w:rsid w:val="008B69CD"/>
    <w:rsid w:val="008B6DFC"/>
    <w:rsid w:val="008B7227"/>
    <w:rsid w:val="008B7384"/>
    <w:rsid w:val="008B7595"/>
    <w:rsid w:val="008B7FE2"/>
    <w:rsid w:val="008C02FB"/>
    <w:rsid w:val="008C04E0"/>
    <w:rsid w:val="008C0764"/>
    <w:rsid w:val="008C191C"/>
    <w:rsid w:val="008C1B73"/>
    <w:rsid w:val="008C1B8F"/>
    <w:rsid w:val="008C1DA4"/>
    <w:rsid w:val="008C1E8F"/>
    <w:rsid w:val="008C1EBF"/>
    <w:rsid w:val="008C1F02"/>
    <w:rsid w:val="008C20DA"/>
    <w:rsid w:val="008C2138"/>
    <w:rsid w:val="008C26FE"/>
    <w:rsid w:val="008C29B0"/>
    <w:rsid w:val="008C2A6B"/>
    <w:rsid w:val="008C2CD5"/>
    <w:rsid w:val="008C33AE"/>
    <w:rsid w:val="008C3618"/>
    <w:rsid w:val="008C39E7"/>
    <w:rsid w:val="008C43AD"/>
    <w:rsid w:val="008C4EEB"/>
    <w:rsid w:val="008C55FA"/>
    <w:rsid w:val="008C5922"/>
    <w:rsid w:val="008C6005"/>
    <w:rsid w:val="008C6118"/>
    <w:rsid w:val="008C6341"/>
    <w:rsid w:val="008C653D"/>
    <w:rsid w:val="008C6ADD"/>
    <w:rsid w:val="008C70DE"/>
    <w:rsid w:val="008C731F"/>
    <w:rsid w:val="008C7396"/>
    <w:rsid w:val="008C74D9"/>
    <w:rsid w:val="008D003B"/>
    <w:rsid w:val="008D038A"/>
    <w:rsid w:val="008D04B2"/>
    <w:rsid w:val="008D1530"/>
    <w:rsid w:val="008D1571"/>
    <w:rsid w:val="008D2050"/>
    <w:rsid w:val="008D23E5"/>
    <w:rsid w:val="008D333A"/>
    <w:rsid w:val="008D3487"/>
    <w:rsid w:val="008D3B2D"/>
    <w:rsid w:val="008D3ED6"/>
    <w:rsid w:val="008D414A"/>
    <w:rsid w:val="008D4AAC"/>
    <w:rsid w:val="008D58D9"/>
    <w:rsid w:val="008D5AD4"/>
    <w:rsid w:val="008D60A1"/>
    <w:rsid w:val="008D695E"/>
    <w:rsid w:val="008D6DD5"/>
    <w:rsid w:val="008D6E59"/>
    <w:rsid w:val="008D7104"/>
    <w:rsid w:val="008D7155"/>
    <w:rsid w:val="008D75DF"/>
    <w:rsid w:val="008D76E0"/>
    <w:rsid w:val="008D7A0B"/>
    <w:rsid w:val="008D7ABD"/>
    <w:rsid w:val="008D7EA2"/>
    <w:rsid w:val="008D7FFC"/>
    <w:rsid w:val="008E08C3"/>
    <w:rsid w:val="008E0B29"/>
    <w:rsid w:val="008E0FAF"/>
    <w:rsid w:val="008E141A"/>
    <w:rsid w:val="008E194D"/>
    <w:rsid w:val="008E1A44"/>
    <w:rsid w:val="008E1C8D"/>
    <w:rsid w:val="008E28E6"/>
    <w:rsid w:val="008E2AFC"/>
    <w:rsid w:val="008E3232"/>
    <w:rsid w:val="008E3674"/>
    <w:rsid w:val="008E3B6C"/>
    <w:rsid w:val="008E3DE7"/>
    <w:rsid w:val="008E405F"/>
    <w:rsid w:val="008E40F4"/>
    <w:rsid w:val="008E496B"/>
    <w:rsid w:val="008E5227"/>
    <w:rsid w:val="008E562C"/>
    <w:rsid w:val="008E59E2"/>
    <w:rsid w:val="008E6232"/>
    <w:rsid w:val="008E6540"/>
    <w:rsid w:val="008E663D"/>
    <w:rsid w:val="008E6FBE"/>
    <w:rsid w:val="008E7522"/>
    <w:rsid w:val="008E77D4"/>
    <w:rsid w:val="008E7ADD"/>
    <w:rsid w:val="008F091F"/>
    <w:rsid w:val="008F0A8B"/>
    <w:rsid w:val="008F0C0B"/>
    <w:rsid w:val="008F0ED1"/>
    <w:rsid w:val="008F11BA"/>
    <w:rsid w:val="008F17B2"/>
    <w:rsid w:val="008F1869"/>
    <w:rsid w:val="008F1C99"/>
    <w:rsid w:val="008F1D7F"/>
    <w:rsid w:val="008F21F9"/>
    <w:rsid w:val="008F224F"/>
    <w:rsid w:val="008F22B3"/>
    <w:rsid w:val="008F2D22"/>
    <w:rsid w:val="008F357B"/>
    <w:rsid w:val="008F3F0F"/>
    <w:rsid w:val="008F4026"/>
    <w:rsid w:val="008F4370"/>
    <w:rsid w:val="008F44CA"/>
    <w:rsid w:val="008F49D3"/>
    <w:rsid w:val="008F4AE4"/>
    <w:rsid w:val="008F5463"/>
    <w:rsid w:val="008F5B7B"/>
    <w:rsid w:val="008F6519"/>
    <w:rsid w:val="008F6661"/>
    <w:rsid w:val="008F6D4F"/>
    <w:rsid w:val="008F7012"/>
    <w:rsid w:val="008F7341"/>
    <w:rsid w:val="008F7ADA"/>
    <w:rsid w:val="008F7B17"/>
    <w:rsid w:val="008F7C20"/>
    <w:rsid w:val="008F7FEB"/>
    <w:rsid w:val="00900042"/>
    <w:rsid w:val="0090034B"/>
    <w:rsid w:val="009003D2"/>
    <w:rsid w:val="0090052C"/>
    <w:rsid w:val="009007E3"/>
    <w:rsid w:val="0090087C"/>
    <w:rsid w:val="00900A1A"/>
    <w:rsid w:val="00900BE7"/>
    <w:rsid w:val="00901121"/>
    <w:rsid w:val="0090113E"/>
    <w:rsid w:val="009015F6"/>
    <w:rsid w:val="00901BC1"/>
    <w:rsid w:val="00902623"/>
    <w:rsid w:val="009028F8"/>
    <w:rsid w:val="00902A67"/>
    <w:rsid w:val="00902C5E"/>
    <w:rsid w:val="0090319D"/>
    <w:rsid w:val="00903202"/>
    <w:rsid w:val="00903B13"/>
    <w:rsid w:val="00904130"/>
    <w:rsid w:val="009042B1"/>
    <w:rsid w:val="00904A11"/>
    <w:rsid w:val="00904BD7"/>
    <w:rsid w:val="00904BE4"/>
    <w:rsid w:val="0090504A"/>
    <w:rsid w:val="009051F5"/>
    <w:rsid w:val="00905221"/>
    <w:rsid w:val="00905243"/>
    <w:rsid w:val="00905664"/>
    <w:rsid w:val="00905A7C"/>
    <w:rsid w:val="00905D7E"/>
    <w:rsid w:val="00906773"/>
    <w:rsid w:val="00906D14"/>
    <w:rsid w:val="00907037"/>
    <w:rsid w:val="00907259"/>
    <w:rsid w:val="009076D6"/>
    <w:rsid w:val="009078EB"/>
    <w:rsid w:val="00907D35"/>
    <w:rsid w:val="0091060C"/>
    <w:rsid w:val="00910C5D"/>
    <w:rsid w:val="00910E0B"/>
    <w:rsid w:val="00910E13"/>
    <w:rsid w:val="0091112C"/>
    <w:rsid w:val="0091160A"/>
    <w:rsid w:val="009119AE"/>
    <w:rsid w:val="00911D37"/>
    <w:rsid w:val="009122FF"/>
    <w:rsid w:val="009123CC"/>
    <w:rsid w:val="009124FD"/>
    <w:rsid w:val="009128B8"/>
    <w:rsid w:val="00912E04"/>
    <w:rsid w:val="00912E4C"/>
    <w:rsid w:val="00913258"/>
    <w:rsid w:val="00913851"/>
    <w:rsid w:val="00913BB0"/>
    <w:rsid w:val="0091452B"/>
    <w:rsid w:val="0091456C"/>
    <w:rsid w:val="00914762"/>
    <w:rsid w:val="00914823"/>
    <w:rsid w:val="00914AA9"/>
    <w:rsid w:val="00914C58"/>
    <w:rsid w:val="00914D78"/>
    <w:rsid w:val="00915252"/>
    <w:rsid w:val="0091564D"/>
    <w:rsid w:val="009156DA"/>
    <w:rsid w:val="00915774"/>
    <w:rsid w:val="00915B88"/>
    <w:rsid w:val="00915F41"/>
    <w:rsid w:val="00916579"/>
    <w:rsid w:val="00916667"/>
    <w:rsid w:val="009168E9"/>
    <w:rsid w:val="00916BC5"/>
    <w:rsid w:val="0091726A"/>
    <w:rsid w:val="00917C01"/>
    <w:rsid w:val="00917C3B"/>
    <w:rsid w:val="00920085"/>
    <w:rsid w:val="00920184"/>
    <w:rsid w:val="0092071D"/>
    <w:rsid w:val="00920D26"/>
    <w:rsid w:val="00920EA4"/>
    <w:rsid w:val="009212A6"/>
    <w:rsid w:val="00921792"/>
    <w:rsid w:val="00921921"/>
    <w:rsid w:val="009219E9"/>
    <w:rsid w:val="00921BEA"/>
    <w:rsid w:val="009220F7"/>
    <w:rsid w:val="009227BE"/>
    <w:rsid w:val="00922B1F"/>
    <w:rsid w:val="0092352D"/>
    <w:rsid w:val="00923764"/>
    <w:rsid w:val="00923857"/>
    <w:rsid w:val="009238FD"/>
    <w:rsid w:val="00923998"/>
    <w:rsid w:val="00923DB4"/>
    <w:rsid w:val="0092420B"/>
    <w:rsid w:val="00924309"/>
    <w:rsid w:val="0092430E"/>
    <w:rsid w:val="00924FE2"/>
    <w:rsid w:val="00926112"/>
    <w:rsid w:val="0092625F"/>
    <w:rsid w:val="009262A2"/>
    <w:rsid w:val="009268A8"/>
    <w:rsid w:val="00926986"/>
    <w:rsid w:val="00926ACA"/>
    <w:rsid w:val="00926B28"/>
    <w:rsid w:val="00926D9C"/>
    <w:rsid w:val="00927028"/>
    <w:rsid w:val="00927763"/>
    <w:rsid w:val="00927A2D"/>
    <w:rsid w:val="00927B37"/>
    <w:rsid w:val="00931C87"/>
    <w:rsid w:val="009321B1"/>
    <w:rsid w:val="0093221C"/>
    <w:rsid w:val="009325B9"/>
    <w:rsid w:val="00932799"/>
    <w:rsid w:val="009327F0"/>
    <w:rsid w:val="0093283F"/>
    <w:rsid w:val="00932C02"/>
    <w:rsid w:val="00932C56"/>
    <w:rsid w:val="00932ED7"/>
    <w:rsid w:val="00932F5E"/>
    <w:rsid w:val="00933022"/>
    <w:rsid w:val="00933677"/>
    <w:rsid w:val="00933A82"/>
    <w:rsid w:val="0093422D"/>
    <w:rsid w:val="0093483B"/>
    <w:rsid w:val="00934AB0"/>
    <w:rsid w:val="00934C7E"/>
    <w:rsid w:val="00934CF9"/>
    <w:rsid w:val="00934DD7"/>
    <w:rsid w:val="00934FA3"/>
    <w:rsid w:val="00935126"/>
    <w:rsid w:val="009351B3"/>
    <w:rsid w:val="009351D8"/>
    <w:rsid w:val="00935397"/>
    <w:rsid w:val="00935CB2"/>
    <w:rsid w:val="00936964"/>
    <w:rsid w:val="009369A9"/>
    <w:rsid w:val="00936CF7"/>
    <w:rsid w:val="00936F64"/>
    <w:rsid w:val="00937533"/>
    <w:rsid w:val="00937783"/>
    <w:rsid w:val="00937EAD"/>
    <w:rsid w:val="00937F28"/>
    <w:rsid w:val="00940244"/>
    <w:rsid w:val="009405FD"/>
    <w:rsid w:val="00940723"/>
    <w:rsid w:val="009409D1"/>
    <w:rsid w:val="00940E75"/>
    <w:rsid w:val="00940FE1"/>
    <w:rsid w:val="00941474"/>
    <w:rsid w:val="0094217E"/>
    <w:rsid w:val="00942306"/>
    <w:rsid w:val="009424B8"/>
    <w:rsid w:val="0094274A"/>
    <w:rsid w:val="0094317D"/>
    <w:rsid w:val="009431C4"/>
    <w:rsid w:val="009432E2"/>
    <w:rsid w:val="00944305"/>
    <w:rsid w:val="00944405"/>
    <w:rsid w:val="00944510"/>
    <w:rsid w:val="00944668"/>
    <w:rsid w:val="00944BA3"/>
    <w:rsid w:val="00944D32"/>
    <w:rsid w:val="00944D59"/>
    <w:rsid w:val="00944DC6"/>
    <w:rsid w:val="00945055"/>
    <w:rsid w:val="00945758"/>
    <w:rsid w:val="009458B0"/>
    <w:rsid w:val="00945B52"/>
    <w:rsid w:val="00945B7A"/>
    <w:rsid w:val="00945F05"/>
    <w:rsid w:val="00946129"/>
    <w:rsid w:val="00946348"/>
    <w:rsid w:val="00946527"/>
    <w:rsid w:val="009468A2"/>
    <w:rsid w:val="00946F25"/>
    <w:rsid w:val="0094705D"/>
    <w:rsid w:val="00947224"/>
    <w:rsid w:val="009474DF"/>
    <w:rsid w:val="00947797"/>
    <w:rsid w:val="009478A2"/>
    <w:rsid w:val="00947D95"/>
    <w:rsid w:val="00950F49"/>
    <w:rsid w:val="00950F8B"/>
    <w:rsid w:val="009513BD"/>
    <w:rsid w:val="0095194C"/>
    <w:rsid w:val="00951CF2"/>
    <w:rsid w:val="00951F61"/>
    <w:rsid w:val="0095248D"/>
    <w:rsid w:val="00952F31"/>
    <w:rsid w:val="00953395"/>
    <w:rsid w:val="009533BD"/>
    <w:rsid w:val="009536FB"/>
    <w:rsid w:val="00953808"/>
    <w:rsid w:val="009539A6"/>
    <w:rsid w:val="00953E4A"/>
    <w:rsid w:val="00954032"/>
    <w:rsid w:val="00954431"/>
    <w:rsid w:val="00954537"/>
    <w:rsid w:val="0095472D"/>
    <w:rsid w:val="0095520D"/>
    <w:rsid w:val="00955342"/>
    <w:rsid w:val="00955A38"/>
    <w:rsid w:val="00955BE5"/>
    <w:rsid w:val="00955FBB"/>
    <w:rsid w:val="0095694B"/>
    <w:rsid w:val="009569BC"/>
    <w:rsid w:val="00956BD5"/>
    <w:rsid w:val="00956D35"/>
    <w:rsid w:val="00956D84"/>
    <w:rsid w:val="009577B5"/>
    <w:rsid w:val="00957BC4"/>
    <w:rsid w:val="00957EBD"/>
    <w:rsid w:val="0096044F"/>
    <w:rsid w:val="00960686"/>
    <w:rsid w:val="009608E6"/>
    <w:rsid w:val="009609E7"/>
    <w:rsid w:val="00960CA3"/>
    <w:rsid w:val="00960E2E"/>
    <w:rsid w:val="00960F57"/>
    <w:rsid w:val="00961467"/>
    <w:rsid w:val="00961C90"/>
    <w:rsid w:val="00961DA8"/>
    <w:rsid w:val="00962293"/>
    <w:rsid w:val="00962815"/>
    <w:rsid w:val="00962A00"/>
    <w:rsid w:val="00962BE9"/>
    <w:rsid w:val="00962E38"/>
    <w:rsid w:val="00963243"/>
    <w:rsid w:val="009637D8"/>
    <w:rsid w:val="009647FC"/>
    <w:rsid w:val="00964F50"/>
    <w:rsid w:val="00965443"/>
    <w:rsid w:val="00965954"/>
    <w:rsid w:val="00965A21"/>
    <w:rsid w:val="00965E55"/>
    <w:rsid w:val="0096608E"/>
    <w:rsid w:val="0096649D"/>
    <w:rsid w:val="00966522"/>
    <w:rsid w:val="009669D9"/>
    <w:rsid w:val="00966A69"/>
    <w:rsid w:val="00966C33"/>
    <w:rsid w:val="00966C3A"/>
    <w:rsid w:val="009670DB"/>
    <w:rsid w:val="0096716D"/>
    <w:rsid w:val="0096730D"/>
    <w:rsid w:val="00967CB6"/>
    <w:rsid w:val="00970BF5"/>
    <w:rsid w:val="00970C3C"/>
    <w:rsid w:val="00970CA1"/>
    <w:rsid w:val="00970F18"/>
    <w:rsid w:val="00971058"/>
    <w:rsid w:val="009717C2"/>
    <w:rsid w:val="00971836"/>
    <w:rsid w:val="00971C76"/>
    <w:rsid w:val="00971CF1"/>
    <w:rsid w:val="00971ED2"/>
    <w:rsid w:val="00971F5D"/>
    <w:rsid w:val="009721E9"/>
    <w:rsid w:val="00972387"/>
    <w:rsid w:val="00972759"/>
    <w:rsid w:val="00972F5D"/>
    <w:rsid w:val="0097333F"/>
    <w:rsid w:val="00973772"/>
    <w:rsid w:val="00973E0C"/>
    <w:rsid w:val="00974487"/>
    <w:rsid w:val="00974E27"/>
    <w:rsid w:val="00975500"/>
    <w:rsid w:val="00975566"/>
    <w:rsid w:val="0097560A"/>
    <w:rsid w:val="0097568D"/>
    <w:rsid w:val="00975C45"/>
    <w:rsid w:val="00975E05"/>
    <w:rsid w:val="00975E1E"/>
    <w:rsid w:val="00975E70"/>
    <w:rsid w:val="009761DE"/>
    <w:rsid w:val="00976220"/>
    <w:rsid w:val="0097643F"/>
    <w:rsid w:val="009766FA"/>
    <w:rsid w:val="00976955"/>
    <w:rsid w:val="009770C4"/>
    <w:rsid w:val="00977974"/>
    <w:rsid w:val="00977CD6"/>
    <w:rsid w:val="009803FE"/>
    <w:rsid w:val="0098048B"/>
    <w:rsid w:val="00980908"/>
    <w:rsid w:val="00980DF9"/>
    <w:rsid w:val="00980F8E"/>
    <w:rsid w:val="009811D7"/>
    <w:rsid w:val="009815BD"/>
    <w:rsid w:val="00981CD8"/>
    <w:rsid w:val="0098243D"/>
    <w:rsid w:val="00982D26"/>
    <w:rsid w:val="00982ED1"/>
    <w:rsid w:val="00983004"/>
    <w:rsid w:val="00983072"/>
    <w:rsid w:val="00983B6E"/>
    <w:rsid w:val="00983C0D"/>
    <w:rsid w:val="00983FE5"/>
    <w:rsid w:val="00984104"/>
    <w:rsid w:val="009849E9"/>
    <w:rsid w:val="00984AFF"/>
    <w:rsid w:val="00984F72"/>
    <w:rsid w:val="00984FD1"/>
    <w:rsid w:val="009859E4"/>
    <w:rsid w:val="00985D7F"/>
    <w:rsid w:val="009866C9"/>
    <w:rsid w:val="00986D5D"/>
    <w:rsid w:val="0098701C"/>
    <w:rsid w:val="00987812"/>
    <w:rsid w:val="00987AFA"/>
    <w:rsid w:val="00990225"/>
    <w:rsid w:val="00990652"/>
    <w:rsid w:val="00990B75"/>
    <w:rsid w:val="00990D8C"/>
    <w:rsid w:val="00990E9F"/>
    <w:rsid w:val="0099122C"/>
    <w:rsid w:val="00991307"/>
    <w:rsid w:val="00991F9B"/>
    <w:rsid w:val="00991FAA"/>
    <w:rsid w:val="0099212B"/>
    <w:rsid w:val="0099260B"/>
    <w:rsid w:val="00992A13"/>
    <w:rsid w:val="00992E93"/>
    <w:rsid w:val="009931F9"/>
    <w:rsid w:val="00993295"/>
    <w:rsid w:val="00993788"/>
    <w:rsid w:val="00993DA0"/>
    <w:rsid w:val="009940FA"/>
    <w:rsid w:val="00994290"/>
    <w:rsid w:val="00994583"/>
    <w:rsid w:val="00994AAD"/>
    <w:rsid w:val="00994B27"/>
    <w:rsid w:val="00994F4F"/>
    <w:rsid w:val="00994F7B"/>
    <w:rsid w:val="00995150"/>
    <w:rsid w:val="00995481"/>
    <w:rsid w:val="00995CE6"/>
    <w:rsid w:val="00995D67"/>
    <w:rsid w:val="0099652E"/>
    <w:rsid w:val="0099739C"/>
    <w:rsid w:val="009973E7"/>
    <w:rsid w:val="00997613"/>
    <w:rsid w:val="00997828"/>
    <w:rsid w:val="0099787E"/>
    <w:rsid w:val="009A013B"/>
    <w:rsid w:val="009A02F4"/>
    <w:rsid w:val="009A0503"/>
    <w:rsid w:val="009A0513"/>
    <w:rsid w:val="009A06BF"/>
    <w:rsid w:val="009A0AC1"/>
    <w:rsid w:val="009A0D17"/>
    <w:rsid w:val="009A0ED5"/>
    <w:rsid w:val="009A1679"/>
    <w:rsid w:val="009A181D"/>
    <w:rsid w:val="009A1838"/>
    <w:rsid w:val="009A20DD"/>
    <w:rsid w:val="009A21C0"/>
    <w:rsid w:val="009A2494"/>
    <w:rsid w:val="009A2761"/>
    <w:rsid w:val="009A32B1"/>
    <w:rsid w:val="009A33A3"/>
    <w:rsid w:val="009A36F2"/>
    <w:rsid w:val="009A39EE"/>
    <w:rsid w:val="009A3BE4"/>
    <w:rsid w:val="009A40C3"/>
    <w:rsid w:val="009A40D5"/>
    <w:rsid w:val="009A49E7"/>
    <w:rsid w:val="009A5268"/>
    <w:rsid w:val="009A57D0"/>
    <w:rsid w:val="009A5914"/>
    <w:rsid w:val="009A64AE"/>
    <w:rsid w:val="009A6559"/>
    <w:rsid w:val="009A68FC"/>
    <w:rsid w:val="009A69C2"/>
    <w:rsid w:val="009A6B57"/>
    <w:rsid w:val="009A6CE4"/>
    <w:rsid w:val="009A6E3D"/>
    <w:rsid w:val="009A73D6"/>
    <w:rsid w:val="009A7428"/>
    <w:rsid w:val="009A7514"/>
    <w:rsid w:val="009A784B"/>
    <w:rsid w:val="009A7E7A"/>
    <w:rsid w:val="009B047C"/>
    <w:rsid w:val="009B0740"/>
    <w:rsid w:val="009B0925"/>
    <w:rsid w:val="009B109A"/>
    <w:rsid w:val="009B1584"/>
    <w:rsid w:val="009B18F0"/>
    <w:rsid w:val="009B1F4C"/>
    <w:rsid w:val="009B2257"/>
    <w:rsid w:val="009B22FE"/>
    <w:rsid w:val="009B2471"/>
    <w:rsid w:val="009B248A"/>
    <w:rsid w:val="009B314F"/>
    <w:rsid w:val="009B3347"/>
    <w:rsid w:val="009B3D6A"/>
    <w:rsid w:val="009B42C3"/>
    <w:rsid w:val="009B439C"/>
    <w:rsid w:val="009B49A1"/>
    <w:rsid w:val="009B4A6C"/>
    <w:rsid w:val="009B4B6B"/>
    <w:rsid w:val="009B4DA8"/>
    <w:rsid w:val="009B519A"/>
    <w:rsid w:val="009B54BE"/>
    <w:rsid w:val="009B5CE2"/>
    <w:rsid w:val="009B620C"/>
    <w:rsid w:val="009B64BC"/>
    <w:rsid w:val="009B6753"/>
    <w:rsid w:val="009B676C"/>
    <w:rsid w:val="009B68F6"/>
    <w:rsid w:val="009B6928"/>
    <w:rsid w:val="009B6A26"/>
    <w:rsid w:val="009B77AF"/>
    <w:rsid w:val="009C079D"/>
    <w:rsid w:val="009C0ADC"/>
    <w:rsid w:val="009C0D70"/>
    <w:rsid w:val="009C0F43"/>
    <w:rsid w:val="009C13D1"/>
    <w:rsid w:val="009C144A"/>
    <w:rsid w:val="009C1532"/>
    <w:rsid w:val="009C1640"/>
    <w:rsid w:val="009C17F8"/>
    <w:rsid w:val="009C1A8A"/>
    <w:rsid w:val="009C2108"/>
    <w:rsid w:val="009C2677"/>
    <w:rsid w:val="009C2913"/>
    <w:rsid w:val="009C2BD4"/>
    <w:rsid w:val="009C361B"/>
    <w:rsid w:val="009C3E3F"/>
    <w:rsid w:val="009C3EC1"/>
    <w:rsid w:val="009C4481"/>
    <w:rsid w:val="009C4F81"/>
    <w:rsid w:val="009C567E"/>
    <w:rsid w:val="009C583C"/>
    <w:rsid w:val="009C5AFE"/>
    <w:rsid w:val="009C6606"/>
    <w:rsid w:val="009C6CE5"/>
    <w:rsid w:val="009C6D50"/>
    <w:rsid w:val="009C6FAE"/>
    <w:rsid w:val="009C72B2"/>
    <w:rsid w:val="009C751B"/>
    <w:rsid w:val="009C7547"/>
    <w:rsid w:val="009C7D49"/>
    <w:rsid w:val="009D05EC"/>
    <w:rsid w:val="009D0DB8"/>
    <w:rsid w:val="009D18D4"/>
    <w:rsid w:val="009D19D6"/>
    <w:rsid w:val="009D1F21"/>
    <w:rsid w:val="009D1FCF"/>
    <w:rsid w:val="009D2041"/>
    <w:rsid w:val="009D29F9"/>
    <w:rsid w:val="009D2BC3"/>
    <w:rsid w:val="009D2E89"/>
    <w:rsid w:val="009D2F60"/>
    <w:rsid w:val="009D323F"/>
    <w:rsid w:val="009D33FE"/>
    <w:rsid w:val="009D351A"/>
    <w:rsid w:val="009D37C3"/>
    <w:rsid w:val="009D3841"/>
    <w:rsid w:val="009D3A2E"/>
    <w:rsid w:val="009D3E9B"/>
    <w:rsid w:val="009D4C3F"/>
    <w:rsid w:val="009D51AE"/>
    <w:rsid w:val="009D5ADE"/>
    <w:rsid w:val="009D5BAC"/>
    <w:rsid w:val="009D5C56"/>
    <w:rsid w:val="009D6265"/>
    <w:rsid w:val="009D6329"/>
    <w:rsid w:val="009D64BD"/>
    <w:rsid w:val="009D64E4"/>
    <w:rsid w:val="009D685F"/>
    <w:rsid w:val="009D68D8"/>
    <w:rsid w:val="009D6BF7"/>
    <w:rsid w:val="009D6CB1"/>
    <w:rsid w:val="009D73F2"/>
    <w:rsid w:val="009D77F6"/>
    <w:rsid w:val="009D7838"/>
    <w:rsid w:val="009D79E6"/>
    <w:rsid w:val="009E0286"/>
    <w:rsid w:val="009E038A"/>
    <w:rsid w:val="009E07BF"/>
    <w:rsid w:val="009E153F"/>
    <w:rsid w:val="009E1831"/>
    <w:rsid w:val="009E18C5"/>
    <w:rsid w:val="009E1A3B"/>
    <w:rsid w:val="009E1CBC"/>
    <w:rsid w:val="009E1DC4"/>
    <w:rsid w:val="009E26AD"/>
    <w:rsid w:val="009E2803"/>
    <w:rsid w:val="009E322A"/>
    <w:rsid w:val="009E34AD"/>
    <w:rsid w:val="009E36EC"/>
    <w:rsid w:val="009E37AC"/>
    <w:rsid w:val="009E393E"/>
    <w:rsid w:val="009E3C7F"/>
    <w:rsid w:val="009E3DFB"/>
    <w:rsid w:val="009E444E"/>
    <w:rsid w:val="009E45E8"/>
    <w:rsid w:val="009E4968"/>
    <w:rsid w:val="009E4D70"/>
    <w:rsid w:val="009E5A86"/>
    <w:rsid w:val="009E5AA9"/>
    <w:rsid w:val="009E5AEC"/>
    <w:rsid w:val="009E5D8F"/>
    <w:rsid w:val="009E5F9C"/>
    <w:rsid w:val="009E622F"/>
    <w:rsid w:val="009E663C"/>
    <w:rsid w:val="009E684A"/>
    <w:rsid w:val="009E6BB1"/>
    <w:rsid w:val="009E6D07"/>
    <w:rsid w:val="009E6D0D"/>
    <w:rsid w:val="009E6E14"/>
    <w:rsid w:val="009E73A4"/>
    <w:rsid w:val="009E775A"/>
    <w:rsid w:val="009E794A"/>
    <w:rsid w:val="009E7B6B"/>
    <w:rsid w:val="009E7C14"/>
    <w:rsid w:val="009F0231"/>
    <w:rsid w:val="009F0494"/>
    <w:rsid w:val="009F0CD9"/>
    <w:rsid w:val="009F0DFF"/>
    <w:rsid w:val="009F1710"/>
    <w:rsid w:val="009F1A79"/>
    <w:rsid w:val="009F1F02"/>
    <w:rsid w:val="009F1F57"/>
    <w:rsid w:val="009F21AA"/>
    <w:rsid w:val="009F23A9"/>
    <w:rsid w:val="009F2D0D"/>
    <w:rsid w:val="009F2DDD"/>
    <w:rsid w:val="009F3075"/>
    <w:rsid w:val="009F321D"/>
    <w:rsid w:val="009F3447"/>
    <w:rsid w:val="009F36FD"/>
    <w:rsid w:val="009F3A78"/>
    <w:rsid w:val="009F4D84"/>
    <w:rsid w:val="009F4EF7"/>
    <w:rsid w:val="009F526E"/>
    <w:rsid w:val="009F53E5"/>
    <w:rsid w:val="009F58D0"/>
    <w:rsid w:val="009F63E2"/>
    <w:rsid w:val="009F657D"/>
    <w:rsid w:val="009F65F4"/>
    <w:rsid w:val="009F676B"/>
    <w:rsid w:val="009F67FB"/>
    <w:rsid w:val="009F6895"/>
    <w:rsid w:val="009F6D2D"/>
    <w:rsid w:val="009F6D54"/>
    <w:rsid w:val="009F7716"/>
    <w:rsid w:val="009F7CFD"/>
    <w:rsid w:val="009F7F94"/>
    <w:rsid w:val="00A00086"/>
    <w:rsid w:val="00A00490"/>
    <w:rsid w:val="00A004DF"/>
    <w:rsid w:val="00A005FA"/>
    <w:rsid w:val="00A00FD5"/>
    <w:rsid w:val="00A012C0"/>
    <w:rsid w:val="00A019A8"/>
    <w:rsid w:val="00A01A4A"/>
    <w:rsid w:val="00A01AA9"/>
    <w:rsid w:val="00A01B03"/>
    <w:rsid w:val="00A01B89"/>
    <w:rsid w:val="00A024A8"/>
    <w:rsid w:val="00A028F4"/>
    <w:rsid w:val="00A029F2"/>
    <w:rsid w:val="00A02C66"/>
    <w:rsid w:val="00A02C84"/>
    <w:rsid w:val="00A0464C"/>
    <w:rsid w:val="00A048D1"/>
    <w:rsid w:val="00A050BB"/>
    <w:rsid w:val="00A0520A"/>
    <w:rsid w:val="00A0521B"/>
    <w:rsid w:val="00A05492"/>
    <w:rsid w:val="00A054AE"/>
    <w:rsid w:val="00A054E0"/>
    <w:rsid w:val="00A05D91"/>
    <w:rsid w:val="00A05DE6"/>
    <w:rsid w:val="00A06A0F"/>
    <w:rsid w:val="00A06B52"/>
    <w:rsid w:val="00A0740B"/>
    <w:rsid w:val="00A07ED3"/>
    <w:rsid w:val="00A1069F"/>
    <w:rsid w:val="00A107DA"/>
    <w:rsid w:val="00A1097C"/>
    <w:rsid w:val="00A10B2C"/>
    <w:rsid w:val="00A10CA8"/>
    <w:rsid w:val="00A11042"/>
    <w:rsid w:val="00A11C38"/>
    <w:rsid w:val="00A11C45"/>
    <w:rsid w:val="00A1245C"/>
    <w:rsid w:val="00A12579"/>
    <w:rsid w:val="00A12CDC"/>
    <w:rsid w:val="00A12F38"/>
    <w:rsid w:val="00A133D8"/>
    <w:rsid w:val="00A13595"/>
    <w:rsid w:val="00A1362D"/>
    <w:rsid w:val="00A1382E"/>
    <w:rsid w:val="00A13B28"/>
    <w:rsid w:val="00A1516F"/>
    <w:rsid w:val="00A15573"/>
    <w:rsid w:val="00A15655"/>
    <w:rsid w:val="00A15B00"/>
    <w:rsid w:val="00A15EBE"/>
    <w:rsid w:val="00A15F18"/>
    <w:rsid w:val="00A160A7"/>
    <w:rsid w:val="00A160B0"/>
    <w:rsid w:val="00A16576"/>
    <w:rsid w:val="00A16F7A"/>
    <w:rsid w:val="00A1740C"/>
    <w:rsid w:val="00A17904"/>
    <w:rsid w:val="00A17BA8"/>
    <w:rsid w:val="00A20069"/>
    <w:rsid w:val="00A20C87"/>
    <w:rsid w:val="00A2130F"/>
    <w:rsid w:val="00A21816"/>
    <w:rsid w:val="00A22133"/>
    <w:rsid w:val="00A22225"/>
    <w:rsid w:val="00A2244D"/>
    <w:rsid w:val="00A2253D"/>
    <w:rsid w:val="00A2267F"/>
    <w:rsid w:val="00A22693"/>
    <w:rsid w:val="00A22CDB"/>
    <w:rsid w:val="00A23A3B"/>
    <w:rsid w:val="00A23F53"/>
    <w:rsid w:val="00A247B8"/>
    <w:rsid w:val="00A2495A"/>
    <w:rsid w:val="00A249C9"/>
    <w:rsid w:val="00A24C7A"/>
    <w:rsid w:val="00A24D8F"/>
    <w:rsid w:val="00A250F9"/>
    <w:rsid w:val="00A2518D"/>
    <w:rsid w:val="00A25B8B"/>
    <w:rsid w:val="00A26763"/>
    <w:rsid w:val="00A2689F"/>
    <w:rsid w:val="00A26C54"/>
    <w:rsid w:val="00A26D52"/>
    <w:rsid w:val="00A26ECA"/>
    <w:rsid w:val="00A26FE6"/>
    <w:rsid w:val="00A27461"/>
    <w:rsid w:val="00A27789"/>
    <w:rsid w:val="00A27B73"/>
    <w:rsid w:val="00A27D67"/>
    <w:rsid w:val="00A30ABC"/>
    <w:rsid w:val="00A30F66"/>
    <w:rsid w:val="00A329F9"/>
    <w:rsid w:val="00A32AFD"/>
    <w:rsid w:val="00A33628"/>
    <w:rsid w:val="00A338FB"/>
    <w:rsid w:val="00A33B74"/>
    <w:rsid w:val="00A343B5"/>
    <w:rsid w:val="00A3467F"/>
    <w:rsid w:val="00A347E9"/>
    <w:rsid w:val="00A34B4C"/>
    <w:rsid w:val="00A35030"/>
    <w:rsid w:val="00A35366"/>
    <w:rsid w:val="00A3551A"/>
    <w:rsid w:val="00A357E9"/>
    <w:rsid w:val="00A35ACF"/>
    <w:rsid w:val="00A35BF9"/>
    <w:rsid w:val="00A366A0"/>
    <w:rsid w:val="00A366F7"/>
    <w:rsid w:val="00A369EA"/>
    <w:rsid w:val="00A36C6A"/>
    <w:rsid w:val="00A36DE5"/>
    <w:rsid w:val="00A37209"/>
    <w:rsid w:val="00A37260"/>
    <w:rsid w:val="00A37510"/>
    <w:rsid w:val="00A37584"/>
    <w:rsid w:val="00A3768B"/>
    <w:rsid w:val="00A376E8"/>
    <w:rsid w:val="00A37F8E"/>
    <w:rsid w:val="00A40391"/>
    <w:rsid w:val="00A414B1"/>
    <w:rsid w:val="00A414F5"/>
    <w:rsid w:val="00A41537"/>
    <w:rsid w:val="00A41737"/>
    <w:rsid w:val="00A41D3B"/>
    <w:rsid w:val="00A41ED2"/>
    <w:rsid w:val="00A42373"/>
    <w:rsid w:val="00A424C0"/>
    <w:rsid w:val="00A42B8F"/>
    <w:rsid w:val="00A42D8E"/>
    <w:rsid w:val="00A43254"/>
    <w:rsid w:val="00A433FE"/>
    <w:rsid w:val="00A43896"/>
    <w:rsid w:val="00A43951"/>
    <w:rsid w:val="00A43A26"/>
    <w:rsid w:val="00A43B88"/>
    <w:rsid w:val="00A43D20"/>
    <w:rsid w:val="00A44015"/>
    <w:rsid w:val="00A44380"/>
    <w:rsid w:val="00A44799"/>
    <w:rsid w:val="00A447A0"/>
    <w:rsid w:val="00A44815"/>
    <w:rsid w:val="00A459F5"/>
    <w:rsid w:val="00A45A1B"/>
    <w:rsid w:val="00A45FC0"/>
    <w:rsid w:val="00A4696F"/>
    <w:rsid w:val="00A46B74"/>
    <w:rsid w:val="00A46D5D"/>
    <w:rsid w:val="00A46F73"/>
    <w:rsid w:val="00A47B96"/>
    <w:rsid w:val="00A47BF7"/>
    <w:rsid w:val="00A47ECC"/>
    <w:rsid w:val="00A50171"/>
    <w:rsid w:val="00A5042B"/>
    <w:rsid w:val="00A504FA"/>
    <w:rsid w:val="00A508D3"/>
    <w:rsid w:val="00A50E2C"/>
    <w:rsid w:val="00A50E85"/>
    <w:rsid w:val="00A5102E"/>
    <w:rsid w:val="00A51051"/>
    <w:rsid w:val="00A5118D"/>
    <w:rsid w:val="00A512D9"/>
    <w:rsid w:val="00A5132E"/>
    <w:rsid w:val="00A51375"/>
    <w:rsid w:val="00A51533"/>
    <w:rsid w:val="00A517E0"/>
    <w:rsid w:val="00A51DCB"/>
    <w:rsid w:val="00A531D4"/>
    <w:rsid w:val="00A53819"/>
    <w:rsid w:val="00A539F6"/>
    <w:rsid w:val="00A53AB6"/>
    <w:rsid w:val="00A53EC9"/>
    <w:rsid w:val="00A54572"/>
    <w:rsid w:val="00A54581"/>
    <w:rsid w:val="00A54674"/>
    <w:rsid w:val="00A54CC8"/>
    <w:rsid w:val="00A558C9"/>
    <w:rsid w:val="00A56642"/>
    <w:rsid w:val="00A56659"/>
    <w:rsid w:val="00A56F04"/>
    <w:rsid w:val="00A575B8"/>
    <w:rsid w:val="00A57B85"/>
    <w:rsid w:val="00A57BAE"/>
    <w:rsid w:val="00A57CCD"/>
    <w:rsid w:val="00A610D7"/>
    <w:rsid w:val="00A619BB"/>
    <w:rsid w:val="00A61C60"/>
    <w:rsid w:val="00A61ECB"/>
    <w:rsid w:val="00A61FFB"/>
    <w:rsid w:val="00A630BA"/>
    <w:rsid w:val="00A63E2C"/>
    <w:rsid w:val="00A6410C"/>
    <w:rsid w:val="00A64546"/>
    <w:rsid w:val="00A647B1"/>
    <w:rsid w:val="00A64DEF"/>
    <w:rsid w:val="00A64F78"/>
    <w:rsid w:val="00A654D2"/>
    <w:rsid w:val="00A65B70"/>
    <w:rsid w:val="00A665DF"/>
    <w:rsid w:val="00A666C0"/>
    <w:rsid w:val="00A666E1"/>
    <w:rsid w:val="00A670DD"/>
    <w:rsid w:val="00A6737B"/>
    <w:rsid w:val="00A67FCC"/>
    <w:rsid w:val="00A70AA5"/>
    <w:rsid w:val="00A70C03"/>
    <w:rsid w:val="00A7100A"/>
    <w:rsid w:val="00A71256"/>
    <w:rsid w:val="00A71543"/>
    <w:rsid w:val="00A7217B"/>
    <w:rsid w:val="00A722D7"/>
    <w:rsid w:val="00A723A3"/>
    <w:rsid w:val="00A72623"/>
    <w:rsid w:val="00A72CA1"/>
    <w:rsid w:val="00A72F6A"/>
    <w:rsid w:val="00A73242"/>
    <w:rsid w:val="00A73861"/>
    <w:rsid w:val="00A739A6"/>
    <w:rsid w:val="00A73C5D"/>
    <w:rsid w:val="00A73D3D"/>
    <w:rsid w:val="00A73DF8"/>
    <w:rsid w:val="00A740ED"/>
    <w:rsid w:val="00A749ED"/>
    <w:rsid w:val="00A74C0B"/>
    <w:rsid w:val="00A74C29"/>
    <w:rsid w:val="00A74C4B"/>
    <w:rsid w:val="00A74C62"/>
    <w:rsid w:val="00A75B31"/>
    <w:rsid w:val="00A75EF9"/>
    <w:rsid w:val="00A7611B"/>
    <w:rsid w:val="00A7657C"/>
    <w:rsid w:val="00A7690E"/>
    <w:rsid w:val="00A770E9"/>
    <w:rsid w:val="00A7725F"/>
    <w:rsid w:val="00A77557"/>
    <w:rsid w:val="00A778ED"/>
    <w:rsid w:val="00A77CAF"/>
    <w:rsid w:val="00A800C4"/>
    <w:rsid w:val="00A80791"/>
    <w:rsid w:val="00A80AAD"/>
    <w:rsid w:val="00A8116C"/>
    <w:rsid w:val="00A817BC"/>
    <w:rsid w:val="00A81A80"/>
    <w:rsid w:val="00A82C1F"/>
    <w:rsid w:val="00A8311C"/>
    <w:rsid w:val="00A8329C"/>
    <w:rsid w:val="00A832B7"/>
    <w:rsid w:val="00A835A6"/>
    <w:rsid w:val="00A835D0"/>
    <w:rsid w:val="00A83904"/>
    <w:rsid w:val="00A83D0F"/>
    <w:rsid w:val="00A84150"/>
    <w:rsid w:val="00A8437E"/>
    <w:rsid w:val="00A847BA"/>
    <w:rsid w:val="00A84875"/>
    <w:rsid w:val="00A84C5F"/>
    <w:rsid w:val="00A84F05"/>
    <w:rsid w:val="00A85650"/>
    <w:rsid w:val="00A85879"/>
    <w:rsid w:val="00A85930"/>
    <w:rsid w:val="00A85B4F"/>
    <w:rsid w:val="00A85C16"/>
    <w:rsid w:val="00A863F7"/>
    <w:rsid w:val="00A86604"/>
    <w:rsid w:val="00A86659"/>
    <w:rsid w:val="00A86D28"/>
    <w:rsid w:val="00A86E49"/>
    <w:rsid w:val="00A86E8F"/>
    <w:rsid w:val="00A87519"/>
    <w:rsid w:val="00A875A5"/>
    <w:rsid w:val="00A87C9B"/>
    <w:rsid w:val="00A87E9A"/>
    <w:rsid w:val="00A87EE8"/>
    <w:rsid w:val="00A90681"/>
    <w:rsid w:val="00A9089F"/>
    <w:rsid w:val="00A91970"/>
    <w:rsid w:val="00A91FAF"/>
    <w:rsid w:val="00A92458"/>
    <w:rsid w:val="00A9246D"/>
    <w:rsid w:val="00A92CCA"/>
    <w:rsid w:val="00A92D20"/>
    <w:rsid w:val="00A93BD0"/>
    <w:rsid w:val="00A93CC2"/>
    <w:rsid w:val="00A93E40"/>
    <w:rsid w:val="00A93FE6"/>
    <w:rsid w:val="00A94D4B"/>
    <w:rsid w:val="00A952E6"/>
    <w:rsid w:val="00A956F2"/>
    <w:rsid w:val="00A956F5"/>
    <w:rsid w:val="00A95D17"/>
    <w:rsid w:val="00A95E2C"/>
    <w:rsid w:val="00A9651E"/>
    <w:rsid w:val="00A9665A"/>
    <w:rsid w:val="00A96A41"/>
    <w:rsid w:val="00A974CC"/>
    <w:rsid w:val="00A9753D"/>
    <w:rsid w:val="00A979C8"/>
    <w:rsid w:val="00A97BAE"/>
    <w:rsid w:val="00AA0118"/>
    <w:rsid w:val="00AA01AB"/>
    <w:rsid w:val="00AA0EEA"/>
    <w:rsid w:val="00AA114C"/>
    <w:rsid w:val="00AA123D"/>
    <w:rsid w:val="00AA12A2"/>
    <w:rsid w:val="00AA1590"/>
    <w:rsid w:val="00AA2001"/>
    <w:rsid w:val="00AA2306"/>
    <w:rsid w:val="00AA241C"/>
    <w:rsid w:val="00AA261A"/>
    <w:rsid w:val="00AA266D"/>
    <w:rsid w:val="00AA2B5C"/>
    <w:rsid w:val="00AA2E66"/>
    <w:rsid w:val="00AA3250"/>
    <w:rsid w:val="00AA32D2"/>
    <w:rsid w:val="00AA3B8B"/>
    <w:rsid w:val="00AA4016"/>
    <w:rsid w:val="00AA4339"/>
    <w:rsid w:val="00AA4515"/>
    <w:rsid w:val="00AA4C1F"/>
    <w:rsid w:val="00AA4DD7"/>
    <w:rsid w:val="00AA4F39"/>
    <w:rsid w:val="00AA5328"/>
    <w:rsid w:val="00AA5393"/>
    <w:rsid w:val="00AA556D"/>
    <w:rsid w:val="00AA5CA5"/>
    <w:rsid w:val="00AA63D4"/>
    <w:rsid w:val="00AA662F"/>
    <w:rsid w:val="00AA70D7"/>
    <w:rsid w:val="00AA717C"/>
    <w:rsid w:val="00AA7E7D"/>
    <w:rsid w:val="00AA7EFA"/>
    <w:rsid w:val="00AB03FD"/>
    <w:rsid w:val="00AB0BAC"/>
    <w:rsid w:val="00AB0E3F"/>
    <w:rsid w:val="00AB11E1"/>
    <w:rsid w:val="00AB1210"/>
    <w:rsid w:val="00AB129B"/>
    <w:rsid w:val="00AB1F9C"/>
    <w:rsid w:val="00AB2000"/>
    <w:rsid w:val="00AB21F2"/>
    <w:rsid w:val="00AB285C"/>
    <w:rsid w:val="00AB2AF6"/>
    <w:rsid w:val="00AB2D6F"/>
    <w:rsid w:val="00AB3689"/>
    <w:rsid w:val="00AB36CB"/>
    <w:rsid w:val="00AB38CB"/>
    <w:rsid w:val="00AB3A64"/>
    <w:rsid w:val="00AB3BEC"/>
    <w:rsid w:val="00AB3D64"/>
    <w:rsid w:val="00AB40C9"/>
    <w:rsid w:val="00AB443C"/>
    <w:rsid w:val="00AB44E4"/>
    <w:rsid w:val="00AB4AEB"/>
    <w:rsid w:val="00AB4E5F"/>
    <w:rsid w:val="00AB5352"/>
    <w:rsid w:val="00AB56AE"/>
    <w:rsid w:val="00AB5DAB"/>
    <w:rsid w:val="00AB6092"/>
    <w:rsid w:val="00AB62D5"/>
    <w:rsid w:val="00AB639B"/>
    <w:rsid w:val="00AB65B5"/>
    <w:rsid w:val="00AB6883"/>
    <w:rsid w:val="00AB6DCD"/>
    <w:rsid w:val="00AB6E61"/>
    <w:rsid w:val="00AB6EE0"/>
    <w:rsid w:val="00AB6F78"/>
    <w:rsid w:val="00AB7FD8"/>
    <w:rsid w:val="00AC073C"/>
    <w:rsid w:val="00AC10C9"/>
    <w:rsid w:val="00AC11C2"/>
    <w:rsid w:val="00AC17A2"/>
    <w:rsid w:val="00AC1BDA"/>
    <w:rsid w:val="00AC2325"/>
    <w:rsid w:val="00AC23AC"/>
    <w:rsid w:val="00AC2C07"/>
    <w:rsid w:val="00AC2D65"/>
    <w:rsid w:val="00AC3235"/>
    <w:rsid w:val="00AC3313"/>
    <w:rsid w:val="00AC33FF"/>
    <w:rsid w:val="00AC356C"/>
    <w:rsid w:val="00AC3A8D"/>
    <w:rsid w:val="00AC3CA4"/>
    <w:rsid w:val="00AC40B7"/>
    <w:rsid w:val="00AC4455"/>
    <w:rsid w:val="00AC4BC3"/>
    <w:rsid w:val="00AC4FFE"/>
    <w:rsid w:val="00AC531F"/>
    <w:rsid w:val="00AC5366"/>
    <w:rsid w:val="00AC5B36"/>
    <w:rsid w:val="00AC5C1B"/>
    <w:rsid w:val="00AC6377"/>
    <w:rsid w:val="00AC66A4"/>
    <w:rsid w:val="00AC689B"/>
    <w:rsid w:val="00AC6CB1"/>
    <w:rsid w:val="00AC75E9"/>
    <w:rsid w:val="00AC7A2F"/>
    <w:rsid w:val="00AC7D6D"/>
    <w:rsid w:val="00AC7FCE"/>
    <w:rsid w:val="00AD0091"/>
    <w:rsid w:val="00AD0F8D"/>
    <w:rsid w:val="00AD15EC"/>
    <w:rsid w:val="00AD1D72"/>
    <w:rsid w:val="00AD1E02"/>
    <w:rsid w:val="00AD234A"/>
    <w:rsid w:val="00AD23EF"/>
    <w:rsid w:val="00AD259B"/>
    <w:rsid w:val="00AD2605"/>
    <w:rsid w:val="00AD2662"/>
    <w:rsid w:val="00AD26F3"/>
    <w:rsid w:val="00AD2A19"/>
    <w:rsid w:val="00AD302C"/>
    <w:rsid w:val="00AD307B"/>
    <w:rsid w:val="00AD3178"/>
    <w:rsid w:val="00AD3257"/>
    <w:rsid w:val="00AD341A"/>
    <w:rsid w:val="00AD3B86"/>
    <w:rsid w:val="00AD4014"/>
    <w:rsid w:val="00AD41B3"/>
    <w:rsid w:val="00AD43C0"/>
    <w:rsid w:val="00AD440A"/>
    <w:rsid w:val="00AD4F16"/>
    <w:rsid w:val="00AD5223"/>
    <w:rsid w:val="00AD55B2"/>
    <w:rsid w:val="00AD5721"/>
    <w:rsid w:val="00AD5A3C"/>
    <w:rsid w:val="00AD5AB6"/>
    <w:rsid w:val="00AD5B05"/>
    <w:rsid w:val="00AD5B33"/>
    <w:rsid w:val="00AD5E5E"/>
    <w:rsid w:val="00AD5F4A"/>
    <w:rsid w:val="00AD6551"/>
    <w:rsid w:val="00AD69C3"/>
    <w:rsid w:val="00AD69F0"/>
    <w:rsid w:val="00AD6BC9"/>
    <w:rsid w:val="00AD6D53"/>
    <w:rsid w:val="00AD7048"/>
    <w:rsid w:val="00AD70D4"/>
    <w:rsid w:val="00AD7127"/>
    <w:rsid w:val="00AD72B8"/>
    <w:rsid w:val="00AD730C"/>
    <w:rsid w:val="00AD7AA1"/>
    <w:rsid w:val="00AD7CD2"/>
    <w:rsid w:val="00AE05EA"/>
    <w:rsid w:val="00AE0642"/>
    <w:rsid w:val="00AE0D70"/>
    <w:rsid w:val="00AE123A"/>
    <w:rsid w:val="00AE12BC"/>
    <w:rsid w:val="00AE13F7"/>
    <w:rsid w:val="00AE1539"/>
    <w:rsid w:val="00AE2004"/>
    <w:rsid w:val="00AE28A7"/>
    <w:rsid w:val="00AE2A98"/>
    <w:rsid w:val="00AE2C93"/>
    <w:rsid w:val="00AE2CF2"/>
    <w:rsid w:val="00AE2E07"/>
    <w:rsid w:val="00AE3012"/>
    <w:rsid w:val="00AE3258"/>
    <w:rsid w:val="00AE3297"/>
    <w:rsid w:val="00AE33A6"/>
    <w:rsid w:val="00AE3513"/>
    <w:rsid w:val="00AE3729"/>
    <w:rsid w:val="00AE3D56"/>
    <w:rsid w:val="00AE4082"/>
    <w:rsid w:val="00AE4224"/>
    <w:rsid w:val="00AE4431"/>
    <w:rsid w:val="00AE4905"/>
    <w:rsid w:val="00AE4A3E"/>
    <w:rsid w:val="00AE4BDD"/>
    <w:rsid w:val="00AE4CCE"/>
    <w:rsid w:val="00AE5926"/>
    <w:rsid w:val="00AE5974"/>
    <w:rsid w:val="00AE5C6A"/>
    <w:rsid w:val="00AE67B0"/>
    <w:rsid w:val="00AE6A18"/>
    <w:rsid w:val="00AE6D99"/>
    <w:rsid w:val="00AE7280"/>
    <w:rsid w:val="00AF01FA"/>
    <w:rsid w:val="00AF033A"/>
    <w:rsid w:val="00AF0401"/>
    <w:rsid w:val="00AF04AD"/>
    <w:rsid w:val="00AF114A"/>
    <w:rsid w:val="00AF1658"/>
    <w:rsid w:val="00AF1699"/>
    <w:rsid w:val="00AF188E"/>
    <w:rsid w:val="00AF1FD3"/>
    <w:rsid w:val="00AF2774"/>
    <w:rsid w:val="00AF2910"/>
    <w:rsid w:val="00AF2D8E"/>
    <w:rsid w:val="00AF3100"/>
    <w:rsid w:val="00AF3434"/>
    <w:rsid w:val="00AF34B8"/>
    <w:rsid w:val="00AF378B"/>
    <w:rsid w:val="00AF3855"/>
    <w:rsid w:val="00AF3896"/>
    <w:rsid w:val="00AF39C9"/>
    <w:rsid w:val="00AF3B25"/>
    <w:rsid w:val="00AF3FBD"/>
    <w:rsid w:val="00AF3FC2"/>
    <w:rsid w:val="00AF4396"/>
    <w:rsid w:val="00AF4611"/>
    <w:rsid w:val="00AF4DEC"/>
    <w:rsid w:val="00AF5126"/>
    <w:rsid w:val="00AF5CCB"/>
    <w:rsid w:val="00AF613C"/>
    <w:rsid w:val="00AF626B"/>
    <w:rsid w:val="00AF6445"/>
    <w:rsid w:val="00AF6578"/>
    <w:rsid w:val="00AF744C"/>
    <w:rsid w:val="00AF7AF0"/>
    <w:rsid w:val="00AF7FA3"/>
    <w:rsid w:val="00B003FF"/>
    <w:rsid w:val="00B0098A"/>
    <w:rsid w:val="00B00A5F"/>
    <w:rsid w:val="00B01279"/>
    <w:rsid w:val="00B02111"/>
    <w:rsid w:val="00B029B8"/>
    <w:rsid w:val="00B029E8"/>
    <w:rsid w:val="00B02BF2"/>
    <w:rsid w:val="00B02F60"/>
    <w:rsid w:val="00B02F94"/>
    <w:rsid w:val="00B03158"/>
    <w:rsid w:val="00B03232"/>
    <w:rsid w:val="00B032B8"/>
    <w:rsid w:val="00B037E0"/>
    <w:rsid w:val="00B03DCD"/>
    <w:rsid w:val="00B04721"/>
    <w:rsid w:val="00B04B15"/>
    <w:rsid w:val="00B04B46"/>
    <w:rsid w:val="00B04E86"/>
    <w:rsid w:val="00B0534D"/>
    <w:rsid w:val="00B05685"/>
    <w:rsid w:val="00B05F9F"/>
    <w:rsid w:val="00B06368"/>
    <w:rsid w:val="00B068DA"/>
    <w:rsid w:val="00B06A00"/>
    <w:rsid w:val="00B06A5C"/>
    <w:rsid w:val="00B06FC6"/>
    <w:rsid w:val="00B07242"/>
    <w:rsid w:val="00B07267"/>
    <w:rsid w:val="00B074C9"/>
    <w:rsid w:val="00B07C8F"/>
    <w:rsid w:val="00B07D9D"/>
    <w:rsid w:val="00B100BE"/>
    <w:rsid w:val="00B10441"/>
    <w:rsid w:val="00B10645"/>
    <w:rsid w:val="00B1112F"/>
    <w:rsid w:val="00B11876"/>
    <w:rsid w:val="00B11AE5"/>
    <w:rsid w:val="00B12375"/>
    <w:rsid w:val="00B12FE6"/>
    <w:rsid w:val="00B1303F"/>
    <w:rsid w:val="00B132AA"/>
    <w:rsid w:val="00B1364A"/>
    <w:rsid w:val="00B13827"/>
    <w:rsid w:val="00B13859"/>
    <w:rsid w:val="00B13D0D"/>
    <w:rsid w:val="00B13EC9"/>
    <w:rsid w:val="00B14319"/>
    <w:rsid w:val="00B14A06"/>
    <w:rsid w:val="00B14B7E"/>
    <w:rsid w:val="00B14F60"/>
    <w:rsid w:val="00B158E1"/>
    <w:rsid w:val="00B15A43"/>
    <w:rsid w:val="00B15ED3"/>
    <w:rsid w:val="00B160CA"/>
    <w:rsid w:val="00B16521"/>
    <w:rsid w:val="00B166C0"/>
    <w:rsid w:val="00B16715"/>
    <w:rsid w:val="00B17160"/>
    <w:rsid w:val="00B171DD"/>
    <w:rsid w:val="00B1737B"/>
    <w:rsid w:val="00B1768E"/>
    <w:rsid w:val="00B17910"/>
    <w:rsid w:val="00B179EC"/>
    <w:rsid w:val="00B2075A"/>
    <w:rsid w:val="00B20829"/>
    <w:rsid w:val="00B208C6"/>
    <w:rsid w:val="00B20C2C"/>
    <w:rsid w:val="00B20F18"/>
    <w:rsid w:val="00B21516"/>
    <w:rsid w:val="00B21A37"/>
    <w:rsid w:val="00B21D23"/>
    <w:rsid w:val="00B21D32"/>
    <w:rsid w:val="00B21D5D"/>
    <w:rsid w:val="00B21F62"/>
    <w:rsid w:val="00B22023"/>
    <w:rsid w:val="00B223D3"/>
    <w:rsid w:val="00B2248B"/>
    <w:rsid w:val="00B22508"/>
    <w:rsid w:val="00B22742"/>
    <w:rsid w:val="00B228D2"/>
    <w:rsid w:val="00B22CE0"/>
    <w:rsid w:val="00B234FB"/>
    <w:rsid w:val="00B23738"/>
    <w:rsid w:val="00B23767"/>
    <w:rsid w:val="00B23BEF"/>
    <w:rsid w:val="00B247BB"/>
    <w:rsid w:val="00B24843"/>
    <w:rsid w:val="00B249C2"/>
    <w:rsid w:val="00B2504A"/>
    <w:rsid w:val="00B2526F"/>
    <w:rsid w:val="00B25524"/>
    <w:rsid w:val="00B25612"/>
    <w:rsid w:val="00B25EE6"/>
    <w:rsid w:val="00B267F5"/>
    <w:rsid w:val="00B26888"/>
    <w:rsid w:val="00B26D8E"/>
    <w:rsid w:val="00B27409"/>
    <w:rsid w:val="00B27569"/>
    <w:rsid w:val="00B2767B"/>
    <w:rsid w:val="00B30891"/>
    <w:rsid w:val="00B30982"/>
    <w:rsid w:val="00B3115A"/>
    <w:rsid w:val="00B3178B"/>
    <w:rsid w:val="00B317D3"/>
    <w:rsid w:val="00B31825"/>
    <w:rsid w:val="00B318CC"/>
    <w:rsid w:val="00B31966"/>
    <w:rsid w:val="00B31A5C"/>
    <w:rsid w:val="00B32265"/>
    <w:rsid w:val="00B3276D"/>
    <w:rsid w:val="00B32B54"/>
    <w:rsid w:val="00B32C05"/>
    <w:rsid w:val="00B32E2B"/>
    <w:rsid w:val="00B332A1"/>
    <w:rsid w:val="00B33B06"/>
    <w:rsid w:val="00B33C19"/>
    <w:rsid w:val="00B3410B"/>
    <w:rsid w:val="00B34940"/>
    <w:rsid w:val="00B34C19"/>
    <w:rsid w:val="00B34C32"/>
    <w:rsid w:val="00B3502D"/>
    <w:rsid w:val="00B350DB"/>
    <w:rsid w:val="00B35A15"/>
    <w:rsid w:val="00B35B45"/>
    <w:rsid w:val="00B3605C"/>
    <w:rsid w:val="00B36165"/>
    <w:rsid w:val="00B36231"/>
    <w:rsid w:val="00B36A99"/>
    <w:rsid w:val="00B36BFF"/>
    <w:rsid w:val="00B37053"/>
    <w:rsid w:val="00B37558"/>
    <w:rsid w:val="00B37DBA"/>
    <w:rsid w:val="00B40319"/>
    <w:rsid w:val="00B40328"/>
    <w:rsid w:val="00B410DB"/>
    <w:rsid w:val="00B4196B"/>
    <w:rsid w:val="00B41D28"/>
    <w:rsid w:val="00B41E89"/>
    <w:rsid w:val="00B42095"/>
    <w:rsid w:val="00B42264"/>
    <w:rsid w:val="00B42297"/>
    <w:rsid w:val="00B43000"/>
    <w:rsid w:val="00B430B7"/>
    <w:rsid w:val="00B434B2"/>
    <w:rsid w:val="00B43D45"/>
    <w:rsid w:val="00B44285"/>
    <w:rsid w:val="00B44AA7"/>
    <w:rsid w:val="00B45285"/>
    <w:rsid w:val="00B45333"/>
    <w:rsid w:val="00B459AF"/>
    <w:rsid w:val="00B468F2"/>
    <w:rsid w:val="00B469DE"/>
    <w:rsid w:val="00B47286"/>
    <w:rsid w:val="00B47D12"/>
    <w:rsid w:val="00B47EB4"/>
    <w:rsid w:val="00B50234"/>
    <w:rsid w:val="00B503FF"/>
    <w:rsid w:val="00B509AB"/>
    <w:rsid w:val="00B50A3E"/>
    <w:rsid w:val="00B510F5"/>
    <w:rsid w:val="00B51BF4"/>
    <w:rsid w:val="00B51D8F"/>
    <w:rsid w:val="00B520B4"/>
    <w:rsid w:val="00B520F8"/>
    <w:rsid w:val="00B52323"/>
    <w:rsid w:val="00B52671"/>
    <w:rsid w:val="00B52C68"/>
    <w:rsid w:val="00B53569"/>
    <w:rsid w:val="00B5372B"/>
    <w:rsid w:val="00B542FE"/>
    <w:rsid w:val="00B54F7E"/>
    <w:rsid w:val="00B55287"/>
    <w:rsid w:val="00B55A1B"/>
    <w:rsid w:val="00B55AA2"/>
    <w:rsid w:val="00B55EC4"/>
    <w:rsid w:val="00B56043"/>
    <w:rsid w:val="00B561DB"/>
    <w:rsid w:val="00B567F7"/>
    <w:rsid w:val="00B569F8"/>
    <w:rsid w:val="00B56BCD"/>
    <w:rsid w:val="00B56DF9"/>
    <w:rsid w:val="00B56E80"/>
    <w:rsid w:val="00B56ECE"/>
    <w:rsid w:val="00B57066"/>
    <w:rsid w:val="00B571F1"/>
    <w:rsid w:val="00B5747E"/>
    <w:rsid w:val="00B575D1"/>
    <w:rsid w:val="00B600BD"/>
    <w:rsid w:val="00B60E4E"/>
    <w:rsid w:val="00B61178"/>
    <w:rsid w:val="00B61274"/>
    <w:rsid w:val="00B61298"/>
    <w:rsid w:val="00B619D8"/>
    <w:rsid w:val="00B61DCE"/>
    <w:rsid w:val="00B6204E"/>
    <w:rsid w:val="00B62188"/>
    <w:rsid w:val="00B62F79"/>
    <w:rsid w:val="00B62F82"/>
    <w:rsid w:val="00B6306A"/>
    <w:rsid w:val="00B635B2"/>
    <w:rsid w:val="00B635E3"/>
    <w:rsid w:val="00B64D0B"/>
    <w:rsid w:val="00B65362"/>
    <w:rsid w:val="00B6586E"/>
    <w:rsid w:val="00B65E86"/>
    <w:rsid w:val="00B662FF"/>
    <w:rsid w:val="00B66679"/>
    <w:rsid w:val="00B66CC0"/>
    <w:rsid w:val="00B66E12"/>
    <w:rsid w:val="00B6754D"/>
    <w:rsid w:val="00B67657"/>
    <w:rsid w:val="00B67679"/>
    <w:rsid w:val="00B678B7"/>
    <w:rsid w:val="00B70145"/>
    <w:rsid w:val="00B71729"/>
    <w:rsid w:val="00B71875"/>
    <w:rsid w:val="00B71A92"/>
    <w:rsid w:val="00B71C9A"/>
    <w:rsid w:val="00B71FF4"/>
    <w:rsid w:val="00B721D8"/>
    <w:rsid w:val="00B72401"/>
    <w:rsid w:val="00B72B3C"/>
    <w:rsid w:val="00B72B3E"/>
    <w:rsid w:val="00B72C92"/>
    <w:rsid w:val="00B72E78"/>
    <w:rsid w:val="00B730CA"/>
    <w:rsid w:val="00B732EA"/>
    <w:rsid w:val="00B73747"/>
    <w:rsid w:val="00B738ED"/>
    <w:rsid w:val="00B73EB8"/>
    <w:rsid w:val="00B743D0"/>
    <w:rsid w:val="00B747C5"/>
    <w:rsid w:val="00B74DF2"/>
    <w:rsid w:val="00B74F2F"/>
    <w:rsid w:val="00B75259"/>
    <w:rsid w:val="00B753ED"/>
    <w:rsid w:val="00B75A2B"/>
    <w:rsid w:val="00B75B2B"/>
    <w:rsid w:val="00B75E8F"/>
    <w:rsid w:val="00B75F94"/>
    <w:rsid w:val="00B76016"/>
    <w:rsid w:val="00B7665F"/>
    <w:rsid w:val="00B769BC"/>
    <w:rsid w:val="00B769D3"/>
    <w:rsid w:val="00B770F7"/>
    <w:rsid w:val="00B77213"/>
    <w:rsid w:val="00B77349"/>
    <w:rsid w:val="00B77427"/>
    <w:rsid w:val="00B7761E"/>
    <w:rsid w:val="00B777DB"/>
    <w:rsid w:val="00B77D25"/>
    <w:rsid w:val="00B77FEA"/>
    <w:rsid w:val="00B80969"/>
    <w:rsid w:val="00B8098F"/>
    <w:rsid w:val="00B80A3D"/>
    <w:rsid w:val="00B80B04"/>
    <w:rsid w:val="00B810E3"/>
    <w:rsid w:val="00B81611"/>
    <w:rsid w:val="00B81658"/>
    <w:rsid w:val="00B821E4"/>
    <w:rsid w:val="00B823E0"/>
    <w:rsid w:val="00B825CE"/>
    <w:rsid w:val="00B8260D"/>
    <w:rsid w:val="00B829CD"/>
    <w:rsid w:val="00B82B78"/>
    <w:rsid w:val="00B83249"/>
    <w:rsid w:val="00B83C28"/>
    <w:rsid w:val="00B84256"/>
    <w:rsid w:val="00B8436D"/>
    <w:rsid w:val="00B845B4"/>
    <w:rsid w:val="00B84607"/>
    <w:rsid w:val="00B84662"/>
    <w:rsid w:val="00B848A7"/>
    <w:rsid w:val="00B84C74"/>
    <w:rsid w:val="00B84CE9"/>
    <w:rsid w:val="00B85191"/>
    <w:rsid w:val="00B85412"/>
    <w:rsid w:val="00B85699"/>
    <w:rsid w:val="00B858A1"/>
    <w:rsid w:val="00B85ECC"/>
    <w:rsid w:val="00B85FEC"/>
    <w:rsid w:val="00B863DC"/>
    <w:rsid w:val="00B864A3"/>
    <w:rsid w:val="00B86C2A"/>
    <w:rsid w:val="00B87442"/>
    <w:rsid w:val="00B878C2"/>
    <w:rsid w:val="00B879E9"/>
    <w:rsid w:val="00B87D18"/>
    <w:rsid w:val="00B87D61"/>
    <w:rsid w:val="00B87F58"/>
    <w:rsid w:val="00B90251"/>
    <w:rsid w:val="00B902A5"/>
    <w:rsid w:val="00B90420"/>
    <w:rsid w:val="00B90540"/>
    <w:rsid w:val="00B907CB"/>
    <w:rsid w:val="00B90848"/>
    <w:rsid w:val="00B90C88"/>
    <w:rsid w:val="00B91146"/>
    <w:rsid w:val="00B913E4"/>
    <w:rsid w:val="00B914FC"/>
    <w:rsid w:val="00B91714"/>
    <w:rsid w:val="00B91DB9"/>
    <w:rsid w:val="00B91FF3"/>
    <w:rsid w:val="00B9230A"/>
    <w:rsid w:val="00B92366"/>
    <w:rsid w:val="00B925F8"/>
    <w:rsid w:val="00B926B4"/>
    <w:rsid w:val="00B9320D"/>
    <w:rsid w:val="00B933EA"/>
    <w:rsid w:val="00B93EFE"/>
    <w:rsid w:val="00B944B9"/>
    <w:rsid w:val="00B94813"/>
    <w:rsid w:val="00B94956"/>
    <w:rsid w:val="00B94C7F"/>
    <w:rsid w:val="00B94E93"/>
    <w:rsid w:val="00B952EF"/>
    <w:rsid w:val="00B956B5"/>
    <w:rsid w:val="00B95956"/>
    <w:rsid w:val="00B96B03"/>
    <w:rsid w:val="00B96DF2"/>
    <w:rsid w:val="00B96E18"/>
    <w:rsid w:val="00B96F5A"/>
    <w:rsid w:val="00B97398"/>
    <w:rsid w:val="00B97729"/>
    <w:rsid w:val="00B97953"/>
    <w:rsid w:val="00BA0B39"/>
    <w:rsid w:val="00BA0CB2"/>
    <w:rsid w:val="00BA0E26"/>
    <w:rsid w:val="00BA125A"/>
    <w:rsid w:val="00BA138B"/>
    <w:rsid w:val="00BA1A05"/>
    <w:rsid w:val="00BA1FA2"/>
    <w:rsid w:val="00BA2784"/>
    <w:rsid w:val="00BA2D52"/>
    <w:rsid w:val="00BA2FB5"/>
    <w:rsid w:val="00BA305B"/>
    <w:rsid w:val="00BA31BF"/>
    <w:rsid w:val="00BA38E2"/>
    <w:rsid w:val="00BA38F6"/>
    <w:rsid w:val="00BA3C0F"/>
    <w:rsid w:val="00BA3FC7"/>
    <w:rsid w:val="00BA4664"/>
    <w:rsid w:val="00BA478B"/>
    <w:rsid w:val="00BA4E96"/>
    <w:rsid w:val="00BA4FCC"/>
    <w:rsid w:val="00BA5224"/>
    <w:rsid w:val="00BA575E"/>
    <w:rsid w:val="00BA5BE8"/>
    <w:rsid w:val="00BA6929"/>
    <w:rsid w:val="00BA7178"/>
    <w:rsid w:val="00BA7649"/>
    <w:rsid w:val="00BA76B7"/>
    <w:rsid w:val="00BA7A68"/>
    <w:rsid w:val="00BA7AB7"/>
    <w:rsid w:val="00BA7E3B"/>
    <w:rsid w:val="00BB062A"/>
    <w:rsid w:val="00BB078D"/>
    <w:rsid w:val="00BB079C"/>
    <w:rsid w:val="00BB0AB0"/>
    <w:rsid w:val="00BB0D7A"/>
    <w:rsid w:val="00BB108E"/>
    <w:rsid w:val="00BB10E1"/>
    <w:rsid w:val="00BB1495"/>
    <w:rsid w:val="00BB17B2"/>
    <w:rsid w:val="00BB1A0F"/>
    <w:rsid w:val="00BB20C0"/>
    <w:rsid w:val="00BB216C"/>
    <w:rsid w:val="00BB2407"/>
    <w:rsid w:val="00BB2471"/>
    <w:rsid w:val="00BB26E6"/>
    <w:rsid w:val="00BB2751"/>
    <w:rsid w:val="00BB3035"/>
    <w:rsid w:val="00BB303E"/>
    <w:rsid w:val="00BB3676"/>
    <w:rsid w:val="00BB39C1"/>
    <w:rsid w:val="00BB3A94"/>
    <w:rsid w:val="00BB3DF5"/>
    <w:rsid w:val="00BB3E11"/>
    <w:rsid w:val="00BB3EA7"/>
    <w:rsid w:val="00BB4452"/>
    <w:rsid w:val="00BB495F"/>
    <w:rsid w:val="00BB4D44"/>
    <w:rsid w:val="00BB5312"/>
    <w:rsid w:val="00BB5346"/>
    <w:rsid w:val="00BB53E8"/>
    <w:rsid w:val="00BB549A"/>
    <w:rsid w:val="00BB55FA"/>
    <w:rsid w:val="00BB5766"/>
    <w:rsid w:val="00BB5A03"/>
    <w:rsid w:val="00BB5D16"/>
    <w:rsid w:val="00BB6180"/>
    <w:rsid w:val="00BB63D6"/>
    <w:rsid w:val="00BB68EB"/>
    <w:rsid w:val="00BB69E6"/>
    <w:rsid w:val="00BB6B36"/>
    <w:rsid w:val="00BB6BC4"/>
    <w:rsid w:val="00BB7323"/>
    <w:rsid w:val="00BB7BE5"/>
    <w:rsid w:val="00BC0641"/>
    <w:rsid w:val="00BC08BD"/>
    <w:rsid w:val="00BC1021"/>
    <w:rsid w:val="00BC11E8"/>
    <w:rsid w:val="00BC16B9"/>
    <w:rsid w:val="00BC1985"/>
    <w:rsid w:val="00BC1AD9"/>
    <w:rsid w:val="00BC1B7A"/>
    <w:rsid w:val="00BC2485"/>
    <w:rsid w:val="00BC2572"/>
    <w:rsid w:val="00BC2769"/>
    <w:rsid w:val="00BC2C17"/>
    <w:rsid w:val="00BC2E8C"/>
    <w:rsid w:val="00BC33DB"/>
    <w:rsid w:val="00BC3431"/>
    <w:rsid w:val="00BC3828"/>
    <w:rsid w:val="00BC3ACD"/>
    <w:rsid w:val="00BC3B20"/>
    <w:rsid w:val="00BC3B6F"/>
    <w:rsid w:val="00BC3EE4"/>
    <w:rsid w:val="00BC4232"/>
    <w:rsid w:val="00BC441E"/>
    <w:rsid w:val="00BC4A66"/>
    <w:rsid w:val="00BC4B36"/>
    <w:rsid w:val="00BC4CC1"/>
    <w:rsid w:val="00BC510F"/>
    <w:rsid w:val="00BC51D2"/>
    <w:rsid w:val="00BC588C"/>
    <w:rsid w:val="00BC5C3A"/>
    <w:rsid w:val="00BC5CB5"/>
    <w:rsid w:val="00BC5F05"/>
    <w:rsid w:val="00BC6301"/>
    <w:rsid w:val="00BC6ACA"/>
    <w:rsid w:val="00BC6AD8"/>
    <w:rsid w:val="00BC6C32"/>
    <w:rsid w:val="00BC6C61"/>
    <w:rsid w:val="00BC6DDE"/>
    <w:rsid w:val="00BC6E73"/>
    <w:rsid w:val="00BC74D3"/>
    <w:rsid w:val="00BC7FD1"/>
    <w:rsid w:val="00BD0014"/>
    <w:rsid w:val="00BD01D8"/>
    <w:rsid w:val="00BD076F"/>
    <w:rsid w:val="00BD0773"/>
    <w:rsid w:val="00BD08D0"/>
    <w:rsid w:val="00BD179A"/>
    <w:rsid w:val="00BD200F"/>
    <w:rsid w:val="00BD20DB"/>
    <w:rsid w:val="00BD255F"/>
    <w:rsid w:val="00BD2895"/>
    <w:rsid w:val="00BD2A13"/>
    <w:rsid w:val="00BD2BFA"/>
    <w:rsid w:val="00BD2F0E"/>
    <w:rsid w:val="00BD31FD"/>
    <w:rsid w:val="00BD36C8"/>
    <w:rsid w:val="00BD3F65"/>
    <w:rsid w:val="00BD4236"/>
    <w:rsid w:val="00BD4500"/>
    <w:rsid w:val="00BD483B"/>
    <w:rsid w:val="00BD4988"/>
    <w:rsid w:val="00BD51F9"/>
    <w:rsid w:val="00BD5821"/>
    <w:rsid w:val="00BD5B87"/>
    <w:rsid w:val="00BD5C37"/>
    <w:rsid w:val="00BD5CD4"/>
    <w:rsid w:val="00BD61B9"/>
    <w:rsid w:val="00BD65D9"/>
    <w:rsid w:val="00BD6DF3"/>
    <w:rsid w:val="00BD6E09"/>
    <w:rsid w:val="00BD6EF9"/>
    <w:rsid w:val="00BD7600"/>
    <w:rsid w:val="00BD785C"/>
    <w:rsid w:val="00BD7C7A"/>
    <w:rsid w:val="00BE0ACB"/>
    <w:rsid w:val="00BE0B7F"/>
    <w:rsid w:val="00BE2036"/>
    <w:rsid w:val="00BE20A6"/>
    <w:rsid w:val="00BE2260"/>
    <w:rsid w:val="00BE2BF0"/>
    <w:rsid w:val="00BE3425"/>
    <w:rsid w:val="00BE3917"/>
    <w:rsid w:val="00BE3DED"/>
    <w:rsid w:val="00BE468F"/>
    <w:rsid w:val="00BE4744"/>
    <w:rsid w:val="00BE4E8F"/>
    <w:rsid w:val="00BE50FD"/>
    <w:rsid w:val="00BE51C0"/>
    <w:rsid w:val="00BE51CA"/>
    <w:rsid w:val="00BE537F"/>
    <w:rsid w:val="00BE56DD"/>
    <w:rsid w:val="00BE5A7D"/>
    <w:rsid w:val="00BE5D77"/>
    <w:rsid w:val="00BE6049"/>
    <w:rsid w:val="00BE644D"/>
    <w:rsid w:val="00BE6769"/>
    <w:rsid w:val="00BE6D47"/>
    <w:rsid w:val="00BE7032"/>
    <w:rsid w:val="00BE7330"/>
    <w:rsid w:val="00BE7334"/>
    <w:rsid w:val="00BE736E"/>
    <w:rsid w:val="00BE77E1"/>
    <w:rsid w:val="00BE7C2B"/>
    <w:rsid w:val="00BF01C5"/>
    <w:rsid w:val="00BF061A"/>
    <w:rsid w:val="00BF066A"/>
    <w:rsid w:val="00BF07D8"/>
    <w:rsid w:val="00BF0AB8"/>
    <w:rsid w:val="00BF1282"/>
    <w:rsid w:val="00BF14CC"/>
    <w:rsid w:val="00BF1821"/>
    <w:rsid w:val="00BF22E9"/>
    <w:rsid w:val="00BF26B0"/>
    <w:rsid w:val="00BF37FA"/>
    <w:rsid w:val="00BF39DF"/>
    <w:rsid w:val="00BF3A34"/>
    <w:rsid w:val="00BF4342"/>
    <w:rsid w:val="00BF4704"/>
    <w:rsid w:val="00BF4970"/>
    <w:rsid w:val="00BF4FFC"/>
    <w:rsid w:val="00BF5050"/>
    <w:rsid w:val="00BF50D1"/>
    <w:rsid w:val="00BF5422"/>
    <w:rsid w:val="00BF58DB"/>
    <w:rsid w:val="00BF59B1"/>
    <w:rsid w:val="00BF5BA9"/>
    <w:rsid w:val="00BF6625"/>
    <w:rsid w:val="00BF691D"/>
    <w:rsid w:val="00BF6A78"/>
    <w:rsid w:val="00BF7695"/>
    <w:rsid w:val="00BF79B4"/>
    <w:rsid w:val="00BF7C61"/>
    <w:rsid w:val="00C000CC"/>
    <w:rsid w:val="00C002B2"/>
    <w:rsid w:val="00C00535"/>
    <w:rsid w:val="00C00707"/>
    <w:rsid w:val="00C00713"/>
    <w:rsid w:val="00C0080B"/>
    <w:rsid w:val="00C0128E"/>
    <w:rsid w:val="00C01376"/>
    <w:rsid w:val="00C01427"/>
    <w:rsid w:val="00C014C7"/>
    <w:rsid w:val="00C02487"/>
    <w:rsid w:val="00C02A67"/>
    <w:rsid w:val="00C02C68"/>
    <w:rsid w:val="00C02E18"/>
    <w:rsid w:val="00C031CF"/>
    <w:rsid w:val="00C03A3F"/>
    <w:rsid w:val="00C040AA"/>
    <w:rsid w:val="00C04667"/>
    <w:rsid w:val="00C047AB"/>
    <w:rsid w:val="00C055B2"/>
    <w:rsid w:val="00C05786"/>
    <w:rsid w:val="00C058AF"/>
    <w:rsid w:val="00C05AC6"/>
    <w:rsid w:val="00C061D2"/>
    <w:rsid w:val="00C063E9"/>
    <w:rsid w:val="00C0680F"/>
    <w:rsid w:val="00C06A75"/>
    <w:rsid w:val="00C06B4E"/>
    <w:rsid w:val="00C075B6"/>
    <w:rsid w:val="00C07FF8"/>
    <w:rsid w:val="00C1029B"/>
    <w:rsid w:val="00C106A9"/>
    <w:rsid w:val="00C11317"/>
    <w:rsid w:val="00C11AD4"/>
    <w:rsid w:val="00C1232A"/>
    <w:rsid w:val="00C1240C"/>
    <w:rsid w:val="00C124C1"/>
    <w:rsid w:val="00C128AE"/>
    <w:rsid w:val="00C12BA2"/>
    <w:rsid w:val="00C12BA8"/>
    <w:rsid w:val="00C12E83"/>
    <w:rsid w:val="00C13094"/>
    <w:rsid w:val="00C136D6"/>
    <w:rsid w:val="00C13D5B"/>
    <w:rsid w:val="00C141D7"/>
    <w:rsid w:val="00C14B66"/>
    <w:rsid w:val="00C14FC2"/>
    <w:rsid w:val="00C15523"/>
    <w:rsid w:val="00C15568"/>
    <w:rsid w:val="00C15B99"/>
    <w:rsid w:val="00C15C76"/>
    <w:rsid w:val="00C15E7F"/>
    <w:rsid w:val="00C161BF"/>
    <w:rsid w:val="00C16C3A"/>
    <w:rsid w:val="00C16F97"/>
    <w:rsid w:val="00C1711B"/>
    <w:rsid w:val="00C17588"/>
    <w:rsid w:val="00C175F0"/>
    <w:rsid w:val="00C177B0"/>
    <w:rsid w:val="00C17AE2"/>
    <w:rsid w:val="00C20140"/>
    <w:rsid w:val="00C20F27"/>
    <w:rsid w:val="00C211D1"/>
    <w:rsid w:val="00C215CF"/>
    <w:rsid w:val="00C21ACA"/>
    <w:rsid w:val="00C2244B"/>
    <w:rsid w:val="00C22711"/>
    <w:rsid w:val="00C2280A"/>
    <w:rsid w:val="00C2282E"/>
    <w:rsid w:val="00C22B0D"/>
    <w:rsid w:val="00C22BFF"/>
    <w:rsid w:val="00C22D75"/>
    <w:rsid w:val="00C23522"/>
    <w:rsid w:val="00C2391B"/>
    <w:rsid w:val="00C240C1"/>
    <w:rsid w:val="00C244A1"/>
    <w:rsid w:val="00C244EA"/>
    <w:rsid w:val="00C24708"/>
    <w:rsid w:val="00C24863"/>
    <w:rsid w:val="00C24AED"/>
    <w:rsid w:val="00C24EE9"/>
    <w:rsid w:val="00C24F19"/>
    <w:rsid w:val="00C250D0"/>
    <w:rsid w:val="00C2529A"/>
    <w:rsid w:val="00C252AC"/>
    <w:rsid w:val="00C25796"/>
    <w:rsid w:val="00C25C0F"/>
    <w:rsid w:val="00C26567"/>
    <w:rsid w:val="00C26923"/>
    <w:rsid w:val="00C27214"/>
    <w:rsid w:val="00C27597"/>
    <w:rsid w:val="00C2761E"/>
    <w:rsid w:val="00C27DED"/>
    <w:rsid w:val="00C27E5E"/>
    <w:rsid w:val="00C30229"/>
    <w:rsid w:val="00C30382"/>
    <w:rsid w:val="00C303E1"/>
    <w:rsid w:val="00C3071F"/>
    <w:rsid w:val="00C30772"/>
    <w:rsid w:val="00C30921"/>
    <w:rsid w:val="00C3099D"/>
    <w:rsid w:val="00C30B87"/>
    <w:rsid w:val="00C30D6F"/>
    <w:rsid w:val="00C30EA2"/>
    <w:rsid w:val="00C31063"/>
    <w:rsid w:val="00C31B7E"/>
    <w:rsid w:val="00C31FA6"/>
    <w:rsid w:val="00C322D1"/>
    <w:rsid w:val="00C3242A"/>
    <w:rsid w:val="00C3297C"/>
    <w:rsid w:val="00C33201"/>
    <w:rsid w:val="00C339C9"/>
    <w:rsid w:val="00C33A39"/>
    <w:rsid w:val="00C3423C"/>
    <w:rsid w:val="00C34619"/>
    <w:rsid w:val="00C348D9"/>
    <w:rsid w:val="00C3528E"/>
    <w:rsid w:val="00C355F1"/>
    <w:rsid w:val="00C35649"/>
    <w:rsid w:val="00C35BE9"/>
    <w:rsid w:val="00C35D01"/>
    <w:rsid w:val="00C360AA"/>
    <w:rsid w:val="00C360B3"/>
    <w:rsid w:val="00C365C5"/>
    <w:rsid w:val="00C36CA2"/>
    <w:rsid w:val="00C37027"/>
    <w:rsid w:val="00C370FA"/>
    <w:rsid w:val="00C37377"/>
    <w:rsid w:val="00C373BF"/>
    <w:rsid w:val="00C37572"/>
    <w:rsid w:val="00C37B19"/>
    <w:rsid w:val="00C37CBE"/>
    <w:rsid w:val="00C37D26"/>
    <w:rsid w:val="00C400C3"/>
    <w:rsid w:val="00C40153"/>
    <w:rsid w:val="00C40496"/>
    <w:rsid w:val="00C407CA"/>
    <w:rsid w:val="00C40E59"/>
    <w:rsid w:val="00C41349"/>
    <w:rsid w:val="00C413CB"/>
    <w:rsid w:val="00C41639"/>
    <w:rsid w:val="00C42752"/>
    <w:rsid w:val="00C42973"/>
    <w:rsid w:val="00C42AA7"/>
    <w:rsid w:val="00C42B53"/>
    <w:rsid w:val="00C42F59"/>
    <w:rsid w:val="00C43178"/>
    <w:rsid w:val="00C43B45"/>
    <w:rsid w:val="00C45062"/>
    <w:rsid w:val="00C4506F"/>
    <w:rsid w:val="00C453C7"/>
    <w:rsid w:val="00C4576F"/>
    <w:rsid w:val="00C463E9"/>
    <w:rsid w:val="00C46B95"/>
    <w:rsid w:val="00C46E29"/>
    <w:rsid w:val="00C4706D"/>
    <w:rsid w:val="00C4712A"/>
    <w:rsid w:val="00C471AA"/>
    <w:rsid w:val="00C4724F"/>
    <w:rsid w:val="00C4776C"/>
    <w:rsid w:val="00C5034F"/>
    <w:rsid w:val="00C50830"/>
    <w:rsid w:val="00C50CBE"/>
    <w:rsid w:val="00C51333"/>
    <w:rsid w:val="00C51413"/>
    <w:rsid w:val="00C515F0"/>
    <w:rsid w:val="00C51621"/>
    <w:rsid w:val="00C517DD"/>
    <w:rsid w:val="00C523BB"/>
    <w:rsid w:val="00C52479"/>
    <w:rsid w:val="00C5266E"/>
    <w:rsid w:val="00C526D9"/>
    <w:rsid w:val="00C5299C"/>
    <w:rsid w:val="00C52A89"/>
    <w:rsid w:val="00C52C59"/>
    <w:rsid w:val="00C532EB"/>
    <w:rsid w:val="00C5349E"/>
    <w:rsid w:val="00C53885"/>
    <w:rsid w:val="00C539FF"/>
    <w:rsid w:val="00C53A17"/>
    <w:rsid w:val="00C53CBA"/>
    <w:rsid w:val="00C54444"/>
    <w:rsid w:val="00C544BD"/>
    <w:rsid w:val="00C54D3D"/>
    <w:rsid w:val="00C551FD"/>
    <w:rsid w:val="00C55597"/>
    <w:rsid w:val="00C5582C"/>
    <w:rsid w:val="00C55A30"/>
    <w:rsid w:val="00C55ACB"/>
    <w:rsid w:val="00C55DD7"/>
    <w:rsid w:val="00C56384"/>
    <w:rsid w:val="00C56BAA"/>
    <w:rsid w:val="00C56CA5"/>
    <w:rsid w:val="00C56FA5"/>
    <w:rsid w:val="00C57BFB"/>
    <w:rsid w:val="00C605AA"/>
    <w:rsid w:val="00C605BF"/>
    <w:rsid w:val="00C60EAC"/>
    <w:rsid w:val="00C60F8C"/>
    <w:rsid w:val="00C61150"/>
    <w:rsid w:val="00C61424"/>
    <w:rsid w:val="00C61794"/>
    <w:rsid w:val="00C61AC0"/>
    <w:rsid w:val="00C62338"/>
    <w:rsid w:val="00C62A48"/>
    <w:rsid w:val="00C62AC4"/>
    <w:rsid w:val="00C62B59"/>
    <w:rsid w:val="00C62CFE"/>
    <w:rsid w:val="00C62F96"/>
    <w:rsid w:val="00C63074"/>
    <w:rsid w:val="00C631E1"/>
    <w:rsid w:val="00C6329C"/>
    <w:rsid w:val="00C632F2"/>
    <w:rsid w:val="00C637DB"/>
    <w:rsid w:val="00C638D8"/>
    <w:rsid w:val="00C63A43"/>
    <w:rsid w:val="00C63AE7"/>
    <w:rsid w:val="00C63BFF"/>
    <w:rsid w:val="00C63D26"/>
    <w:rsid w:val="00C64624"/>
    <w:rsid w:val="00C64F1E"/>
    <w:rsid w:val="00C65017"/>
    <w:rsid w:val="00C65247"/>
    <w:rsid w:val="00C6540A"/>
    <w:rsid w:val="00C654C4"/>
    <w:rsid w:val="00C65C93"/>
    <w:rsid w:val="00C66373"/>
    <w:rsid w:val="00C668A1"/>
    <w:rsid w:val="00C6704F"/>
    <w:rsid w:val="00C67223"/>
    <w:rsid w:val="00C678EE"/>
    <w:rsid w:val="00C67C37"/>
    <w:rsid w:val="00C70121"/>
    <w:rsid w:val="00C70328"/>
    <w:rsid w:val="00C707B8"/>
    <w:rsid w:val="00C708CD"/>
    <w:rsid w:val="00C70BD7"/>
    <w:rsid w:val="00C70C19"/>
    <w:rsid w:val="00C712AC"/>
    <w:rsid w:val="00C71392"/>
    <w:rsid w:val="00C71523"/>
    <w:rsid w:val="00C71C15"/>
    <w:rsid w:val="00C71F3D"/>
    <w:rsid w:val="00C72428"/>
    <w:rsid w:val="00C72976"/>
    <w:rsid w:val="00C72DE9"/>
    <w:rsid w:val="00C72F53"/>
    <w:rsid w:val="00C736CA"/>
    <w:rsid w:val="00C73821"/>
    <w:rsid w:val="00C73B9C"/>
    <w:rsid w:val="00C74035"/>
    <w:rsid w:val="00C74366"/>
    <w:rsid w:val="00C74553"/>
    <w:rsid w:val="00C74606"/>
    <w:rsid w:val="00C748EA"/>
    <w:rsid w:val="00C74E1F"/>
    <w:rsid w:val="00C7671B"/>
    <w:rsid w:val="00C76B34"/>
    <w:rsid w:val="00C77818"/>
    <w:rsid w:val="00C80200"/>
    <w:rsid w:val="00C8063F"/>
    <w:rsid w:val="00C80E36"/>
    <w:rsid w:val="00C81282"/>
    <w:rsid w:val="00C8187A"/>
    <w:rsid w:val="00C81C29"/>
    <w:rsid w:val="00C81ED0"/>
    <w:rsid w:val="00C81FA5"/>
    <w:rsid w:val="00C8265B"/>
    <w:rsid w:val="00C827B4"/>
    <w:rsid w:val="00C830BC"/>
    <w:rsid w:val="00C83214"/>
    <w:rsid w:val="00C8329F"/>
    <w:rsid w:val="00C8357B"/>
    <w:rsid w:val="00C83A00"/>
    <w:rsid w:val="00C83E98"/>
    <w:rsid w:val="00C84DDC"/>
    <w:rsid w:val="00C84F8A"/>
    <w:rsid w:val="00C85BA4"/>
    <w:rsid w:val="00C85E99"/>
    <w:rsid w:val="00C8618F"/>
    <w:rsid w:val="00C86226"/>
    <w:rsid w:val="00C8625D"/>
    <w:rsid w:val="00C8703C"/>
    <w:rsid w:val="00C87B1D"/>
    <w:rsid w:val="00C90372"/>
    <w:rsid w:val="00C9041F"/>
    <w:rsid w:val="00C9166B"/>
    <w:rsid w:val="00C91771"/>
    <w:rsid w:val="00C91945"/>
    <w:rsid w:val="00C91959"/>
    <w:rsid w:val="00C91A45"/>
    <w:rsid w:val="00C91AF0"/>
    <w:rsid w:val="00C91C71"/>
    <w:rsid w:val="00C91FB4"/>
    <w:rsid w:val="00C91FDC"/>
    <w:rsid w:val="00C92150"/>
    <w:rsid w:val="00C92328"/>
    <w:rsid w:val="00C923B0"/>
    <w:rsid w:val="00C92D42"/>
    <w:rsid w:val="00C92E9C"/>
    <w:rsid w:val="00C93056"/>
    <w:rsid w:val="00C9344B"/>
    <w:rsid w:val="00C938C2"/>
    <w:rsid w:val="00C93BE2"/>
    <w:rsid w:val="00C93CE9"/>
    <w:rsid w:val="00C93F8A"/>
    <w:rsid w:val="00C9403D"/>
    <w:rsid w:val="00C946C2"/>
    <w:rsid w:val="00C94B57"/>
    <w:rsid w:val="00C94EA1"/>
    <w:rsid w:val="00C95745"/>
    <w:rsid w:val="00C95902"/>
    <w:rsid w:val="00C95A77"/>
    <w:rsid w:val="00C95EDB"/>
    <w:rsid w:val="00C95F53"/>
    <w:rsid w:val="00C96209"/>
    <w:rsid w:val="00C962E3"/>
    <w:rsid w:val="00C96538"/>
    <w:rsid w:val="00C96723"/>
    <w:rsid w:val="00C9672F"/>
    <w:rsid w:val="00C978E2"/>
    <w:rsid w:val="00C97997"/>
    <w:rsid w:val="00CA0083"/>
    <w:rsid w:val="00CA00FD"/>
    <w:rsid w:val="00CA0581"/>
    <w:rsid w:val="00CA075E"/>
    <w:rsid w:val="00CA0795"/>
    <w:rsid w:val="00CA10A2"/>
    <w:rsid w:val="00CA1190"/>
    <w:rsid w:val="00CA131F"/>
    <w:rsid w:val="00CA1D83"/>
    <w:rsid w:val="00CA25C0"/>
    <w:rsid w:val="00CA277B"/>
    <w:rsid w:val="00CA2FAE"/>
    <w:rsid w:val="00CA3451"/>
    <w:rsid w:val="00CA35C6"/>
    <w:rsid w:val="00CA3EE4"/>
    <w:rsid w:val="00CA3F04"/>
    <w:rsid w:val="00CA42C7"/>
    <w:rsid w:val="00CA44BA"/>
    <w:rsid w:val="00CA47DC"/>
    <w:rsid w:val="00CA47F5"/>
    <w:rsid w:val="00CA4948"/>
    <w:rsid w:val="00CA52F9"/>
    <w:rsid w:val="00CA5368"/>
    <w:rsid w:val="00CA568B"/>
    <w:rsid w:val="00CA573A"/>
    <w:rsid w:val="00CA5A98"/>
    <w:rsid w:val="00CA5C58"/>
    <w:rsid w:val="00CA5E4A"/>
    <w:rsid w:val="00CA6452"/>
    <w:rsid w:val="00CA675B"/>
    <w:rsid w:val="00CA6BB4"/>
    <w:rsid w:val="00CA70A7"/>
    <w:rsid w:val="00CA75DA"/>
    <w:rsid w:val="00CA77CC"/>
    <w:rsid w:val="00CA7883"/>
    <w:rsid w:val="00CA7B36"/>
    <w:rsid w:val="00CA7EA8"/>
    <w:rsid w:val="00CB03DA"/>
    <w:rsid w:val="00CB0AA6"/>
    <w:rsid w:val="00CB1073"/>
    <w:rsid w:val="00CB176D"/>
    <w:rsid w:val="00CB19D7"/>
    <w:rsid w:val="00CB19F1"/>
    <w:rsid w:val="00CB19FE"/>
    <w:rsid w:val="00CB1C3F"/>
    <w:rsid w:val="00CB1E32"/>
    <w:rsid w:val="00CB228D"/>
    <w:rsid w:val="00CB2364"/>
    <w:rsid w:val="00CB285A"/>
    <w:rsid w:val="00CB2B59"/>
    <w:rsid w:val="00CB2F18"/>
    <w:rsid w:val="00CB304C"/>
    <w:rsid w:val="00CB34C5"/>
    <w:rsid w:val="00CB35EE"/>
    <w:rsid w:val="00CB3933"/>
    <w:rsid w:val="00CB3A36"/>
    <w:rsid w:val="00CB3D3F"/>
    <w:rsid w:val="00CB40DA"/>
    <w:rsid w:val="00CB471A"/>
    <w:rsid w:val="00CB5010"/>
    <w:rsid w:val="00CB53E8"/>
    <w:rsid w:val="00CB594A"/>
    <w:rsid w:val="00CB5BB0"/>
    <w:rsid w:val="00CB5C18"/>
    <w:rsid w:val="00CB5CB2"/>
    <w:rsid w:val="00CB6861"/>
    <w:rsid w:val="00CB6979"/>
    <w:rsid w:val="00CB7329"/>
    <w:rsid w:val="00CB7DDE"/>
    <w:rsid w:val="00CC0A3D"/>
    <w:rsid w:val="00CC0CEE"/>
    <w:rsid w:val="00CC1A61"/>
    <w:rsid w:val="00CC28C1"/>
    <w:rsid w:val="00CC2FF0"/>
    <w:rsid w:val="00CC3584"/>
    <w:rsid w:val="00CC3878"/>
    <w:rsid w:val="00CC3C53"/>
    <w:rsid w:val="00CC3D24"/>
    <w:rsid w:val="00CC3F91"/>
    <w:rsid w:val="00CC3FBF"/>
    <w:rsid w:val="00CC42AF"/>
    <w:rsid w:val="00CC47EE"/>
    <w:rsid w:val="00CC482C"/>
    <w:rsid w:val="00CC4956"/>
    <w:rsid w:val="00CC4ACD"/>
    <w:rsid w:val="00CC4B0A"/>
    <w:rsid w:val="00CC4C79"/>
    <w:rsid w:val="00CC4E7F"/>
    <w:rsid w:val="00CC544A"/>
    <w:rsid w:val="00CC574F"/>
    <w:rsid w:val="00CC5795"/>
    <w:rsid w:val="00CC57EA"/>
    <w:rsid w:val="00CC5954"/>
    <w:rsid w:val="00CC5F0F"/>
    <w:rsid w:val="00CC629B"/>
    <w:rsid w:val="00CC6693"/>
    <w:rsid w:val="00CC6921"/>
    <w:rsid w:val="00CC6C03"/>
    <w:rsid w:val="00CC6C4E"/>
    <w:rsid w:val="00CC7319"/>
    <w:rsid w:val="00CC739A"/>
    <w:rsid w:val="00CC74D4"/>
    <w:rsid w:val="00CC7A77"/>
    <w:rsid w:val="00CC7E8F"/>
    <w:rsid w:val="00CD009D"/>
    <w:rsid w:val="00CD05A2"/>
    <w:rsid w:val="00CD0A3E"/>
    <w:rsid w:val="00CD15F0"/>
    <w:rsid w:val="00CD17DE"/>
    <w:rsid w:val="00CD1A2C"/>
    <w:rsid w:val="00CD1E9B"/>
    <w:rsid w:val="00CD218E"/>
    <w:rsid w:val="00CD22E9"/>
    <w:rsid w:val="00CD2870"/>
    <w:rsid w:val="00CD29D4"/>
    <w:rsid w:val="00CD2B5C"/>
    <w:rsid w:val="00CD2FF3"/>
    <w:rsid w:val="00CD3323"/>
    <w:rsid w:val="00CD36E0"/>
    <w:rsid w:val="00CD37EB"/>
    <w:rsid w:val="00CD38C0"/>
    <w:rsid w:val="00CD38F5"/>
    <w:rsid w:val="00CD3BF2"/>
    <w:rsid w:val="00CD437E"/>
    <w:rsid w:val="00CD47F0"/>
    <w:rsid w:val="00CD4BB0"/>
    <w:rsid w:val="00CD4DD7"/>
    <w:rsid w:val="00CD4F40"/>
    <w:rsid w:val="00CD5573"/>
    <w:rsid w:val="00CD5B05"/>
    <w:rsid w:val="00CD5D47"/>
    <w:rsid w:val="00CD5DAD"/>
    <w:rsid w:val="00CD5E57"/>
    <w:rsid w:val="00CD6561"/>
    <w:rsid w:val="00CD6B8C"/>
    <w:rsid w:val="00CD728F"/>
    <w:rsid w:val="00CD72C5"/>
    <w:rsid w:val="00CD7982"/>
    <w:rsid w:val="00CD79A7"/>
    <w:rsid w:val="00CD7D03"/>
    <w:rsid w:val="00CD7E90"/>
    <w:rsid w:val="00CD7FAD"/>
    <w:rsid w:val="00CE0789"/>
    <w:rsid w:val="00CE07C7"/>
    <w:rsid w:val="00CE0E43"/>
    <w:rsid w:val="00CE0E8D"/>
    <w:rsid w:val="00CE1603"/>
    <w:rsid w:val="00CE1A03"/>
    <w:rsid w:val="00CE1B0F"/>
    <w:rsid w:val="00CE20BC"/>
    <w:rsid w:val="00CE22AB"/>
    <w:rsid w:val="00CE2329"/>
    <w:rsid w:val="00CE2346"/>
    <w:rsid w:val="00CE25B2"/>
    <w:rsid w:val="00CE2BE0"/>
    <w:rsid w:val="00CE3529"/>
    <w:rsid w:val="00CE35C8"/>
    <w:rsid w:val="00CE3962"/>
    <w:rsid w:val="00CE3971"/>
    <w:rsid w:val="00CE3D37"/>
    <w:rsid w:val="00CE4470"/>
    <w:rsid w:val="00CE45DB"/>
    <w:rsid w:val="00CE4CA2"/>
    <w:rsid w:val="00CE4D0A"/>
    <w:rsid w:val="00CE4D1A"/>
    <w:rsid w:val="00CE4E8A"/>
    <w:rsid w:val="00CE5105"/>
    <w:rsid w:val="00CE5322"/>
    <w:rsid w:val="00CE56BD"/>
    <w:rsid w:val="00CE5EC0"/>
    <w:rsid w:val="00CE5F9A"/>
    <w:rsid w:val="00CE6136"/>
    <w:rsid w:val="00CE64E5"/>
    <w:rsid w:val="00CE68AD"/>
    <w:rsid w:val="00CE69B9"/>
    <w:rsid w:val="00CE6A72"/>
    <w:rsid w:val="00CE6C3F"/>
    <w:rsid w:val="00CE6F9F"/>
    <w:rsid w:val="00CE77CF"/>
    <w:rsid w:val="00CE781A"/>
    <w:rsid w:val="00CE7871"/>
    <w:rsid w:val="00CE7B08"/>
    <w:rsid w:val="00CE7D52"/>
    <w:rsid w:val="00CF0697"/>
    <w:rsid w:val="00CF09CB"/>
    <w:rsid w:val="00CF0AB7"/>
    <w:rsid w:val="00CF0B2E"/>
    <w:rsid w:val="00CF1D74"/>
    <w:rsid w:val="00CF21DC"/>
    <w:rsid w:val="00CF2887"/>
    <w:rsid w:val="00CF2BE2"/>
    <w:rsid w:val="00CF2F9E"/>
    <w:rsid w:val="00CF3AAB"/>
    <w:rsid w:val="00CF3DA4"/>
    <w:rsid w:val="00CF3DEB"/>
    <w:rsid w:val="00CF43B2"/>
    <w:rsid w:val="00CF4FBF"/>
    <w:rsid w:val="00CF55F9"/>
    <w:rsid w:val="00CF65E8"/>
    <w:rsid w:val="00CF675B"/>
    <w:rsid w:val="00CF6903"/>
    <w:rsid w:val="00CF7074"/>
    <w:rsid w:val="00CF7495"/>
    <w:rsid w:val="00CF7950"/>
    <w:rsid w:val="00CF7C67"/>
    <w:rsid w:val="00D0011E"/>
    <w:rsid w:val="00D008D6"/>
    <w:rsid w:val="00D00975"/>
    <w:rsid w:val="00D00C0E"/>
    <w:rsid w:val="00D00FC7"/>
    <w:rsid w:val="00D01119"/>
    <w:rsid w:val="00D01CF9"/>
    <w:rsid w:val="00D0208D"/>
    <w:rsid w:val="00D02375"/>
    <w:rsid w:val="00D02582"/>
    <w:rsid w:val="00D02635"/>
    <w:rsid w:val="00D02BAC"/>
    <w:rsid w:val="00D02E62"/>
    <w:rsid w:val="00D02E77"/>
    <w:rsid w:val="00D0334D"/>
    <w:rsid w:val="00D03728"/>
    <w:rsid w:val="00D0374D"/>
    <w:rsid w:val="00D03EAA"/>
    <w:rsid w:val="00D0425A"/>
    <w:rsid w:val="00D04BD3"/>
    <w:rsid w:val="00D05255"/>
    <w:rsid w:val="00D05B97"/>
    <w:rsid w:val="00D06138"/>
    <w:rsid w:val="00D06B04"/>
    <w:rsid w:val="00D06D7B"/>
    <w:rsid w:val="00D06DA5"/>
    <w:rsid w:val="00D06EF2"/>
    <w:rsid w:val="00D07191"/>
    <w:rsid w:val="00D077BC"/>
    <w:rsid w:val="00D07AED"/>
    <w:rsid w:val="00D07B6F"/>
    <w:rsid w:val="00D07F1D"/>
    <w:rsid w:val="00D104B6"/>
    <w:rsid w:val="00D10558"/>
    <w:rsid w:val="00D1065A"/>
    <w:rsid w:val="00D1125D"/>
    <w:rsid w:val="00D11D4D"/>
    <w:rsid w:val="00D11D6A"/>
    <w:rsid w:val="00D11DB1"/>
    <w:rsid w:val="00D124E8"/>
    <w:rsid w:val="00D126DC"/>
    <w:rsid w:val="00D126E3"/>
    <w:rsid w:val="00D1273D"/>
    <w:rsid w:val="00D129C4"/>
    <w:rsid w:val="00D12B03"/>
    <w:rsid w:val="00D133EC"/>
    <w:rsid w:val="00D137A8"/>
    <w:rsid w:val="00D13E70"/>
    <w:rsid w:val="00D13EE7"/>
    <w:rsid w:val="00D142BE"/>
    <w:rsid w:val="00D143C4"/>
    <w:rsid w:val="00D15B3F"/>
    <w:rsid w:val="00D15B79"/>
    <w:rsid w:val="00D15FCD"/>
    <w:rsid w:val="00D1648E"/>
    <w:rsid w:val="00D168D3"/>
    <w:rsid w:val="00D1694F"/>
    <w:rsid w:val="00D16C58"/>
    <w:rsid w:val="00D17019"/>
    <w:rsid w:val="00D17DF1"/>
    <w:rsid w:val="00D17DF6"/>
    <w:rsid w:val="00D17FC8"/>
    <w:rsid w:val="00D2015B"/>
    <w:rsid w:val="00D205DE"/>
    <w:rsid w:val="00D20B44"/>
    <w:rsid w:val="00D20F36"/>
    <w:rsid w:val="00D21073"/>
    <w:rsid w:val="00D21168"/>
    <w:rsid w:val="00D21257"/>
    <w:rsid w:val="00D21D36"/>
    <w:rsid w:val="00D2285E"/>
    <w:rsid w:val="00D235FD"/>
    <w:rsid w:val="00D2385D"/>
    <w:rsid w:val="00D23AB0"/>
    <w:rsid w:val="00D2410C"/>
    <w:rsid w:val="00D2438C"/>
    <w:rsid w:val="00D24848"/>
    <w:rsid w:val="00D24FF5"/>
    <w:rsid w:val="00D25696"/>
    <w:rsid w:val="00D2585A"/>
    <w:rsid w:val="00D259B0"/>
    <w:rsid w:val="00D259C2"/>
    <w:rsid w:val="00D26C3F"/>
    <w:rsid w:val="00D26D2D"/>
    <w:rsid w:val="00D27185"/>
    <w:rsid w:val="00D27B4C"/>
    <w:rsid w:val="00D3028A"/>
    <w:rsid w:val="00D30611"/>
    <w:rsid w:val="00D30F66"/>
    <w:rsid w:val="00D30FC6"/>
    <w:rsid w:val="00D32C34"/>
    <w:rsid w:val="00D33488"/>
    <w:rsid w:val="00D33AB3"/>
    <w:rsid w:val="00D33F24"/>
    <w:rsid w:val="00D34160"/>
    <w:rsid w:val="00D343F7"/>
    <w:rsid w:val="00D346B8"/>
    <w:rsid w:val="00D34DCA"/>
    <w:rsid w:val="00D356DB"/>
    <w:rsid w:val="00D35AC8"/>
    <w:rsid w:val="00D35AEC"/>
    <w:rsid w:val="00D35F56"/>
    <w:rsid w:val="00D3621E"/>
    <w:rsid w:val="00D36F7C"/>
    <w:rsid w:val="00D36F87"/>
    <w:rsid w:val="00D37BA6"/>
    <w:rsid w:val="00D37E4E"/>
    <w:rsid w:val="00D400C0"/>
    <w:rsid w:val="00D401BB"/>
    <w:rsid w:val="00D40371"/>
    <w:rsid w:val="00D40E3D"/>
    <w:rsid w:val="00D417D8"/>
    <w:rsid w:val="00D4185E"/>
    <w:rsid w:val="00D41F46"/>
    <w:rsid w:val="00D41F78"/>
    <w:rsid w:val="00D425AA"/>
    <w:rsid w:val="00D426BB"/>
    <w:rsid w:val="00D4288B"/>
    <w:rsid w:val="00D42E6C"/>
    <w:rsid w:val="00D4351C"/>
    <w:rsid w:val="00D43B80"/>
    <w:rsid w:val="00D44196"/>
    <w:rsid w:val="00D4436C"/>
    <w:rsid w:val="00D443DD"/>
    <w:rsid w:val="00D44988"/>
    <w:rsid w:val="00D44EF6"/>
    <w:rsid w:val="00D44F4F"/>
    <w:rsid w:val="00D45364"/>
    <w:rsid w:val="00D457C2"/>
    <w:rsid w:val="00D45B4C"/>
    <w:rsid w:val="00D45BA4"/>
    <w:rsid w:val="00D45CB0"/>
    <w:rsid w:val="00D46934"/>
    <w:rsid w:val="00D46B2B"/>
    <w:rsid w:val="00D47107"/>
    <w:rsid w:val="00D471AF"/>
    <w:rsid w:val="00D471E2"/>
    <w:rsid w:val="00D4724F"/>
    <w:rsid w:val="00D472C8"/>
    <w:rsid w:val="00D47A80"/>
    <w:rsid w:val="00D47E4A"/>
    <w:rsid w:val="00D50519"/>
    <w:rsid w:val="00D505C4"/>
    <w:rsid w:val="00D50779"/>
    <w:rsid w:val="00D50D01"/>
    <w:rsid w:val="00D5104B"/>
    <w:rsid w:val="00D5134E"/>
    <w:rsid w:val="00D51601"/>
    <w:rsid w:val="00D51DCC"/>
    <w:rsid w:val="00D51ECB"/>
    <w:rsid w:val="00D52180"/>
    <w:rsid w:val="00D5264C"/>
    <w:rsid w:val="00D52BBC"/>
    <w:rsid w:val="00D53402"/>
    <w:rsid w:val="00D536EA"/>
    <w:rsid w:val="00D537FE"/>
    <w:rsid w:val="00D538A0"/>
    <w:rsid w:val="00D53CC9"/>
    <w:rsid w:val="00D5436F"/>
    <w:rsid w:val="00D54A6A"/>
    <w:rsid w:val="00D54B8F"/>
    <w:rsid w:val="00D55848"/>
    <w:rsid w:val="00D55951"/>
    <w:rsid w:val="00D559F0"/>
    <w:rsid w:val="00D55A5A"/>
    <w:rsid w:val="00D55AA2"/>
    <w:rsid w:val="00D5650F"/>
    <w:rsid w:val="00D566DE"/>
    <w:rsid w:val="00D56A28"/>
    <w:rsid w:val="00D5748B"/>
    <w:rsid w:val="00D5788C"/>
    <w:rsid w:val="00D57E33"/>
    <w:rsid w:val="00D57EB6"/>
    <w:rsid w:val="00D57F6A"/>
    <w:rsid w:val="00D605AF"/>
    <w:rsid w:val="00D608C0"/>
    <w:rsid w:val="00D60D6D"/>
    <w:rsid w:val="00D6128C"/>
    <w:rsid w:val="00D612E8"/>
    <w:rsid w:val="00D61DD4"/>
    <w:rsid w:val="00D61EC7"/>
    <w:rsid w:val="00D6243B"/>
    <w:rsid w:val="00D62530"/>
    <w:rsid w:val="00D62B8A"/>
    <w:rsid w:val="00D63124"/>
    <w:rsid w:val="00D63417"/>
    <w:rsid w:val="00D634C9"/>
    <w:rsid w:val="00D6361D"/>
    <w:rsid w:val="00D638C2"/>
    <w:rsid w:val="00D63B22"/>
    <w:rsid w:val="00D641E7"/>
    <w:rsid w:val="00D6490E"/>
    <w:rsid w:val="00D64B5A"/>
    <w:rsid w:val="00D6591F"/>
    <w:rsid w:val="00D659BA"/>
    <w:rsid w:val="00D661EF"/>
    <w:rsid w:val="00D66304"/>
    <w:rsid w:val="00D66507"/>
    <w:rsid w:val="00D666C2"/>
    <w:rsid w:val="00D66D4E"/>
    <w:rsid w:val="00D66D8B"/>
    <w:rsid w:val="00D70012"/>
    <w:rsid w:val="00D703A0"/>
    <w:rsid w:val="00D70650"/>
    <w:rsid w:val="00D70849"/>
    <w:rsid w:val="00D70FED"/>
    <w:rsid w:val="00D71301"/>
    <w:rsid w:val="00D71DBD"/>
    <w:rsid w:val="00D72297"/>
    <w:rsid w:val="00D72A1C"/>
    <w:rsid w:val="00D72C52"/>
    <w:rsid w:val="00D72D0C"/>
    <w:rsid w:val="00D72D2C"/>
    <w:rsid w:val="00D7308F"/>
    <w:rsid w:val="00D7313E"/>
    <w:rsid w:val="00D7342D"/>
    <w:rsid w:val="00D73580"/>
    <w:rsid w:val="00D73630"/>
    <w:rsid w:val="00D73802"/>
    <w:rsid w:val="00D73C2C"/>
    <w:rsid w:val="00D73D52"/>
    <w:rsid w:val="00D7405E"/>
    <w:rsid w:val="00D7451B"/>
    <w:rsid w:val="00D745E7"/>
    <w:rsid w:val="00D74890"/>
    <w:rsid w:val="00D74D8F"/>
    <w:rsid w:val="00D75BEC"/>
    <w:rsid w:val="00D75FDA"/>
    <w:rsid w:val="00D766ED"/>
    <w:rsid w:val="00D7711B"/>
    <w:rsid w:val="00D7712A"/>
    <w:rsid w:val="00D771F1"/>
    <w:rsid w:val="00D774ED"/>
    <w:rsid w:val="00D77585"/>
    <w:rsid w:val="00D777C3"/>
    <w:rsid w:val="00D777E0"/>
    <w:rsid w:val="00D7797C"/>
    <w:rsid w:val="00D77C44"/>
    <w:rsid w:val="00D77F88"/>
    <w:rsid w:val="00D800D0"/>
    <w:rsid w:val="00D80BFB"/>
    <w:rsid w:val="00D80C7C"/>
    <w:rsid w:val="00D80EDE"/>
    <w:rsid w:val="00D816DC"/>
    <w:rsid w:val="00D81AFA"/>
    <w:rsid w:val="00D81EAA"/>
    <w:rsid w:val="00D81F25"/>
    <w:rsid w:val="00D81FE2"/>
    <w:rsid w:val="00D8225A"/>
    <w:rsid w:val="00D82412"/>
    <w:rsid w:val="00D8259F"/>
    <w:rsid w:val="00D825F2"/>
    <w:rsid w:val="00D82833"/>
    <w:rsid w:val="00D8285C"/>
    <w:rsid w:val="00D828B1"/>
    <w:rsid w:val="00D82A55"/>
    <w:rsid w:val="00D83028"/>
    <w:rsid w:val="00D830F8"/>
    <w:rsid w:val="00D835AE"/>
    <w:rsid w:val="00D83D49"/>
    <w:rsid w:val="00D8414A"/>
    <w:rsid w:val="00D84181"/>
    <w:rsid w:val="00D84183"/>
    <w:rsid w:val="00D84302"/>
    <w:rsid w:val="00D846AD"/>
    <w:rsid w:val="00D8471B"/>
    <w:rsid w:val="00D84754"/>
    <w:rsid w:val="00D847FE"/>
    <w:rsid w:val="00D84F27"/>
    <w:rsid w:val="00D853F0"/>
    <w:rsid w:val="00D85862"/>
    <w:rsid w:val="00D858CA"/>
    <w:rsid w:val="00D85C8E"/>
    <w:rsid w:val="00D86520"/>
    <w:rsid w:val="00D86C29"/>
    <w:rsid w:val="00D86D47"/>
    <w:rsid w:val="00D8710C"/>
    <w:rsid w:val="00D873C6"/>
    <w:rsid w:val="00D8766B"/>
    <w:rsid w:val="00D9001B"/>
    <w:rsid w:val="00D901FB"/>
    <w:rsid w:val="00D90499"/>
    <w:rsid w:val="00D9074A"/>
    <w:rsid w:val="00D90882"/>
    <w:rsid w:val="00D9099E"/>
    <w:rsid w:val="00D90C15"/>
    <w:rsid w:val="00D90FE4"/>
    <w:rsid w:val="00D912EE"/>
    <w:rsid w:val="00D91550"/>
    <w:rsid w:val="00D9193A"/>
    <w:rsid w:val="00D92138"/>
    <w:rsid w:val="00D923B2"/>
    <w:rsid w:val="00D92463"/>
    <w:rsid w:val="00D935EF"/>
    <w:rsid w:val="00D93D6F"/>
    <w:rsid w:val="00D93E64"/>
    <w:rsid w:val="00D93EC2"/>
    <w:rsid w:val="00D93F64"/>
    <w:rsid w:val="00D93FE9"/>
    <w:rsid w:val="00D94A80"/>
    <w:rsid w:val="00D94B0D"/>
    <w:rsid w:val="00D94CA4"/>
    <w:rsid w:val="00D95274"/>
    <w:rsid w:val="00D952AF"/>
    <w:rsid w:val="00D95353"/>
    <w:rsid w:val="00D95E99"/>
    <w:rsid w:val="00D965D5"/>
    <w:rsid w:val="00D975DE"/>
    <w:rsid w:val="00D978CF"/>
    <w:rsid w:val="00D97D22"/>
    <w:rsid w:val="00D97DA2"/>
    <w:rsid w:val="00D97E58"/>
    <w:rsid w:val="00DA0485"/>
    <w:rsid w:val="00DA0564"/>
    <w:rsid w:val="00DA119B"/>
    <w:rsid w:val="00DA1A3A"/>
    <w:rsid w:val="00DA1FFE"/>
    <w:rsid w:val="00DA2351"/>
    <w:rsid w:val="00DA249E"/>
    <w:rsid w:val="00DA2A21"/>
    <w:rsid w:val="00DA2A32"/>
    <w:rsid w:val="00DA2D3D"/>
    <w:rsid w:val="00DA3273"/>
    <w:rsid w:val="00DA335D"/>
    <w:rsid w:val="00DA361E"/>
    <w:rsid w:val="00DA3855"/>
    <w:rsid w:val="00DA39BA"/>
    <w:rsid w:val="00DA3B64"/>
    <w:rsid w:val="00DA3E79"/>
    <w:rsid w:val="00DA4092"/>
    <w:rsid w:val="00DA4C30"/>
    <w:rsid w:val="00DA4F65"/>
    <w:rsid w:val="00DA5C51"/>
    <w:rsid w:val="00DA6A44"/>
    <w:rsid w:val="00DA6D88"/>
    <w:rsid w:val="00DA72D7"/>
    <w:rsid w:val="00DA794F"/>
    <w:rsid w:val="00DA7A3C"/>
    <w:rsid w:val="00DB0754"/>
    <w:rsid w:val="00DB08D8"/>
    <w:rsid w:val="00DB0A36"/>
    <w:rsid w:val="00DB0B50"/>
    <w:rsid w:val="00DB0F4E"/>
    <w:rsid w:val="00DB1103"/>
    <w:rsid w:val="00DB145E"/>
    <w:rsid w:val="00DB147E"/>
    <w:rsid w:val="00DB18BB"/>
    <w:rsid w:val="00DB1A94"/>
    <w:rsid w:val="00DB1D52"/>
    <w:rsid w:val="00DB1E2B"/>
    <w:rsid w:val="00DB1EC1"/>
    <w:rsid w:val="00DB1F62"/>
    <w:rsid w:val="00DB21E7"/>
    <w:rsid w:val="00DB22ED"/>
    <w:rsid w:val="00DB26A9"/>
    <w:rsid w:val="00DB2E03"/>
    <w:rsid w:val="00DB2E4C"/>
    <w:rsid w:val="00DB3306"/>
    <w:rsid w:val="00DB3742"/>
    <w:rsid w:val="00DB37DF"/>
    <w:rsid w:val="00DB3E9B"/>
    <w:rsid w:val="00DB3F4B"/>
    <w:rsid w:val="00DB4048"/>
    <w:rsid w:val="00DB48A7"/>
    <w:rsid w:val="00DB4CFC"/>
    <w:rsid w:val="00DB5375"/>
    <w:rsid w:val="00DB6081"/>
    <w:rsid w:val="00DB64B2"/>
    <w:rsid w:val="00DB67C1"/>
    <w:rsid w:val="00DB6B7F"/>
    <w:rsid w:val="00DB6C0B"/>
    <w:rsid w:val="00DB6FE2"/>
    <w:rsid w:val="00DB70F4"/>
    <w:rsid w:val="00DB748A"/>
    <w:rsid w:val="00DB74FF"/>
    <w:rsid w:val="00DB774D"/>
    <w:rsid w:val="00DB7809"/>
    <w:rsid w:val="00DC020E"/>
    <w:rsid w:val="00DC049C"/>
    <w:rsid w:val="00DC1056"/>
    <w:rsid w:val="00DC1422"/>
    <w:rsid w:val="00DC1442"/>
    <w:rsid w:val="00DC1AA8"/>
    <w:rsid w:val="00DC1E38"/>
    <w:rsid w:val="00DC1F3E"/>
    <w:rsid w:val="00DC21D8"/>
    <w:rsid w:val="00DC2796"/>
    <w:rsid w:val="00DC282A"/>
    <w:rsid w:val="00DC29A8"/>
    <w:rsid w:val="00DC2B66"/>
    <w:rsid w:val="00DC2DE8"/>
    <w:rsid w:val="00DC31FB"/>
    <w:rsid w:val="00DC3205"/>
    <w:rsid w:val="00DC34DC"/>
    <w:rsid w:val="00DC3780"/>
    <w:rsid w:val="00DC3ADA"/>
    <w:rsid w:val="00DC3CC6"/>
    <w:rsid w:val="00DC3DE2"/>
    <w:rsid w:val="00DC3F55"/>
    <w:rsid w:val="00DC3FBE"/>
    <w:rsid w:val="00DC4003"/>
    <w:rsid w:val="00DC4782"/>
    <w:rsid w:val="00DC4863"/>
    <w:rsid w:val="00DC49BB"/>
    <w:rsid w:val="00DC4D40"/>
    <w:rsid w:val="00DC514A"/>
    <w:rsid w:val="00DC558E"/>
    <w:rsid w:val="00DC55E2"/>
    <w:rsid w:val="00DC5C95"/>
    <w:rsid w:val="00DC67B1"/>
    <w:rsid w:val="00DC7355"/>
    <w:rsid w:val="00DC73F4"/>
    <w:rsid w:val="00DC7BDB"/>
    <w:rsid w:val="00DC7FBC"/>
    <w:rsid w:val="00DD0019"/>
    <w:rsid w:val="00DD03B9"/>
    <w:rsid w:val="00DD044C"/>
    <w:rsid w:val="00DD0EBA"/>
    <w:rsid w:val="00DD132B"/>
    <w:rsid w:val="00DD1373"/>
    <w:rsid w:val="00DD1725"/>
    <w:rsid w:val="00DD2159"/>
    <w:rsid w:val="00DD218B"/>
    <w:rsid w:val="00DD28BA"/>
    <w:rsid w:val="00DD2A18"/>
    <w:rsid w:val="00DD2B19"/>
    <w:rsid w:val="00DD2F9A"/>
    <w:rsid w:val="00DD3044"/>
    <w:rsid w:val="00DD3985"/>
    <w:rsid w:val="00DD3BCF"/>
    <w:rsid w:val="00DD3BD9"/>
    <w:rsid w:val="00DD4A7A"/>
    <w:rsid w:val="00DD4D00"/>
    <w:rsid w:val="00DD54F4"/>
    <w:rsid w:val="00DD5E0C"/>
    <w:rsid w:val="00DD61E8"/>
    <w:rsid w:val="00DD62C0"/>
    <w:rsid w:val="00DD64DE"/>
    <w:rsid w:val="00DD66DE"/>
    <w:rsid w:val="00DD7160"/>
    <w:rsid w:val="00DD76AE"/>
    <w:rsid w:val="00DD7859"/>
    <w:rsid w:val="00DD790F"/>
    <w:rsid w:val="00DD7AB1"/>
    <w:rsid w:val="00DD7B41"/>
    <w:rsid w:val="00DD7EAE"/>
    <w:rsid w:val="00DE0784"/>
    <w:rsid w:val="00DE0A1D"/>
    <w:rsid w:val="00DE0E65"/>
    <w:rsid w:val="00DE15B2"/>
    <w:rsid w:val="00DE174B"/>
    <w:rsid w:val="00DE1A9A"/>
    <w:rsid w:val="00DE1C28"/>
    <w:rsid w:val="00DE1E97"/>
    <w:rsid w:val="00DE3790"/>
    <w:rsid w:val="00DE3D2C"/>
    <w:rsid w:val="00DE4D96"/>
    <w:rsid w:val="00DE4F74"/>
    <w:rsid w:val="00DE53BC"/>
    <w:rsid w:val="00DE5D45"/>
    <w:rsid w:val="00DE5E82"/>
    <w:rsid w:val="00DE5FA6"/>
    <w:rsid w:val="00DE6443"/>
    <w:rsid w:val="00DE6792"/>
    <w:rsid w:val="00DE67EA"/>
    <w:rsid w:val="00DE698C"/>
    <w:rsid w:val="00DE6AA1"/>
    <w:rsid w:val="00DE6C99"/>
    <w:rsid w:val="00DE7D3D"/>
    <w:rsid w:val="00DE7EF7"/>
    <w:rsid w:val="00DF015B"/>
    <w:rsid w:val="00DF02EC"/>
    <w:rsid w:val="00DF072E"/>
    <w:rsid w:val="00DF0BA9"/>
    <w:rsid w:val="00DF0F81"/>
    <w:rsid w:val="00DF10FC"/>
    <w:rsid w:val="00DF1185"/>
    <w:rsid w:val="00DF1299"/>
    <w:rsid w:val="00DF15E2"/>
    <w:rsid w:val="00DF1879"/>
    <w:rsid w:val="00DF1A70"/>
    <w:rsid w:val="00DF1E5F"/>
    <w:rsid w:val="00DF23A8"/>
    <w:rsid w:val="00DF2AAA"/>
    <w:rsid w:val="00DF2F27"/>
    <w:rsid w:val="00DF30F7"/>
    <w:rsid w:val="00DF330A"/>
    <w:rsid w:val="00DF343B"/>
    <w:rsid w:val="00DF36B6"/>
    <w:rsid w:val="00DF3838"/>
    <w:rsid w:val="00DF3A3C"/>
    <w:rsid w:val="00DF3B65"/>
    <w:rsid w:val="00DF4094"/>
    <w:rsid w:val="00DF4296"/>
    <w:rsid w:val="00DF45E2"/>
    <w:rsid w:val="00DF47DD"/>
    <w:rsid w:val="00DF5267"/>
    <w:rsid w:val="00DF53F0"/>
    <w:rsid w:val="00DF5A0A"/>
    <w:rsid w:val="00DF5C79"/>
    <w:rsid w:val="00DF5F38"/>
    <w:rsid w:val="00DF620B"/>
    <w:rsid w:val="00DF6608"/>
    <w:rsid w:val="00DF69D9"/>
    <w:rsid w:val="00DF6CCC"/>
    <w:rsid w:val="00DF6D0C"/>
    <w:rsid w:val="00DF6D68"/>
    <w:rsid w:val="00DF6E20"/>
    <w:rsid w:val="00DF6F64"/>
    <w:rsid w:val="00DF721E"/>
    <w:rsid w:val="00DF7549"/>
    <w:rsid w:val="00DF7B8A"/>
    <w:rsid w:val="00DF7C87"/>
    <w:rsid w:val="00E00428"/>
    <w:rsid w:val="00E0054A"/>
    <w:rsid w:val="00E009B0"/>
    <w:rsid w:val="00E00A12"/>
    <w:rsid w:val="00E00B39"/>
    <w:rsid w:val="00E00C49"/>
    <w:rsid w:val="00E01BD6"/>
    <w:rsid w:val="00E01C9C"/>
    <w:rsid w:val="00E0219D"/>
    <w:rsid w:val="00E0248F"/>
    <w:rsid w:val="00E02547"/>
    <w:rsid w:val="00E02A83"/>
    <w:rsid w:val="00E0368D"/>
    <w:rsid w:val="00E03CB8"/>
    <w:rsid w:val="00E0460D"/>
    <w:rsid w:val="00E04C0F"/>
    <w:rsid w:val="00E052BF"/>
    <w:rsid w:val="00E05370"/>
    <w:rsid w:val="00E0570B"/>
    <w:rsid w:val="00E058A3"/>
    <w:rsid w:val="00E05A0F"/>
    <w:rsid w:val="00E06854"/>
    <w:rsid w:val="00E069C5"/>
    <w:rsid w:val="00E06F27"/>
    <w:rsid w:val="00E079AE"/>
    <w:rsid w:val="00E106A7"/>
    <w:rsid w:val="00E10800"/>
    <w:rsid w:val="00E10810"/>
    <w:rsid w:val="00E10913"/>
    <w:rsid w:val="00E10B87"/>
    <w:rsid w:val="00E111C1"/>
    <w:rsid w:val="00E113A5"/>
    <w:rsid w:val="00E11D09"/>
    <w:rsid w:val="00E11DA3"/>
    <w:rsid w:val="00E121CE"/>
    <w:rsid w:val="00E12209"/>
    <w:rsid w:val="00E1249D"/>
    <w:rsid w:val="00E1263A"/>
    <w:rsid w:val="00E1358D"/>
    <w:rsid w:val="00E13889"/>
    <w:rsid w:val="00E13FD5"/>
    <w:rsid w:val="00E1478B"/>
    <w:rsid w:val="00E14FAC"/>
    <w:rsid w:val="00E15007"/>
    <w:rsid w:val="00E1534F"/>
    <w:rsid w:val="00E1536B"/>
    <w:rsid w:val="00E160B5"/>
    <w:rsid w:val="00E161AD"/>
    <w:rsid w:val="00E16267"/>
    <w:rsid w:val="00E16277"/>
    <w:rsid w:val="00E16EC7"/>
    <w:rsid w:val="00E172B7"/>
    <w:rsid w:val="00E1770D"/>
    <w:rsid w:val="00E17801"/>
    <w:rsid w:val="00E1796C"/>
    <w:rsid w:val="00E17DCC"/>
    <w:rsid w:val="00E17E5C"/>
    <w:rsid w:val="00E17EB5"/>
    <w:rsid w:val="00E202AC"/>
    <w:rsid w:val="00E2060F"/>
    <w:rsid w:val="00E20B27"/>
    <w:rsid w:val="00E21855"/>
    <w:rsid w:val="00E219CE"/>
    <w:rsid w:val="00E21B90"/>
    <w:rsid w:val="00E21D20"/>
    <w:rsid w:val="00E21D93"/>
    <w:rsid w:val="00E22D2A"/>
    <w:rsid w:val="00E23B04"/>
    <w:rsid w:val="00E23CFA"/>
    <w:rsid w:val="00E24071"/>
    <w:rsid w:val="00E2438C"/>
    <w:rsid w:val="00E24524"/>
    <w:rsid w:val="00E24CD7"/>
    <w:rsid w:val="00E24DCA"/>
    <w:rsid w:val="00E24EBC"/>
    <w:rsid w:val="00E24F93"/>
    <w:rsid w:val="00E2522C"/>
    <w:rsid w:val="00E2552F"/>
    <w:rsid w:val="00E25663"/>
    <w:rsid w:val="00E2592E"/>
    <w:rsid w:val="00E2599B"/>
    <w:rsid w:val="00E26435"/>
    <w:rsid w:val="00E267EB"/>
    <w:rsid w:val="00E270A5"/>
    <w:rsid w:val="00E2710C"/>
    <w:rsid w:val="00E272BD"/>
    <w:rsid w:val="00E27428"/>
    <w:rsid w:val="00E305B4"/>
    <w:rsid w:val="00E30A29"/>
    <w:rsid w:val="00E30B93"/>
    <w:rsid w:val="00E3113F"/>
    <w:rsid w:val="00E314AE"/>
    <w:rsid w:val="00E31516"/>
    <w:rsid w:val="00E31651"/>
    <w:rsid w:val="00E319A6"/>
    <w:rsid w:val="00E31AFA"/>
    <w:rsid w:val="00E31B83"/>
    <w:rsid w:val="00E31CB7"/>
    <w:rsid w:val="00E320DD"/>
    <w:rsid w:val="00E324EE"/>
    <w:rsid w:val="00E325C3"/>
    <w:rsid w:val="00E32A4D"/>
    <w:rsid w:val="00E33532"/>
    <w:rsid w:val="00E335CC"/>
    <w:rsid w:val="00E34DB1"/>
    <w:rsid w:val="00E34F7D"/>
    <w:rsid w:val="00E356BF"/>
    <w:rsid w:val="00E35771"/>
    <w:rsid w:val="00E35931"/>
    <w:rsid w:val="00E359FF"/>
    <w:rsid w:val="00E3629C"/>
    <w:rsid w:val="00E36510"/>
    <w:rsid w:val="00E3699A"/>
    <w:rsid w:val="00E36A84"/>
    <w:rsid w:val="00E36F97"/>
    <w:rsid w:val="00E374EE"/>
    <w:rsid w:val="00E402C5"/>
    <w:rsid w:val="00E402F4"/>
    <w:rsid w:val="00E40501"/>
    <w:rsid w:val="00E405F1"/>
    <w:rsid w:val="00E4101A"/>
    <w:rsid w:val="00E417DB"/>
    <w:rsid w:val="00E41B6F"/>
    <w:rsid w:val="00E422F6"/>
    <w:rsid w:val="00E42580"/>
    <w:rsid w:val="00E42CD5"/>
    <w:rsid w:val="00E42F09"/>
    <w:rsid w:val="00E42F62"/>
    <w:rsid w:val="00E43054"/>
    <w:rsid w:val="00E4340C"/>
    <w:rsid w:val="00E43655"/>
    <w:rsid w:val="00E43AE3"/>
    <w:rsid w:val="00E44440"/>
    <w:rsid w:val="00E44502"/>
    <w:rsid w:val="00E45078"/>
    <w:rsid w:val="00E45420"/>
    <w:rsid w:val="00E459DF"/>
    <w:rsid w:val="00E46013"/>
    <w:rsid w:val="00E460BD"/>
    <w:rsid w:val="00E460F0"/>
    <w:rsid w:val="00E47099"/>
    <w:rsid w:val="00E47284"/>
    <w:rsid w:val="00E477C3"/>
    <w:rsid w:val="00E47B78"/>
    <w:rsid w:val="00E5037D"/>
    <w:rsid w:val="00E5051F"/>
    <w:rsid w:val="00E5079C"/>
    <w:rsid w:val="00E51DC7"/>
    <w:rsid w:val="00E51E16"/>
    <w:rsid w:val="00E52671"/>
    <w:rsid w:val="00E52DED"/>
    <w:rsid w:val="00E5333A"/>
    <w:rsid w:val="00E53730"/>
    <w:rsid w:val="00E53889"/>
    <w:rsid w:val="00E53A01"/>
    <w:rsid w:val="00E540EA"/>
    <w:rsid w:val="00E5438D"/>
    <w:rsid w:val="00E54511"/>
    <w:rsid w:val="00E54515"/>
    <w:rsid w:val="00E54961"/>
    <w:rsid w:val="00E54E50"/>
    <w:rsid w:val="00E55288"/>
    <w:rsid w:val="00E56512"/>
    <w:rsid w:val="00E56857"/>
    <w:rsid w:val="00E56C01"/>
    <w:rsid w:val="00E56C14"/>
    <w:rsid w:val="00E57028"/>
    <w:rsid w:val="00E572AF"/>
    <w:rsid w:val="00E573EA"/>
    <w:rsid w:val="00E57577"/>
    <w:rsid w:val="00E5775D"/>
    <w:rsid w:val="00E57DF2"/>
    <w:rsid w:val="00E60384"/>
    <w:rsid w:val="00E60429"/>
    <w:rsid w:val="00E608B1"/>
    <w:rsid w:val="00E61316"/>
    <w:rsid w:val="00E61E8E"/>
    <w:rsid w:val="00E62043"/>
    <w:rsid w:val="00E62204"/>
    <w:rsid w:val="00E6231B"/>
    <w:rsid w:val="00E626B9"/>
    <w:rsid w:val="00E627C9"/>
    <w:rsid w:val="00E630F3"/>
    <w:rsid w:val="00E6311F"/>
    <w:rsid w:val="00E6314C"/>
    <w:rsid w:val="00E63279"/>
    <w:rsid w:val="00E6327E"/>
    <w:rsid w:val="00E6332F"/>
    <w:rsid w:val="00E637C9"/>
    <w:rsid w:val="00E63996"/>
    <w:rsid w:val="00E6399E"/>
    <w:rsid w:val="00E6402D"/>
    <w:rsid w:val="00E643B4"/>
    <w:rsid w:val="00E64BCC"/>
    <w:rsid w:val="00E64CB4"/>
    <w:rsid w:val="00E6507B"/>
    <w:rsid w:val="00E650E4"/>
    <w:rsid w:val="00E6550A"/>
    <w:rsid w:val="00E662C4"/>
    <w:rsid w:val="00E665B7"/>
    <w:rsid w:val="00E666A6"/>
    <w:rsid w:val="00E6680A"/>
    <w:rsid w:val="00E66CB6"/>
    <w:rsid w:val="00E66D3A"/>
    <w:rsid w:val="00E66F0D"/>
    <w:rsid w:val="00E67708"/>
    <w:rsid w:val="00E67883"/>
    <w:rsid w:val="00E70615"/>
    <w:rsid w:val="00E7079C"/>
    <w:rsid w:val="00E70E6C"/>
    <w:rsid w:val="00E70E8B"/>
    <w:rsid w:val="00E7108D"/>
    <w:rsid w:val="00E714B2"/>
    <w:rsid w:val="00E715E7"/>
    <w:rsid w:val="00E7161E"/>
    <w:rsid w:val="00E71822"/>
    <w:rsid w:val="00E7207B"/>
    <w:rsid w:val="00E7253E"/>
    <w:rsid w:val="00E72692"/>
    <w:rsid w:val="00E7275A"/>
    <w:rsid w:val="00E72FBC"/>
    <w:rsid w:val="00E7347A"/>
    <w:rsid w:val="00E73CC5"/>
    <w:rsid w:val="00E742BC"/>
    <w:rsid w:val="00E74634"/>
    <w:rsid w:val="00E74A59"/>
    <w:rsid w:val="00E7541A"/>
    <w:rsid w:val="00E754B7"/>
    <w:rsid w:val="00E75A47"/>
    <w:rsid w:val="00E75BB6"/>
    <w:rsid w:val="00E75CF0"/>
    <w:rsid w:val="00E75D8C"/>
    <w:rsid w:val="00E75F4D"/>
    <w:rsid w:val="00E769C7"/>
    <w:rsid w:val="00E76D7D"/>
    <w:rsid w:val="00E76EC0"/>
    <w:rsid w:val="00E77517"/>
    <w:rsid w:val="00E7772C"/>
    <w:rsid w:val="00E777F2"/>
    <w:rsid w:val="00E77B2B"/>
    <w:rsid w:val="00E8014E"/>
    <w:rsid w:val="00E802C9"/>
    <w:rsid w:val="00E80466"/>
    <w:rsid w:val="00E805F4"/>
    <w:rsid w:val="00E80893"/>
    <w:rsid w:val="00E8098D"/>
    <w:rsid w:val="00E80BFB"/>
    <w:rsid w:val="00E80EC2"/>
    <w:rsid w:val="00E80F0A"/>
    <w:rsid w:val="00E81216"/>
    <w:rsid w:val="00E814FE"/>
    <w:rsid w:val="00E815D4"/>
    <w:rsid w:val="00E81E49"/>
    <w:rsid w:val="00E8291B"/>
    <w:rsid w:val="00E82E54"/>
    <w:rsid w:val="00E82E70"/>
    <w:rsid w:val="00E82F92"/>
    <w:rsid w:val="00E8305C"/>
    <w:rsid w:val="00E83130"/>
    <w:rsid w:val="00E8395F"/>
    <w:rsid w:val="00E8410F"/>
    <w:rsid w:val="00E84923"/>
    <w:rsid w:val="00E84993"/>
    <w:rsid w:val="00E849D7"/>
    <w:rsid w:val="00E858D4"/>
    <w:rsid w:val="00E85E41"/>
    <w:rsid w:val="00E85EA1"/>
    <w:rsid w:val="00E86703"/>
    <w:rsid w:val="00E86E55"/>
    <w:rsid w:val="00E87072"/>
    <w:rsid w:val="00E87206"/>
    <w:rsid w:val="00E900DA"/>
    <w:rsid w:val="00E90508"/>
    <w:rsid w:val="00E90AB0"/>
    <w:rsid w:val="00E91044"/>
    <w:rsid w:val="00E910D3"/>
    <w:rsid w:val="00E91808"/>
    <w:rsid w:val="00E91DEE"/>
    <w:rsid w:val="00E92097"/>
    <w:rsid w:val="00E92154"/>
    <w:rsid w:val="00E923CF"/>
    <w:rsid w:val="00E9277C"/>
    <w:rsid w:val="00E92A5B"/>
    <w:rsid w:val="00E92E9D"/>
    <w:rsid w:val="00E92FD1"/>
    <w:rsid w:val="00E93685"/>
    <w:rsid w:val="00E93713"/>
    <w:rsid w:val="00E93B65"/>
    <w:rsid w:val="00E93C8C"/>
    <w:rsid w:val="00E93D88"/>
    <w:rsid w:val="00E94E03"/>
    <w:rsid w:val="00E95111"/>
    <w:rsid w:val="00E9543A"/>
    <w:rsid w:val="00E9584B"/>
    <w:rsid w:val="00E95E7C"/>
    <w:rsid w:val="00E95FDF"/>
    <w:rsid w:val="00E96283"/>
    <w:rsid w:val="00E96A04"/>
    <w:rsid w:val="00E974FD"/>
    <w:rsid w:val="00E97F2D"/>
    <w:rsid w:val="00E97F79"/>
    <w:rsid w:val="00EA0046"/>
    <w:rsid w:val="00EA04F1"/>
    <w:rsid w:val="00EA14C8"/>
    <w:rsid w:val="00EA15F5"/>
    <w:rsid w:val="00EA1679"/>
    <w:rsid w:val="00EA2110"/>
    <w:rsid w:val="00EA251F"/>
    <w:rsid w:val="00EA256E"/>
    <w:rsid w:val="00EA26A6"/>
    <w:rsid w:val="00EA283A"/>
    <w:rsid w:val="00EA29E8"/>
    <w:rsid w:val="00EA2BA3"/>
    <w:rsid w:val="00EA2C90"/>
    <w:rsid w:val="00EA2E07"/>
    <w:rsid w:val="00EA34AD"/>
    <w:rsid w:val="00EA383B"/>
    <w:rsid w:val="00EA38E9"/>
    <w:rsid w:val="00EA3B5B"/>
    <w:rsid w:val="00EA48F3"/>
    <w:rsid w:val="00EA4B6B"/>
    <w:rsid w:val="00EA4EE4"/>
    <w:rsid w:val="00EA5137"/>
    <w:rsid w:val="00EA5CD2"/>
    <w:rsid w:val="00EA5F76"/>
    <w:rsid w:val="00EA60BF"/>
    <w:rsid w:val="00EA655F"/>
    <w:rsid w:val="00EA6690"/>
    <w:rsid w:val="00EA6AAB"/>
    <w:rsid w:val="00EA7365"/>
    <w:rsid w:val="00EA7386"/>
    <w:rsid w:val="00EA763F"/>
    <w:rsid w:val="00EA76F1"/>
    <w:rsid w:val="00EA77E9"/>
    <w:rsid w:val="00EA7A9C"/>
    <w:rsid w:val="00EA7EC0"/>
    <w:rsid w:val="00EB05D0"/>
    <w:rsid w:val="00EB0651"/>
    <w:rsid w:val="00EB0E9D"/>
    <w:rsid w:val="00EB0F0F"/>
    <w:rsid w:val="00EB1151"/>
    <w:rsid w:val="00EB1255"/>
    <w:rsid w:val="00EB15C3"/>
    <w:rsid w:val="00EB15FD"/>
    <w:rsid w:val="00EB1D49"/>
    <w:rsid w:val="00EB23D9"/>
    <w:rsid w:val="00EB28F1"/>
    <w:rsid w:val="00EB2A5F"/>
    <w:rsid w:val="00EB2E18"/>
    <w:rsid w:val="00EB327D"/>
    <w:rsid w:val="00EB3508"/>
    <w:rsid w:val="00EB39A0"/>
    <w:rsid w:val="00EB3BF3"/>
    <w:rsid w:val="00EB430A"/>
    <w:rsid w:val="00EB47A3"/>
    <w:rsid w:val="00EB48AA"/>
    <w:rsid w:val="00EB4BB8"/>
    <w:rsid w:val="00EB559F"/>
    <w:rsid w:val="00EB566C"/>
    <w:rsid w:val="00EB5A18"/>
    <w:rsid w:val="00EB5B7B"/>
    <w:rsid w:val="00EB5F3D"/>
    <w:rsid w:val="00EB65A3"/>
    <w:rsid w:val="00EB65B6"/>
    <w:rsid w:val="00EB67BF"/>
    <w:rsid w:val="00EB6AEE"/>
    <w:rsid w:val="00EB6B38"/>
    <w:rsid w:val="00EB6C97"/>
    <w:rsid w:val="00EB6F81"/>
    <w:rsid w:val="00EB72BC"/>
    <w:rsid w:val="00EC0EC3"/>
    <w:rsid w:val="00EC17B8"/>
    <w:rsid w:val="00EC1811"/>
    <w:rsid w:val="00EC188E"/>
    <w:rsid w:val="00EC1CEB"/>
    <w:rsid w:val="00EC1DC0"/>
    <w:rsid w:val="00EC1DC2"/>
    <w:rsid w:val="00EC1E09"/>
    <w:rsid w:val="00EC210E"/>
    <w:rsid w:val="00EC21EC"/>
    <w:rsid w:val="00EC24B8"/>
    <w:rsid w:val="00EC268C"/>
    <w:rsid w:val="00EC2722"/>
    <w:rsid w:val="00EC28BA"/>
    <w:rsid w:val="00EC3095"/>
    <w:rsid w:val="00EC323B"/>
    <w:rsid w:val="00EC3753"/>
    <w:rsid w:val="00EC3959"/>
    <w:rsid w:val="00EC4485"/>
    <w:rsid w:val="00EC4532"/>
    <w:rsid w:val="00EC4E71"/>
    <w:rsid w:val="00EC5130"/>
    <w:rsid w:val="00EC52F6"/>
    <w:rsid w:val="00EC5458"/>
    <w:rsid w:val="00EC559E"/>
    <w:rsid w:val="00EC5E26"/>
    <w:rsid w:val="00EC5EA8"/>
    <w:rsid w:val="00EC5EB0"/>
    <w:rsid w:val="00EC5F1C"/>
    <w:rsid w:val="00EC60C6"/>
    <w:rsid w:val="00EC691A"/>
    <w:rsid w:val="00EC6F4D"/>
    <w:rsid w:val="00EC7DD7"/>
    <w:rsid w:val="00ED017A"/>
    <w:rsid w:val="00ED01A8"/>
    <w:rsid w:val="00ED0365"/>
    <w:rsid w:val="00ED0865"/>
    <w:rsid w:val="00ED0C1C"/>
    <w:rsid w:val="00ED0CEF"/>
    <w:rsid w:val="00ED1203"/>
    <w:rsid w:val="00ED12BE"/>
    <w:rsid w:val="00ED17EC"/>
    <w:rsid w:val="00ED18E6"/>
    <w:rsid w:val="00ED19C4"/>
    <w:rsid w:val="00ED19C7"/>
    <w:rsid w:val="00ED1C60"/>
    <w:rsid w:val="00ED2C4F"/>
    <w:rsid w:val="00ED2EB9"/>
    <w:rsid w:val="00ED2FE1"/>
    <w:rsid w:val="00ED3187"/>
    <w:rsid w:val="00ED320F"/>
    <w:rsid w:val="00ED3722"/>
    <w:rsid w:val="00ED374F"/>
    <w:rsid w:val="00ED37C1"/>
    <w:rsid w:val="00ED3A31"/>
    <w:rsid w:val="00ED4045"/>
    <w:rsid w:val="00ED4469"/>
    <w:rsid w:val="00ED4549"/>
    <w:rsid w:val="00ED5424"/>
    <w:rsid w:val="00ED5512"/>
    <w:rsid w:val="00ED56A7"/>
    <w:rsid w:val="00ED59C5"/>
    <w:rsid w:val="00ED5A59"/>
    <w:rsid w:val="00ED5D2D"/>
    <w:rsid w:val="00ED5F23"/>
    <w:rsid w:val="00ED6DC0"/>
    <w:rsid w:val="00ED7A7A"/>
    <w:rsid w:val="00ED7D20"/>
    <w:rsid w:val="00EE02F9"/>
    <w:rsid w:val="00EE0327"/>
    <w:rsid w:val="00EE038C"/>
    <w:rsid w:val="00EE08DA"/>
    <w:rsid w:val="00EE0A04"/>
    <w:rsid w:val="00EE0B60"/>
    <w:rsid w:val="00EE111C"/>
    <w:rsid w:val="00EE12E1"/>
    <w:rsid w:val="00EE15B8"/>
    <w:rsid w:val="00EE1881"/>
    <w:rsid w:val="00EE28C5"/>
    <w:rsid w:val="00EE2AF3"/>
    <w:rsid w:val="00EE2F09"/>
    <w:rsid w:val="00EE3306"/>
    <w:rsid w:val="00EE42BF"/>
    <w:rsid w:val="00EE4334"/>
    <w:rsid w:val="00EE47C5"/>
    <w:rsid w:val="00EE4835"/>
    <w:rsid w:val="00EE490C"/>
    <w:rsid w:val="00EE4978"/>
    <w:rsid w:val="00EE4E57"/>
    <w:rsid w:val="00EE5738"/>
    <w:rsid w:val="00EE5836"/>
    <w:rsid w:val="00EE58BD"/>
    <w:rsid w:val="00EE5DDC"/>
    <w:rsid w:val="00EE5E59"/>
    <w:rsid w:val="00EE658E"/>
    <w:rsid w:val="00EE668C"/>
    <w:rsid w:val="00EE6ECB"/>
    <w:rsid w:val="00EE73D0"/>
    <w:rsid w:val="00EE7435"/>
    <w:rsid w:val="00EE79EB"/>
    <w:rsid w:val="00EE7CB0"/>
    <w:rsid w:val="00EE7D51"/>
    <w:rsid w:val="00EF088C"/>
    <w:rsid w:val="00EF08A8"/>
    <w:rsid w:val="00EF0C8A"/>
    <w:rsid w:val="00EF167B"/>
    <w:rsid w:val="00EF1C81"/>
    <w:rsid w:val="00EF1D7E"/>
    <w:rsid w:val="00EF1F2E"/>
    <w:rsid w:val="00EF1FA6"/>
    <w:rsid w:val="00EF201B"/>
    <w:rsid w:val="00EF2496"/>
    <w:rsid w:val="00EF37CC"/>
    <w:rsid w:val="00EF3E48"/>
    <w:rsid w:val="00EF41A8"/>
    <w:rsid w:val="00EF44FB"/>
    <w:rsid w:val="00EF5122"/>
    <w:rsid w:val="00EF5554"/>
    <w:rsid w:val="00EF5AD8"/>
    <w:rsid w:val="00EF6B90"/>
    <w:rsid w:val="00EF733A"/>
    <w:rsid w:val="00EF7469"/>
    <w:rsid w:val="00EF7807"/>
    <w:rsid w:val="00EF790B"/>
    <w:rsid w:val="00EF79F7"/>
    <w:rsid w:val="00EF7C3C"/>
    <w:rsid w:val="00EF7DD4"/>
    <w:rsid w:val="00F006C0"/>
    <w:rsid w:val="00F00E7B"/>
    <w:rsid w:val="00F0125F"/>
    <w:rsid w:val="00F01314"/>
    <w:rsid w:val="00F0177C"/>
    <w:rsid w:val="00F019AA"/>
    <w:rsid w:val="00F01A77"/>
    <w:rsid w:val="00F01AF2"/>
    <w:rsid w:val="00F0222A"/>
    <w:rsid w:val="00F022BE"/>
    <w:rsid w:val="00F02324"/>
    <w:rsid w:val="00F0267E"/>
    <w:rsid w:val="00F02686"/>
    <w:rsid w:val="00F02AE2"/>
    <w:rsid w:val="00F02F69"/>
    <w:rsid w:val="00F030C0"/>
    <w:rsid w:val="00F03291"/>
    <w:rsid w:val="00F03521"/>
    <w:rsid w:val="00F0391B"/>
    <w:rsid w:val="00F03A85"/>
    <w:rsid w:val="00F03DA4"/>
    <w:rsid w:val="00F03DEA"/>
    <w:rsid w:val="00F0459B"/>
    <w:rsid w:val="00F0480E"/>
    <w:rsid w:val="00F04A2D"/>
    <w:rsid w:val="00F04C98"/>
    <w:rsid w:val="00F04E15"/>
    <w:rsid w:val="00F04F5C"/>
    <w:rsid w:val="00F05C79"/>
    <w:rsid w:val="00F05DF3"/>
    <w:rsid w:val="00F06640"/>
    <w:rsid w:val="00F06829"/>
    <w:rsid w:val="00F069EA"/>
    <w:rsid w:val="00F06D05"/>
    <w:rsid w:val="00F06FF5"/>
    <w:rsid w:val="00F070E5"/>
    <w:rsid w:val="00F07340"/>
    <w:rsid w:val="00F076B1"/>
    <w:rsid w:val="00F07DDE"/>
    <w:rsid w:val="00F10106"/>
    <w:rsid w:val="00F10765"/>
    <w:rsid w:val="00F10A63"/>
    <w:rsid w:val="00F10D93"/>
    <w:rsid w:val="00F112DA"/>
    <w:rsid w:val="00F11675"/>
    <w:rsid w:val="00F123DA"/>
    <w:rsid w:val="00F12511"/>
    <w:rsid w:val="00F12557"/>
    <w:rsid w:val="00F12A81"/>
    <w:rsid w:val="00F12C27"/>
    <w:rsid w:val="00F130C1"/>
    <w:rsid w:val="00F13351"/>
    <w:rsid w:val="00F13363"/>
    <w:rsid w:val="00F13493"/>
    <w:rsid w:val="00F13599"/>
    <w:rsid w:val="00F13B28"/>
    <w:rsid w:val="00F148B5"/>
    <w:rsid w:val="00F1495E"/>
    <w:rsid w:val="00F14DC3"/>
    <w:rsid w:val="00F156A0"/>
    <w:rsid w:val="00F15730"/>
    <w:rsid w:val="00F15FA3"/>
    <w:rsid w:val="00F161DC"/>
    <w:rsid w:val="00F162F5"/>
    <w:rsid w:val="00F168EC"/>
    <w:rsid w:val="00F16EC9"/>
    <w:rsid w:val="00F16EF2"/>
    <w:rsid w:val="00F17117"/>
    <w:rsid w:val="00F17686"/>
    <w:rsid w:val="00F176A6"/>
    <w:rsid w:val="00F17D01"/>
    <w:rsid w:val="00F202C2"/>
    <w:rsid w:val="00F20694"/>
    <w:rsid w:val="00F212F6"/>
    <w:rsid w:val="00F215C7"/>
    <w:rsid w:val="00F21D14"/>
    <w:rsid w:val="00F21E27"/>
    <w:rsid w:val="00F22756"/>
    <w:rsid w:val="00F23248"/>
    <w:rsid w:val="00F236DE"/>
    <w:rsid w:val="00F23890"/>
    <w:rsid w:val="00F2393F"/>
    <w:rsid w:val="00F23CCB"/>
    <w:rsid w:val="00F23DDD"/>
    <w:rsid w:val="00F23E70"/>
    <w:rsid w:val="00F241F4"/>
    <w:rsid w:val="00F2430B"/>
    <w:rsid w:val="00F24DC4"/>
    <w:rsid w:val="00F2504D"/>
    <w:rsid w:val="00F252AB"/>
    <w:rsid w:val="00F254E8"/>
    <w:rsid w:val="00F257D2"/>
    <w:rsid w:val="00F25806"/>
    <w:rsid w:val="00F25870"/>
    <w:rsid w:val="00F260FB"/>
    <w:rsid w:val="00F2637F"/>
    <w:rsid w:val="00F268F7"/>
    <w:rsid w:val="00F270D8"/>
    <w:rsid w:val="00F27ED9"/>
    <w:rsid w:val="00F3037A"/>
    <w:rsid w:val="00F303C9"/>
    <w:rsid w:val="00F3099C"/>
    <w:rsid w:val="00F30A01"/>
    <w:rsid w:val="00F30B83"/>
    <w:rsid w:val="00F30BBB"/>
    <w:rsid w:val="00F30BDB"/>
    <w:rsid w:val="00F30CF8"/>
    <w:rsid w:val="00F31A62"/>
    <w:rsid w:val="00F31B0E"/>
    <w:rsid w:val="00F31EDF"/>
    <w:rsid w:val="00F32CDE"/>
    <w:rsid w:val="00F32D4C"/>
    <w:rsid w:val="00F32E25"/>
    <w:rsid w:val="00F32FAB"/>
    <w:rsid w:val="00F3327E"/>
    <w:rsid w:val="00F3358B"/>
    <w:rsid w:val="00F338C3"/>
    <w:rsid w:val="00F34255"/>
    <w:rsid w:val="00F34828"/>
    <w:rsid w:val="00F34B14"/>
    <w:rsid w:val="00F34F58"/>
    <w:rsid w:val="00F355B1"/>
    <w:rsid w:val="00F35DA7"/>
    <w:rsid w:val="00F36206"/>
    <w:rsid w:val="00F36A6A"/>
    <w:rsid w:val="00F3718C"/>
    <w:rsid w:val="00F400A0"/>
    <w:rsid w:val="00F40101"/>
    <w:rsid w:val="00F404F7"/>
    <w:rsid w:val="00F40765"/>
    <w:rsid w:val="00F409F3"/>
    <w:rsid w:val="00F40CCA"/>
    <w:rsid w:val="00F41118"/>
    <w:rsid w:val="00F4179F"/>
    <w:rsid w:val="00F41BEC"/>
    <w:rsid w:val="00F41F94"/>
    <w:rsid w:val="00F42555"/>
    <w:rsid w:val="00F42A8F"/>
    <w:rsid w:val="00F42B48"/>
    <w:rsid w:val="00F42D97"/>
    <w:rsid w:val="00F42FCF"/>
    <w:rsid w:val="00F4358D"/>
    <w:rsid w:val="00F436B2"/>
    <w:rsid w:val="00F43739"/>
    <w:rsid w:val="00F43813"/>
    <w:rsid w:val="00F43A21"/>
    <w:rsid w:val="00F43FEE"/>
    <w:rsid w:val="00F4403C"/>
    <w:rsid w:val="00F4492F"/>
    <w:rsid w:val="00F44DB5"/>
    <w:rsid w:val="00F44E8E"/>
    <w:rsid w:val="00F45787"/>
    <w:rsid w:val="00F45A72"/>
    <w:rsid w:val="00F460A5"/>
    <w:rsid w:val="00F462A4"/>
    <w:rsid w:val="00F46723"/>
    <w:rsid w:val="00F46DCA"/>
    <w:rsid w:val="00F4706D"/>
    <w:rsid w:val="00F470C1"/>
    <w:rsid w:val="00F47422"/>
    <w:rsid w:val="00F47511"/>
    <w:rsid w:val="00F476E1"/>
    <w:rsid w:val="00F47D1D"/>
    <w:rsid w:val="00F47F29"/>
    <w:rsid w:val="00F50016"/>
    <w:rsid w:val="00F503A6"/>
    <w:rsid w:val="00F50809"/>
    <w:rsid w:val="00F50A24"/>
    <w:rsid w:val="00F50B3F"/>
    <w:rsid w:val="00F5118A"/>
    <w:rsid w:val="00F514AC"/>
    <w:rsid w:val="00F51A21"/>
    <w:rsid w:val="00F5234E"/>
    <w:rsid w:val="00F52614"/>
    <w:rsid w:val="00F5266A"/>
    <w:rsid w:val="00F52759"/>
    <w:rsid w:val="00F5276E"/>
    <w:rsid w:val="00F52E9F"/>
    <w:rsid w:val="00F53304"/>
    <w:rsid w:val="00F53643"/>
    <w:rsid w:val="00F53B81"/>
    <w:rsid w:val="00F53BA1"/>
    <w:rsid w:val="00F53F78"/>
    <w:rsid w:val="00F540FE"/>
    <w:rsid w:val="00F544EC"/>
    <w:rsid w:val="00F5459A"/>
    <w:rsid w:val="00F54BF6"/>
    <w:rsid w:val="00F54D3A"/>
    <w:rsid w:val="00F55503"/>
    <w:rsid w:val="00F55582"/>
    <w:rsid w:val="00F556FF"/>
    <w:rsid w:val="00F559C3"/>
    <w:rsid w:val="00F55AB9"/>
    <w:rsid w:val="00F55D12"/>
    <w:rsid w:val="00F56680"/>
    <w:rsid w:val="00F5687F"/>
    <w:rsid w:val="00F56BFC"/>
    <w:rsid w:val="00F56D3F"/>
    <w:rsid w:val="00F575C7"/>
    <w:rsid w:val="00F57847"/>
    <w:rsid w:val="00F57B7A"/>
    <w:rsid w:val="00F57D13"/>
    <w:rsid w:val="00F57E91"/>
    <w:rsid w:val="00F57FD0"/>
    <w:rsid w:val="00F60305"/>
    <w:rsid w:val="00F608F9"/>
    <w:rsid w:val="00F60EAF"/>
    <w:rsid w:val="00F60F47"/>
    <w:rsid w:val="00F611F1"/>
    <w:rsid w:val="00F61B12"/>
    <w:rsid w:val="00F61C70"/>
    <w:rsid w:val="00F62386"/>
    <w:rsid w:val="00F627D9"/>
    <w:rsid w:val="00F62A9A"/>
    <w:rsid w:val="00F62D0F"/>
    <w:rsid w:val="00F631C1"/>
    <w:rsid w:val="00F63264"/>
    <w:rsid w:val="00F632E0"/>
    <w:rsid w:val="00F633A9"/>
    <w:rsid w:val="00F634E4"/>
    <w:rsid w:val="00F6379E"/>
    <w:rsid w:val="00F64047"/>
    <w:rsid w:val="00F6425A"/>
    <w:rsid w:val="00F64CD1"/>
    <w:rsid w:val="00F65171"/>
    <w:rsid w:val="00F6560D"/>
    <w:rsid w:val="00F65DDB"/>
    <w:rsid w:val="00F664BA"/>
    <w:rsid w:val="00F668F1"/>
    <w:rsid w:val="00F67709"/>
    <w:rsid w:val="00F67844"/>
    <w:rsid w:val="00F7062C"/>
    <w:rsid w:val="00F70799"/>
    <w:rsid w:val="00F70A8B"/>
    <w:rsid w:val="00F70B8D"/>
    <w:rsid w:val="00F70EB6"/>
    <w:rsid w:val="00F71287"/>
    <w:rsid w:val="00F7134D"/>
    <w:rsid w:val="00F71936"/>
    <w:rsid w:val="00F72130"/>
    <w:rsid w:val="00F724FB"/>
    <w:rsid w:val="00F726B8"/>
    <w:rsid w:val="00F72A26"/>
    <w:rsid w:val="00F72B82"/>
    <w:rsid w:val="00F72E91"/>
    <w:rsid w:val="00F72FA0"/>
    <w:rsid w:val="00F7303B"/>
    <w:rsid w:val="00F7312B"/>
    <w:rsid w:val="00F733C3"/>
    <w:rsid w:val="00F73A66"/>
    <w:rsid w:val="00F73F94"/>
    <w:rsid w:val="00F746A1"/>
    <w:rsid w:val="00F74820"/>
    <w:rsid w:val="00F74FF9"/>
    <w:rsid w:val="00F7511C"/>
    <w:rsid w:val="00F756DD"/>
    <w:rsid w:val="00F757CD"/>
    <w:rsid w:val="00F75D7D"/>
    <w:rsid w:val="00F75E89"/>
    <w:rsid w:val="00F75FD5"/>
    <w:rsid w:val="00F75FFA"/>
    <w:rsid w:val="00F779DB"/>
    <w:rsid w:val="00F77A97"/>
    <w:rsid w:val="00F77AEC"/>
    <w:rsid w:val="00F77BF2"/>
    <w:rsid w:val="00F77F4E"/>
    <w:rsid w:val="00F80047"/>
    <w:rsid w:val="00F800C7"/>
    <w:rsid w:val="00F801A3"/>
    <w:rsid w:val="00F8085A"/>
    <w:rsid w:val="00F80B63"/>
    <w:rsid w:val="00F80E76"/>
    <w:rsid w:val="00F8104D"/>
    <w:rsid w:val="00F81404"/>
    <w:rsid w:val="00F8153F"/>
    <w:rsid w:val="00F81587"/>
    <w:rsid w:val="00F8196D"/>
    <w:rsid w:val="00F823B7"/>
    <w:rsid w:val="00F8288F"/>
    <w:rsid w:val="00F82AA7"/>
    <w:rsid w:val="00F8350F"/>
    <w:rsid w:val="00F8376E"/>
    <w:rsid w:val="00F83989"/>
    <w:rsid w:val="00F83B1F"/>
    <w:rsid w:val="00F83C52"/>
    <w:rsid w:val="00F84334"/>
    <w:rsid w:val="00F84802"/>
    <w:rsid w:val="00F84CC1"/>
    <w:rsid w:val="00F856E7"/>
    <w:rsid w:val="00F85B72"/>
    <w:rsid w:val="00F860A5"/>
    <w:rsid w:val="00F862C0"/>
    <w:rsid w:val="00F86540"/>
    <w:rsid w:val="00F865CE"/>
    <w:rsid w:val="00F86931"/>
    <w:rsid w:val="00F86A08"/>
    <w:rsid w:val="00F86AD2"/>
    <w:rsid w:val="00F87045"/>
    <w:rsid w:val="00F8766F"/>
    <w:rsid w:val="00F87E51"/>
    <w:rsid w:val="00F90282"/>
    <w:rsid w:val="00F9075F"/>
    <w:rsid w:val="00F9089F"/>
    <w:rsid w:val="00F908B4"/>
    <w:rsid w:val="00F90C15"/>
    <w:rsid w:val="00F91082"/>
    <w:rsid w:val="00F9112B"/>
    <w:rsid w:val="00F9116D"/>
    <w:rsid w:val="00F91342"/>
    <w:rsid w:val="00F91577"/>
    <w:rsid w:val="00F9188B"/>
    <w:rsid w:val="00F919FB"/>
    <w:rsid w:val="00F91A9A"/>
    <w:rsid w:val="00F91D09"/>
    <w:rsid w:val="00F91DDA"/>
    <w:rsid w:val="00F9206E"/>
    <w:rsid w:val="00F92108"/>
    <w:rsid w:val="00F92527"/>
    <w:rsid w:val="00F92634"/>
    <w:rsid w:val="00F9264F"/>
    <w:rsid w:val="00F92EC3"/>
    <w:rsid w:val="00F92F7B"/>
    <w:rsid w:val="00F93093"/>
    <w:rsid w:val="00F93180"/>
    <w:rsid w:val="00F933F3"/>
    <w:rsid w:val="00F93ABB"/>
    <w:rsid w:val="00F93B44"/>
    <w:rsid w:val="00F94C16"/>
    <w:rsid w:val="00F94D79"/>
    <w:rsid w:val="00F96208"/>
    <w:rsid w:val="00F96269"/>
    <w:rsid w:val="00F9658C"/>
    <w:rsid w:val="00F96DF6"/>
    <w:rsid w:val="00F96EEB"/>
    <w:rsid w:val="00F97308"/>
    <w:rsid w:val="00F97604"/>
    <w:rsid w:val="00F97A7F"/>
    <w:rsid w:val="00F97CD0"/>
    <w:rsid w:val="00FA03DE"/>
    <w:rsid w:val="00FA07E4"/>
    <w:rsid w:val="00FA0889"/>
    <w:rsid w:val="00FA100B"/>
    <w:rsid w:val="00FA1336"/>
    <w:rsid w:val="00FA15E9"/>
    <w:rsid w:val="00FA16E7"/>
    <w:rsid w:val="00FA23E5"/>
    <w:rsid w:val="00FA2CDC"/>
    <w:rsid w:val="00FA2D86"/>
    <w:rsid w:val="00FA31C7"/>
    <w:rsid w:val="00FA42C6"/>
    <w:rsid w:val="00FA472D"/>
    <w:rsid w:val="00FA484A"/>
    <w:rsid w:val="00FA49A0"/>
    <w:rsid w:val="00FA4B7C"/>
    <w:rsid w:val="00FA4C24"/>
    <w:rsid w:val="00FA4F5C"/>
    <w:rsid w:val="00FA5149"/>
    <w:rsid w:val="00FA6593"/>
    <w:rsid w:val="00FA681F"/>
    <w:rsid w:val="00FA6E09"/>
    <w:rsid w:val="00FA756F"/>
    <w:rsid w:val="00FA797A"/>
    <w:rsid w:val="00FB02E7"/>
    <w:rsid w:val="00FB0755"/>
    <w:rsid w:val="00FB0C42"/>
    <w:rsid w:val="00FB0CBF"/>
    <w:rsid w:val="00FB1812"/>
    <w:rsid w:val="00FB18F6"/>
    <w:rsid w:val="00FB1A71"/>
    <w:rsid w:val="00FB2A52"/>
    <w:rsid w:val="00FB2CD5"/>
    <w:rsid w:val="00FB2E73"/>
    <w:rsid w:val="00FB372E"/>
    <w:rsid w:val="00FB38ED"/>
    <w:rsid w:val="00FB3A7E"/>
    <w:rsid w:val="00FB3F25"/>
    <w:rsid w:val="00FB3F92"/>
    <w:rsid w:val="00FB4134"/>
    <w:rsid w:val="00FB4374"/>
    <w:rsid w:val="00FB444F"/>
    <w:rsid w:val="00FB492C"/>
    <w:rsid w:val="00FB52C7"/>
    <w:rsid w:val="00FB55A3"/>
    <w:rsid w:val="00FB566B"/>
    <w:rsid w:val="00FB57DC"/>
    <w:rsid w:val="00FB5940"/>
    <w:rsid w:val="00FB6E19"/>
    <w:rsid w:val="00FB7153"/>
    <w:rsid w:val="00FB71F6"/>
    <w:rsid w:val="00FC0158"/>
    <w:rsid w:val="00FC07AF"/>
    <w:rsid w:val="00FC0AF8"/>
    <w:rsid w:val="00FC0B69"/>
    <w:rsid w:val="00FC13A6"/>
    <w:rsid w:val="00FC1483"/>
    <w:rsid w:val="00FC1B7D"/>
    <w:rsid w:val="00FC1C47"/>
    <w:rsid w:val="00FC2B2A"/>
    <w:rsid w:val="00FC3102"/>
    <w:rsid w:val="00FC32E2"/>
    <w:rsid w:val="00FC342F"/>
    <w:rsid w:val="00FC3686"/>
    <w:rsid w:val="00FC36F0"/>
    <w:rsid w:val="00FC39ED"/>
    <w:rsid w:val="00FC3CD9"/>
    <w:rsid w:val="00FC4419"/>
    <w:rsid w:val="00FC47E2"/>
    <w:rsid w:val="00FC4A79"/>
    <w:rsid w:val="00FC4AA5"/>
    <w:rsid w:val="00FC4B88"/>
    <w:rsid w:val="00FC4BB8"/>
    <w:rsid w:val="00FC4EC1"/>
    <w:rsid w:val="00FC5148"/>
    <w:rsid w:val="00FC560A"/>
    <w:rsid w:val="00FC6119"/>
    <w:rsid w:val="00FC619E"/>
    <w:rsid w:val="00FC6524"/>
    <w:rsid w:val="00FC6528"/>
    <w:rsid w:val="00FC6556"/>
    <w:rsid w:val="00FC6B58"/>
    <w:rsid w:val="00FC6C96"/>
    <w:rsid w:val="00FC75AC"/>
    <w:rsid w:val="00FC75F9"/>
    <w:rsid w:val="00FC7732"/>
    <w:rsid w:val="00FC7984"/>
    <w:rsid w:val="00FC7A89"/>
    <w:rsid w:val="00FC7BEF"/>
    <w:rsid w:val="00FC7E05"/>
    <w:rsid w:val="00FC7E84"/>
    <w:rsid w:val="00FD01BF"/>
    <w:rsid w:val="00FD050D"/>
    <w:rsid w:val="00FD0525"/>
    <w:rsid w:val="00FD0610"/>
    <w:rsid w:val="00FD0816"/>
    <w:rsid w:val="00FD0AB7"/>
    <w:rsid w:val="00FD1094"/>
    <w:rsid w:val="00FD1154"/>
    <w:rsid w:val="00FD1879"/>
    <w:rsid w:val="00FD1B2B"/>
    <w:rsid w:val="00FD1BCF"/>
    <w:rsid w:val="00FD1D82"/>
    <w:rsid w:val="00FD26A9"/>
    <w:rsid w:val="00FD2879"/>
    <w:rsid w:val="00FD297D"/>
    <w:rsid w:val="00FD2B18"/>
    <w:rsid w:val="00FD2D13"/>
    <w:rsid w:val="00FD3591"/>
    <w:rsid w:val="00FD374D"/>
    <w:rsid w:val="00FD37B2"/>
    <w:rsid w:val="00FD3A4F"/>
    <w:rsid w:val="00FD40F7"/>
    <w:rsid w:val="00FD46AA"/>
    <w:rsid w:val="00FD4C26"/>
    <w:rsid w:val="00FD4CF5"/>
    <w:rsid w:val="00FD514A"/>
    <w:rsid w:val="00FD5B76"/>
    <w:rsid w:val="00FD6071"/>
    <w:rsid w:val="00FD633B"/>
    <w:rsid w:val="00FD6968"/>
    <w:rsid w:val="00FD69AE"/>
    <w:rsid w:val="00FD6C91"/>
    <w:rsid w:val="00FD7BBF"/>
    <w:rsid w:val="00FE057E"/>
    <w:rsid w:val="00FE0712"/>
    <w:rsid w:val="00FE0794"/>
    <w:rsid w:val="00FE1041"/>
    <w:rsid w:val="00FE1726"/>
    <w:rsid w:val="00FE2079"/>
    <w:rsid w:val="00FE24CB"/>
    <w:rsid w:val="00FE3004"/>
    <w:rsid w:val="00FE30E2"/>
    <w:rsid w:val="00FE323F"/>
    <w:rsid w:val="00FE3473"/>
    <w:rsid w:val="00FE38F0"/>
    <w:rsid w:val="00FE4049"/>
    <w:rsid w:val="00FE4794"/>
    <w:rsid w:val="00FE480F"/>
    <w:rsid w:val="00FE4998"/>
    <w:rsid w:val="00FE50F8"/>
    <w:rsid w:val="00FE57DE"/>
    <w:rsid w:val="00FE59C0"/>
    <w:rsid w:val="00FE6246"/>
    <w:rsid w:val="00FE6706"/>
    <w:rsid w:val="00FE6E29"/>
    <w:rsid w:val="00FE79AD"/>
    <w:rsid w:val="00FE7A68"/>
    <w:rsid w:val="00FF0231"/>
    <w:rsid w:val="00FF0819"/>
    <w:rsid w:val="00FF15A8"/>
    <w:rsid w:val="00FF1C9B"/>
    <w:rsid w:val="00FF1D49"/>
    <w:rsid w:val="00FF1E02"/>
    <w:rsid w:val="00FF203B"/>
    <w:rsid w:val="00FF2562"/>
    <w:rsid w:val="00FF327D"/>
    <w:rsid w:val="00FF3445"/>
    <w:rsid w:val="00FF3643"/>
    <w:rsid w:val="00FF3A41"/>
    <w:rsid w:val="00FF3DB8"/>
    <w:rsid w:val="00FF3E5B"/>
    <w:rsid w:val="00FF3EB5"/>
    <w:rsid w:val="00FF3F92"/>
    <w:rsid w:val="00FF463F"/>
    <w:rsid w:val="00FF4D84"/>
    <w:rsid w:val="00FF51EC"/>
    <w:rsid w:val="00FF525E"/>
    <w:rsid w:val="00FF57E4"/>
    <w:rsid w:val="00FF58CE"/>
    <w:rsid w:val="00FF5A77"/>
    <w:rsid w:val="00FF60DE"/>
    <w:rsid w:val="00FF6BBC"/>
    <w:rsid w:val="00FF7069"/>
    <w:rsid w:val="00FF721A"/>
    <w:rsid w:val="00FF78E5"/>
    <w:rsid w:val="012C5FAF"/>
    <w:rsid w:val="01660D1E"/>
    <w:rsid w:val="01AF3D99"/>
    <w:rsid w:val="020B07BA"/>
    <w:rsid w:val="02230864"/>
    <w:rsid w:val="02511F9D"/>
    <w:rsid w:val="03A314B8"/>
    <w:rsid w:val="03D82B98"/>
    <w:rsid w:val="03F83E8B"/>
    <w:rsid w:val="0457059D"/>
    <w:rsid w:val="05C56868"/>
    <w:rsid w:val="06DD6751"/>
    <w:rsid w:val="07A539BD"/>
    <w:rsid w:val="07B72767"/>
    <w:rsid w:val="08077E72"/>
    <w:rsid w:val="08882DD0"/>
    <w:rsid w:val="08A800C4"/>
    <w:rsid w:val="09CC2AAC"/>
    <w:rsid w:val="0A652D3E"/>
    <w:rsid w:val="0B326F2A"/>
    <w:rsid w:val="0C1E2888"/>
    <w:rsid w:val="0C4A2A46"/>
    <w:rsid w:val="0C92213C"/>
    <w:rsid w:val="0CC2027E"/>
    <w:rsid w:val="0D84032B"/>
    <w:rsid w:val="0E9846CE"/>
    <w:rsid w:val="0F2A74C4"/>
    <w:rsid w:val="10A27F31"/>
    <w:rsid w:val="11927058"/>
    <w:rsid w:val="120E171E"/>
    <w:rsid w:val="13AF4F03"/>
    <w:rsid w:val="14736E66"/>
    <w:rsid w:val="147F458F"/>
    <w:rsid w:val="150C0679"/>
    <w:rsid w:val="1534169A"/>
    <w:rsid w:val="15C03E03"/>
    <w:rsid w:val="162A25EB"/>
    <w:rsid w:val="16735895"/>
    <w:rsid w:val="16FD2A55"/>
    <w:rsid w:val="17067C1A"/>
    <w:rsid w:val="17366761"/>
    <w:rsid w:val="177C01F0"/>
    <w:rsid w:val="179E3EFA"/>
    <w:rsid w:val="17CE6630"/>
    <w:rsid w:val="17DB3DC3"/>
    <w:rsid w:val="1AFF0AFE"/>
    <w:rsid w:val="1B4F19F8"/>
    <w:rsid w:val="1C0E1175"/>
    <w:rsid w:val="1DA87552"/>
    <w:rsid w:val="1ECC44FA"/>
    <w:rsid w:val="1F063325"/>
    <w:rsid w:val="1FBC5DF5"/>
    <w:rsid w:val="1FF90588"/>
    <w:rsid w:val="20C3623F"/>
    <w:rsid w:val="21781212"/>
    <w:rsid w:val="21B83F86"/>
    <w:rsid w:val="221178A8"/>
    <w:rsid w:val="221213CF"/>
    <w:rsid w:val="22327A92"/>
    <w:rsid w:val="223E6C07"/>
    <w:rsid w:val="231D53A2"/>
    <w:rsid w:val="236D5383"/>
    <w:rsid w:val="23B7504C"/>
    <w:rsid w:val="24571307"/>
    <w:rsid w:val="2484136D"/>
    <w:rsid w:val="25110A2A"/>
    <w:rsid w:val="256C0944"/>
    <w:rsid w:val="25950217"/>
    <w:rsid w:val="25BC29C0"/>
    <w:rsid w:val="26446DE3"/>
    <w:rsid w:val="26877DFE"/>
    <w:rsid w:val="269669E7"/>
    <w:rsid w:val="26A270C1"/>
    <w:rsid w:val="26D7699F"/>
    <w:rsid w:val="280254B5"/>
    <w:rsid w:val="29D75F7F"/>
    <w:rsid w:val="2B774624"/>
    <w:rsid w:val="2C7566AC"/>
    <w:rsid w:val="2C7A72BE"/>
    <w:rsid w:val="2C9A7D75"/>
    <w:rsid w:val="2CC17412"/>
    <w:rsid w:val="2D7C1E99"/>
    <w:rsid w:val="2E9976CE"/>
    <w:rsid w:val="2EF01DEE"/>
    <w:rsid w:val="2F401D3C"/>
    <w:rsid w:val="2F5B24E1"/>
    <w:rsid w:val="2FA95C88"/>
    <w:rsid w:val="3041370F"/>
    <w:rsid w:val="30B87FED"/>
    <w:rsid w:val="312B50A3"/>
    <w:rsid w:val="31894FD2"/>
    <w:rsid w:val="31D200FD"/>
    <w:rsid w:val="32453A27"/>
    <w:rsid w:val="3263064A"/>
    <w:rsid w:val="32A43132"/>
    <w:rsid w:val="32AC0C06"/>
    <w:rsid w:val="33344EF5"/>
    <w:rsid w:val="335428D9"/>
    <w:rsid w:val="34420666"/>
    <w:rsid w:val="34655D6B"/>
    <w:rsid w:val="34C002BA"/>
    <w:rsid w:val="3537750C"/>
    <w:rsid w:val="3537798C"/>
    <w:rsid w:val="35C13FC9"/>
    <w:rsid w:val="36372B05"/>
    <w:rsid w:val="364257B6"/>
    <w:rsid w:val="37EA5922"/>
    <w:rsid w:val="38276B93"/>
    <w:rsid w:val="382E58B8"/>
    <w:rsid w:val="387F629D"/>
    <w:rsid w:val="38AC3431"/>
    <w:rsid w:val="392F2E16"/>
    <w:rsid w:val="39E00529"/>
    <w:rsid w:val="3A0B64A7"/>
    <w:rsid w:val="3A574DDA"/>
    <w:rsid w:val="3AD3075A"/>
    <w:rsid w:val="3AF74C02"/>
    <w:rsid w:val="3B5D145C"/>
    <w:rsid w:val="3C0059A5"/>
    <w:rsid w:val="3C134E78"/>
    <w:rsid w:val="3DF6345D"/>
    <w:rsid w:val="3E2B5515"/>
    <w:rsid w:val="3E4D4F28"/>
    <w:rsid w:val="3ED92EC4"/>
    <w:rsid w:val="3EE13701"/>
    <w:rsid w:val="3F1A4BB3"/>
    <w:rsid w:val="40192BA6"/>
    <w:rsid w:val="41766EA9"/>
    <w:rsid w:val="42550A18"/>
    <w:rsid w:val="429D496A"/>
    <w:rsid w:val="42F473A1"/>
    <w:rsid w:val="437217EA"/>
    <w:rsid w:val="43AB7156"/>
    <w:rsid w:val="441E62C0"/>
    <w:rsid w:val="44322344"/>
    <w:rsid w:val="446600ED"/>
    <w:rsid w:val="45325D14"/>
    <w:rsid w:val="45811C7C"/>
    <w:rsid w:val="45906116"/>
    <w:rsid w:val="45931B8C"/>
    <w:rsid w:val="45CB28C0"/>
    <w:rsid w:val="45EF2552"/>
    <w:rsid w:val="468B3EFB"/>
    <w:rsid w:val="470A6193"/>
    <w:rsid w:val="47385210"/>
    <w:rsid w:val="475510F8"/>
    <w:rsid w:val="47810142"/>
    <w:rsid w:val="47DC4F5C"/>
    <w:rsid w:val="48B40671"/>
    <w:rsid w:val="499B5738"/>
    <w:rsid w:val="499F244D"/>
    <w:rsid w:val="4A973F3F"/>
    <w:rsid w:val="4AF96BC7"/>
    <w:rsid w:val="4B862A85"/>
    <w:rsid w:val="4CEF36E2"/>
    <w:rsid w:val="4CEF4DC5"/>
    <w:rsid w:val="4D2F0F4C"/>
    <w:rsid w:val="4E257655"/>
    <w:rsid w:val="4E4542D0"/>
    <w:rsid w:val="4F372380"/>
    <w:rsid w:val="4F372FFB"/>
    <w:rsid w:val="4F9C45A9"/>
    <w:rsid w:val="4FFB56AD"/>
    <w:rsid w:val="5025116D"/>
    <w:rsid w:val="52395ECD"/>
    <w:rsid w:val="52C10D75"/>
    <w:rsid w:val="53C27FF8"/>
    <w:rsid w:val="54806794"/>
    <w:rsid w:val="549E1A80"/>
    <w:rsid w:val="54C658F4"/>
    <w:rsid w:val="550C4BD7"/>
    <w:rsid w:val="554C1D56"/>
    <w:rsid w:val="55572986"/>
    <w:rsid w:val="564C7BCE"/>
    <w:rsid w:val="565340FA"/>
    <w:rsid w:val="56AD5F59"/>
    <w:rsid w:val="56C60774"/>
    <w:rsid w:val="57B12A52"/>
    <w:rsid w:val="5A2F2CC8"/>
    <w:rsid w:val="5C10702D"/>
    <w:rsid w:val="5C152601"/>
    <w:rsid w:val="5C591F03"/>
    <w:rsid w:val="5C8A1B2F"/>
    <w:rsid w:val="5F561B72"/>
    <w:rsid w:val="5F7D6F29"/>
    <w:rsid w:val="60291793"/>
    <w:rsid w:val="606007BB"/>
    <w:rsid w:val="60AC7F66"/>
    <w:rsid w:val="61BF10D9"/>
    <w:rsid w:val="623E7F3F"/>
    <w:rsid w:val="626E2769"/>
    <w:rsid w:val="6290603A"/>
    <w:rsid w:val="62AC22DC"/>
    <w:rsid w:val="63A22BFD"/>
    <w:rsid w:val="64E45EF7"/>
    <w:rsid w:val="66557D16"/>
    <w:rsid w:val="6691014E"/>
    <w:rsid w:val="66C87CCE"/>
    <w:rsid w:val="677435B2"/>
    <w:rsid w:val="67EF75F1"/>
    <w:rsid w:val="684F4F11"/>
    <w:rsid w:val="68E06B1C"/>
    <w:rsid w:val="69124F16"/>
    <w:rsid w:val="69CD5C14"/>
    <w:rsid w:val="69CF0D33"/>
    <w:rsid w:val="6ABE0EA2"/>
    <w:rsid w:val="6B9946B3"/>
    <w:rsid w:val="6BE518DA"/>
    <w:rsid w:val="6C276F3A"/>
    <w:rsid w:val="6C7007C7"/>
    <w:rsid w:val="6D117DC8"/>
    <w:rsid w:val="6DE76850"/>
    <w:rsid w:val="6FB20BD4"/>
    <w:rsid w:val="6FBA59BE"/>
    <w:rsid w:val="70296B3E"/>
    <w:rsid w:val="70611204"/>
    <w:rsid w:val="70CF5C51"/>
    <w:rsid w:val="7165620F"/>
    <w:rsid w:val="717039F8"/>
    <w:rsid w:val="74D13AD5"/>
    <w:rsid w:val="74D73BDC"/>
    <w:rsid w:val="74FA2C30"/>
    <w:rsid w:val="754D5C4B"/>
    <w:rsid w:val="75856173"/>
    <w:rsid w:val="765E74E5"/>
    <w:rsid w:val="76C240A7"/>
    <w:rsid w:val="76DA416A"/>
    <w:rsid w:val="775246B7"/>
    <w:rsid w:val="7767353B"/>
    <w:rsid w:val="77684EEC"/>
    <w:rsid w:val="777A6FE9"/>
    <w:rsid w:val="78165C39"/>
    <w:rsid w:val="781E69D1"/>
    <w:rsid w:val="7901747F"/>
    <w:rsid w:val="79801BAB"/>
    <w:rsid w:val="7A0F340F"/>
    <w:rsid w:val="7A19520B"/>
    <w:rsid w:val="7A263B6B"/>
    <w:rsid w:val="7AF46346"/>
    <w:rsid w:val="7B0F5EBF"/>
    <w:rsid w:val="7B130FB9"/>
    <w:rsid w:val="7BD71E38"/>
    <w:rsid w:val="7BF64EDE"/>
    <w:rsid w:val="7C400C1E"/>
    <w:rsid w:val="7D464543"/>
    <w:rsid w:val="7D5621F3"/>
    <w:rsid w:val="7DD11708"/>
    <w:rsid w:val="7DEE4A4F"/>
    <w:rsid w:val="7EAE6230"/>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nhideWhenUsed="0" w:uiPriority="9"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nhideWhenUsed="0" w:uiPriority="0" w:name="Balloon Text"/>
    <w:lsdException w:qFormat="1" w:unhideWhenUsed="0" w:uiPriority="0"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link w:val="8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2"/>
    <w:link w:val="34"/>
    <w:qFormat/>
    <w:uiPriority w:val="9"/>
    <w:pPr>
      <w:keepNext/>
      <w:keepLines/>
      <w:spacing w:before="280" w:after="290" w:line="376" w:lineRule="auto"/>
      <w:outlineLvl w:val="4"/>
    </w:pPr>
    <w:rPr>
      <w:b/>
      <w:bCs/>
      <w:sz w:val="28"/>
      <w:szCs w:val="28"/>
    </w:rPr>
  </w:style>
  <w:style w:type="paragraph" w:styleId="7">
    <w:name w:val="heading 7"/>
    <w:basedOn w:val="1"/>
    <w:next w:val="1"/>
    <w:link w:val="35"/>
    <w:qFormat/>
    <w:uiPriority w:val="9"/>
    <w:pPr>
      <w:keepNext/>
      <w:keepLines/>
      <w:spacing w:before="240" w:after="64" w:line="320" w:lineRule="auto"/>
      <w:outlineLvl w:val="6"/>
    </w:pPr>
    <w:rPr>
      <w:b/>
      <w:bCs/>
      <w:sz w:val="24"/>
    </w:rPr>
  </w:style>
  <w:style w:type="paragraph" w:styleId="8">
    <w:name w:val="heading 8"/>
    <w:basedOn w:val="1"/>
    <w:next w:val="1"/>
    <w:link w:val="36"/>
    <w:qFormat/>
    <w:uiPriority w:val="9"/>
    <w:pPr>
      <w:keepNext/>
      <w:keepLines/>
      <w:spacing w:before="240" w:after="64" w:line="320" w:lineRule="auto"/>
      <w:outlineLvl w:val="7"/>
    </w:pPr>
    <w:rPr>
      <w:rFonts w:ascii="等线 Light" w:hAnsi="等线 Light" w:eastAsia="等线 Light"/>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Document Map"/>
    <w:basedOn w:val="1"/>
    <w:link w:val="37"/>
    <w:semiHidden/>
    <w:qFormat/>
    <w:uiPriority w:val="0"/>
    <w:pPr>
      <w:shd w:val="clear" w:color="auto" w:fill="000080"/>
    </w:pPr>
  </w:style>
  <w:style w:type="paragraph" w:styleId="11">
    <w:name w:val="annotation text"/>
    <w:basedOn w:val="1"/>
    <w:link w:val="38"/>
    <w:qFormat/>
    <w:uiPriority w:val="0"/>
    <w:pPr>
      <w:jc w:val="left"/>
    </w:pPr>
  </w:style>
  <w:style w:type="paragraph" w:styleId="12">
    <w:name w:val="Body Text 3"/>
    <w:basedOn w:val="1"/>
    <w:link w:val="39"/>
    <w:unhideWhenUsed/>
    <w:qFormat/>
    <w:uiPriority w:val="99"/>
    <w:pPr>
      <w:spacing w:after="120"/>
    </w:pPr>
    <w:rPr>
      <w:sz w:val="16"/>
      <w:szCs w:val="16"/>
    </w:rPr>
  </w:style>
  <w:style w:type="paragraph" w:styleId="13">
    <w:name w:val="Body Text"/>
    <w:basedOn w:val="1"/>
    <w:next w:val="14"/>
    <w:link w:val="40"/>
    <w:unhideWhenUsed/>
    <w:qFormat/>
    <w:uiPriority w:val="0"/>
    <w:pPr>
      <w:spacing w:after="120"/>
    </w:pPr>
  </w:style>
  <w:style w:type="paragraph" w:customStyle="1" w:styleId="1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Body Text Indent"/>
    <w:basedOn w:val="1"/>
    <w:link w:val="41"/>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link w:val="42"/>
    <w:qFormat/>
    <w:uiPriority w:val="0"/>
    <w:rPr>
      <w:rFonts w:ascii="宋体" w:hAnsi="Courier New"/>
      <w:kern w:val="0"/>
      <w:sz w:val="20"/>
      <w:szCs w:val="21"/>
    </w:rPr>
  </w:style>
  <w:style w:type="paragraph" w:styleId="18">
    <w:name w:val="Date"/>
    <w:basedOn w:val="1"/>
    <w:next w:val="1"/>
    <w:link w:val="43"/>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next w:val="1"/>
    <w:link w:val="44"/>
    <w:unhideWhenUsed/>
    <w:qFormat/>
    <w:uiPriority w:val="99"/>
    <w:pPr>
      <w:tabs>
        <w:tab w:val="center" w:pos="4153"/>
        <w:tab w:val="right" w:pos="8306"/>
      </w:tabs>
      <w:snapToGrid w:val="0"/>
      <w:jc w:val="left"/>
    </w:pPr>
    <w:rPr>
      <w:kern w:val="0"/>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Normal (Web)"/>
    <w:basedOn w:val="1"/>
    <w:unhideWhenUsed/>
    <w:qFormat/>
    <w:uiPriority w:val="99"/>
    <w:rPr>
      <w:rFonts w:ascii="Calibri" w:hAnsi="Calibri"/>
      <w:kern w:val="0"/>
      <w:sz w:val="24"/>
    </w:rPr>
  </w:style>
  <w:style w:type="paragraph" w:styleId="23">
    <w:name w:val="annotation subject"/>
    <w:basedOn w:val="11"/>
    <w:next w:val="11"/>
    <w:link w:val="48"/>
    <w:qFormat/>
    <w:uiPriority w:val="99"/>
    <w:rPr>
      <w:b/>
      <w:bCs/>
    </w:rPr>
  </w:style>
  <w:style w:type="paragraph" w:styleId="24">
    <w:name w:val="Body Text First Indent"/>
    <w:basedOn w:val="13"/>
    <w:qFormat/>
    <w:uiPriority w:val="0"/>
    <w:pPr>
      <w:widowControl/>
      <w:wordWrap w:val="0"/>
      <w:topLinePunct/>
      <w:spacing w:after="0" w:line="600" w:lineRule="exact"/>
      <w:ind w:firstLine="880" w:firstLineChars="200"/>
      <w:jc w:val="left"/>
      <w:textAlignment w:val="baseline"/>
    </w:pPr>
    <w:rPr>
      <w:rFonts w:ascii="Times New Roman" w:hAnsi="Times New Roman" w:eastAsia="仿宋_GB2312" w:cs="Times New Roman"/>
      <w:sz w:val="32"/>
      <w:szCs w:val="24"/>
      <w:lang w:eastAsia="en-US"/>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endnote reference"/>
    <w:unhideWhenUsed/>
    <w:qFormat/>
    <w:uiPriority w:val="99"/>
    <w:rPr>
      <w:vertAlign w:val="superscript"/>
    </w:rPr>
  </w:style>
  <w:style w:type="character" w:styleId="29">
    <w:name w:val="Emphasis"/>
    <w:basedOn w:val="27"/>
    <w:qFormat/>
    <w:uiPriority w:val="20"/>
    <w:rPr>
      <w:i/>
    </w:rPr>
  </w:style>
  <w:style w:type="character" w:styleId="30">
    <w:name w:val="Hyperlink"/>
    <w:unhideWhenUsed/>
    <w:qFormat/>
    <w:uiPriority w:val="99"/>
    <w:rPr>
      <w:color w:val="0000FF"/>
      <w:u w:val="single"/>
    </w:rPr>
  </w:style>
  <w:style w:type="character" w:styleId="31">
    <w:name w:val="annotation reference"/>
    <w:qFormat/>
    <w:uiPriority w:val="0"/>
    <w:rPr>
      <w:sz w:val="21"/>
      <w:szCs w:val="21"/>
    </w:rPr>
  </w:style>
  <w:style w:type="character" w:customStyle="1" w:styleId="32">
    <w:name w:val="标题 1 字符"/>
    <w:link w:val="3"/>
    <w:qFormat/>
    <w:uiPriority w:val="9"/>
    <w:rPr>
      <w:b/>
      <w:bCs/>
      <w:kern w:val="44"/>
      <w:sz w:val="44"/>
      <w:szCs w:val="44"/>
    </w:rPr>
  </w:style>
  <w:style w:type="character" w:customStyle="1" w:styleId="33">
    <w:name w:val="标题 2 字符"/>
    <w:link w:val="4"/>
    <w:qFormat/>
    <w:uiPriority w:val="9"/>
    <w:rPr>
      <w:rFonts w:ascii="Cambria" w:hAnsi="Cambria" w:eastAsia="宋体" w:cs="Times New Roman"/>
      <w:b/>
      <w:bCs/>
      <w:kern w:val="2"/>
      <w:sz w:val="32"/>
      <w:szCs w:val="32"/>
    </w:rPr>
  </w:style>
  <w:style w:type="character" w:customStyle="1" w:styleId="34">
    <w:name w:val="标题 5 字符"/>
    <w:link w:val="6"/>
    <w:semiHidden/>
    <w:qFormat/>
    <w:uiPriority w:val="9"/>
    <w:rPr>
      <w:rFonts w:ascii="Times New Roman" w:hAnsi="Times New Roman"/>
      <w:b/>
      <w:bCs/>
      <w:kern w:val="2"/>
      <w:sz w:val="28"/>
      <w:szCs w:val="28"/>
    </w:rPr>
  </w:style>
  <w:style w:type="character" w:customStyle="1" w:styleId="35">
    <w:name w:val="标题 7 字符"/>
    <w:link w:val="7"/>
    <w:semiHidden/>
    <w:qFormat/>
    <w:uiPriority w:val="9"/>
    <w:rPr>
      <w:b/>
      <w:bCs/>
      <w:kern w:val="2"/>
      <w:sz w:val="24"/>
      <w:szCs w:val="24"/>
    </w:rPr>
  </w:style>
  <w:style w:type="character" w:customStyle="1" w:styleId="36">
    <w:name w:val="标题 8 字符"/>
    <w:link w:val="8"/>
    <w:semiHidden/>
    <w:qFormat/>
    <w:uiPriority w:val="9"/>
    <w:rPr>
      <w:rFonts w:ascii="等线 Light" w:hAnsi="等线 Light" w:eastAsia="等线 Light" w:cs="Times New Roman"/>
      <w:kern w:val="2"/>
      <w:sz w:val="24"/>
      <w:szCs w:val="24"/>
    </w:rPr>
  </w:style>
  <w:style w:type="character" w:customStyle="1" w:styleId="37">
    <w:name w:val="文档结构图 字符"/>
    <w:link w:val="10"/>
    <w:semiHidden/>
    <w:qFormat/>
    <w:uiPriority w:val="0"/>
    <w:rPr>
      <w:kern w:val="2"/>
      <w:sz w:val="21"/>
      <w:szCs w:val="24"/>
      <w:shd w:val="clear" w:color="auto" w:fill="000080"/>
    </w:rPr>
  </w:style>
  <w:style w:type="character" w:customStyle="1" w:styleId="38">
    <w:name w:val="批注文字 字符3"/>
    <w:link w:val="11"/>
    <w:qFormat/>
    <w:uiPriority w:val="0"/>
    <w:rPr>
      <w:rFonts w:ascii="Times New Roman" w:hAnsi="Times New Roman"/>
      <w:kern w:val="2"/>
      <w:sz w:val="21"/>
      <w:szCs w:val="24"/>
    </w:rPr>
  </w:style>
  <w:style w:type="character" w:customStyle="1" w:styleId="39">
    <w:name w:val="正文文本 3 字符"/>
    <w:link w:val="12"/>
    <w:semiHidden/>
    <w:qFormat/>
    <w:uiPriority w:val="99"/>
    <w:rPr>
      <w:kern w:val="2"/>
      <w:sz w:val="16"/>
      <w:szCs w:val="16"/>
    </w:rPr>
  </w:style>
  <w:style w:type="character" w:customStyle="1" w:styleId="40">
    <w:name w:val="正文文本 字符1"/>
    <w:link w:val="13"/>
    <w:qFormat/>
    <w:uiPriority w:val="0"/>
    <w:rPr>
      <w:rFonts w:ascii="Times New Roman" w:hAnsi="Times New Roman"/>
      <w:kern w:val="2"/>
      <w:sz w:val="21"/>
      <w:szCs w:val="24"/>
    </w:rPr>
  </w:style>
  <w:style w:type="character" w:customStyle="1" w:styleId="41">
    <w:name w:val="正文文本缩进 字符"/>
    <w:link w:val="15"/>
    <w:qFormat/>
    <w:uiPriority w:val="0"/>
    <w:rPr>
      <w:rFonts w:ascii="仿宋_GB2312" w:hAnsi="Times New Roman" w:eastAsia="仿宋_GB2312" w:cs="Times New Roman"/>
      <w:sz w:val="32"/>
      <w:szCs w:val="20"/>
    </w:rPr>
  </w:style>
  <w:style w:type="character" w:customStyle="1" w:styleId="42">
    <w:name w:val="纯文本 字符4"/>
    <w:link w:val="17"/>
    <w:qFormat/>
    <w:uiPriority w:val="0"/>
    <w:rPr>
      <w:rFonts w:ascii="宋体" w:hAnsi="Courier New" w:eastAsia="宋体" w:cs="Courier New"/>
      <w:szCs w:val="21"/>
    </w:rPr>
  </w:style>
  <w:style w:type="character" w:customStyle="1" w:styleId="43">
    <w:name w:val="日期 字符"/>
    <w:link w:val="18"/>
    <w:semiHidden/>
    <w:qFormat/>
    <w:uiPriority w:val="99"/>
    <w:rPr>
      <w:rFonts w:ascii="Times New Roman" w:hAnsi="Times New Roman"/>
      <w:kern w:val="2"/>
      <w:sz w:val="21"/>
      <w:szCs w:val="24"/>
    </w:rPr>
  </w:style>
  <w:style w:type="character" w:customStyle="1" w:styleId="44">
    <w:name w:val="页脚 字符"/>
    <w:link w:val="20"/>
    <w:qFormat/>
    <w:uiPriority w:val="99"/>
    <w:rPr>
      <w:sz w:val="18"/>
      <w:szCs w:val="18"/>
    </w:rPr>
  </w:style>
  <w:style w:type="character" w:customStyle="1" w:styleId="45">
    <w:name w:val="页眉 字符"/>
    <w:link w:val="21"/>
    <w:qFormat/>
    <w:uiPriority w:val="99"/>
    <w:rPr>
      <w:sz w:val="18"/>
      <w:szCs w:val="18"/>
    </w:rPr>
  </w:style>
  <w:style w:type="paragraph" w:customStyle="1" w:styleId="46">
    <w:name w:val="TOC 11"/>
    <w:basedOn w:val="1"/>
    <w:next w:val="1"/>
    <w:unhideWhenUsed/>
    <w:qFormat/>
    <w:uiPriority w:val="39"/>
  </w:style>
  <w:style w:type="paragraph" w:customStyle="1" w:styleId="47">
    <w:name w:val="TOC 21"/>
    <w:basedOn w:val="1"/>
    <w:next w:val="1"/>
    <w:unhideWhenUsed/>
    <w:qFormat/>
    <w:uiPriority w:val="39"/>
    <w:pPr>
      <w:tabs>
        <w:tab w:val="right" w:leader="dot" w:pos="8296"/>
      </w:tabs>
      <w:ind w:left="420" w:leftChars="200"/>
    </w:pPr>
  </w:style>
  <w:style w:type="character" w:customStyle="1" w:styleId="48">
    <w:name w:val="批注主题 字符"/>
    <w:link w:val="23"/>
    <w:qFormat/>
    <w:uiPriority w:val="99"/>
    <w:rPr>
      <w:rFonts w:ascii="Times New Roman" w:hAnsi="Times New Roman"/>
      <w:b/>
      <w:bCs/>
      <w:kern w:val="2"/>
      <w:sz w:val="21"/>
      <w:szCs w:val="24"/>
    </w:rPr>
  </w:style>
  <w:style w:type="paragraph" w:customStyle="1" w:styleId="49">
    <w:name w:val="正文文本首行缩进1"/>
    <w:basedOn w:val="13"/>
    <w:link w:val="50"/>
    <w:qFormat/>
    <w:uiPriority w:val="0"/>
    <w:pPr>
      <w:ind w:firstLine="420" w:firstLineChars="100"/>
    </w:pPr>
  </w:style>
  <w:style w:type="character" w:customStyle="1" w:styleId="50">
    <w:name w:val="正文文本首行缩进 字符"/>
    <w:link w:val="49"/>
    <w:qFormat/>
    <w:uiPriority w:val="0"/>
  </w:style>
  <w:style w:type="paragraph" w:customStyle="1" w:styleId="51">
    <w:name w:val="正文文本首行缩进 21"/>
    <w:basedOn w:val="15"/>
    <w:link w:val="52"/>
    <w:unhideWhenUsed/>
    <w:qFormat/>
    <w:uiPriority w:val="99"/>
    <w:pPr>
      <w:spacing w:after="120"/>
      <w:ind w:left="420" w:leftChars="200" w:firstLine="420" w:firstLineChars="200"/>
    </w:pPr>
    <w:rPr>
      <w:kern w:val="2"/>
      <w:sz w:val="21"/>
      <w:szCs w:val="24"/>
    </w:rPr>
  </w:style>
  <w:style w:type="character" w:customStyle="1" w:styleId="52">
    <w:name w:val="正文文本首行缩进 2 字符"/>
    <w:link w:val="51"/>
    <w:semiHidden/>
    <w:qFormat/>
    <w:uiPriority w:val="99"/>
    <w:rPr>
      <w:rFonts w:ascii="仿宋_GB2312" w:hAnsi="Times New Roman" w:eastAsia="仿宋_GB2312" w:cs="Times New Roman"/>
      <w:kern w:val="2"/>
      <w:sz w:val="21"/>
      <w:szCs w:val="24"/>
    </w:rPr>
  </w:style>
  <w:style w:type="character" w:customStyle="1" w:styleId="53">
    <w:name w:val="正文文本 字符"/>
    <w:qFormat/>
    <w:uiPriority w:val="0"/>
    <w:rPr>
      <w:rFonts w:ascii="Times New Roman" w:hAnsi="Times New Roman"/>
      <w:kern w:val="2"/>
      <w:sz w:val="21"/>
      <w:szCs w:val="24"/>
    </w:rPr>
  </w:style>
  <w:style w:type="character" w:customStyle="1" w:styleId="54">
    <w:name w:val="标题 2 Char"/>
    <w:qFormat/>
    <w:uiPriority w:val="9"/>
    <w:rPr>
      <w:rFonts w:ascii="Cambria" w:hAnsi="Cambria" w:eastAsia="宋体" w:cs="Times New Roman"/>
      <w:b/>
      <w:bCs/>
      <w:kern w:val="2"/>
      <w:sz w:val="32"/>
      <w:szCs w:val="32"/>
    </w:rPr>
  </w:style>
  <w:style w:type="character" w:customStyle="1" w:styleId="55">
    <w:name w:val="正文文本 Char"/>
    <w:qFormat/>
    <w:uiPriority w:val="99"/>
    <w:rPr>
      <w:rFonts w:ascii="Times New Roman" w:hAnsi="Times New Roman"/>
      <w:kern w:val="2"/>
      <w:sz w:val="21"/>
      <w:szCs w:val="24"/>
    </w:rPr>
  </w:style>
  <w:style w:type="character" w:customStyle="1" w:styleId="56">
    <w:name w:val="apple-style-span"/>
    <w:qFormat/>
    <w:uiPriority w:val="0"/>
  </w:style>
  <w:style w:type="character" w:customStyle="1" w:styleId="57">
    <w:name w:val="纯文本 Char"/>
    <w:qFormat/>
    <w:uiPriority w:val="0"/>
    <w:rPr>
      <w:rFonts w:ascii="宋体" w:hAnsi="Courier New" w:eastAsia="宋体" w:cs="Courier New"/>
      <w:szCs w:val="21"/>
    </w:rPr>
  </w:style>
  <w:style w:type="character" w:customStyle="1" w:styleId="58">
    <w:name w:val="纯文本 字符"/>
    <w:qFormat/>
    <w:uiPriority w:val="0"/>
    <w:rPr>
      <w:rFonts w:ascii="宋体" w:hAnsi="Courier New" w:eastAsia="宋体" w:cs="Courier New"/>
      <w:szCs w:val="21"/>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批注文字 字符"/>
    <w:qFormat/>
    <w:uiPriority w:val="0"/>
    <w:rPr>
      <w:rFonts w:ascii="Times New Roman" w:hAnsi="Times New Roman"/>
      <w:kern w:val="2"/>
      <w:sz w:val="21"/>
      <w:szCs w:val="24"/>
    </w:rPr>
  </w:style>
  <w:style w:type="character" w:customStyle="1" w:styleId="61">
    <w:name w:val="纯文本 字符2"/>
    <w:qFormat/>
    <w:uiPriority w:val="0"/>
    <w:rPr>
      <w:rFonts w:ascii="宋体" w:hAnsi="Courier New" w:eastAsia="宋体" w:cs="Courier New"/>
      <w:szCs w:val="21"/>
    </w:rPr>
  </w:style>
  <w:style w:type="character" w:customStyle="1" w:styleId="62">
    <w:name w:val="标题 8 Char"/>
    <w:qFormat/>
    <w:uiPriority w:val="0"/>
    <w:rPr>
      <w:rFonts w:ascii="Arial" w:hAnsi="Arial" w:eastAsia="黑体"/>
      <w:kern w:val="2"/>
      <w:sz w:val="24"/>
      <w:szCs w:val="24"/>
    </w:rPr>
  </w:style>
  <w:style w:type="character" w:customStyle="1" w:styleId="63">
    <w:name w:val="textcontents"/>
    <w:qFormat/>
    <w:uiPriority w:val="0"/>
  </w:style>
  <w:style w:type="character" w:customStyle="1" w:styleId="64">
    <w:name w:val="标题 1 字符1"/>
    <w:qFormat/>
    <w:uiPriority w:val="0"/>
    <w:rPr>
      <w:b/>
      <w:bCs/>
      <w:kern w:val="44"/>
      <w:sz w:val="44"/>
      <w:szCs w:val="44"/>
    </w:rPr>
  </w:style>
  <w:style w:type="character" w:customStyle="1" w:styleId="65">
    <w:name w:val="纯文本 字符1"/>
    <w:qFormat/>
    <w:uiPriority w:val="99"/>
    <w:rPr>
      <w:rFonts w:ascii="宋体" w:hAnsi="Courier New"/>
    </w:rPr>
  </w:style>
  <w:style w:type="character" w:customStyle="1" w:styleId="66">
    <w:name w:val="批注文字 字符1"/>
    <w:qFormat/>
    <w:uiPriority w:val="0"/>
    <w:rPr>
      <w:rFonts w:ascii="Times New Roman" w:hAnsi="Times New Roman"/>
      <w:kern w:val="2"/>
      <w:sz w:val="21"/>
      <w:szCs w:val="24"/>
    </w:rPr>
  </w:style>
  <w:style w:type="character" w:customStyle="1" w:styleId="67">
    <w:name w:val="批注文字 Char"/>
    <w:qFormat/>
    <w:uiPriority w:val="0"/>
    <w:rPr>
      <w:rFonts w:ascii="Times New Roman" w:hAnsi="Times New Roman"/>
      <w:kern w:val="2"/>
      <w:sz w:val="21"/>
      <w:szCs w:val="24"/>
    </w:rPr>
  </w:style>
  <w:style w:type="character" w:customStyle="1" w:styleId="68">
    <w:name w:val="批注文字 Char2"/>
    <w:qFormat/>
    <w:uiPriority w:val="0"/>
    <w:rPr>
      <w:rFonts w:ascii="Times New Roman" w:hAnsi="Times New Roman"/>
      <w:kern w:val="2"/>
      <w:sz w:val="21"/>
      <w:szCs w:val="24"/>
    </w:rPr>
  </w:style>
  <w:style w:type="character" w:customStyle="1" w:styleId="69">
    <w:name w:val="正文2 Char Char"/>
    <w:link w:val="70"/>
    <w:qFormat/>
    <w:uiPriority w:val="0"/>
    <w:rPr>
      <w:kern w:val="2"/>
      <w:sz w:val="24"/>
    </w:rPr>
  </w:style>
  <w:style w:type="paragraph" w:customStyle="1" w:styleId="70">
    <w:name w:val="正文2"/>
    <w:basedOn w:val="1"/>
    <w:link w:val="69"/>
    <w:qFormat/>
    <w:uiPriority w:val="0"/>
    <w:pPr>
      <w:adjustRightInd w:val="0"/>
      <w:spacing w:before="156" w:line="360" w:lineRule="auto"/>
      <w:ind w:firstLine="510" w:firstLineChars="200"/>
    </w:pPr>
    <w:rPr>
      <w:sz w:val="24"/>
      <w:szCs w:val="20"/>
    </w:rPr>
  </w:style>
  <w:style w:type="character" w:customStyle="1" w:styleId="71">
    <w:name w:val="纯文本 字符3"/>
    <w:qFormat/>
    <w:uiPriority w:val="0"/>
    <w:rPr>
      <w:rFonts w:ascii="宋体" w:hAnsi="Courier New"/>
      <w:szCs w:val="21"/>
    </w:rPr>
  </w:style>
  <w:style w:type="character" w:customStyle="1" w:styleId="72">
    <w:name w:val="批注文字 字符2"/>
    <w:qFormat/>
    <w:uiPriority w:val="0"/>
    <w:rPr>
      <w:kern w:val="2"/>
      <w:sz w:val="21"/>
      <w:szCs w:val="24"/>
    </w:rPr>
  </w:style>
  <w:style w:type="paragraph" w:customStyle="1" w:styleId="73">
    <w:name w:val="纯文本1"/>
    <w:qFormat/>
    <w:uiPriority w:val="0"/>
    <w:rPr>
      <w:rFonts w:ascii="宋体" w:hAnsi="Courier New" w:eastAsia="宋体" w:cs="Times New Roman"/>
      <w:sz w:val="21"/>
      <w:szCs w:val="21"/>
      <w:lang w:val="en-US" w:eastAsia="zh-CN" w:bidi="ar-SA"/>
    </w:rPr>
  </w:style>
  <w:style w:type="paragraph" w:customStyle="1" w:styleId="7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5">
    <w:name w:val="默认段落字体 Para Char Char Char Char Char Char Char Char Char1 Char Char Char Char"/>
    <w:basedOn w:val="1"/>
    <w:qFormat/>
    <w:uiPriority w:val="0"/>
    <w:rPr>
      <w:rFonts w:ascii="Tahoma" w:hAnsi="Tahoma"/>
      <w:sz w:val="24"/>
      <w:szCs w:val="20"/>
    </w:rPr>
  </w:style>
  <w:style w:type="paragraph" w:customStyle="1" w:styleId="76">
    <w:name w:val="列表段落1"/>
    <w:basedOn w:val="1"/>
    <w:qFormat/>
    <w:uiPriority w:val="34"/>
    <w:pPr>
      <w:ind w:firstLine="420" w:firstLineChars="200"/>
    </w:pPr>
  </w:style>
  <w:style w:type="paragraph" w:customStyle="1" w:styleId="77">
    <w:name w:val="列表段落11"/>
    <w:basedOn w:val="1"/>
    <w:qFormat/>
    <w:uiPriority w:val="0"/>
    <w:pPr>
      <w:ind w:firstLine="420" w:firstLineChars="200"/>
    </w:pPr>
    <w:rPr>
      <w:rFonts w:ascii="Calibri" w:hAnsi="Calibri"/>
      <w:szCs w:val="22"/>
    </w:rPr>
  </w:style>
  <w:style w:type="paragraph" w:customStyle="1" w:styleId="78">
    <w:name w:val="Table Paragraph"/>
    <w:basedOn w:val="1"/>
    <w:qFormat/>
    <w:uiPriority w:val="1"/>
    <w:pPr>
      <w:jc w:val="left"/>
    </w:pPr>
    <w:rPr>
      <w:rFonts w:ascii="Calibri" w:hAnsi="Calibri"/>
      <w:kern w:val="0"/>
      <w:sz w:val="22"/>
      <w:szCs w:val="22"/>
      <w:lang w:eastAsia="en-US"/>
    </w:rPr>
  </w:style>
  <w:style w:type="paragraph" w:customStyle="1" w:styleId="79">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批注文字 Char1"/>
    <w:qFormat/>
    <w:uiPriority w:val="0"/>
    <w:rPr>
      <w:rFonts w:ascii="Times New Roman" w:hAnsi="Times New Roman"/>
      <w:kern w:val="2"/>
      <w:sz w:val="21"/>
      <w:szCs w:val="24"/>
    </w:rPr>
  </w:style>
  <w:style w:type="character" w:customStyle="1" w:styleId="81">
    <w:name w:val="hisc table 文字"/>
    <w:qFormat/>
    <w:uiPriority w:val="0"/>
    <w:rPr>
      <w:rFonts w:ascii="楷体_GB2312" w:hAnsi="楷体_GB2312" w:eastAsia="楷体_GB2312"/>
    </w:rPr>
  </w:style>
  <w:style w:type="character" w:customStyle="1" w:styleId="82">
    <w:name w:val="hisc table 标题"/>
    <w:qFormat/>
    <w:uiPriority w:val="0"/>
    <w:rPr>
      <w:rFonts w:ascii="楷体_GB2312" w:hAnsi="楷体_GB2312" w:eastAsia="楷体_GB2312"/>
      <w:b/>
      <w:bCs/>
    </w:rPr>
  </w:style>
  <w:style w:type="character" w:customStyle="1" w:styleId="83">
    <w:name w:val="标题 1 Char"/>
    <w:qFormat/>
    <w:locked/>
    <w:uiPriority w:val="0"/>
    <w:rPr>
      <w:rFonts w:ascii="Cambria" w:hAnsi="Cambria" w:eastAsia="仿宋_GB2312"/>
      <w:b/>
      <w:kern w:val="32"/>
      <w:sz w:val="32"/>
    </w:rPr>
  </w:style>
  <w:style w:type="character" w:customStyle="1" w:styleId="84">
    <w:name w:val="纯文本 Char1"/>
    <w:qFormat/>
    <w:uiPriority w:val="0"/>
    <w:rPr>
      <w:rFonts w:ascii="宋体" w:hAnsi="Courier New" w:eastAsia="宋体" w:cs="Courier New"/>
      <w:szCs w:val="21"/>
    </w:rPr>
  </w:style>
  <w:style w:type="character" w:customStyle="1" w:styleId="85">
    <w:name w:val="批注文字 Char3"/>
    <w:qFormat/>
    <w:uiPriority w:val="0"/>
    <w:rPr>
      <w:rFonts w:ascii="Times New Roman" w:hAnsi="Times New Roman"/>
      <w:kern w:val="2"/>
      <w:sz w:val="21"/>
      <w:szCs w:val="24"/>
    </w:rPr>
  </w:style>
  <w:style w:type="character" w:customStyle="1" w:styleId="86">
    <w:name w:val="纯文本 Char2"/>
    <w:qFormat/>
    <w:uiPriority w:val="0"/>
    <w:rPr>
      <w:rFonts w:ascii="宋体" w:hAnsi="Courier New" w:eastAsia="宋体" w:cs="Courier New"/>
      <w:szCs w:val="21"/>
    </w:rPr>
  </w:style>
  <w:style w:type="character" w:customStyle="1" w:styleId="87">
    <w:name w:val="标题 4 字符"/>
    <w:basedOn w:val="27"/>
    <w:link w:val="5"/>
    <w:qFormat/>
    <w:uiPriority w:val="0"/>
    <w:rPr>
      <w:rFonts w:ascii="Arial" w:hAnsi="Arial" w:eastAsia="黑体"/>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470F2-130A-4C14-996D-64541F24DB3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45609</Words>
  <Characters>47716</Characters>
  <Lines>635</Lines>
  <Paragraphs>178</Paragraphs>
  <TotalTime>2</TotalTime>
  <ScaleCrop>false</ScaleCrop>
  <LinksUpToDate>false</LinksUpToDate>
  <CharactersWithSpaces>53253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2024-05-27T05:33:00Z</dcterms:created>
  <dc:creator>唐冰</dc:creator>
  <cp:lastModifiedBy>9507</cp:lastModifiedBy>
  <cp:lastPrinted>2024-07-17T02:05:00Z</cp:lastPrinted>
  <dcterms:modified xsi:type="dcterms:W3CDTF">2024-09-15T09:40:05Z</dcterms:modified>
  <dc:title>竞争性谈判文件规范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510105985F7144FA9742B095B19BEFC9_13</vt:lpwstr>
  </property>
</Properties>
</file>